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rPr>
          <w:rFonts w:hint="eastAsia" w:ascii="仿宋" w:hAnsi="仿宋" w:eastAsia="仿宋" w:cs="仿宋"/>
          <w:b/>
          <w:bCs/>
          <w:sz w:val="48"/>
          <w:szCs w:val="48"/>
          <w:lang w:eastAsia="zh-CN"/>
        </w:rPr>
      </w:pPr>
    </w:p>
    <w:p>
      <w:pPr>
        <w:pStyle w:val="3"/>
        <w:spacing w:line="240" w:lineRule="auto"/>
        <w:outlineLvl w:val="9"/>
        <w:rPr>
          <w:rFonts w:hint="eastAsia"/>
          <w:lang w:eastAsia="zh-CN"/>
        </w:rPr>
      </w:pPr>
    </w:p>
    <w:p>
      <w:pPr>
        <w:adjustRightInd/>
        <w:spacing w:line="360" w:lineRule="auto"/>
        <w:jc w:val="center"/>
        <w:rPr>
          <w:rFonts w:hint="eastAsia" w:ascii="仿宋" w:hAnsi="仿宋" w:eastAsia="仿宋" w:cs="仿宋"/>
          <w:b/>
          <w:sz w:val="44"/>
          <w:szCs w:val="44"/>
        </w:rPr>
      </w:pPr>
      <w:r>
        <w:rPr>
          <w:rFonts w:hint="eastAsia" w:ascii="仿宋" w:hAnsi="仿宋" w:eastAsia="仿宋" w:cs="仿宋"/>
          <w:b/>
          <w:bCs/>
          <w:sz w:val="52"/>
          <w:szCs w:val="52"/>
          <w:lang w:eastAsia="zh-CN"/>
        </w:rPr>
        <w:t>嵊州市气象局自动气象站维保服务项目</w:t>
      </w:r>
    </w:p>
    <w:p>
      <w:pPr>
        <w:pStyle w:val="38"/>
        <w:rPr>
          <w:rFonts w:hint="eastAsia" w:ascii="仿宋" w:hAnsi="仿宋" w:eastAsia="仿宋" w:cs="仿宋"/>
          <w:b/>
          <w:sz w:val="44"/>
          <w:szCs w:val="44"/>
        </w:rPr>
      </w:pPr>
    </w:p>
    <w:p>
      <w:pPr>
        <w:pStyle w:val="38"/>
        <w:rPr>
          <w:rFonts w:hint="eastAsia" w:ascii="仿宋" w:hAnsi="仿宋" w:eastAsia="仿宋" w:cs="仿宋"/>
          <w:b/>
          <w:sz w:val="44"/>
          <w:szCs w:val="44"/>
        </w:rPr>
      </w:pPr>
    </w:p>
    <w:p>
      <w:pPr>
        <w:pStyle w:val="38"/>
        <w:rPr>
          <w:rFonts w:hint="eastAsia" w:ascii="仿宋" w:hAnsi="仿宋" w:eastAsia="仿宋" w:cs="仿宋"/>
          <w:b/>
          <w:sz w:val="44"/>
          <w:szCs w:val="44"/>
        </w:rPr>
      </w:pPr>
    </w:p>
    <w:p>
      <w:pPr>
        <w:pStyle w:val="38"/>
        <w:rPr>
          <w:rFonts w:hint="eastAsia"/>
        </w:rPr>
      </w:pPr>
    </w:p>
    <w:tbl>
      <w:tblPr>
        <w:tblStyle w:val="27"/>
        <w:tblW w:w="0" w:type="auto"/>
        <w:jc w:val="center"/>
        <w:tblLayout w:type="fixed"/>
        <w:tblCellMar>
          <w:top w:w="0" w:type="dxa"/>
          <w:left w:w="108" w:type="dxa"/>
          <w:bottom w:w="0" w:type="dxa"/>
          <w:right w:w="108" w:type="dxa"/>
        </w:tblCellMar>
      </w:tblPr>
      <w:tblGrid>
        <w:gridCol w:w="2107"/>
        <w:gridCol w:w="2952"/>
      </w:tblGrid>
      <w:tr>
        <w:tblPrEx>
          <w:tblCellMar>
            <w:top w:w="0" w:type="dxa"/>
            <w:left w:w="108" w:type="dxa"/>
            <w:bottom w:w="0" w:type="dxa"/>
            <w:right w:w="108" w:type="dxa"/>
          </w:tblCellMar>
        </w:tblPrEx>
        <w:trPr>
          <w:trHeight w:val="1083" w:hRule="atLeast"/>
          <w:jc w:val="center"/>
        </w:trPr>
        <w:tc>
          <w:tcPr>
            <w:tcW w:w="2107" w:type="dxa"/>
            <w:noWrap w:val="0"/>
            <w:vAlign w:val="center"/>
          </w:tcPr>
          <w:p>
            <w:pPr>
              <w:rPr>
                <w:rFonts w:hint="eastAsia" w:ascii="仿宋" w:hAnsi="仿宋" w:eastAsia="仿宋" w:cs="仿宋"/>
                <w:bCs/>
                <w:sz w:val="32"/>
                <w:szCs w:val="32"/>
              </w:rPr>
            </w:pPr>
            <w:r>
              <w:rPr>
                <w:rFonts w:hint="eastAsia" w:ascii="仿宋" w:hAnsi="仿宋" w:eastAsia="仿宋" w:cs="仿宋"/>
                <w:bCs/>
                <w:sz w:val="32"/>
                <w:szCs w:val="32"/>
              </w:rPr>
              <w:t>项目编号：</w:t>
            </w:r>
          </w:p>
        </w:tc>
        <w:tc>
          <w:tcPr>
            <w:tcW w:w="2952" w:type="dxa"/>
            <w:noWrap w:val="0"/>
            <w:vAlign w:val="center"/>
          </w:tcPr>
          <w:p>
            <w:pPr>
              <w:rPr>
                <w:rFonts w:hint="eastAsia" w:ascii="仿宋" w:hAnsi="仿宋" w:eastAsia="仿宋" w:cs="仿宋"/>
                <w:bCs/>
                <w:sz w:val="32"/>
                <w:szCs w:val="32"/>
                <w:lang w:eastAsia="zh-CN"/>
              </w:rPr>
            </w:pPr>
            <w:r>
              <w:rPr>
                <w:rFonts w:hint="eastAsia" w:ascii="仿宋" w:hAnsi="仿宋" w:eastAsia="仿宋" w:cs="仿宋"/>
                <w:bCs/>
                <w:sz w:val="32"/>
                <w:szCs w:val="32"/>
                <w:lang w:eastAsia="zh-CN"/>
              </w:rPr>
              <w:t>DFJW-202</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0</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SZ</w:t>
            </w:r>
          </w:p>
        </w:tc>
      </w:tr>
      <w:tr>
        <w:tblPrEx>
          <w:tblCellMar>
            <w:top w:w="0" w:type="dxa"/>
            <w:left w:w="108" w:type="dxa"/>
            <w:bottom w:w="0" w:type="dxa"/>
            <w:right w:w="108" w:type="dxa"/>
          </w:tblCellMar>
        </w:tblPrEx>
        <w:trPr>
          <w:trHeight w:val="1083" w:hRule="atLeast"/>
          <w:jc w:val="center"/>
        </w:trPr>
        <w:tc>
          <w:tcPr>
            <w:tcW w:w="2107" w:type="dxa"/>
            <w:noWrap w:val="0"/>
            <w:vAlign w:val="center"/>
          </w:tcPr>
          <w:p>
            <w:pPr>
              <w:pStyle w:val="23"/>
              <w:spacing w:after="120" w:line="440" w:lineRule="exact"/>
              <w:jc w:val="center"/>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sz w:val="32"/>
                <w:szCs w:val="32"/>
                <w:lang w:val="en-US" w:eastAsia="zh-CN"/>
              </w:rPr>
              <w:t>采购方式：</w:t>
            </w:r>
          </w:p>
        </w:tc>
        <w:tc>
          <w:tcPr>
            <w:tcW w:w="2952" w:type="dxa"/>
            <w:noWrap w:val="0"/>
            <w:vAlign w:val="center"/>
          </w:tcPr>
          <w:p>
            <w:pPr>
              <w:rPr>
                <w:rFonts w:hint="eastAsia" w:ascii="仿宋" w:hAnsi="仿宋" w:eastAsia="仿宋" w:cs="仿宋"/>
                <w:bCs/>
                <w:sz w:val="32"/>
                <w:szCs w:val="32"/>
              </w:rPr>
            </w:pPr>
            <w:r>
              <w:rPr>
                <w:rFonts w:hint="eastAsia" w:ascii="仿宋" w:hAnsi="仿宋" w:eastAsia="仿宋" w:cs="仿宋"/>
                <w:bCs/>
                <w:sz w:val="32"/>
                <w:szCs w:val="32"/>
              </w:rPr>
              <w:t>公开招标</w:t>
            </w:r>
          </w:p>
        </w:tc>
      </w:tr>
    </w:tbl>
    <w:p>
      <w:pPr>
        <w:pStyle w:val="3"/>
        <w:outlineLvl w:val="9"/>
        <w:rPr>
          <w:rFonts w:hint="eastAsia" w:ascii="仿宋" w:hAnsi="仿宋" w:eastAsia="仿宋" w:cs="仿宋"/>
          <w:b/>
          <w:sz w:val="44"/>
          <w:szCs w:val="44"/>
        </w:rPr>
      </w:pPr>
    </w:p>
    <w:p>
      <w:pPr>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采购单位</w:t>
      </w:r>
      <w:r>
        <w:rPr>
          <w:rFonts w:hint="eastAsia" w:ascii="仿宋" w:hAnsi="仿宋" w:eastAsia="仿宋" w:cs="仿宋"/>
          <w:bCs/>
          <w:sz w:val="32"/>
          <w:szCs w:val="32"/>
          <w:lang w:val="en-US" w:eastAsia="zh-CN"/>
        </w:rPr>
        <w:t>：</w:t>
      </w:r>
      <w:r>
        <w:rPr>
          <w:rFonts w:hint="eastAsia" w:ascii="仿宋" w:hAnsi="仿宋" w:eastAsia="仿宋" w:cs="仿宋"/>
          <w:bCs/>
          <w:sz w:val="32"/>
          <w:szCs w:val="32"/>
        </w:rPr>
        <w:t>嵊州市</w:t>
      </w:r>
      <w:r>
        <w:rPr>
          <w:rFonts w:hint="eastAsia" w:ascii="仿宋" w:hAnsi="仿宋" w:eastAsia="仿宋" w:cs="仿宋"/>
          <w:bCs/>
          <w:sz w:val="32"/>
          <w:szCs w:val="32"/>
          <w:lang w:val="en-US" w:eastAsia="zh-CN"/>
        </w:rPr>
        <w:t>气象局</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eastAsia" w:ascii="仿宋" w:hAnsi="仿宋" w:eastAsia="仿宋" w:cs="仿宋"/>
          <w:bCs/>
          <w:color w:val="000000"/>
          <w:sz w:val="32"/>
          <w:szCs w:val="32"/>
          <w:lang w:eastAsia="zh-CN"/>
        </w:rPr>
      </w:pPr>
      <w:r>
        <w:rPr>
          <w:rFonts w:hint="eastAsia" w:ascii="仿宋" w:hAnsi="仿宋" w:eastAsia="仿宋" w:cs="仿宋"/>
          <w:bCs/>
          <w:sz w:val="32"/>
          <w:szCs w:val="32"/>
        </w:rPr>
        <w:t>招标代理单位：</w:t>
      </w:r>
      <w:r>
        <w:rPr>
          <w:rFonts w:hint="eastAsia" w:ascii="仿宋" w:hAnsi="仿宋" w:eastAsia="仿宋" w:cs="仿宋"/>
          <w:bCs/>
          <w:sz w:val="32"/>
          <w:szCs w:val="32"/>
          <w:lang w:eastAsia="zh-CN"/>
        </w:rPr>
        <w:t>东方经纬项目管理有限公司</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23</w:t>
      </w:r>
      <w:r>
        <w:rPr>
          <w:rFonts w:hint="eastAsia" w:ascii="仿宋" w:hAnsi="仿宋" w:eastAsia="仿宋" w:cs="仿宋"/>
          <w:bCs/>
          <w:color w:val="000000"/>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p>
    <w:p>
      <w:pPr>
        <w:snapToGrid w:val="0"/>
        <w:spacing w:line="360" w:lineRule="auto"/>
        <w:jc w:val="center"/>
        <w:rPr>
          <w:rFonts w:hint="eastAsia" w:ascii="仿宋" w:hAnsi="仿宋" w:eastAsia="仿宋" w:cs="仿宋"/>
          <w:sz w:val="36"/>
          <w:szCs w:val="36"/>
          <w:lang w:eastAsia="zh-CN"/>
        </w:rPr>
      </w:pPr>
    </w:p>
    <w:p>
      <w:pPr>
        <w:spacing w:line="360" w:lineRule="auto"/>
        <w:jc w:val="center"/>
        <w:rPr>
          <w:rFonts w:hint="eastAsia" w:ascii="仿宋" w:hAnsi="仿宋" w:eastAsia="仿宋" w:cs="仿宋_GB2312"/>
          <w:b/>
          <w:sz w:val="48"/>
          <w:szCs w:val="48"/>
        </w:rPr>
        <w:sectPr>
          <w:headerReference r:id="rId4" w:type="first"/>
          <w:footerReference r:id="rId5" w:type="first"/>
          <w:headerReference r:id="rId3" w:type="default"/>
          <w:pgSz w:w="11907" w:h="16840"/>
          <w:pgMar w:top="1474" w:right="1814" w:bottom="1474" w:left="1814" w:header="1191" w:footer="851" w:gutter="0"/>
          <w:pgBorders>
            <w:top w:val="none" w:sz="0" w:space="0"/>
            <w:left w:val="none" w:sz="0" w:space="0"/>
            <w:bottom w:val="none" w:sz="0" w:space="0"/>
            <w:right w:val="none" w:sz="0" w:space="0"/>
          </w:pgBorders>
          <w:cols w:space="720" w:num="1"/>
        </w:sectPr>
      </w:pPr>
    </w:p>
    <w:p>
      <w:pPr>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目</w:t>
      </w:r>
      <w:r>
        <w:rPr>
          <w:rFonts w:ascii="仿宋" w:hAnsi="仿宋" w:eastAsia="仿宋" w:cs="仿宋_GB2312"/>
          <w:b/>
          <w:sz w:val="36"/>
          <w:szCs w:val="36"/>
        </w:rPr>
        <w:t xml:space="preserve">  </w:t>
      </w:r>
      <w:r>
        <w:rPr>
          <w:rFonts w:hint="eastAsia" w:ascii="仿宋" w:hAnsi="仿宋" w:eastAsia="仿宋" w:cs="仿宋_GB2312"/>
          <w:b/>
          <w:sz w:val="36"/>
          <w:szCs w:val="36"/>
        </w:rPr>
        <w:t>录</w:t>
      </w:r>
    </w:p>
    <w:sdt>
      <w:sdtPr>
        <w:rPr>
          <w:rFonts w:ascii="宋体" w:hAnsi="宋体" w:eastAsia="宋体" w:cs="Times New Roman"/>
          <w:kern w:val="2"/>
          <w:sz w:val="21"/>
          <w:szCs w:val="24"/>
          <w:lang w:val="en-US" w:eastAsia="zh-CN" w:bidi="ar-SA"/>
        </w:rPr>
        <w:id w:val="147483226"/>
        <w15:color w:val="DBDBDB"/>
        <w:docPartObj>
          <w:docPartGallery w:val="Table of Contents"/>
          <w:docPartUnique/>
        </w:docPartObj>
      </w:sdtPr>
      <w:sdtEndPr>
        <w:rPr>
          <w:rFonts w:ascii="仿宋" w:hAnsi="仿宋" w:eastAsia="仿宋" w:cs="仿宋_GB2312"/>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Hlt91233176"/>
          <w:bookmarkEnd w:id="0"/>
          <w:bookmarkStart w:id="1" w:name="_Toc91899869"/>
        </w:p>
        <w:p>
          <w:pPr>
            <w:pStyle w:val="50"/>
            <w:tabs>
              <w:tab w:val="right" w:leader="dot" w:pos="8278"/>
            </w:tabs>
            <w:spacing w:line="360" w:lineRule="auto"/>
            <w:rPr>
              <w:rFonts w:hint="eastAsia" w:ascii="宋体" w:hAnsi="宋体" w:eastAsia="宋体" w:cs="宋体"/>
              <w:sz w:val="24"/>
              <w:szCs w:val="24"/>
            </w:rPr>
          </w:pPr>
          <w:r>
            <w:rPr>
              <w:rFonts w:ascii="仿宋" w:hAnsi="仿宋" w:eastAsia="仿宋" w:cs="仿宋_GB2312"/>
              <w:sz w:val="24"/>
            </w:rPr>
            <w:fldChar w:fldCharType="begin"/>
          </w:r>
          <w:r>
            <w:rPr>
              <w:rFonts w:ascii="仿宋" w:hAnsi="仿宋" w:eastAsia="仿宋" w:cs="仿宋_GB2312"/>
              <w:sz w:val="24"/>
            </w:rPr>
            <w:instrText xml:space="preserve">TOC \o "1-1" \h \u </w:instrText>
          </w:r>
          <w:r>
            <w:rPr>
              <w:rFonts w:ascii="仿宋" w:hAnsi="仿宋" w:eastAsia="仿宋" w:cs="仿宋_GB2312"/>
              <w:sz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_Toc23513 </w:instrText>
          </w:r>
          <w:r>
            <w:rPr>
              <w:rFonts w:hint="eastAsia" w:ascii="宋体" w:hAnsi="宋体" w:eastAsia="宋体" w:cs="宋体"/>
              <w:sz w:val="24"/>
              <w:szCs w:val="24"/>
            </w:rPr>
            <w:fldChar w:fldCharType="separate"/>
          </w:r>
          <w:r>
            <w:rPr>
              <w:rFonts w:hint="eastAsia" w:ascii="宋体" w:hAnsi="宋体" w:eastAsia="宋体" w:cs="宋体"/>
              <w:sz w:val="24"/>
              <w:szCs w:val="24"/>
            </w:rPr>
            <w:t>第一</w:t>
          </w:r>
          <w:r>
            <w:rPr>
              <w:rFonts w:hint="eastAsia" w:ascii="宋体" w:hAnsi="宋体" w:eastAsia="宋体" w:cs="宋体"/>
              <w:sz w:val="24"/>
              <w:szCs w:val="24"/>
              <w:lang w:val="en-US" w:eastAsia="zh-CN"/>
            </w:rPr>
            <w:t>章</w:t>
          </w:r>
          <w:r>
            <w:rPr>
              <w:rFonts w:hint="eastAsia" w:ascii="宋体" w:hAnsi="宋体" w:eastAsia="宋体" w:cs="宋体"/>
              <w:sz w:val="24"/>
              <w:szCs w:val="24"/>
            </w:rPr>
            <w:t xml:space="preserve">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_Toc23513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0"/>
            <w:tabs>
              <w:tab w:val="right" w:leader="dot" w:pos="827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_Toc7695 </w:instrText>
          </w:r>
          <w:r>
            <w:rPr>
              <w:rFonts w:hint="eastAsia" w:ascii="宋体" w:hAnsi="宋体" w:eastAsia="宋体" w:cs="宋体"/>
              <w:sz w:val="24"/>
              <w:szCs w:val="24"/>
            </w:rPr>
            <w:fldChar w:fldCharType="separate"/>
          </w:r>
          <w:r>
            <w:rPr>
              <w:rFonts w:hint="eastAsia" w:ascii="宋体" w:hAnsi="宋体" w:eastAsia="宋体" w:cs="宋体"/>
              <w:sz w:val="24"/>
              <w:szCs w:val="24"/>
            </w:rPr>
            <w:t>第二</w:t>
          </w:r>
          <w:r>
            <w:rPr>
              <w:rFonts w:hint="eastAsia" w:ascii="宋体" w:hAnsi="宋体" w:eastAsia="宋体" w:cs="宋体"/>
              <w:sz w:val="24"/>
              <w:szCs w:val="24"/>
              <w:lang w:val="en-US" w:eastAsia="zh-CN"/>
            </w:rPr>
            <w:t>章</w:t>
          </w:r>
          <w:r>
            <w:rPr>
              <w:rFonts w:hint="eastAsia" w:ascii="宋体" w:hAnsi="宋体" w:eastAsia="宋体" w:cs="宋体"/>
              <w:sz w:val="24"/>
              <w:szCs w:val="24"/>
            </w:rPr>
            <w:t xml:space="preserve">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_Toc7695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0"/>
            <w:tabs>
              <w:tab w:val="right" w:leader="dot" w:pos="827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_Toc10945 </w:instrText>
          </w:r>
          <w:r>
            <w:rPr>
              <w:rFonts w:hint="eastAsia" w:ascii="宋体" w:hAnsi="宋体" w:eastAsia="宋体" w:cs="宋体"/>
              <w:sz w:val="24"/>
              <w:szCs w:val="24"/>
            </w:rPr>
            <w:fldChar w:fldCharType="separate"/>
          </w:r>
          <w:r>
            <w:rPr>
              <w:rFonts w:hint="eastAsia" w:ascii="宋体" w:hAnsi="宋体" w:eastAsia="宋体" w:cs="宋体"/>
              <w:sz w:val="24"/>
              <w:szCs w:val="24"/>
            </w:rPr>
            <w:t>第三</w:t>
          </w:r>
          <w:r>
            <w:rPr>
              <w:rFonts w:hint="eastAsia" w:ascii="宋体" w:hAnsi="宋体" w:eastAsia="宋体" w:cs="宋体"/>
              <w:sz w:val="24"/>
              <w:szCs w:val="24"/>
              <w:lang w:val="en-US" w:eastAsia="zh-CN"/>
            </w:rPr>
            <w:t>章</w:t>
          </w:r>
          <w:r>
            <w:rPr>
              <w:rFonts w:hint="eastAsia" w:ascii="宋体" w:hAnsi="宋体" w:eastAsia="宋体" w:cs="宋体"/>
              <w:sz w:val="24"/>
              <w:szCs w:val="24"/>
            </w:rPr>
            <w:t xml:space="preserve">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_Toc10945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0"/>
            <w:tabs>
              <w:tab w:val="right" w:leader="dot" w:pos="827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_Toc25260 </w:instrText>
          </w:r>
          <w:r>
            <w:rPr>
              <w:rFonts w:hint="eastAsia" w:ascii="宋体" w:hAnsi="宋体" w:eastAsia="宋体" w:cs="宋体"/>
              <w:sz w:val="24"/>
              <w:szCs w:val="24"/>
            </w:rPr>
            <w:fldChar w:fldCharType="separate"/>
          </w:r>
          <w:r>
            <w:rPr>
              <w:rFonts w:hint="eastAsia" w:ascii="宋体" w:hAnsi="宋体" w:eastAsia="宋体" w:cs="宋体"/>
              <w:sz w:val="24"/>
              <w:szCs w:val="24"/>
            </w:rPr>
            <w:t>第四</w:t>
          </w:r>
          <w:r>
            <w:rPr>
              <w:rFonts w:hint="eastAsia" w:ascii="宋体" w:hAnsi="宋体" w:eastAsia="宋体" w:cs="宋体"/>
              <w:sz w:val="24"/>
              <w:szCs w:val="24"/>
              <w:lang w:val="en-US" w:eastAsia="zh-CN"/>
            </w:rPr>
            <w:t>章</w:t>
          </w:r>
          <w:r>
            <w:rPr>
              <w:rFonts w:hint="eastAsia" w:ascii="宋体" w:hAnsi="宋体" w:eastAsia="宋体" w:cs="宋体"/>
              <w:sz w:val="24"/>
              <w:szCs w:val="24"/>
            </w:rPr>
            <w:t xml:space="preserve">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_Toc25260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0"/>
            <w:tabs>
              <w:tab w:val="right" w:leader="dot" w:pos="827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_Toc10691 </w:instrText>
          </w:r>
          <w:r>
            <w:rPr>
              <w:rFonts w:hint="eastAsia" w:ascii="宋体" w:hAnsi="宋体" w:eastAsia="宋体" w:cs="宋体"/>
              <w:sz w:val="24"/>
              <w:szCs w:val="24"/>
            </w:rPr>
            <w:fldChar w:fldCharType="separate"/>
          </w:r>
          <w:r>
            <w:rPr>
              <w:rFonts w:hint="eastAsia" w:ascii="宋体" w:hAnsi="宋体" w:eastAsia="宋体" w:cs="宋体"/>
              <w:sz w:val="24"/>
              <w:szCs w:val="24"/>
            </w:rPr>
            <w:t>第五</w:t>
          </w:r>
          <w:r>
            <w:rPr>
              <w:rFonts w:hint="eastAsia" w:ascii="宋体" w:hAnsi="宋体" w:eastAsia="宋体" w:cs="宋体"/>
              <w:sz w:val="24"/>
              <w:szCs w:val="24"/>
              <w:lang w:val="en-US" w:eastAsia="zh-CN"/>
            </w:rPr>
            <w:t>章</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合同格式及合同条款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_Toc10691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0"/>
            <w:tabs>
              <w:tab w:val="right" w:leader="dot" w:pos="8278"/>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_Toc16762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_Toc16762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0"/>
            <w:tabs>
              <w:tab w:val="right" w:leader="dot" w:pos="8278"/>
            </w:tabs>
          </w:pPr>
        </w:p>
        <w:p>
          <w:pPr>
            <w:spacing w:line="360" w:lineRule="auto"/>
            <w:ind w:firstLine="480" w:firstLineChars="229"/>
            <w:outlineLvl w:val="9"/>
            <w:rPr>
              <w:rFonts w:ascii="仿宋" w:hAnsi="仿宋" w:eastAsia="仿宋" w:cs="仿宋_GB2312"/>
              <w:sz w:val="24"/>
            </w:rPr>
          </w:pPr>
          <w:r>
            <w:rPr>
              <w:rFonts w:ascii="仿宋" w:hAnsi="仿宋" w:eastAsia="仿宋" w:cs="仿宋_GB2312"/>
            </w:rPr>
            <w:fldChar w:fldCharType="end"/>
          </w:r>
        </w:p>
      </w:sdtContent>
    </w:sdt>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tabs>
          <w:tab w:val="left" w:pos="3217"/>
        </w:tabs>
        <w:spacing w:line="360" w:lineRule="auto"/>
        <w:ind w:firstLine="549" w:firstLineChars="229"/>
        <w:rPr>
          <w:rFonts w:hint="eastAsia" w:ascii="仿宋" w:hAnsi="仿宋" w:eastAsia="仿宋" w:cs="仿宋_GB2312"/>
          <w:sz w:val="24"/>
          <w:lang w:eastAsia="zh-CN"/>
        </w:rPr>
      </w:pPr>
      <w:r>
        <w:rPr>
          <w:rFonts w:hint="eastAsia" w:ascii="仿宋" w:hAnsi="仿宋" w:eastAsia="仿宋" w:cs="仿宋_GB2312"/>
          <w:sz w:val="24"/>
          <w:lang w:eastAsia="zh-CN"/>
        </w:rPr>
        <w:tab/>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_Toc23513"/>
      <w:r>
        <w:rPr>
          <w:rStyle w:val="48"/>
          <w:rFonts w:hint="eastAsia"/>
          <w:sz w:val="36"/>
          <w:szCs w:val="36"/>
        </w:rPr>
        <w:t>第一</w:t>
      </w:r>
      <w:r>
        <w:rPr>
          <w:rStyle w:val="48"/>
          <w:rFonts w:hint="eastAsia"/>
          <w:sz w:val="36"/>
          <w:szCs w:val="36"/>
          <w:lang w:val="en-US" w:eastAsia="zh-CN"/>
        </w:rPr>
        <w:t>章</w:t>
      </w:r>
      <w:r>
        <w:rPr>
          <w:rStyle w:val="48"/>
          <w:sz w:val="36"/>
          <w:szCs w:val="36"/>
        </w:rPr>
        <w:t xml:space="preserve"> </w:t>
      </w:r>
      <w:r>
        <w:rPr>
          <w:rStyle w:val="48"/>
          <w:rFonts w:hint="eastAsia"/>
          <w:sz w:val="36"/>
          <w:szCs w:val="36"/>
        </w:rPr>
        <w:t>招标公告</w:t>
      </w:r>
      <w:bookmarkEnd w:id="7"/>
      <w:bookmarkStart w:id="428" w:name="_GoBack"/>
      <w:bookmarkEnd w:id="428"/>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u w:val="single"/>
        </w:rPr>
      </w:pPr>
      <w:r>
        <w:rPr>
          <w:rFonts w:hint="eastAsia" w:ascii="宋体" w:hAnsi="宋体" w:cs="宋体"/>
          <w:sz w:val="24"/>
          <w:szCs w:val="24"/>
          <w:u w:val="single"/>
          <w:lang w:eastAsia="zh-CN"/>
        </w:rPr>
        <w:t>嵊州市气象局自动气象站维保服务项目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招标项目的潜在投标人应在政采云平台（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"https://www.zcygov.cn/）获取（下载）招标文件，并于2021年" </w:instrText>
      </w:r>
      <w:r>
        <w:rPr>
          <w:rFonts w:hint="eastAsia" w:ascii="宋体" w:hAnsi="宋体" w:eastAsia="宋体" w:cs="宋体"/>
          <w:color w:val="auto"/>
          <w:sz w:val="24"/>
          <w:szCs w:val="24"/>
        </w:rPr>
        <w:fldChar w:fldCharType="separate"/>
      </w:r>
      <w:r>
        <w:rPr>
          <w:rStyle w:val="32"/>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val="en-US" w:eastAsia="zh-CN"/>
        </w:rPr>
        <w:t xml:space="preserve"> 月</w:t>
      </w:r>
      <w:r>
        <w:rPr>
          <w:rFonts w:hint="eastAsia" w:ascii="宋体" w:hAnsi="宋体" w:cs="宋体"/>
          <w:color w:val="auto"/>
          <w:sz w:val="24"/>
          <w:szCs w:val="24"/>
          <w:u w:val="single"/>
          <w:lang w:val="en-US" w:eastAsia="zh-CN"/>
        </w:rPr>
        <w:t xml:space="preserve">11  </w:t>
      </w:r>
      <w:r>
        <w:rPr>
          <w:rFonts w:hint="eastAsia" w:ascii="宋体" w:hAnsi="宋体" w:eastAsia="宋体" w:cs="宋体"/>
          <w:color w:val="auto"/>
          <w:sz w:val="24"/>
          <w:szCs w:val="24"/>
          <w:u w:val="single"/>
          <w:lang w:val="en-US" w:eastAsia="zh-CN"/>
        </w:rPr>
        <w:t xml:space="preserve"> 日</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u w:val="single"/>
        </w:rPr>
        <w:fldChar w:fldCharType="end"/>
      </w:r>
      <w:r>
        <w:rPr>
          <w:rFonts w:hint="eastAsia" w:ascii="宋体" w:hAnsi="宋体" w:eastAsia="宋体" w:cs="宋体"/>
          <w:bCs/>
          <w:color w:val="auto"/>
          <w:sz w:val="24"/>
          <w:szCs w:val="24"/>
        </w:rPr>
        <w:t>（北京时间）前</w:t>
      </w:r>
      <w:r>
        <w:rPr>
          <w:rFonts w:hint="eastAsia" w:ascii="宋体" w:hAnsi="宋体" w:eastAsia="宋体" w:cs="宋体"/>
          <w:color w:val="auto"/>
          <w:sz w:val="24"/>
          <w:szCs w:val="24"/>
        </w:rPr>
        <w:t>递交（上传）投标文件。</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lang w:val="en-US" w:eastAsia="zh-CN"/>
        </w:rPr>
        <w:t>1.</w:t>
      </w:r>
      <w:r>
        <w:rPr>
          <w:rFonts w:hint="eastAsia" w:ascii="宋体" w:hAnsi="宋体" w:eastAsia="宋体" w:cs="宋体"/>
          <w:b/>
          <w:color w:val="auto"/>
          <w:sz w:val="24"/>
          <w:szCs w:val="24"/>
        </w:rPr>
        <w:t>项目编号：</w:t>
      </w:r>
      <w:r>
        <w:rPr>
          <w:rFonts w:hint="eastAsia" w:ascii="宋体" w:hAnsi="宋体" w:cs="宋体"/>
          <w:b w:val="0"/>
          <w:bCs/>
          <w:color w:val="auto"/>
          <w:sz w:val="24"/>
          <w:szCs w:val="24"/>
          <w:lang w:val="en-US" w:eastAsia="zh-CN"/>
        </w:rPr>
        <w:t>DFJW-202301SZ</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项目名称：</w:t>
      </w:r>
      <w:r>
        <w:rPr>
          <w:rFonts w:hint="eastAsia" w:ascii="宋体" w:hAnsi="宋体" w:cs="宋体"/>
          <w:color w:val="auto"/>
          <w:sz w:val="24"/>
          <w:szCs w:val="24"/>
          <w:lang w:eastAsia="zh-CN"/>
        </w:rPr>
        <w:t>嵊州市气象局自动气象站维保服务项目</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预算金额（元）：</w:t>
      </w:r>
      <w:r>
        <w:rPr>
          <w:rFonts w:hint="eastAsia" w:ascii="宋体" w:hAnsi="宋体" w:cs="宋体"/>
          <w:b w:val="0"/>
          <w:bCs/>
          <w:color w:val="auto"/>
          <w:sz w:val="24"/>
          <w:szCs w:val="24"/>
          <w:lang w:val="en-US" w:eastAsia="zh-CN"/>
        </w:rPr>
        <w:t>440000</w:t>
      </w:r>
      <w:r>
        <w:rPr>
          <w:rFonts w:hint="eastAsia" w:ascii="宋体" w:hAnsi="宋体" w:eastAsia="宋体" w:cs="宋体"/>
          <w:b w:val="0"/>
          <w:bCs/>
          <w:color w:val="auto"/>
          <w:sz w:val="24"/>
          <w:szCs w:val="24"/>
        </w:rPr>
        <w:t xml:space="preserve"> </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default" w:ascii="宋体" w:hAnsi="宋体" w:eastAsia="宋体" w:cs="宋体"/>
          <w:color w:val="auto"/>
          <w:sz w:val="24"/>
          <w:szCs w:val="24"/>
          <w:lang w:val="en-US"/>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最高限价（元）：</w:t>
      </w:r>
      <w:r>
        <w:rPr>
          <w:rFonts w:hint="eastAsia" w:ascii="宋体" w:hAnsi="宋体" w:eastAsia="宋体" w:cs="宋体"/>
          <w:b w:val="0"/>
          <w:bCs/>
          <w:color w:val="auto"/>
          <w:sz w:val="24"/>
          <w:szCs w:val="24"/>
          <w:lang w:val="en-US" w:eastAsia="zh-CN"/>
        </w:rPr>
        <w:t>4400</w:t>
      </w:r>
      <w:r>
        <w:rPr>
          <w:rFonts w:hint="eastAsia" w:ascii="宋体" w:hAnsi="宋体" w:cs="宋体"/>
          <w:b w:val="0"/>
          <w:bCs/>
          <w:color w:val="auto"/>
          <w:sz w:val="24"/>
          <w:szCs w:val="24"/>
          <w:lang w:val="en-US" w:eastAsia="zh-CN"/>
        </w:rPr>
        <w:t>00</w:t>
      </w:r>
    </w:p>
    <w:p>
      <w:pPr>
        <w:pStyle w:val="9"/>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采购需求：</w:t>
      </w:r>
    </w:p>
    <w:tbl>
      <w:tblPr>
        <w:tblStyle w:val="28"/>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295"/>
        <w:gridCol w:w="1613"/>
        <w:gridCol w:w="189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pStyle w:val="9"/>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序号</w:t>
            </w:r>
          </w:p>
        </w:tc>
        <w:tc>
          <w:tcPr>
            <w:tcW w:w="2640" w:type="dxa"/>
            <w:vAlign w:val="center"/>
          </w:tcPr>
          <w:p>
            <w:pPr>
              <w:pStyle w:val="9"/>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采购内容</w:t>
            </w:r>
          </w:p>
        </w:tc>
        <w:tc>
          <w:tcPr>
            <w:tcW w:w="1830" w:type="dxa"/>
            <w:vAlign w:val="center"/>
          </w:tcPr>
          <w:p>
            <w:pPr>
              <w:pStyle w:val="9"/>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数量</w:t>
            </w:r>
          </w:p>
        </w:tc>
        <w:tc>
          <w:tcPr>
            <w:tcW w:w="2070" w:type="dxa"/>
            <w:vAlign w:val="center"/>
          </w:tcPr>
          <w:p>
            <w:pPr>
              <w:pStyle w:val="9"/>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预算价（元）</w:t>
            </w:r>
          </w:p>
        </w:tc>
        <w:tc>
          <w:tcPr>
            <w:tcW w:w="1740" w:type="dxa"/>
            <w:vAlign w:val="center"/>
          </w:tcPr>
          <w:p>
            <w:pPr>
              <w:pStyle w:val="9"/>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pStyle w:val="9"/>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2640" w:type="dxa"/>
            <w:vAlign w:val="center"/>
          </w:tcPr>
          <w:p>
            <w:pPr>
              <w:widowControl/>
              <w:ind w:firstLine="0" w:firstLineChars="0"/>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lang w:val="zh-CN"/>
              </w:rPr>
              <w:t xml:space="preserve">嵊州市气象局自动气象站维保服务项目    </w:t>
            </w:r>
          </w:p>
        </w:tc>
        <w:tc>
          <w:tcPr>
            <w:tcW w:w="1830" w:type="dxa"/>
            <w:vAlign w:val="center"/>
          </w:tcPr>
          <w:p>
            <w:pPr>
              <w:widowControl/>
              <w:ind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rPr>
              <w:t>1项</w:t>
            </w:r>
          </w:p>
        </w:tc>
        <w:tc>
          <w:tcPr>
            <w:tcW w:w="2070" w:type="dxa"/>
            <w:vAlign w:val="center"/>
          </w:tcPr>
          <w:p>
            <w:pPr>
              <w:pStyle w:val="9"/>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4400</w:t>
            </w:r>
            <w:r>
              <w:rPr>
                <w:rFonts w:hint="eastAsia" w:hAnsi="宋体" w:cs="宋体"/>
                <w:b w:val="0"/>
                <w:bCs/>
                <w:color w:val="auto"/>
                <w:sz w:val="24"/>
                <w:szCs w:val="24"/>
                <w:vertAlign w:val="baseline"/>
                <w:lang w:val="en-US" w:eastAsia="zh-CN"/>
              </w:rPr>
              <w:t>00</w:t>
            </w:r>
          </w:p>
        </w:tc>
        <w:tc>
          <w:tcPr>
            <w:tcW w:w="1740" w:type="dxa"/>
            <w:vAlign w:val="center"/>
          </w:tcPr>
          <w:p>
            <w:pPr>
              <w:pStyle w:val="9"/>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auto"/>
              <w:rPr>
                <w:rFonts w:hint="eastAsia" w:ascii="宋体" w:hAnsi="宋体" w:eastAsia="宋体" w:cs="宋体"/>
                <w:b w:val="0"/>
                <w:bCs/>
                <w:color w:val="auto"/>
                <w:sz w:val="24"/>
                <w:szCs w:val="24"/>
                <w:vertAlign w:val="baseline"/>
              </w:rPr>
            </w:pPr>
          </w:p>
        </w:tc>
      </w:tr>
    </w:tbl>
    <w:p>
      <w:pPr>
        <w:pStyle w:val="33"/>
        <w:keepNext w:val="0"/>
        <w:keepLines w:val="0"/>
        <w:pageBreakBefore w:val="0"/>
        <w:kinsoku/>
        <w:wordWrap/>
        <w:overflowPunct/>
        <w:topLinePunct w:val="0"/>
        <w:autoSpaceDE/>
        <w:autoSpaceDN/>
        <w:bidi w:val="0"/>
        <w:adjustRightInd w:val="0"/>
        <w:spacing w:before="0" w:line="500" w:lineRule="exact"/>
        <w:ind w:firstLine="482"/>
        <w:textAlignment w:val="auto"/>
        <w:outlineLvl w:val="2"/>
        <w:rPr>
          <w:rFonts w:hint="default" w:ascii="宋体" w:hAnsi="宋体" w:eastAsia="宋体" w:cs="宋体"/>
          <w:sz w:val="24"/>
          <w:szCs w:val="24"/>
          <w:lang w:val="en-US"/>
        </w:rPr>
      </w:pPr>
      <w:r>
        <w:rPr>
          <w:rFonts w:hint="eastAsia" w:ascii="宋体" w:hAnsi="宋体" w:eastAsia="宋体" w:cs="宋体"/>
          <w:b/>
          <w:sz w:val="24"/>
          <w:szCs w:val="24"/>
          <w:lang w:val="en-US" w:eastAsia="zh-CN"/>
        </w:rPr>
        <w:t>6.</w:t>
      </w:r>
      <w:r>
        <w:rPr>
          <w:rFonts w:hint="eastAsia" w:ascii="宋体" w:hAnsi="宋体" w:eastAsia="宋体" w:cs="宋体"/>
          <w:b/>
          <w:sz w:val="24"/>
          <w:szCs w:val="24"/>
        </w:rPr>
        <w:t>合同履约期限：</w:t>
      </w:r>
      <w:r>
        <w:rPr>
          <w:rFonts w:hint="eastAsia" w:ascii="宋体" w:hAnsi="宋体" w:eastAsia="宋体" w:cs="宋体"/>
          <w:b/>
          <w:sz w:val="24"/>
          <w:szCs w:val="24"/>
          <w:lang w:val="en-US" w:eastAsia="zh-CN"/>
        </w:rPr>
        <w:t>按照招标文件规定</w:t>
      </w:r>
      <w:r>
        <w:rPr>
          <w:rFonts w:hint="eastAsia" w:ascii="宋体" w:hAnsi="宋体" w:cs="宋体"/>
          <w:b/>
          <w:sz w:val="24"/>
          <w:szCs w:val="24"/>
          <w:lang w:val="en-US" w:eastAsia="zh-CN"/>
        </w:rPr>
        <w:t>。</w:t>
      </w:r>
    </w:p>
    <w:p>
      <w:pPr>
        <w:pStyle w:val="9"/>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本项目（</w:t>
      </w:r>
      <w:r>
        <w:rPr>
          <w:rFonts w:hint="eastAsia" w:ascii="宋体" w:hAnsi="宋体" w:eastAsia="宋体" w:cs="宋体"/>
          <w:b/>
          <w:color w:val="auto"/>
          <w:sz w:val="24"/>
          <w:szCs w:val="24"/>
          <w:lang w:val="en-US" w:eastAsia="zh-CN"/>
        </w:rPr>
        <w:t>否</w:t>
      </w:r>
      <w:r>
        <w:rPr>
          <w:rFonts w:hint="eastAsia" w:ascii="宋体" w:hAnsi="宋体" w:eastAsia="宋体" w:cs="宋体"/>
          <w:b/>
          <w:color w:val="auto"/>
          <w:sz w:val="24"/>
          <w:szCs w:val="24"/>
        </w:rPr>
        <w:t>）接受联合体投标</w:t>
      </w:r>
      <w:r>
        <w:rPr>
          <w:rFonts w:hint="eastAsia" w:ascii="宋体" w:hAnsi="宋体" w:eastAsia="宋体" w:cs="宋体"/>
          <w:color w:val="auto"/>
          <w:kern w:val="0"/>
          <w:sz w:val="24"/>
          <w:szCs w:val="24"/>
        </w:rPr>
        <w:t>。</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kern w:val="28"/>
          <w:sz w:val="24"/>
          <w:szCs w:val="24"/>
        </w:rPr>
        <w:t xml:space="preserve">    2.落实政府采购政策需满足</w:t>
      </w:r>
      <w:r>
        <w:rPr>
          <w:rFonts w:hint="eastAsia" w:ascii="宋体" w:hAnsi="宋体" w:eastAsia="宋体" w:cs="宋体"/>
          <w:snapToGrid w:val="0"/>
          <w:color w:val="auto"/>
          <w:kern w:val="28"/>
          <w:sz w:val="24"/>
          <w:szCs w:val="24"/>
        </w:rPr>
        <w:t>的资格要求：</w:t>
      </w:r>
    </w:p>
    <w:p>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szCs w:val="24"/>
        </w:rPr>
        <w:t>无；</w:t>
      </w:r>
    </w:p>
    <w:p>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rPr>
        <w:t>专</w:t>
      </w:r>
      <w:r>
        <w:rPr>
          <w:rFonts w:hint="eastAsia" w:ascii="宋体" w:hAnsi="宋体" w:eastAsia="宋体" w:cs="宋体"/>
          <w:color w:val="auto"/>
          <w:sz w:val="24"/>
          <w:szCs w:val="24"/>
        </w:rPr>
        <w:t>门面向中小企业</w:t>
      </w:r>
    </w:p>
    <w:p>
      <w:pPr>
        <w:keepNext w:val="0"/>
        <w:keepLines w:val="0"/>
        <w:pageBreakBefore w:val="0"/>
        <w:kinsoku/>
        <w:wordWrap/>
        <w:overflowPunct/>
        <w:topLinePunct w:val="0"/>
        <w:autoSpaceDE/>
        <w:autoSpaceDN/>
        <w:bidi w:val="0"/>
        <w:adjustRightInd w:val="0"/>
        <w:spacing w:line="500" w:lineRule="exact"/>
        <w:ind w:firstLine="897" w:firstLineChars="374"/>
        <w:textAlignment w:val="auto"/>
        <w:rPr>
          <w:rFonts w:hint="eastAsia" w:ascii="宋体" w:hAnsi="宋体" w:eastAsia="宋体" w:cs="宋体"/>
          <w:color w:val="auto"/>
          <w:sz w:val="24"/>
          <w:szCs w:val="24"/>
          <w:u w:val="single"/>
        </w:rPr>
      </w:pPr>
      <w:sdt>
        <w:sdtPr>
          <w:rPr>
            <w:rFonts w:hint="eastAsia" w:ascii="宋体" w:hAnsi="宋体" w:eastAsia="宋体" w:cs="宋体"/>
            <w:color w:val="auto"/>
            <w:kern w:val="0"/>
            <w:sz w:val="24"/>
            <w:szCs w:val="24"/>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szCs w:val="24"/>
        </w:rPr>
        <w:t>货物全部由符合政策要求的中小企业制造，提供中小企业声明函；</w:t>
      </w:r>
    </w:p>
    <w:p>
      <w:pPr>
        <w:keepNext w:val="0"/>
        <w:keepLines w:val="0"/>
        <w:pageBreakBefore w:val="0"/>
        <w:kinsoku/>
        <w:wordWrap/>
        <w:overflowPunct/>
        <w:topLinePunct w:val="0"/>
        <w:autoSpaceDE/>
        <w:autoSpaceDN/>
        <w:bidi w:val="0"/>
        <w:adjustRightInd w:val="0"/>
        <w:spacing w:line="500" w:lineRule="exact"/>
        <w:ind w:firstLine="897" w:firstLineChars="374"/>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szCs w:val="24"/>
        </w:rPr>
        <w:t>货物全部由符合政策要求的小微企业制造，提供中小企业声明函；</w:t>
      </w:r>
    </w:p>
    <w:p>
      <w:pPr>
        <w:keepNext w:val="0"/>
        <w:keepLines w:val="0"/>
        <w:pageBreakBefore w:val="0"/>
        <w:kinsoku/>
        <w:wordWrap/>
        <w:overflowPunct/>
        <w:topLinePunct w:val="0"/>
        <w:autoSpaceDE/>
        <w:autoSpaceDN/>
        <w:bidi w:val="0"/>
        <w:adjustRightInd w:val="0"/>
        <w:spacing w:line="500" w:lineRule="exact"/>
        <w:ind w:firstLine="897" w:firstLineChars="374"/>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szCs w:val="24"/>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500" w:lineRule="exact"/>
        <w:ind w:firstLine="897" w:firstLineChars="374"/>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2141025358"/>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szCs w:val="24"/>
        </w:rPr>
        <w:t>服务全部由符合政策要求的小微企业承接，提供中小企业声明函；</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本项目的特定资格要求：</w:t>
      </w:r>
      <w:r>
        <w:rPr>
          <w:rFonts w:hint="eastAsia" w:ascii="宋体" w:hAnsi="宋体" w:cs="宋体"/>
          <w:color w:val="auto"/>
          <w:sz w:val="24"/>
          <w:szCs w:val="24"/>
          <w:lang w:val="en-US" w:eastAsia="zh-CN"/>
        </w:rPr>
        <w:t>无。</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三、获取招标文件 </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时间：</w:t>
      </w:r>
      <w:r>
        <w:rPr>
          <w:rFonts w:hint="eastAsia"/>
          <w:color w:val="auto"/>
          <w:sz w:val="24"/>
          <w:szCs w:val="24"/>
          <w:highlight w:val="none"/>
          <w:u w:val="none"/>
          <w:lang w:val="en-US" w:eastAsia="zh-CN"/>
        </w:rPr>
        <w:t>/</w:t>
      </w:r>
      <w:r>
        <w:rPr>
          <w:rFonts w:hint="eastAsia"/>
          <w:bCs/>
          <w:color w:val="auto"/>
          <w:kern w:val="2"/>
          <w:sz w:val="24"/>
          <w:szCs w:val="24"/>
          <w:highlight w:val="none"/>
        </w:rPr>
        <w:t>至</w:t>
      </w:r>
      <w:r>
        <w:rPr>
          <w:rFonts w:hint="eastAsia"/>
          <w:color w:val="auto"/>
          <w:sz w:val="24"/>
          <w:szCs w:val="24"/>
          <w:highlight w:val="none"/>
          <w:u w:val="single"/>
        </w:rPr>
        <w:t>202</w:t>
      </w:r>
      <w:r>
        <w:rPr>
          <w:rFonts w:hint="eastAsia"/>
          <w:color w:val="auto"/>
          <w:sz w:val="24"/>
          <w:szCs w:val="24"/>
          <w:highlight w:val="none"/>
          <w:u w:val="single"/>
          <w:lang w:val="en-US" w:eastAsia="zh-CN"/>
        </w:rPr>
        <w:t>3</w:t>
      </w:r>
      <w:r>
        <w:rPr>
          <w:rFonts w:hint="eastAsia"/>
          <w:color w:val="auto"/>
          <w:sz w:val="24"/>
          <w:szCs w:val="24"/>
          <w:highlight w:val="none"/>
          <w:u w:val="single"/>
        </w:rPr>
        <w:t>年</w:t>
      </w:r>
      <w:r>
        <w:rPr>
          <w:rFonts w:hint="eastAsia"/>
          <w:color w:val="auto"/>
          <w:sz w:val="24"/>
          <w:szCs w:val="24"/>
          <w:highlight w:val="none"/>
          <w:u w:val="single"/>
          <w:lang w:val="en-US" w:eastAsia="zh-CN"/>
        </w:rPr>
        <w:t xml:space="preserve">4 </w:t>
      </w:r>
      <w:r>
        <w:rPr>
          <w:rFonts w:hint="eastAsia"/>
          <w:color w:val="auto"/>
          <w:sz w:val="24"/>
          <w:szCs w:val="24"/>
          <w:highlight w:val="none"/>
          <w:u w:val="single"/>
        </w:rPr>
        <w:t>月</w:t>
      </w:r>
      <w:r>
        <w:rPr>
          <w:rFonts w:hint="eastAsia"/>
          <w:color w:val="auto"/>
          <w:sz w:val="24"/>
          <w:szCs w:val="24"/>
          <w:highlight w:val="none"/>
          <w:u w:val="single"/>
          <w:lang w:val="en-US" w:eastAsia="zh-CN"/>
        </w:rPr>
        <w:t>11</w:t>
      </w:r>
      <w:r>
        <w:rPr>
          <w:rFonts w:hint="eastAsia"/>
          <w:color w:val="auto"/>
          <w:sz w:val="24"/>
          <w:szCs w:val="24"/>
          <w:highlight w:val="none"/>
          <w:u w:val="single"/>
        </w:rPr>
        <w:t>日</w:t>
      </w:r>
      <w:r>
        <w:rPr>
          <w:rFonts w:hint="eastAsia" w:ascii="宋体" w:hAnsi="宋体" w:eastAsia="宋体" w:cs="宋体"/>
          <w:color w:val="auto"/>
          <w:sz w:val="24"/>
          <w:szCs w:val="24"/>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地点（网址）：</w:t>
      </w:r>
      <w:r>
        <w:rPr>
          <w:rFonts w:hint="eastAsia" w:ascii="宋体" w:hAnsi="宋体" w:eastAsia="宋体" w:cs="宋体"/>
          <w:color w:val="auto"/>
          <w:sz w:val="24"/>
          <w:szCs w:val="24"/>
        </w:rPr>
        <w:t xml:space="preserve">政采云平台（http://zfcg.czt.zj.gov.cn/） </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bCs/>
          <w:color w:val="auto"/>
          <w:kern w:val="2"/>
          <w:highlight w:val="none"/>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方式：</w:t>
      </w:r>
      <w:r>
        <w:rPr>
          <w:rFonts w:hint="eastAsia"/>
          <w:bCs/>
          <w:color w:val="auto"/>
          <w:kern w:val="2"/>
          <w:highlight w:val="none"/>
        </w:rPr>
        <w:t>在线获取 </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售价（元）：</w:t>
      </w:r>
      <w:r>
        <w:rPr>
          <w:rFonts w:hint="eastAsia" w:ascii="宋体" w:hAnsi="宋体" w:eastAsia="宋体" w:cs="宋体"/>
          <w:color w:val="auto"/>
          <w:sz w:val="24"/>
          <w:szCs w:val="24"/>
        </w:rPr>
        <w:t xml:space="preserve">0 </w:t>
      </w:r>
      <w:r>
        <w:rPr>
          <w:rFonts w:hint="eastAsia" w:ascii="宋体" w:hAnsi="宋体" w:eastAsia="宋体" w:cs="宋体"/>
          <w:color w:val="auto"/>
          <w:sz w:val="24"/>
          <w:szCs w:val="24"/>
        </w:rPr>
        <w:tab/>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四、提交投标文件截止时间、开标时间和地点</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提交投标文件截止时间：</w:t>
      </w:r>
      <w:r>
        <w:rPr>
          <w:rFonts w:hint="eastAsia" w:ascii="宋体" w:hAnsi="宋体" w:eastAsia="宋体" w:cs="宋体"/>
          <w:color w:val="auto"/>
          <w:sz w:val="24"/>
          <w:szCs w:val="24"/>
          <w:u w:val="single"/>
        </w:rPr>
        <w:t xml:space="preserve"> 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val="en-US" w:eastAsia="zh-CN"/>
        </w:rPr>
        <w:t xml:space="preserve"> 月</w:t>
      </w:r>
      <w:r>
        <w:rPr>
          <w:rFonts w:hint="eastAsia" w:ascii="宋体" w:hAnsi="宋体" w:cs="宋体"/>
          <w:color w:val="auto"/>
          <w:sz w:val="24"/>
          <w:szCs w:val="24"/>
          <w:u w:val="single"/>
          <w:lang w:val="en-US" w:eastAsia="zh-CN"/>
        </w:rPr>
        <w:t xml:space="preserve"> 11 </w:t>
      </w:r>
      <w:r>
        <w:rPr>
          <w:rFonts w:hint="eastAsia" w:ascii="宋体" w:hAnsi="宋体" w:eastAsia="宋体" w:cs="宋体"/>
          <w:color w:val="auto"/>
          <w:sz w:val="24"/>
          <w:szCs w:val="24"/>
          <w:u w:val="single"/>
          <w:lang w:val="en-US" w:eastAsia="zh-CN"/>
        </w:rPr>
        <w:t xml:space="preserve">日 </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分</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（北京时间）</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投标地点（网址）：</w:t>
      </w:r>
      <w:r>
        <w:rPr>
          <w:rFonts w:hint="eastAsia" w:ascii="宋体" w:hAnsi="宋体" w:eastAsia="宋体" w:cs="宋体"/>
          <w:b w:val="0"/>
          <w:bCs/>
          <w:color w:val="auto"/>
          <w:sz w:val="24"/>
          <w:szCs w:val="24"/>
        </w:rPr>
        <w:t>通过“政府采购云平台（</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"http://zfcg.czt.zj.gov.cn/"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http://zfcg.czt.zj.gov.cn/</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）”实行在线投标响应</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Cs/>
          <w:color w:val="auto"/>
          <w:sz w:val="24"/>
          <w:szCs w:val="24"/>
          <w:u w:val="single"/>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开标时间：</w:t>
      </w:r>
      <w:r>
        <w:rPr>
          <w:rFonts w:hint="eastAsia" w:ascii="宋体" w:hAnsi="宋体" w:eastAsia="宋体" w:cs="宋体"/>
          <w:color w:val="auto"/>
          <w:sz w:val="24"/>
          <w:szCs w:val="24"/>
          <w:u w:val="single"/>
        </w:rPr>
        <w:t xml:space="preserve"> 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val="en-US" w:eastAsia="zh-CN"/>
        </w:rPr>
        <w:t xml:space="preserve">  月</w:t>
      </w:r>
      <w:r>
        <w:rPr>
          <w:rFonts w:hint="eastAsia" w:ascii="宋体" w:hAnsi="宋体" w:cs="宋体"/>
          <w:color w:val="auto"/>
          <w:sz w:val="24"/>
          <w:szCs w:val="24"/>
          <w:u w:val="single"/>
          <w:lang w:val="en-US" w:eastAsia="zh-CN"/>
        </w:rPr>
        <w:t xml:space="preserve"> 11 </w:t>
      </w:r>
      <w:r>
        <w:rPr>
          <w:rFonts w:hint="eastAsia" w:ascii="宋体" w:hAnsi="宋体" w:eastAsia="宋体" w:cs="宋体"/>
          <w:color w:val="auto"/>
          <w:sz w:val="24"/>
          <w:szCs w:val="24"/>
          <w:u w:val="single"/>
          <w:lang w:val="en-US" w:eastAsia="zh-CN"/>
        </w:rPr>
        <w:t xml:space="preserve"> 日 </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分</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（北京时间）</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 w:val="0"/>
          <w:bCs/>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开标地点（网址）：</w:t>
      </w:r>
      <w:r>
        <w:rPr>
          <w:rFonts w:hint="eastAsia" w:ascii="宋体" w:hAnsi="宋体" w:eastAsia="宋体" w:cs="宋体"/>
          <w:b w:val="0"/>
          <w:bCs/>
          <w:sz w:val="24"/>
          <w:szCs w:val="24"/>
        </w:rPr>
        <w:t>通过“政府采购云平台（http://zfcg.czt.zj.gov.cn/）”实行在线解密。</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六、其他补充事宜</w:t>
      </w:r>
    </w:p>
    <w:p>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宋体" w:hAnsi="宋体" w:eastAsia="宋体" w:cs="宋体"/>
          <w:color w:val="auto"/>
          <w:sz w:val="24"/>
          <w:szCs w:val="24"/>
        </w:rPr>
        <w:t>第二部分第15点—“备份投标文件”；</w:t>
      </w:r>
      <w:r>
        <w:rPr>
          <w:rFonts w:hint="eastAsia" w:ascii="宋体" w:hAnsi="宋体" w:eastAsia="宋体" w:cs="宋体"/>
          <w:sz w:val="24"/>
          <w:szCs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1.采购人信息</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color w:val="auto"/>
          <w:sz w:val="24"/>
          <w:szCs w:val="24"/>
        </w:rPr>
      </w:pPr>
      <w:r>
        <w:rPr>
          <w:rFonts w:hint="eastAsia" w:ascii="宋体" w:hAnsi="宋体" w:eastAsia="宋体" w:cs="宋体"/>
          <w:sz w:val="24"/>
          <w:szCs w:val="24"/>
        </w:rPr>
        <w:t xml:space="preserve">    </w:t>
      </w: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嵊州市</w:t>
      </w:r>
      <w:r>
        <w:rPr>
          <w:rFonts w:hint="eastAsia" w:ascii="宋体" w:hAnsi="宋体" w:eastAsia="宋体" w:cs="宋体"/>
          <w:color w:val="auto"/>
          <w:sz w:val="24"/>
          <w:szCs w:val="24"/>
          <w:lang w:val="en-US" w:eastAsia="zh-CN"/>
        </w:rPr>
        <w:t>气象局</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址：绍兴市嵊州市安平东路兰苑小区西南侧</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项目联系人（询问）：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0575-83102382</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项目联系方式（询问）：</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0575-83102382</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质疑联系人：</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孙明明</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color w:val="auto"/>
          <w:sz w:val="24"/>
          <w:szCs w:val="24"/>
        </w:rPr>
        <w:t>质疑联系方式：</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0575-83797387</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仿宋" w:hAnsi="仿宋" w:eastAsia="仿宋" w:cs="仿宋"/>
          <w:color w:val="000000"/>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东方经纬项目管理有限公司</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color w:val="000000"/>
          <w:sz w:val="24"/>
          <w:szCs w:val="24"/>
        </w:rPr>
        <w:t>嵊州市</w:t>
      </w:r>
      <w:r>
        <w:rPr>
          <w:rFonts w:hint="eastAsia" w:ascii="宋体" w:hAnsi="宋体" w:eastAsia="宋体" w:cs="宋体"/>
          <w:color w:val="000000"/>
          <w:sz w:val="24"/>
          <w:szCs w:val="24"/>
          <w:lang w:eastAsia="zh-CN"/>
        </w:rPr>
        <w:t>三江街道兴旺路88号A幢3楼</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传    真：/             </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项目联系人（询问）：</w:t>
      </w:r>
      <w:r>
        <w:rPr>
          <w:rFonts w:hint="eastAsia" w:ascii="宋体" w:hAnsi="宋体" w:eastAsia="宋体" w:cs="宋体"/>
          <w:sz w:val="24"/>
          <w:szCs w:val="24"/>
          <w:lang w:val="en-US" w:eastAsia="zh-CN"/>
        </w:rPr>
        <w:t>陈利钟</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项目联系方式（询问）：</w:t>
      </w:r>
      <w:r>
        <w:rPr>
          <w:rFonts w:hint="eastAsia" w:ascii="宋体" w:hAnsi="宋体" w:eastAsia="宋体" w:cs="宋体"/>
          <w:sz w:val="24"/>
          <w:szCs w:val="24"/>
          <w:lang w:val="en-US" w:eastAsia="zh-CN"/>
        </w:rPr>
        <w:t>0575-83181358</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质疑联系人：</w:t>
      </w:r>
      <w:r>
        <w:rPr>
          <w:rFonts w:hint="eastAsia" w:ascii="宋体" w:hAnsi="宋体" w:cs="宋体"/>
          <w:sz w:val="24"/>
          <w:szCs w:val="24"/>
          <w:lang w:val="en-US" w:eastAsia="zh-CN"/>
        </w:rPr>
        <w:t>黄柏永</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19888805588</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3.同级政府采购监督管理部门            </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名    称： </w:t>
      </w:r>
      <w:r>
        <w:rPr>
          <w:rFonts w:hint="eastAsia" w:ascii="宋体" w:hAnsi="宋体" w:eastAsia="宋体" w:cs="宋体"/>
          <w:sz w:val="24"/>
          <w:szCs w:val="24"/>
          <w:lang w:val="en-US" w:eastAsia="zh-CN"/>
        </w:rPr>
        <w:t>嵊州市财政局采监科</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地    址： </w:t>
      </w:r>
      <w:r>
        <w:rPr>
          <w:rFonts w:hint="eastAsia" w:ascii="宋体" w:hAnsi="宋体" w:eastAsia="宋体" w:cs="宋体"/>
          <w:sz w:val="24"/>
          <w:szCs w:val="24"/>
          <w:lang w:eastAsia="zh-CN"/>
        </w:rPr>
        <w:t>嵊州市三江街道国资综合大楼1004室</w:t>
      </w:r>
    </w:p>
    <w:p>
      <w:pPr>
        <w:keepNext w:val="0"/>
        <w:keepLines w:val="0"/>
        <w:pageBreakBefore w:val="0"/>
        <w:kinsoku/>
        <w:wordWrap/>
        <w:overflowPunct/>
        <w:topLinePunct w:val="0"/>
        <w:autoSpaceDE/>
        <w:autoSpaceDN/>
        <w:bidi w:val="0"/>
        <w:adjustRightInd w:val="0"/>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传    真：</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联系人 ： </w:t>
      </w:r>
      <w:r>
        <w:rPr>
          <w:rFonts w:hint="eastAsia" w:ascii="宋体" w:hAnsi="宋体" w:eastAsia="宋体" w:cs="宋体"/>
          <w:sz w:val="24"/>
          <w:szCs w:val="24"/>
          <w:lang w:eastAsia="zh-CN"/>
        </w:rPr>
        <w:t>郑老师</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监督投诉电话： 0575-8</w:t>
      </w:r>
      <w:r>
        <w:rPr>
          <w:rFonts w:hint="eastAsia" w:ascii="宋体" w:hAnsi="宋体" w:eastAsia="宋体" w:cs="宋体"/>
          <w:sz w:val="24"/>
          <w:szCs w:val="24"/>
          <w:lang w:val="en-US" w:eastAsia="zh-CN"/>
        </w:rPr>
        <w:t>3032507</w:t>
      </w:r>
      <w:r>
        <w:rPr>
          <w:rFonts w:hint="eastAsia" w:ascii="宋体" w:hAnsi="宋体" w:eastAsia="宋体" w:cs="宋体"/>
          <w:sz w:val="24"/>
          <w:szCs w:val="24"/>
        </w:rPr>
        <w:t xml:space="preserve">      </w:t>
      </w:r>
    </w:p>
    <w:p>
      <w:pPr>
        <w:pStyle w:val="1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bookmarkStart w:id="8" w:name="_Toc7695"/>
      <w:r>
        <w:rPr>
          <w:rStyle w:val="48"/>
          <w:rFonts w:hint="eastAsia" w:ascii="Times New Roman" w:hAnsi="Times New Roman" w:eastAsia="宋体" w:cs="Times New Roman"/>
          <w:sz w:val="36"/>
          <w:szCs w:val="36"/>
        </w:rPr>
        <w:t>第二</w:t>
      </w:r>
      <w:r>
        <w:rPr>
          <w:rStyle w:val="48"/>
          <w:rFonts w:hint="eastAsia" w:ascii="Times New Roman" w:hAnsi="Times New Roman" w:eastAsia="宋体" w:cs="Times New Roman"/>
          <w:sz w:val="36"/>
          <w:szCs w:val="36"/>
          <w:lang w:val="en-US" w:eastAsia="zh-CN"/>
        </w:rPr>
        <w:t>章</w:t>
      </w:r>
      <w:r>
        <w:rPr>
          <w:rStyle w:val="48"/>
          <w:rFonts w:hint="eastAsia" w:ascii="Times New Roman" w:hAnsi="Times New Roman" w:eastAsia="宋体" w:cs="Times New Roman"/>
          <w:sz w:val="36"/>
          <w:szCs w:val="36"/>
        </w:rPr>
        <w:t xml:space="preserve"> 投标人须知</w:t>
      </w:r>
      <w:bookmarkEnd w:id="8"/>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27"/>
        <w:tblW w:w="10064" w:type="dxa"/>
        <w:jc w:val="center"/>
        <w:tblLayout w:type="fixed"/>
        <w:tblCellMar>
          <w:top w:w="0" w:type="dxa"/>
          <w:left w:w="108" w:type="dxa"/>
          <w:bottom w:w="0" w:type="dxa"/>
          <w:right w:w="108" w:type="dxa"/>
        </w:tblCellMar>
      </w:tblPr>
      <w:tblGrid>
        <w:gridCol w:w="700"/>
        <w:gridCol w:w="1800"/>
        <w:gridCol w:w="7564"/>
      </w:tblGrid>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内 容</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说明与要求</w:t>
            </w:r>
          </w:p>
        </w:tc>
      </w:tr>
      <w:tr>
        <w:tblPrEx>
          <w:tblCellMar>
            <w:top w:w="0" w:type="dxa"/>
            <w:left w:w="108" w:type="dxa"/>
            <w:bottom w:w="0" w:type="dxa"/>
            <w:right w:w="108" w:type="dxa"/>
          </w:tblCellMar>
        </w:tblPrEx>
        <w:trPr>
          <w:trHeight w:val="26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嵊州市气象局自动气象站维保服务项目</w:t>
            </w:r>
            <w:r>
              <w:rPr>
                <w:rFonts w:hint="eastAsia" w:ascii="宋体" w:hAnsi="宋体" w:eastAsia="宋体" w:cs="宋体"/>
                <w:bCs/>
                <w:color w:val="auto"/>
                <w:sz w:val="24"/>
                <w:szCs w:val="24"/>
                <w:highlight w:val="none"/>
              </w:rPr>
              <w:t> </w:t>
            </w:r>
          </w:p>
        </w:tc>
      </w:tr>
      <w:tr>
        <w:tblPrEx>
          <w:tblCellMar>
            <w:top w:w="0" w:type="dxa"/>
            <w:left w:w="108" w:type="dxa"/>
            <w:bottom w:w="0" w:type="dxa"/>
            <w:right w:w="108" w:type="dxa"/>
          </w:tblCellMar>
        </w:tblPrEx>
        <w:trPr>
          <w:trHeight w:val="35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采购方式</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tblPrEx>
          <w:tblCellMar>
            <w:top w:w="0" w:type="dxa"/>
            <w:left w:w="108" w:type="dxa"/>
            <w:bottom w:w="0" w:type="dxa"/>
            <w:right w:w="108" w:type="dxa"/>
          </w:tblCellMar>
        </w:tblPrEx>
        <w:trPr>
          <w:trHeight w:val="35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投标限价</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超过最高限价的投标无效。</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投标文件形式</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电子投标文包括“电子加密投标文件”和“备份投标文件”，在投标</w:t>
            </w:r>
            <w:r>
              <w:rPr>
                <w:rFonts w:hint="eastAsia" w:ascii="宋体" w:hAnsi="宋体" w:eastAsia="宋体" w:cs="宋体"/>
                <w:color w:val="auto"/>
                <w:w w:val="99"/>
                <w:sz w:val="24"/>
                <w:szCs w:val="24"/>
                <w:highlight w:val="none"/>
              </w:rPr>
              <w:t xml:space="preserve"> </w:t>
            </w:r>
            <w:r>
              <w:rPr>
                <w:rFonts w:hint="eastAsia" w:ascii="宋体" w:hAnsi="宋体" w:eastAsia="宋体" w:cs="宋体"/>
                <w:color w:val="auto"/>
                <w:sz w:val="24"/>
                <w:szCs w:val="24"/>
                <w:highlight w:val="none"/>
              </w:rPr>
              <w:t>文件编制完成后同时生成。</w:t>
            </w:r>
          </w:p>
          <w:p>
            <w:pPr>
              <w:pStyle w:val="39"/>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“电子加密投标文件”是指通过“政采云电子交易客户端”完成投标</w:t>
            </w:r>
            <w:r>
              <w:rPr>
                <w:rFonts w:hint="eastAsia" w:ascii="宋体" w:hAnsi="宋体" w:eastAsia="宋体" w:cs="宋体"/>
                <w:color w:val="auto"/>
                <w:w w:val="99"/>
                <w:sz w:val="24"/>
                <w:szCs w:val="24"/>
                <w:highlight w:val="none"/>
              </w:rPr>
              <w:t xml:space="preserve"> </w:t>
            </w:r>
            <w:r>
              <w:rPr>
                <w:rFonts w:hint="eastAsia" w:ascii="宋体" w:hAnsi="宋体" w:eastAsia="宋体" w:cs="宋体"/>
                <w:color w:val="auto"/>
                <w:sz w:val="24"/>
                <w:szCs w:val="24"/>
                <w:highlight w:val="none"/>
              </w:rPr>
              <w:t>文件编制后生成并加密的数据电文形式的投标文件。</w:t>
            </w:r>
          </w:p>
          <w:p>
            <w:pPr>
              <w:pStyle w:val="39"/>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“备份投标文件”是指与“电子加密投标文件”同时生成的数据电文</w:t>
            </w:r>
            <w:r>
              <w:rPr>
                <w:rFonts w:hint="eastAsia" w:ascii="宋体" w:hAnsi="宋体" w:eastAsia="宋体" w:cs="宋体"/>
                <w:color w:val="auto"/>
                <w:w w:val="99"/>
                <w:sz w:val="24"/>
                <w:szCs w:val="24"/>
                <w:highlight w:val="none"/>
              </w:rPr>
              <w:t xml:space="preserve"> </w:t>
            </w:r>
            <w:r>
              <w:rPr>
                <w:rFonts w:hint="eastAsia" w:ascii="宋体" w:hAnsi="宋体" w:eastAsia="宋体" w:cs="宋体"/>
                <w:color w:val="auto"/>
                <w:sz w:val="24"/>
                <w:szCs w:val="24"/>
                <w:highlight w:val="none"/>
              </w:rPr>
              <w:t>形式的电子文件（备份标书，用于供应商标书解密异常时应急使用），</w:t>
            </w:r>
            <w:r>
              <w:rPr>
                <w:rFonts w:hint="eastAsia" w:ascii="宋体" w:hAnsi="宋体" w:eastAsia="宋体" w:cs="宋体"/>
                <w:color w:val="auto"/>
                <w:w w:val="99"/>
                <w:sz w:val="24"/>
                <w:szCs w:val="24"/>
                <w:highlight w:val="none"/>
              </w:rPr>
              <w:t xml:space="preserve"> </w:t>
            </w:r>
            <w:r>
              <w:rPr>
                <w:rFonts w:hint="eastAsia" w:ascii="宋体" w:hAnsi="宋体" w:eastAsia="宋体" w:cs="宋体"/>
                <w:color w:val="auto"/>
                <w:sz w:val="24"/>
                <w:szCs w:val="24"/>
                <w:highlight w:val="none"/>
              </w:rPr>
              <w:t>其他方式编制的备份投标文件视为无效备份投标文件。</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投标文件份数</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numPr>
                <w:ilvl w:val="0"/>
                <w:numId w:val="3"/>
              </w:numPr>
              <w:kinsoku/>
              <w:wordWrap/>
              <w:overflowPunct/>
              <w:topLinePunct w:val="0"/>
              <w:bidi w:val="0"/>
              <w:spacing w:line="440" w:lineRule="exact"/>
              <w:ind w:firstLine="468"/>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一份电子加密标书（后缀格式为.jmbs），一份备份标书文件（后缀格式为.bfbs）（自愿）。 </w:t>
            </w:r>
          </w:p>
          <w:p>
            <w:pPr>
              <w:pStyle w:val="39"/>
              <w:keepNext w:val="0"/>
              <w:keepLines w:val="0"/>
              <w:pageBreakBefore w:val="0"/>
              <w:widowControl w:val="0"/>
              <w:numPr>
                <w:ilvl w:val="0"/>
                <w:numId w:val="3"/>
              </w:numPr>
              <w:kinsoku/>
              <w:wordWrap/>
              <w:overflowPunct/>
              <w:topLinePunct w:val="0"/>
              <w:bidi w:val="0"/>
              <w:spacing w:line="440" w:lineRule="exact"/>
              <w:ind w:firstLine="468"/>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每份电子投标文件应包括资格文件、资信技术文件及报价文件三部分内容。 </w:t>
            </w:r>
          </w:p>
          <w:p>
            <w:pPr>
              <w:pStyle w:val="39"/>
              <w:keepNext w:val="0"/>
              <w:keepLines w:val="0"/>
              <w:pageBreakBefore w:val="0"/>
              <w:widowControl w:val="0"/>
              <w:kinsoku/>
              <w:wordWrap/>
              <w:overflowPunct/>
              <w:topLinePunct w:val="0"/>
              <w:bidi w:val="0"/>
              <w:spacing w:line="440" w:lineRule="exact"/>
              <w:ind w:firstLine="47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pacing w:val="-3"/>
                <w:sz w:val="24"/>
                <w:szCs w:val="24"/>
                <w:highlight w:val="none"/>
              </w:rPr>
              <w:t>3.如中标，中标人需根据采购文件要求提供纸质投标文件正本1份、副本2份，采用胶装。</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电子加密投标文件</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68"/>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电子加密投标文件：投标文件制作完成并生成加密标书，在投标截止时间前，供应商需将加密的投标文件上传至政采云平台，在开标时间开始后 30 分钟内，解密投标文件。</w:t>
            </w:r>
          </w:p>
          <w:p>
            <w:pPr>
              <w:pStyle w:val="39"/>
              <w:keepNext w:val="0"/>
              <w:keepLines w:val="0"/>
              <w:pageBreakBefore w:val="0"/>
              <w:widowControl w:val="0"/>
              <w:kinsoku/>
              <w:wordWrap/>
              <w:overflowPunct/>
              <w:topLinePunct w:val="0"/>
              <w:bidi w:val="0"/>
              <w:spacing w:line="440" w:lineRule="exact"/>
              <w:ind w:firstLine="470"/>
              <w:jc w:val="left"/>
              <w:textAlignment w:val="auto"/>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 xml:space="preserve">a.供应商应未能投标截止时间前成功上传电子加密投标文件的投标无效。 </w:t>
            </w:r>
          </w:p>
          <w:p>
            <w:pPr>
              <w:pStyle w:val="39"/>
              <w:keepNext w:val="0"/>
              <w:keepLines w:val="0"/>
              <w:pageBreakBefore w:val="0"/>
              <w:widowControl w:val="0"/>
              <w:kinsoku/>
              <w:wordWrap/>
              <w:overflowPunct/>
              <w:topLinePunct w:val="0"/>
              <w:bidi w:val="0"/>
              <w:spacing w:line="440" w:lineRule="exact"/>
              <w:ind w:firstLine="468"/>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pacing w:val="-3"/>
                <w:sz w:val="24"/>
                <w:szCs w:val="24"/>
                <w:highlight w:val="none"/>
              </w:rPr>
              <w:t>b.供应商成功上传电子加密投标文件后，可自行打印投标文件接收回执。</w:t>
            </w:r>
          </w:p>
        </w:tc>
      </w:tr>
      <w:tr>
        <w:tblPrEx>
          <w:tblCellMar>
            <w:top w:w="0" w:type="dxa"/>
            <w:left w:w="108" w:type="dxa"/>
            <w:bottom w:w="0" w:type="dxa"/>
            <w:right w:w="108" w:type="dxa"/>
          </w:tblCellMar>
        </w:tblPrEx>
        <w:trPr>
          <w:trHeight w:val="286"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482"/>
              <w:jc w:val="center"/>
              <w:textAlignment w:val="auto"/>
              <w:rPr>
                <w:rFonts w:hint="eastAsia" w:ascii="宋体" w:hAnsi="宋体" w:eastAsia="宋体" w:cs="宋体"/>
                <w:b/>
                <w:bCs/>
                <w:color w:val="auto"/>
                <w:sz w:val="24"/>
                <w:szCs w:val="24"/>
                <w:highlight w:val="none"/>
              </w:rPr>
            </w:pPr>
          </w:p>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备份投标文件（自愿提交）</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w w:val="99"/>
                <w:sz w:val="24"/>
                <w:szCs w:val="24"/>
                <w:highlight w:val="none"/>
              </w:rPr>
            </w:pPr>
            <w:r>
              <w:rPr>
                <w:rFonts w:hint="eastAsia" w:ascii="宋体" w:hAnsi="宋体" w:eastAsia="宋体" w:cs="宋体"/>
                <w:color w:val="auto"/>
                <w:sz w:val="24"/>
                <w:szCs w:val="24"/>
                <w:highlight w:val="none"/>
              </w:rPr>
              <w:t>备份投标文件：供应商确保在投标截止时间前，将备份投标文件（U盘）通过快</w:t>
            </w:r>
            <w:r>
              <w:rPr>
                <w:rFonts w:hint="eastAsia" w:ascii="宋体" w:hAnsi="宋体" w:eastAsia="宋体" w:cs="宋体"/>
                <w:color w:val="auto"/>
                <w:spacing w:val="-4"/>
                <w:sz w:val="24"/>
                <w:szCs w:val="24"/>
                <w:highlight w:val="none"/>
              </w:rPr>
              <w:t>递形式寄达采购代理机构处，以便标书解密异常时应急使用（邮寄地址：</w:t>
            </w:r>
            <w:r>
              <w:rPr>
                <w:rFonts w:hint="eastAsia" w:ascii="宋体" w:hAnsi="宋体" w:eastAsia="宋体" w:cs="宋体"/>
                <w:color w:val="000000"/>
                <w:sz w:val="24"/>
                <w:szCs w:val="24"/>
              </w:rPr>
              <w:t>嵊州市</w:t>
            </w:r>
            <w:r>
              <w:rPr>
                <w:rFonts w:hint="eastAsia" w:ascii="宋体" w:hAnsi="宋体" w:eastAsia="宋体" w:cs="宋体"/>
                <w:color w:val="000000"/>
                <w:sz w:val="24"/>
                <w:szCs w:val="24"/>
                <w:lang w:eastAsia="zh-CN"/>
              </w:rPr>
              <w:t>三江街道兴旺路88号A幢3楼</w:t>
            </w:r>
            <w:r>
              <w:rPr>
                <w:rFonts w:hint="eastAsia" w:ascii="宋体" w:hAnsi="宋体" w:eastAsia="宋体" w:cs="宋体"/>
                <w:color w:val="auto"/>
                <w:sz w:val="24"/>
                <w:szCs w:val="24"/>
                <w:highlight w:val="none"/>
              </w:rPr>
              <w:t>，接收人：</w:t>
            </w:r>
            <w:r>
              <w:rPr>
                <w:rFonts w:hint="eastAsia" w:ascii="宋体" w:hAnsi="宋体" w:eastAsia="宋体" w:cs="宋体"/>
                <w:color w:val="auto"/>
                <w:sz w:val="24"/>
                <w:szCs w:val="24"/>
                <w:highlight w:val="none"/>
                <w:lang w:val="en-US" w:eastAsia="zh-CN"/>
              </w:rPr>
              <w:t>陈利钟</w:t>
            </w:r>
            <w:r>
              <w:rPr>
                <w:rFonts w:hint="eastAsia" w:ascii="宋体" w:hAnsi="宋体" w:eastAsia="宋体" w:cs="宋体"/>
                <w:color w:val="auto"/>
                <w:sz w:val="24"/>
                <w:szCs w:val="24"/>
                <w:highlight w:val="none"/>
              </w:rPr>
              <w:t>，</w:t>
            </w:r>
            <w:r>
              <w:rPr>
                <w:rFonts w:hint="eastAsia" w:ascii="宋体" w:hAnsi="宋体" w:eastAsia="宋体" w:cs="宋体"/>
                <w:color w:val="auto"/>
                <w:w w:val="99"/>
                <w:sz w:val="24"/>
                <w:szCs w:val="24"/>
                <w:highlight w:val="none"/>
              </w:rPr>
              <w:t xml:space="preserve"> </w:t>
            </w:r>
            <w:r>
              <w:rPr>
                <w:rFonts w:hint="eastAsia" w:ascii="宋体" w:hAnsi="宋体" w:eastAsia="宋体" w:cs="宋体"/>
                <w:color w:val="auto"/>
                <w:sz w:val="24"/>
                <w:szCs w:val="24"/>
                <w:highlight w:val="none"/>
              </w:rPr>
              <w:t>电话：0575-83</w:t>
            </w:r>
            <w:r>
              <w:rPr>
                <w:rFonts w:hint="eastAsia" w:ascii="宋体" w:hAnsi="宋体" w:eastAsia="宋体" w:cs="宋体"/>
                <w:color w:val="auto"/>
                <w:sz w:val="24"/>
                <w:szCs w:val="24"/>
                <w:highlight w:val="none"/>
                <w:lang w:val="en-US" w:eastAsia="zh-CN"/>
              </w:rPr>
              <w:t>181358</w:t>
            </w:r>
            <w:r>
              <w:rPr>
                <w:rFonts w:hint="eastAsia" w:ascii="宋体" w:hAnsi="宋体" w:eastAsia="宋体" w:cs="宋体"/>
                <w:color w:val="auto"/>
                <w:sz w:val="24"/>
                <w:szCs w:val="24"/>
                <w:highlight w:val="none"/>
              </w:rPr>
              <w:t>）。</w:t>
            </w:r>
            <w:r>
              <w:rPr>
                <w:rFonts w:hint="eastAsia" w:ascii="宋体" w:hAnsi="宋体" w:eastAsia="宋体" w:cs="宋体"/>
                <w:color w:val="auto"/>
                <w:w w:val="99"/>
                <w:sz w:val="24"/>
                <w:szCs w:val="24"/>
                <w:highlight w:val="none"/>
              </w:rPr>
              <w:t xml:space="preserve"> </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w w:val="99"/>
                <w:sz w:val="24"/>
                <w:szCs w:val="24"/>
                <w:highlight w:val="none"/>
              </w:rPr>
            </w:pPr>
            <w:r>
              <w:rPr>
                <w:rFonts w:hint="eastAsia" w:ascii="宋体" w:hAnsi="宋体" w:eastAsia="宋体" w:cs="宋体"/>
                <w:color w:val="auto"/>
                <w:sz w:val="24"/>
                <w:szCs w:val="24"/>
                <w:highlight w:val="none"/>
              </w:rPr>
              <w:t>a.备份投标文件递交要求：供应商须将备份投标文件以U</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z w:val="24"/>
                <w:szCs w:val="24"/>
                <w:highlight w:val="none"/>
              </w:rPr>
              <w:t>盘形式放在密封袋中，密封后并在密封袋上注明投标项目名称、投标单位名称并加盖公章。未密封包装或者逾期邮寄送达的“备份投标文件”将不予接收。</w:t>
            </w:r>
            <w:r>
              <w:rPr>
                <w:rFonts w:hint="eastAsia" w:ascii="宋体" w:hAnsi="宋体" w:eastAsia="宋体" w:cs="宋体"/>
                <w:color w:val="auto"/>
                <w:w w:val="99"/>
                <w:sz w:val="24"/>
                <w:szCs w:val="24"/>
                <w:highlight w:val="none"/>
              </w:rPr>
              <w:t xml:space="preserve"> </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b.通过“政府采购云平台”成功上传递交的“电子加密投标文件”已按时解密的，“备份投标文件”自动失效。</w:t>
            </w:r>
          </w:p>
        </w:tc>
      </w:tr>
      <w:tr>
        <w:tblPrEx>
          <w:tblCellMar>
            <w:top w:w="0" w:type="dxa"/>
            <w:left w:w="108" w:type="dxa"/>
            <w:bottom w:w="0" w:type="dxa"/>
            <w:right w:w="108" w:type="dxa"/>
          </w:tblCellMar>
        </w:tblPrEx>
        <w:trPr>
          <w:trHeight w:val="34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电子加密投标文件的解密和异常情况处理</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w w:val="99"/>
                <w:sz w:val="24"/>
                <w:szCs w:val="24"/>
                <w:highlight w:val="none"/>
              </w:rPr>
            </w:pPr>
            <w:r>
              <w:rPr>
                <w:rFonts w:hint="eastAsia" w:ascii="宋体" w:hAnsi="宋体" w:eastAsia="宋体" w:cs="宋体"/>
                <w:color w:val="auto"/>
                <w:sz w:val="24"/>
                <w:szCs w:val="24"/>
                <w:highlight w:val="none"/>
              </w:rPr>
              <w:t>电子加密投标文件的解密和异常情况处理：</w:t>
            </w:r>
            <w:r>
              <w:rPr>
                <w:rFonts w:hint="eastAsia" w:ascii="宋体" w:hAnsi="宋体" w:eastAsia="宋体" w:cs="宋体"/>
                <w:color w:val="auto"/>
                <w:w w:val="99"/>
                <w:sz w:val="24"/>
                <w:szCs w:val="24"/>
                <w:highlight w:val="none"/>
              </w:rPr>
              <w:t xml:space="preserve"> </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w w:val="99"/>
                <w:sz w:val="24"/>
                <w:szCs w:val="24"/>
                <w:highlight w:val="none"/>
              </w:rPr>
            </w:pPr>
            <w:r>
              <w:rPr>
                <w:rFonts w:hint="eastAsia" w:ascii="宋体" w:hAnsi="宋体" w:eastAsia="宋体" w:cs="宋体"/>
                <w:color w:val="auto"/>
                <w:sz w:val="24"/>
                <w:szCs w:val="24"/>
                <w:highlight w:val="none"/>
              </w:rPr>
              <w:t>a.开标后，各投标供应商代表应当在限定时间内自行完成“电子加密投</w:t>
            </w:r>
            <w:r>
              <w:rPr>
                <w:rFonts w:hint="eastAsia" w:ascii="宋体" w:hAnsi="宋体" w:eastAsia="宋体" w:cs="宋体"/>
                <w:color w:val="auto"/>
                <w:w w:val="99"/>
                <w:sz w:val="24"/>
                <w:szCs w:val="24"/>
                <w:highlight w:val="none"/>
              </w:rPr>
              <w:t xml:space="preserve"> </w:t>
            </w:r>
            <w:r>
              <w:rPr>
                <w:rFonts w:hint="eastAsia" w:ascii="宋体" w:hAnsi="宋体" w:eastAsia="宋体" w:cs="宋体"/>
                <w:color w:val="auto"/>
                <w:sz w:val="24"/>
                <w:szCs w:val="24"/>
                <w:highlight w:val="none"/>
              </w:rPr>
              <w:t>标文件”的在线解密。</w:t>
            </w:r>
            <w:r>
              <w:rPr>
                <w:rFonts w:hint="eastAsia" w:ascii="宋体" w:hAnsi="宋体" w:eastAsia="宋体" w:cs="宋体"/>
                <w:color w:val="auto"/>
                <w:w w:val="99"/>
                <w:sz w:val="24"/>
                <w:szCs w:val="24"/>
                <w:highlight w:val="none"/>
              </w:rPr>
              <w:t xml:space="preserve"> </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b.通过“政府采购云平台”成功上传递交的“电子加密投标文件”无法 按时解密，投标供应商如按规定递交了“备份投标文件”的，以“备份 投标文件”为依据（由采购组织机构按“政府采购云平台”操作规范将“备份投标文件”上传至“政府采购云平台”，上传成功后，“电子加密投标文件”自动失效），否则视为投标文件撤回。 </w:t>
            </w:r>
          </w:p>
          <w:p>
            <w:pPr>
              <w:pStyle w:val="39"/>
              <w:keepNext w:val="0"/>
              <w:keepLines w:val="0"/>
              <w:pageBreakBefore w:val="0"/>
              <w:widowControl w:val="0"/>
              <w:kinsoku/>
              <w:wordWrap/>
              <w:overflowPunct/>
              <w:topLinePunct w:val="0"/>
              <w:bidi w:val="0"/>
              <w:spacing w:line="440" w:lineRule="exact"/>
              <w:ind w:firstLine="482"/>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c.投标截止时间前，投标供应商仅递交了“备份投标文件”而未将电子</w:t>
            </w:r>
            <w:r>
              <w:rPr>
                <w:rFonts w:hint="eastAsia" w:ascii="宋体" w:hAnsi="宋体" w:eastAsia="宋体" w:cs="宋体"/>
                <w:b/>
                <w:bCs/>
                <w:color w:val="auto"/>
                <w:w w:val="99"/>
                <w:sz w:val="24"/>
                <w:szCs w:val="24"/>
                <w:highlight w:val="none"/>
              </w:rPr>
              <w:t xml:space="preserve"> </w:t>
            </w:r>
            <w:r>
              <w:rPr>
                <w:rFonts w:hint="eastAsia" w:ascii="宋体" w:hAnsi="宋体" w:eastAsia="宋体" w:cs="宋体"/>
                <w:b/>
                <w:bCs/>
                <w:color w:val="auto"/>
                <w:sz w:val="24"/>
                <w:szCs w:val="24"/>
                <w:highlight w:val="none"/>
              </w:rPr>
              <w:t>加密投标文件上传至“政府采购云平台”的，投标无效。</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pacing w:val="-7"/>
                <w:sz w:val="24"/>
                <w:szCs w:val="24"/>
                <w:highlight w:val="none"/>
              </w:rPr>
              <w:t>投标文件、流程文件签</w:t>
            </w:r>
            <w:r>
              <w:rPr>
                <w:rFonts w:hint="eastAsia" w:ascii="宋体" w:hAnsi="宋体" w:eastAsia="宋体" w:cs="宋体"/>
                <w:color w:val="auto"/>
                <w:sz w:val="24"/>
                <w:szCs w:val="24"/>
                <w:highlight w:val="none"/>
              </w:rPr>
              <w:t>章</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电子投标文件必须有电子签章；开标后，相关信息记录确认、澄清说明、回复等内容，电子签章、或者签章后上传相关文件，均认可； 政采云系统平台有新的操作流程的，按其规定。</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开标程序</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w w:val="99"/>
                <w:sz w:val="24"/>
                <w:szCs w:val="24"/>
                <w:highlight w:val="none"/>
              </w:rPr>
            </w:pPr>
            <w:r>
              <w:rPr>
                <w:rFonts w:hint="eastAsia" w:ascii="宋体" w:hAnsi="宋体" w:eastAsia="宋体" w:cs="宋体"/>
                <w:color w:val="auto"/>
                <w:sz w:val="24"/>
                <w:szCs w:val="24"/>
                <w:highlight w:val="none"/>
              </w:rPr>
              <w:t>1.开标后，采购代理机构点击【开始解密】，供应商应在30</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z w:val="24"/>
                <w:szCs w:val="24"/>
                <w:highlight w:val="none"/>
              </w:rPr>
              <w:t>分钟内完成解密。供应商在规定的时间内都已完成解密，则系统自动结束解密；供应商超过解密时限，默认自动放弃；</w:t>
            </w:r>
            <w:r>
              <w:rPr>
                <w:rFonts w:hint="eastAsia" w:ascii="宋体" w:hAnsi="宋体" w:eastAsia="宋体" w:cs="宋体"/>
                <w:color w:val="auto"/>
                <w:w w:val="99"/>
                <w:sz w:val="24"/>
                <w:szCs w:val="24"/>
                <w:highlight w:val="none"/>
              </w:rPr>
              <w:t xml:space="preserve"> </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2.解密不成功时，如投标供应商已按规定递交了“备份投标文件”的，采购代理机构通过【异常处理】端口对备份投标文件上传、解密；</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rPr>
              <w:t>结束解密后，供应商通过邮件形式将经授权代表签署的《政府采购活动现场确认声明书》（格式见采购文件最后一页内容）扫描件发至代理机构经办人邮箱（邮箱地址：</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"mailto:360745117@qq.com"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3370956015</w:t>
            </w:r>
            <w:r>
              <w:rPr>
                <w:rFonts w:hint="eastAsia" w:ascii="宋体" w:hAnsi="宋体" w:eastAsia="宋体" w:cs="宋体"/>
                <w:b/>
                <w:bCs/>
                <w:sz w:val="24"/>
                <w:szCs w:val="24"/>
              </w:rPr>
              <w:t>@qq.com</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t>）；</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4.采购组织机构点击【开启标书信息】，开启标书成功后进入开标流程。</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5.政采云系统平台有新的操作流程的，按其规定。</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评标程序</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资格审查：由采购人或采购代理机构代表根据采购文件的规定对投标人 进行资格审查，资格审查不合格的投标人，其投标作无效标处理。 符合性评审：依据采购文件的规定，从投标文件的有效性、完整性和对 采购文件的响应程度进行审查，以确定是否对采购文件的实质性要求作 出响应。商务技术评分：由评标委员会对各投标人的技术商务充分审核、讨论及评议后，独立评分。</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评分汇总商务技术结果公布；代理机构公布符合性审查、商务技术评审无效供应商名称及理由；公布经商务技术评审后有效投标供应商的名单，及其商务技术部分得分情况。开启报价响应文件：采购代理机构成功开启报价响应文件后，方可查看各供应商报价情况。代理机构公布开标一览表有关内容，供应商自行确认（不予确认的应说明理由，否则视为无异议）。报价评审：由评标委员会对报价的合理性、准确性等进行审查核实。得分汇总。</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结果公布：供应商可通过在线平台查看评审结果。注：除邮件交互外，如政采云平台提供信息发布、澄清说明、数据交换等操作方式的，或者政采云系统平台有新的操作流程的，按其规定。</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询标澄清</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投标有效期</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自投标截止日起 90</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天。</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14</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1.本项目投标应以人民币报价；</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不论投标结果如何，投标人均应自行承担所有与投标有关的全部费</w:t>
            </w:r>
            <w:r>
              <w:rPr>
                <w:rFonts w:hint="eastAsia" w:ascii="宋体" w:hAnsi="宋体" w:eastAsia="宋体" w:cs="宋体"/>
                <w:color w:val="auto"/>
                <w:sz w:val="24"/>
                <w:szCs w:val="24"/>
                <w:highlight w:val="none"/>
              </w:rPr>
              <w:t>用。</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z w:val="24"/>
                <w:szCs w:val="24"/>
                <w:highlight w:val="none"/>
              </w:rPr>
              <w:t>组织（详细内容）</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不组织</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z w:val="24"/>
                <w:szCs w:val="24"/>
                <w:highlight w:val="none"/>
              </w:rPr>
              <w:t>综合评分法</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z w:val="24"/>
                <w:szCs w:val="24"/>
                <w:highlight w:val="none"/>
              </w:rPr>
              <w:t>最低评标价法</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是否进口</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z w:val="24"/>
                <w:szCs w:val="24"/>
                <w:highlight w:val="none"/>
              </w:rPr>
              <w:t>允许进口</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z w:val="24"/>
                <w:szCs w:val="24"/>
                <w:highlight w:val="none"/>
              </w:rPr>
              <w:t>不允许进口</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800" w:type="dxa"/>
            <w:tcBorders>
              <w:top w:val="single" w:color="auto" w:sz="6" w:space="0"/>
              <w:left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环境标志产品、节能产品</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改革委、生态环境部、国家市场监管总局《关于调整优化节能产品、环境标志产品政府采购执行机制的通知》财库〔2019〕9号文件规定，本次采购对属于节能产品政府采购品目清单规定的政府强制采购产品范围内的产品实施强制采购。投标人应当在响应文件中提供国家确定的认证机构出具的、处于有效期之内的节能产品认证证书（复制件）。</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促进中小微企业发展</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numPr>
                <w:ilvl w:val="0"/>
                <w:numId w:val="4"/>
              </w:numPr>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本项目执行促进中小企业发展政策，监狱企业、残疾人福利性单位视同小型、微型企业。</w:t>
            </w:r>
          </w:p>
          <w:p>
            <w:pPr>
              <w:pStyle w:val="39"/>
              <w:keepNext w:val="0"/>
              <w:keepLines w:val="0"/>
              <w:pageBreakBefore w:val="0"/>
              <w:widowControl w:val="0"/>
              <w:numPr>
                <w:ilvl w:val="0"/>
                <w:numId w:val="4"/>
              </w:numPr>
              <w:kinsoku/>
              <w:wordWrap/>
              <w:overflowPunct/>
              <w:topLinePunct w:val="0"/>
              <w:bidi w:val="0"/>
              <w:spacing w:line="44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以联合体形式参加政府采购活动，联合体各方均为中小企业的，联合体视同中小企业。其中，联合体各方均为小微企业的，联合体视同小微企业。</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val="0"/>
                <w:bCs/>
                <w:color w:val="auto"/>
                <w:sz w:val="24"/>
                <w:szCs w:val="24"/>
              </w:rPr>
              <w:t>采购标的对应的中小企业划分标准所属行业</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根据《工业和信息化部、国家统计局、国家发展和改革委员会、财政部关于印发中小企业划型标准规定的通知》（工信部联企业[2011]300号）规定</w:t>
            </w:r>
            <w:r>
              <w:rPr>
                <w:rFonts w:hint="eastAsia" w:ascii="宋体" w:hAnsi="宋体" w:eastAsia="宋体" w:cs="宋体"/>
                <w:color w:val="auto"/>
                <w:sz w:val="24"/>
                <w:szCs w:val="24"/>
                <w:lang w:eastAsia="zh-CN"/>
              </w:rPr>
              <w:t>（有最新</w:t>
            </w:r>
            <w:r>
              <w:rPr>
                <w:rFonts w:hint="eastAsia" w:ascii="宋体" w:hAnsi="宋体" w:eastAsia="宋体" w:cs="宋体"/>
                <w:color w:val="auto"/>
                <w:sz w:val="24"/>
                <w:szCs w:val="24"/>
              </w:rPr>
              <w:t>中小企业划型标准</w:t>
            </w:r>
            <w:r>
              <w:rPr>
                <w:rFonts w:hint="eastAsia" w:ascii="宋体" w:hAnsi="宋体" w:eastAsia="宋体" w:cs="宋体"/>
                <w:color w:val="auto"/>
                <w:sz w:val="24"/>
                <w:szCs w:val="24"/>
                <w:lang w:eastAsia="zh-CN"/>
              </w:rPr>
              <w:t>的以更新后的为准）：</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rPr>
              <w:t>（1）标的：</w:t>
            </w:r>
            <w:r>
              <w:rPr>
                <w:rFonts w:hint="eastAsia" w:ascii="宋体" w:hAnsi="宋体" w:eastAsia="宋体" w:cs="宋体"/>
                <w:color w:val="auto"/>
                <w:sz w:val="24"/>
                <w:szCs w:val="24"/>
                <w:u w:val="single"/>
                <w:lang w:val="zh-CN"/>
              </w:rPr>
              <w:t xml:space="preserve">嵊州市气象局自动气象站维保服务项目 </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，属于</w:t>
            </w:r>
            <w:r>
              <w:rPr>
                <w:rFonts w:hint="eastAsia" w:ascii="宋体" w:hAnsi="宋体" w:eastAsia="宋体" w:cs="宋体"/>
                <w:bCs/>
                <w:color w:val="auto"/>
                <w:sz w:val="24"/>
                <w:szCs w:val="24"/>
                <w:highlight w:val="none"/>
                <w:u w:val="single"/>
                <w:lang w:eastAsia="zh-CN"/>
              </w:rPr>
              <w:t xml:space="preserve"> </w:t>
            </w:r>
            <w:r>
              <w:rPr>
                <w:rFonts w:hint="eastAsia" w:ascii="宋体" w:hAnsi="宋体" w:cs="宋体"/>
                <w:color w:val="auto"/>
                <w:kern w:val="0"/>
                <w:sz w:val="24"/>
                <w:szCs w:val="24"/>
                <w:highlight w:val="none"/>
                <w:u w:val="single"/>
                <w:lang w:val="en-US" w:eastAsia="zh-CN"/>
              </w:rPr>
              <w:t>其他未列明行业</w:t>
            </w:r>
            <w:r>
              <w:rPr>
                <w:rFonts w:hint="eastAsia" w:ascii="宋体" w:hAnsi="宋体" w:eastAsia="宋体" w:cs="宋体"/>
                <w:bCs/>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说明：声明函中所列行业与采购文件所明确的行业不一致，不影响声明有效性，也不作为虚假资料情形认定。</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合同签订</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8"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sz w:val="24"/>
                <w:szCs w:val="24"/>
                <w:highlight w:val="none"/>
              </w:rPr>
              <w:t>采购人与中标人应当在《中标通知书》发出之日起</w:t>
            </w:r>
            <w:r>
              <w:rPr>
                <w:rFonts w:hint="eastAsia" w:ascii="宋体" w:hAnsi="宋体" w:eastAsia="宋体" w:cs="宋体"/>
                <w:color w:val="auto"/>
                <w:sz w:val="24"/>
                <w:szCs w:val="24"/>
                <w:highlight w:val="none"/>
              </w:rPr>
              <w:t>30日内签订政府</w:t>
            </w:r>
            <w:r>
              <w:rPr>
                <w:rFonts w:hint="eastAsia" w:ascii="宋体" w:hAnsi="宋体" w:eastAsia="宋体" w:cs="宋体"/>
                <w:color w:val="auto"/>
                <w:spacing w:val="2"/>
                <w:sz w:val="24"/>
                <w:szCs w:val="24"/>
                <w:highlight w:val="none"/>
              </w:rPr>
              <w:t>采购合同。中标人拖延、拒签合同的，将被取消中标资格。</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供应商注册事项</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根据《浙江省政府采购供应商注册及诚信管理暂行办法》（浙财采监字〔 2009 〕28号 ），供应商中标后必须注册成为浙江政府采购网（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http://www.zjzfcg.gov.cn/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）的正式供应商，否则可以不与中标人签订合同，如未能按时签订合同，将取消其中标资格。</w:t>
            </w:r>
          </w:p>
        </w:tc>
      </w:tr>
      <w:tr>
        <w:tblPrEx>
          <w:tblCellMar>
            <w:top w:w="0" w:type="dxa"/>
            <w:left w:w="108" w:type="dxa"/>
            <w:bottom w:w="0" w:type="dxa"/>
            <w:right w:w="108" w:type="dxa"/>
          </w:tblCellMar>
        </w:tblPrEx>
        <w:trPr>
          <w:trHeight w:val="564"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投标文件递交地点及时间</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按“招标公告”规定。</w:t>
            </w:r>
          </w:p>
        </w:tc>
      </w:tr>
      <w:tr>
        <w:tblPrEx>
          <w:tblCellMar>
            <w:top w:w="0" w:type="dxa"/>
            <w:left w:w="108" w:type="dxa"/>
            <w:bottom w:w="0" w:type="dxa"/>
            <w:right w:w="108" w:type="dxa"/>
          </w:tblCellMar>
        </w:tblPrEx>
        <w:trPr>
          <w:trHeight w:val="5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开标</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按“招标公告”规定。</w:t>
            </w:r>
          </w:p>
        </w:tc>
      </w:tr>
      <w:tr>
        <w:tblPrEx>
          <w:tblCellMar>
            <w:top w:w="0" w:type="dxa"/>
            <w:left w:w="108" w:type="dxa"/>
            <w:bottom w:w="0" w:type="dxa"/>
            <w:right w:w="108" w:type="dxa"/>
          </w:tblCellMar>
        </w:tblPrEx>
        <w:trPr>
          <w:trHeight w:val="469"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代理服务费</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按照国家计委计价格[2002]1980号文、[2011]534号文规定的收费标准计取，其他费用按实收取，中标（成交）供应商在领取中标（成交）通知书时支付</w:t>
            </w:r>
            <w:r>
              <w:rPr>
                <w:rFonts w:hint="eastAsia" w:ascii="宋体" w:hAnsi="宋体" w:eastAsia="宋体" w:cs="宋体"/>
                <w:color w:val="auto"/>
                <w:sz w:val="24"/>
                <w:szCs w:val="24"/>
                <w:highlight w:val="none"/>
                <w:lang w:val="zh-CN"/>
              </w:rPr>
              <w:t>。汇入以下账户 ：</w:t>
            </w:r>
          </w:p>
          <w:p>
            <w:pPr>
              <w:keepNext w:val="0"/>
              <w:keepLines w:val="0"/>
              <w:pageBreakBefore w:val="0"/>
              <w:widowControl w:val="0"/>
              <w:kinsoku/>
              <w:wordWrap/>
              <w:overflowPunct/>
              <w:topLinePunct w:val="0"/>
              <w:autoSpaceDE w:val="0"/>
              <w:autoSpaceDN w:val="0"/>
              <w:bidi w:val="0"/>
              <w:adjustRightInd w:val="0"/>
              <w:spacing w:line="440" w:lineRule="exact"/>
              <w:ind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收款单位（户名）：</w:t>
            </w:r>
            <w:r>
              <w:rPr>
                <w:rFonts w:hint="eastAsia" w:ascii="宋体" w:hAnsi="宋体" w:eastAsia="宋体" w:cs="宋体"/>
                <w:color w:val="auto"/>
                <w:sz w:val="24"/>
                <w:szCs w:val="24"/>
                <w:highlight w:val="none"/>
                <w:lang w:val="en-US" w:eastAsia="zh-CN"/>
              </w:rPr>
              <w:t>东方经纬项目管理有限公司嵊州分公司</w:t>
            </w:r>
            <w:r>
              <w:rPr>
                <w:rFonts w:hint="eastAsia" w:ascii="宋体" w:hAnsi="宋体" w:eastAsia="宋体" w:cs="宋体"/>
                <w:color w:val="auto"/>
                <w:sz w:val="24"/>
                <w:szCs w:val="24"/>
                <w:highlight w:val="none"/>
                <w:lang w:val="zh-CN"/>
              </w:rPr>
              <w:t> </w:t>
            </w:r>
          </w:p>
          <w:p>
            <w:pPr>
              <w:keepNext w:val="0"/>
              <w:keepLines w:val="0"/>
              <w:pageBreakBefore w:val="0"/>
              <w:widowControl w:val="0"/>
              <w:kinsoku/>
              <w:wordWrap/>
              <w:overflowPunct/>
              <w:topLinePunct w:val="0"/>
              <w:autoSpaceDE w:val="0"/>
              <w:autoSpaceDN w:val="0"/>
              <w:bidi w:val="0"/>
              <w:adjustRightInd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开  户：</w:t>
            </w:r>
            <w:r>
              <w:rPr>
                <w:rFonts w:hint="eastAsia" w:ascii="宋体" w:hAnsi="宋体" w:eastAsia="宋体" w:cs="宋体"/>
                <w:color w:val="auto"/>
                <w:sz w:val="24"/>
                <w:szCs w:val="24"/>
                <w:highlight w:val="none"/>
                <w:lang w:val="en-US" w:eastAsia="zh-CN"/>
              </w:rPr>
              <w:t xml:space="preserve"> 中国农业银行嵊州临城支行</w:t>
            </w:r>
          </w:p>
          <w:p>
            <w:pPr>
              <w:keepNext w:val="0"/>
              <w:keepLines w:val="0"/>
              <w:pageBreakBefore w:val="0"/>
              <w:widowControl w:val="0"/>
              <w:kinsoku/>
              <w:wordWrap/>
              <w:overflowPunct/>
              <w:topLinePunct w:val="0"/>
              <w:autoSpaceDE w:val="0"/>
              <w:autoSpaceDN w:val="0"/>
              <w:bidi w:val="0"/>
              <w:adjustRightInd w:val="0"/>
              <w:spacing w:line="440" w:lineRule="exact"/>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账  号：19521401040007551</w:t>
            </w:r>
            <w:r>
              <w:rPr>
                <w:rFonts w:hint="eastAsia" w:ascii="宋体" w:hAnsi="宋体" w:eastAsia="宋体" w:cs="宋体"/>
                <w:color w:val="auto"/>
                <w:sz w:val="24"/>
                <w:szCs w:val="24"/>
                <w:highlight w:val="none"/>
                <w:lang w:val="en-US" w:eastAsia="zh-CN"/>
              </w:rPr>
              <w:t xml:space="preserve"> </w:t>
            </w:r>
          </w:p>
        </w:tc>
      </w:tr>
      <w:tr>
        <w:tblPrEx>
          <w:tblCellMar>
            <w:top w:w="0" w:type="dxa"/>
            <w:left w:w="108" w:type="dxa"/>
            <w:bottom w:w="0" w:type="dxa"/>
            <w:right w:w="108" w:type="dxa"/>
          </w:tblCellMar>
        </w:tblPrEx>
        <w:trPr>
          <w:trHeight w:val="56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现场组织实施</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本项目现场组织按照《浙江省政府采购活动现场组织管理办法》浙财采监〔2015〕13号文件执行。</w:t>
            </w:r>
          </w:p>
        </w:tc>
      </w:tr>
      <w:tr>
        <w:tblPrEx>
          <w:tblCellMar>
            <w:top w:w="0" w:type="dxa"/>
            <w:left w:w="108" w:type="dxa"/>
            <w:bottom w:w="0" w:type="dxa"/>
            <w:right w:w="108" w:type="dxa"/>
          </w:tblCellMar>
        </w:tblPrEx>
        <w:trPr>
          <w:trHeight w:val="908"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中标公告及中标通知书</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评标结束后5个工作日内，中标公告发布于浙江省政府采购网(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"http://www.zjzfcg.gov.cn)，中标公示期1"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http://www.zjzfcg.gov.cn)，中标公示期1</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个工作日。</w:t>
            </w:r>
          </w:p>
        </w:tc>
      </w:tr>
      <w:tr>
        <w:tblPrEx>
          <w:tblCellMar>
            <w:top w:w="0" w:type="dxa"/>
            <w:left w:w="108" w:type="dxa"/>
            <w:bottom w:w="0" w:type="dxa"/>
            <w:right w:w="108" w:type="dxa"/>
          </w:tblCellMar>
        </w:tblPrEx>
        <w:trPr>
          <w:trHeight w:val="823"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供应商信用信息事项</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信用记录查询：依据财库[2016]125号文件执行</w:t>
            </w:r>
          </w:p>
          <w:p>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查询渠道：信用中国（www.creditchina.gov.cn）、中国政府采购网（www.ccgp.gov.cn）；</w:t>
            </w:r>
          </w:p>
          <w:p>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截止时点：招标公告发布之日至投标截止时间前；</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使用规则：被列入失信被执行人、重大税收违法案件当事人名单、政府采购严重违法失信行为记录名单及其它不符合《中华人民共和国政府采购法》第二十二条规定条件的，其投标将被拒绝。</w:t>
            </w:r>
          </w:p>
        </w:tc>
      </w:tr>
      <w:tr>
        <w:tblPrEx>
          <w:tblCellMar>
            <w:top w:w="0" w:type="dxa"/>
            <w:left w:w="108" w:type="dxa"/>
            <w:bottom w:w="0" w:type="dxa"/>
            <w:right w:w="108" w:type="dxa"/>
          </w:tblCellMar>
        </w:tblPrEx>
        <w:trPr>
          <w:trHeight w:val="522"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特别说明</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特别说明：</w:t>
            </w:r>
          </w:p>
          <w:p>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本表与采购文件其他部分内容不一致的，以本表为准。</w:t>
            </w:r>
          </w:p>
          <w:p>
            <w:pPr>
              <w:pStyle w:val="11"/>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
                <w:bCs w:val="0"/>
                <w:color w:val="auto"/>
                <w:sz w:val="24"/>
                <w:szCs w:val="24"/>
                <w:highlight w:val="none"/>
              </w:rPr>
              <w:t>2、政采云公司如对电子化开标及评审程序有调整的，按调整后的程序操作。</w:t>
            </w:r>
          </w:p>
        </w:tc>
      </w:tr>
      <w:tr>
        <w:tblPrEx>
          <w:tblCellMar>
            <w:top w:w="0" w:type="dxa"/>
            <w:left w:w="108" w:type="dxa"/>
            <w:bottom w:w="0" w:type="dxa"/>
            <w:right w:w="108" w:type="dxa"/>
          </w:tblCellMar>
        </w:tblPrEx>
        <w:trPr>
          <w:trHeight w:val="44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解释权</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本采购文件的解释权属于采购人和采购代理机构。</w:t>
            </w:r>
          </w:p>
        </w:tc>
      </w:tr>
      <w:tr>
        <w:tblPrEx>
          <w:tblCellMar>
            <w:top w:w="0" w:type="dxa"/>
            <w:left w:w="108" w:type="dxa"/>
            <w:bottom w:w="0" w:type="dxa"/>
            <w:right w:w="108" w:type="dxa"/>
          </w:tblCellMar>
        </w:tblPrEx>
        <w:trPr>
          <w:trHeight w:val="50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其他说明</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39"/>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根据《浙江省财政厅关于规范政府采购供应商资格设定及资格审查的通知》浙财采监〔2013〕24 号文件，金融、保险、通讯等特定行业的全国性企业所设立的区域性分支机构投标时应提供该单位负责人签署的相关文件材料，与其他法人单位法定代表人签署的文件材料具有同等效力。</w:t>
            </w:r>
          </w:p>
        </w:tc>
      </w:tr>
      <w:tr>
        <w:tblPrEx>
          <w:tblCellMar>
            <w:top w:w="0" w:type="dxa"/>
            <w:left w:w="108" w:type="dxa"/>
            <w:bottom w:w="0" w:type="dxa"/>
            <w:right w:w="108" w:type="dxa"/>
          </w:tblCellMar>
        </w:tblPrEx>
        <w:trPr>
          <w:trHeight w:val="50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注意事项</w:t>
            </w:r>
          </w:p>
        </w:tc>
        <w:tc>
          <w:tcPr>
            <w:tcW w:w="756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1.请务必确保投标文件制作客户端为最新版本，旧版本可能导致投标文件解密失败。</w:t>
            </w:r>
          </w:p>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2.请务必确保投标文件制作时所用的 CA 锁与投标文件解密时的 CA 锁为同一把，否则可能导致投标文件解密失败。</w:t>
            </w:r>
          </w:p>
        </w:tc>
      </w:tr>
      <w:tr>
        <w:tblPrEx>
          <w:tblCellMar>
            <w:top w:w="0" w:type="dxa"/>
            <w:left w:w="108" w:type="dxa"/>
            <w:bottom w:w="0" w:type="dxa"/>
            <w:right w:w="108" w:type="dxa"/>
          </w:tblCellMar>
        </w:tblPrEx>
        <w:trPr>
          <w:trHeight w:val="507" w:hRule="atLeast"/>
          <w:jc w:val="center"/>
        </w:trPr>
        <w:tc>
          <w:tcPr>
            <w:tcW w:w="10064" w:type="dxa"/>
            <w:gridSpan w:val="3"/>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r>
        <w:tblPrEx>
          <w:tblCellMar>
            <w:top w:w="0" w:type="dxa"/>
            <w:left w:w="108" w:type="dxa"/>
            <w:bottom w:w="0" w:type="dxa"/>
            <w:right w:w="108" w:type="dxa"/>
          </w:tblCellMar>
        </w:tblPrEx>
        <w:trPr>
          <w:trHeight w:val="507" w:hRule="atLeast"/>
          <w:jc w:val="center"/>
        </w:trPr>
        <w:tc>
          <w:tcPr>
            <w:tcW w:w="10064" w:type="dxa"/>
            <w:gridSpan w:val="3"/>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pageBreakBefore w:val="0"/>
              <w:widowControl w:val="0"/>
              <w:kinsoku/>
              <w:wordWrap/>
              <w:overflowPunct/>
              <w:topLinePunct w:val="0"/>
              <w:bidi w:val="0"/>
              <w:spacing w:line="440" w:lineRule="exact"/>
              <w:ind w:firstLine="480"/>
              <w:jc w:val="left"/>
              <w:textAlignment w:val="auto"/>
              <w:rPr>
                <w:rFonts w:hint="eastAsia" w:ascii="宋体" w:hAnsi="宋体" w:eastAsia="宋体" w:cs="宋体"/>
                <w:color w:val="auto"/>
                <w:sz w:val="24"/>
                <w:szCs w:val="24"/>
                <w:highlight w:val="none"/>
              </w:rPr>
            </w:pPr>
            <w:r>
              <w:rPr>
                <w:rFonts w:hint="eastAsia" w:hAnsi="宋体" w:cs="宋体"/>
                <w:sz w:val="24"/>
                <w:lang w:eastAsia="zh-CN"/>
              </w:rPr>
              <w:t>其他</w:t>
            </w:r>
            <w:r>
              <w:rPr>
                <w:rFonts w:hint="eastAsia" w:hAnsi="宋体" w:cs="宋体"/>
                <w:sz w:val="24"/>
                <w:lang w:val="en-US" w:eastAsia="zh-CN"/>
              </w:rPr>
              <w:t>：</w:t>
            </w:r>
            <w:r>
              <w:rPr>
                <w:rFonts w:hint="eastAsia" w:ascii="宋体" w:hAnsi="宋体" w:cs="宋体"/>
                <w:b/>
                <w:bCs/>
                <w:sz w:val="24"/>
              </w:rPr>
              <w:t>为提高采购效率，节省采购成本，已获取招标文件的供应商若放弃参加投标的，请在开标前3天之前以书面形式（或加盖单位公章的电子扫描件）通知招标代理机构</w:t>
            </w:r>
            <w:r>
              <w:rPr>
                <w:rFonts w:hint="eastAsia" w:ascii="宋体" w:hAnsi="宋体" w:cs="宋体"/>
                <w:b/>
                <w:bCs/>
                <w:sz w:val="24"/>
                <w:lang w:eastAsia="zh-CN"/>
              </w:rPr>
              <w:t>（格式附后）</w:t>
            </w:r>
            <w:r>
              <w:rPr>
                <w:rFonts w:hint="eastAsia" w:ascii="宋体" w:hAnsi="宋体" w:cs="宋体"/>
                <w:b/>
                <w:bCs/>
                <w:sz w:val="24"/>
              </w:rPr>
              <w:t>。</w:t>
            </w:r>
          </w:p>
        </w:tc>
      </w:tr>
    </w:tbl>
    <w:p>
      <w:pPr>
        <w:rPr>
          <w:rFonts w:hint="eastAsia" w:ascii="仿宋" w:hAnsi="仿宋" w:eastAsia="仿宋" w:cs="仿宋"/>
          <w:b/>
          <w:sz w:val="32"/>
          <w:szCs w:val="20"/>
        </w:rPr>
      </w:pPr>
      <w:r>
        <w:rPr>
          <w:rFonts w:hint="eastAsia" w:ascii="仿宋" w:hAnsi="仿宋" w:eastAsia="仿宋" w:cs="仿宋"/>
          <w:b/>
          <w:sz w:val="32"/>
          <w:szCs w:val="20"/>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仿宋" w:hAnsi="仿宋" w:eastAsia="仿宋" w:cs="仿宋"/>
          <w:b/>
          <w:sz w:val="32"/>
          <w:szCs w:val="20"/>
        </w:rPr>
      </w:pPr>
      <w:bookmarkStart w:id="9" w:name="_Toc20108"/>
      <w:r>
        <w:rPr>
          <w:rFonts w:hint="eastAsia" w:ascii="仿宋" w:hAnsi="仿宋" w:eastAsia="仿宋" w:cs="仿宋"/>
          <w:b/>
          <w:sz w:val="32"/>
          <w:szCs w:val="20"/>
        </w:rPr>
        <w:t>一、总则</w:t>
      </w:r>
      <w:bookmarkEnd w:id="9"/>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bookmarkStart w:id="10" w:name="_Toc91899879"/>
      <w:r>
        <w:rPr>
          <w:rFonts w:hint="eastAsia" w:ascii="宋体" w:hAnsi="宋体" w:eastAsia="宋体" w:cs="宋体"/>
          <w:sz w:val="24"/>
          <w:szCs w:val="24"/>
        </w:rPr>
        <w:t>1．项目说明</w:t>
      </w:r>
    </w:p>
    <w:p>
      <w:pPr>
        <w:pStyle w:val="33"/>
        <w:keepNext w:val="0"/>
        <w:keepLines w:val="0"/>
        <w:pageBreakBefore w:val="0"/>
        <w:widowControl w:val="0"/>
        <w:kinsoku/>
        <w:wordWrap/>
        <w:overflowPunct/>
        <w:topLinePunct w:val="0"/>
        <w:autoSpaceDE/>
        <w:autoSpaceDN/>
        <w:bidi w:val="0"/>
        <w:adjustRightInd w:val="0"/>
        <w:snapToGrid/>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1.1项目说明见前附表第1项所述。</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1.2供应商一旦参与本次招标活动，即被视为接受了本采购文件的所有内容，如有任何异议，均已在提疑截止时间前提出。</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供应商须对所投方案、技术、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宋体" w:hAnsi="宋体" w:eastAsia="宋体" w:cs="宋体"/>
          <w:color w:val="000000"/>
          <w:kern w:val="0"/>
          <w:sz w:val="24"/>
          <w:szCs w:val="24"/>
          <w:lang w:val="zh-CN"/>
        </w:rPr>
        <w:t>供应商</w:t>
      </w:r>
      <w:r>
        <w:rPr>
          <w:rFonts w:hint="eastAsia" w:ascii="宋体" w:hAnsi="宋体" w:eastAsia="宋体" w:cs="宋体"/>
          <w:color w:val="000000"/>
          <w:sz w:val="24"/>
          <w:szCs w:val="24"/>
        </w:rPr>
        <w:t>应承担相应后果，</w:t>
      </w:r>
      <w:r>
        <w:rPr>
          <w:rFonts w:hint="eastAsia" w:ascii="宋体" w:hAnsi="宋体" w:eastAsia="宋体" w:cs="宋体"/>
          <w:color w:val="000000"/>
          <w:kern w:val="0"/>
          <w:sz w:val="24"/>
          <w:szCs w:val="24"/>
          <w:lang w:val="zh-CN"/>
        </w:rPr>
        <w:t>并负责赔偿。</w:t>
      </w:r>
      <w:r>
        <w:rPr>
          <w:rFonts w:hint="eastAsia" w:ascii="宋体" w:hAnsi="宋体" w:eastAsia="宋体" w:cs="宋体"/>
          <w:color w:val="000000"/>
          <w:sz w:val="24"/>
          <w:szCs w:val="24"/>
        </w:rPr>
        <w:t>供应商为执行本项目合同而提供的技术资料等归甲方所有。</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合格供应商</w:t>
      </w:r>
    </w:p>
    <w:p>
      <w:pPr>
        <w:pageBreakBefore w:val="0"/>
        <w:widowControl w:val="0"/>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2.1详见</w:t>
      </w:r>
      <w:r>
        <w:rPr>
          <w:rFonts w:hint="eastAsia" w:ascii="宋体" w:hAnsi="宋体" w:eastAsia="宋体" w:cs="宋体"/>
          <w:bCs/>
          <w:color w:val="000000"/>
          <w:sz w:val="24"/>
          <w:szCs w:val="24"/>
        </w:rPr>
        <w:t>编制和提交投标文件须知前附表</w:t>
      </w:r>
      <w:r>
        <w:rPr>
          <w:rFonts w:hint="eastAsia" w:ascii="宋体" w:hAnsi="宋体" w:eastAsia="宋体" w:cs="宋体"/>
          <w:color w:val="000000"/>
          <w:sz w:val="24"/>
          <w:szCs w:val="24"/>
        </w:rPr>
        <w:t>的“供应商资格要求”。</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 定义</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3.1“甲方”系指采购人。</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3.2“招标代理”系指</w:t>
      </w:r>
      <w:r>
        <w:rPr>
          <w:rFonts w:hint="eastAsia" w:ascii="宋体" w:hAnsi="宋体" w:eastAsia="宋体" w:cs="宋体"/>
          <w:color w:val="000000"/>
          <w:sz w:val="24"/>
          <w:szCs w:val="24"/>
          <w:lang w:val="en-US" w:eastAsia="zh-CN"/>
        </w:rPr>
        <w:t>东方经纬工程项目管理有限公司</w:t>
      </w:r>
      <w:r>
        <w:rPr>
          <w:rFonts w:hint="eastAsia" w:ascii="宋体" w:hAnsi="宋体" w:eastAsia="宋体" w:cs="宋体"/>
          <w:color w:val="000000"/>
          <w:sz w:val="24"/>
          <w:szCs w:val="24"/>
        </w:rPr>
        <w:t>。</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3.3“供应商”系指向甲方提供采购文件所叙述的货物及服务的独立法人。</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3.4“服务”系指合同规定卖方须承担的安装、调试、技术协助、校准、培训、售后服务及其他义务。</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3.5“货物”系指卖方按合同要求，须向买方提供的一切材料、设备、机械、仪器、备件、配件、工具、手册及其他技术资料和文字资料。</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3.6“书面形式”包括信函、传真等。</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”系指实质性要求条款。</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0" w:firstLineChars="200"/>
        <w:jc w:val="both"/>
        <w:textAlignment w:val="auto"/>
        <w:rPr>
          <w:rFonts w:hint="eastAsia" w:ascii="宋体" w:hAnsi="宋体" w:eastAsia="宋体" w:cs="宋体"/>
          <w:b w:val="0"/>
          <w:bCs w:val="0"/>
          <w:sz w:val="24"/>
          <w:szCs w:val="24"/>
          <w:highlight w:val="none"/>
          <w:lang w:val="en-US" w:eastAsia="zh-CN"/>
        </w:rPr>
      </w:pPr>
      <w:bookmarkStart w:id="11" w:name="_Toc91899873"/>
      <w:r>
        <w:rPr>
          <w:rFonts w:hint="eastAsia" w:ascii="宋体" w:hAnsi="宋体" w:eastAsia="宋体" w:cs="宋体"/>
          <w:b w:val="0"/>
          <w:bCs w:val="0"/>
          <w:sz w:val="24"/>
          <w:szCs w:val="24"/>
          <w:highlight w:val="none"/>
          <w:lang w:val="en-US" w:eastAsia="zh-CN"/>
        </w:rPr>
        <w:t>3.8</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shd w:val="clear" w:color="auto" w:fill="FFFFFF"/>
        </w:rPr>
        <w:t>▲</w:t>
      </w:r>
      <w:r>
        <w:rPr>
          <w:rFonts w:hint="eastAsia" w:ascii="宋体" w:hAnsi="宋体" w:eastAsia="宋体" w:cs="宋体"/>
          <w:b w:val="0"/>
          <w:bCs w:val="0"/>
          <w:color w:val="000000"/>
          <w:sz w:val="24"/>
          <w:szCs w:val="24"/>
          <w:highlight w:val="none"/>
        </w:rPr>
        <w:t>”的为重要指标。</w:t>
      </w:r>
    </w:p>
    <w:p>
      <w:pPr>
        <w:pStyle w:val="5"/>
        <w:keepNext/>
        <w:keepLines/>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4．采购方式</w:t>
      </w:r>
      <w:bookmarkEnd w:id="11"/>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公开招标。</w:t>
      </w:r>
      <w:bookmarkStart w:id="12" w:name="_Hlt74388212"/>
      <w:bookmarkEnd w:id="12"/>
      <w:bookmarkStart w:id="13" w:name="_Hlt68516771"/>
      <w:bookmarkEnd w:id="13"/>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bookmarkStart w:id="14" w:name="_Toc91899877"/>
      <w:bookmarkStart w:id="15" w:name="_Hlt74730303"/>
      <w:r>
        <w:rPr>
          <w:rFonts w:hint="eastAsia" w:ascii="宋体" w:hAnsi="宋体" w:eastAsia="宋体" w:cs="宋体"/>
          <w:sz w:val="24"/>
          <w:szCs w:val="24"/>
        </w:rPr>
        <w:t>5．投标费用</w:t>
      </w:r>
      <w:bookmarkEnd w:id="14"/>
    </w:p>
    <w:bookmarkEnd w:id="15"/>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供应商应承担其编制投标文件与递交投标文件所涉及的一切费用。无论投标过程和结果如何，供应商需自行承担涉及投标的一切费用。</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6．联合体投标</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不</w:t>
      </w:r>
      <w:r>
        <w:rPr>
          <w:rFonts w:hint="eastAsia" w:ascii="宋体" w:hAnsi="宋体" w:eastAsia="宋体" w:cs="宋体"/>
          <w:color w:val="000000"/>
          <w:sz w:val="24"/>
          <w:szCs w:val="24"/>
        </w:rPr>
        <w:t>接受联合体投标。</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7．转包与分包</w:t>
      </w:r>
    </w:p>
    <w:p>
      <w:pPr>
        <w:pageBreakBefore w:val="0"/>
        <w:widowControl w:val="0"/>
        <w:tabs>
          <w:tab w:val="left" w:pos="3780"/>
        </w:tabs>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本项目不允许转包、分包。</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8．特别说明：</w:t>
      </w:r>
    </w:p>
    <w:p>
      <w:pPr>
        <w:pageBreakBefore w:val="0"/>
        <w:widowControl/>
        <w:kinsoku/>
        <w:wordWrap/>
        <w:overflowPunct/>
        <w:topLinePunct w:val="0"/>
        <w:bidi w:val="0"/>
        <w:snapToGrid/>
        <w:spacing w:line="46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8.1 </w:t>
      </w:r>
      <w:r>
        <w:rPr>
          <w:rFonts w:hint="eastAsia" w:ascii="宋体" w:hAnsi="宋体" w:eastAsia="宋体" w:cs="宋体"/>
          <w:color w:val="000000"/>
          <w:sz w:val="24"/>
          <w:szCs w:val="24"/>
        </w:rPr>
        <w:t>所称关联供应商,是指存在“关联关系”的企业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“关联关系”的界定适用《中华人民共和国公司法》217条之规定。</w:t>
      </w:r>
      <w:r>
        <w:rPr>
          <w:rFonts w:hint="eastAsia" w:ascii="宋体" w:hAnsi="宋体" w:eastAsia="宋体" w:cs="宋体"/>
          <w:bCs/>
          <w:color w:val="000000"/>
          <w:sz w:val="24"/>
          <w:szCs w:val="24"/>
        </w:rPr>
        <w:t>★</w:t>
      </w:r>
      <w:r>
        <w:rPr>
          <w:rFonts w:hint="eastAsia" w:ascii="宋体" w:hAnsi="宋体" w:eastAsia="宋体" w:cs="宋体"/>
          <w:color w:val="000000"/>
          <w:sz w:val="24"/>
          <w:szCs w:val="24"/>
        </w:rPr>
        <w:t>关联企业中，法定代表人为同一个的两个及以上的供应商，母公司、全资子公司及其控股公司，都不得同时投标，一经发现，将导致投标同时被拒绝。</w:t>
      </w:r>
    </w:p>
    <w:p>
      <w:pPr>
        <w:pageBreakBefore w:val="0"/>
        <w:widowControl/>
        <w:kinsoku/>
        <w:wordWrap/>
        <w:overflowPunct/>
        <w:topLinePunct w:val="0"/>
        <w:bidi w:val="0"/>
        <w:snapToGrid/>
        <w:spacing w:line="46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8.2供应商投标所使用的资格、信誉、荣誉、业绩与企业认证必须为本法人所拥有。供应商投标所使用的采购项目实施人员必须为本法人员工（或必须为本法人或其控股公司的工作人员）。</w:t>
      </w:r>
    </w:p>
    <w:p>
      <w:pPr>
        <w:pageBreakBefore w:val="0"/>
        <w:widowControl/>
        <w:kinsoku/>
        <w:wordWrap/>
        <w:overflowPunct/>
        <w:topLinePunct w:val="0"/>
        <w:bidi w:val="0"/>
        <w:snapToGrid/>
        <w:spacing w:line="46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供应商在投标活动中提供任何虚假材料或从事其他违法活动的,其投标无效，并报监管部门查处；中标后发现的,中标供应商须依照《中华人民共和国消费者权益保护法》第49条之规定双倍赔偿甲方。且民事赔偿并不免除违法供应商的行政与刑事责任。</w:t>
      </w:r>
    </w:p>
    <w:p>
      <w:pPr>
        <w:pageBreakBefore w:val="0"/>
        <w:kinsoku/>
        <w:wordWrap/>
        <w:overflowPunct/>
        <w:topLinePunct w:val="0"/>
        <w:autoSpaceDE w:val="0"/>
        <w:autoSpaceDN w:val="0"/>
        <w:bidi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8.4 供应商应仔细阅读采购文件的所有内容，按照采购文件的要求提交投标文件。投标文件应对采购文件的要求作出实质性响应，并对所提供的全部资料的真实性承担法律责任。</w:t>
      </w:r>
      <w:r>
        <w:rPr>
          <w:rFonts w:hint="eastAsia" w:ascii="宋体" w:hAnsi="宋体" w:eastAsia="宋体" w:cs="宋体"/>
          <w:color w:val="000000"/>
          <w:sz w:val="24"/>
          <w:szCs w:val="24"/>
        </w:rPr>
        <w:t xml:space="preserve"> </w:t>
      </w:r>
      <w:bookmarkStart w:id="16" w:name="_Hlt75236290"/>
      <w:bookmarkEnd w:id="16"/>
      <w:bookmarkStart w:id="17" w:name="_Hlt68072990"/>
      <w:bookmarkEnd w:id="17"/>
      <w:bookmarkStart w:id="18" w:name="_Hlt74729768"/>
      <w:bookmarkEnd w:id="18"/>
      <w:bookmarkStart w:id="19" w:name="_Hlt68057669"/>
      <w:bookmarkEnd w:id="19"/>
      <w:bookmarkStart w:id="20" w:name="_Hlt74707468"/>
      <w:bookmarkEnd w:id="20"/>
    </w:p>
    <w:p>
      <w:pPr>
        <w:pStyle w:val="47"/>
        <w:pageBreakBefore w:val="0"/>
        <w:kinsoku/>
        <w:wordWrap/>
        <w:overflowPunct/>
        <w:topLinePunct w:val="0"/>
        <w:bidi w:val="0"/>
        <w:snapToGrid/>
        <w:spacing w:line="4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8.5 多家供应商同一品牌参加投标，评审时，取其中通过资格审查后的报价最低一家为有效供应商；当报价相同时，则以技术标最优为有效供应商；均相同时，由比选评审小组集体决定。</w:t>
      </w:r>
    </w:p>
    <w:p>
      <w:pPr>
        <w:pStyle w:val="4"/>
        <w:pageBreakBefore w:val="0"/>
        <w:kinsoku/>
        <w:wordWrap/>
        <w:overflowPunct/>
        <w:topLinePunct w:val="0"/>
        <w:bidi w:val="0"/>
        <w:spacing w:line="460" w:lineRule="exact"/>
        <w:jc w:val="center"/>
        <w:textAlignment w:val="auto"/>
        <w:rPr>
          <w:rFonts w:hint="eastAsia" w:ascii="宋体" w:hAnsi="宋体" w:eastAsia="宋体" w:cs="宋体"/>
          <w:sz w:val="32"/>
        </w:rPr>
      </w:pPr>
      <w:bookmarkStart w:id="21" w:name="_Toc33718204"/>
      <w:r>
        <w:rPr>
          <w:rFonts w:hint="eastAsia" w:ascii="宋体" w:hAnsi="宋体" w:eastAsia="宋体" w:cs="宋体"/>
          <w:sz w:val="32"/>
        </w:rPr>
        <w:t>二、采购文件</w:t>
      </w:r>
      <w:bookmarkEnd w:id="10"/>
      <w:bookmarkEnd w:id="21"/>
    </w:p>
    <w:p>
      <w:pPr>
        <w:pStyle w:val="5"/>
        <w:pageBreakBefore w:val="0"/>
        <w:widowControl w:val="0"/>
        <w:tabs>
          <w:tab w:val="left" w:pos="2651"/>
          <w:tab w:val="clear" w:pos="720"/>
        </w:tabs>
        <w:kinsoku/>
        <w:wordWrap/>
        <w:overflowPunct/>
        <w:topLinePunct w:val="0"/>
        <w:bidi w:val="0"/>
        <w:adjustRightInd w:val="0"/>
        <w:spacing w:before="0" w:after="0" w:line="460" w:lineRule="exact"/>
        <w:ind w:left="0" w:firstLine="482" w:firstLineChars="200"/>
        <w:jc w:val="both"/>
        <w:textAlignment w:val="auto"/>
        <w:rPr>
          <w:rFonts w:hint="eastAsia" w:ascii="宋体" w:hAnsi="宋体" w:eastAsia="宋体" w:cs="宋体"/>
          <w:sz w:val="24"/>
          <w:szCs w:val="24"/>
        </w:rPr>
      </w:pPr>
      <w:bookmarkStart w:id="22" w:name="_Toc91899880"/>
      <w:bookmarkStart w:id="23" w:name="_Hlt74730307"/>
      <w:r>
        <w:rPr>
          <w:rFonts w:hint="eastAsia" w:ascii="宋体" w:hAnsi="宋体" w:eastAsia="宋体" w:cs="宋体"/>
          <w:sz w:val="24"/>
          <w:szCs w:val="24"/>
        </w:rPr>
        <w:t>9.采购文件的构成</w:t>
      </w:r>
      <w:bookmarkEnd w:id="22"/>
    </w:p>
    <w:bookmarkEnd w:id="23"/>
    <w:p>
      <w:pPr>
        <w:pStyle w:val="15"/>
        <w:pageBreakBefore w:val="0"/>
        <w:widowControl w:val="0"/>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9.1 采购文件包括下列文件及附件</w:t>
      </w:r>
    </w:p>
    <w:p>
      <w:pPr>
        <w:pStyle w:val="15"/>
        <w:pageBreakBefore w:val="0"/>
        <w:widowControl w:val="0"/>
        <w:numPr>
          <w:ilvl w:val="0"/>
          <w:numId w:val="5"/>
        </w:numPr>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第一章 招标公告</w:t>
      </w:r>
    </w:p>
    <w:p>
      <w:pPr>
        <w:pStyle w:val="15"/>
        <w:pageBreakBefore w:val="0"/>
        <w:widowControl w:val="0"/>
        <w:numPr>
          <w:ilvl w:val="0"/>
          <w:numId w:val="5"/>
        </w:numPr>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第二章 </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须知</w:t>
      </w:r>
    </w:p>
    <w:p>
      <w:pPr>
        <w:pStyle w:val="15"/>
        <w:pageBreakBefore w:val="0"/>
        <w:widowControl w:val="0"/>
        <w:numPr>
          <w:ilvl w:val="0"/>
          <w:numId w:val="5"/>
        </w:numPr>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第三章 </w:t>
      </w:r>
      <w:r>
        <w:rPr>
          <w:rFonts w:hint="eastAsia" w:ascii="宋体" w:hAnsi="宋体" w:eastAsia="宋体" w:cs="宋体"/>
          <w:color w:val="000000"/>
          <w:sz w:val="24"/>
          <w:szCs w:val="24"/>
          <w:lang w:val="en-US" w:eastAsia="zh-CN"/>
        </w:rPr>
        <w:t>采购需求</w:t>
      </w:r>
    </w:p>
    <w:p>
      <w:pPr>
        <w:pStyle w:val="15"/>
        <w:pageBreakBefore w:val="0"/>
        <w:widowControl w:val="0"/>
        <w:numPr>
          <w:ilvl w:val="0"/>
          <w:numId w:val="5"/>
        </w:numPr>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第四章 </w:t>
      </w:r>
      <w:r>
        <w:rPr>
          <w:rFonts w:hint="eastAsia" w:ascii="宋体" w:hAnsi="宋体" w:eastAsia="宋体" w:cs="宋体"/>
          <w:color w:val="000000"/>
          <w:sz w:val="24"/>
          <w:szCs w:val="24"/>
          <w:lang w:val="en-US" w:eastAsia="zh-CN"/>
        </w:rPr>
        <w:t>评标办法</w:t>
      </w:r>
    </w:p>
    <w:p>
      <w:pPr>
        <w:pStyle w:val="15"/>
        <w:pageBreakBefore w:val="0"/>
        <w:widowControl w:val="0"/>
        <w:numPr>
          <w:ilvl w:val="0"/>
          <w:numId w:val="5"/>
        </w:numPr>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第五章</w:t>
      </w:r>
      <w:r>
        <w:rPr>
          <w:rFonts w:hint="eastAsia" w:ascii="宋体" w:hAnsi="宋体" w:eastAsia="宋体" w:cs="宋体"/>
          <w:color w:val="000000"/>
          <w:sz w:val="24"/>
          <w:szCs w:val="24"/>
          <w:lang w:val="en-US" w:eastAsia="zh-CN"/>
        </w:rPr>
        <w:t xml:space="preserve"> 合同格式及合同条款</w:t>
      </w:r>
    </w:p>
    <w:p>
      <w:pPr>
        <w:pStyle w:val="15"/>
        <w:pageBreakBefore w:val="0"/>
        <w:widowControl w:val="0"/>
        <w:numPr>
          <w:ilvl w:val="0"/>
          <w:numId w:val="5"/>
        </w:numPr>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章 投标文件格式</w:t>
      </w:r>
    </w:p>
    <w:p>
      <w:pPr>
        <w:pStyle w:val="15"/>
        <w:pageBreakBefore w:val="0"/>
        <w:widowControl w:val="0"/>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9.2  供应商应认真审阅采购文件中所有的内容，包括编制和提交采购响应文件须知、项目技术规范和服务要求、采购合同的一般和特殊条款、应提交的有关格式范例等。如果供应商编制的投标文件没有从实质上响应采购文件的要求，其投标文件将被采购人拒绝。</w:t>
      </w:r>
    </w:p>
    <w:p>
      <w:pPr>
        <w:pStyle w:val="5"/>
        <w:pageBreakBefore w:val="0"/>
        <w:widowControl w:val="0"/>
        <w:tabs>
          <w:tab w:val="left" w:pos="2651"/>
          <w:tab w:val="clear" w:pos="720"/>
        </w:tabs>
        <w:kinsoku/>
        <w:wordWrap/>
        <w:overflowPunct/>
        <w:topLinePunct w:val="0"/>
        <w:bidi w:val="0"/>
        <w:adjustRightInd w:val="0"/>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10.采购文件的解释</w:t>
      </w:r>
    </w:p>
    <w:p>
      <w:pPr>
        <w:pStyle w:val="33"/>
        <w:pageBreakBefore w:val="0"/>
        <w:widowControl w:val="0"/>
        <w:kinsoku/>
        <w:wordWrap/>
        <w:overflowPunct/>
        <w:topLinePunct w:val="0"/>
        <w:bidi w:val="0"/>
        <w:adjustRightInd w:val="0"/>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供应商如认为采购文件表述不清晰、存在歧视性、排他性或者其他违法内容的，自收到采购文件之日（发售截止日之后收到采购文件的，以发售截止日为准）或者采购文件公告期限届满之日（采购公告为公告发布后的第6个工作日）起7个工作日内，以书面形式向甲方和采购代理机构提出质疑。代理公司按法规规定的时间内进行回复。</w:t>
      </w:r>
    </w:p>
    <w:p>
      <w:pPr>
        <w:pStyle w:val="33"/>
        <w:pageBreakBefore w:val="0"/>
        <w:widowControl w:val="0"/>
        <w:kinsoku/>
        <w:wordWrap/>
        <w:overflowPunct/>
        <w:topLinePunct w:val="0"/>
        <w:bidi w:val="0"/>
        <w:adjustRightInd w:val="0"/>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10.2可以对已发出的招标文件进行必要的澄清或者修改，澄清或者修改应当在原公告发布媒体上发布澄清公告。澄清或者修改的内容为招标文件的组成部分。</w:t>
      </w:r>
    </w:p>
    <w:p>
      <w:pPr>
        <w:pStyle w:val="33"/>
        <w:pageBreakBefore w:val="0"/>
        <w:widowControl w:val="0"/>
        <w:kinsoku/>
        <w:wordWrap/>
        <w:overflowPunct/>
        <w:topLinePunct w:val="0"/>
        <w:bidi w:val="0"/>
        <w:adjustRightInd w:val="0"/>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10.3不论采购人向供应商发送的资料文件，还是供应商提出的问题，均采用书面形式，任何口头提问及答复一律无效。</w:t>
      </w:r>
    </w:p>
    <w:p>
      <w:pPr>
        <w:pStyle w:val="5"/>
        <w:pageBreakBefore w:val="0"/>
        <w:widowControl w:val="0"/>
        <w:tabs>
          <w:tab w:val="left" w:pos="2651"/>
          <w:tab w:val="clear" w:pos="720"/>
        </w:tabs>
        <w:kinsoku/>
        <w:wordWrap/>
        <w:overflowPunct/>
        <w:topLinePunct w:val="0"/>
        <w:bidi w:val="0"/>
        <w:adjustRightInd w:val="0"/>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11.采购文件的修改</w:t>
      </w:r>
    </w:p>
    <w:p>
      <w:pPr>
        <w:pStyle w:val="33"/>
        <w:pageBreakBefore w:val="0"/>
        <w:widowControl w:val="0"/>
        <w:kinsoku/>
        <w:wordWrap/>
        <w:overflowPunct/>
        <w:topLinePunct w:val="0"/>
        <w:bidi w:val="0"/>
        <w:adjustRightInd w:val="0"/>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 从采购文件发出至投标截止日期，采购人可能会以补充通知的方式修改采购文件。补充通知作为采购文件的组成部分，以书面形式同时发给所有采购文件的收受人。</w:t>
      </w:r>
    </w:p>
    <w:p>
      <w:pPr>
        <w:pageBreakBefore w:val="0"/>
        <w:widowControl w:val="0"/>
        <w:kinsoku/>
        <w:wordWrap/>
        <w:overflowPunct/>
        <w:topLinePunct w:val="0"/>
        <w:autoSpaceDE w:val="0"/>
        <w:autoSpaceDN w:val="0"/>
        <w:bidi w:val="0"/>
        <w:adjustRightInd w:val="0"/>
        <w:spacing w:line="460" w:lineRule="exact"/>
        <w:ind w:left="0"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11.2 若有必要，采购人将酌情延长递交投标文件的截止日期。</w:t>
      </w:r>
    </w:p>
    <w:p>
      <w:pPr>
        <w:pStyle w:val="5"/>
        <w:pageBreakBefore w:val="0"/>
        <w:widowControl w:val="0"/>
        <w:tabs>
          <w:tab w:val="left" w:pos="2651"/>
          <w:tab w:val="clear" w:pos="720"/>
        </w:tabs>
        <w:kinsoku/>
        <w:wordWrap/>
        <w:overflowPunct/>
        <w:topLinePunct w:val="0"/>
        <w:bidi w:val="0"/>
        <w:adjustRightInd w:val="0"/>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12.投标报价</w:t>
      </w:r>
    </w:p>
    <w:p>
      <w:pPr>
        <w:pageBreakBefore w:val="0"/>
        <w:widowControl w:val="0"/>
        <w:kinsoku/>
        <w:wordWrap/>
        <w:overflowPunct/>
        <w:topLinePunct w:val="0"/>
        <w:bidi w:val="0"/>
        <w:adjustRightInd w:val="0"/>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12.1费用</w:t>
      </w:r>
    </w:p>
    <w:p>
      <w:pPr>
        <w:pageBreakBefore w:val="0"/>
        <w:widowControl w:val="0"/>
        <w:kinsoku/>
        <w:wordWrap/>
        <w:overflowPunct/>
        <w:topLinePunct w:val="0"/>
        <w:bidi w:val="0"/>
        <w:adjustRightInd w:val="0"/>
        <w:snapToGrid w:val="0"/>
        <w:spacing w:line="460" w:lineRule="exact"/>
        <w:ind w:lef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投标报价是履行合同的最终价格，即完成本项目服务内容和要求所产生的所有费用。</w:t>
      </w:r>
    </w:p>
    <w:p>
      <w:pPr>
        <w:pStyle w:val="33"/>
        <w:pageBreakBefore w:val="0"/>
        <w:widowControl w:val="0"/>
        <w:kinsoku/>
        <w:wordWrap/>
        <w:overflowPunct/>
        <w:topLinePunct w:val="0"/>
        <w:bidi w:val="0"/>
        <w:adjustRightInd w:val="0"/>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12.2投标货币</w:t>
      </w:r>
    </w:p>
    <w:p>
      <w:pPr>
        <w:pStyle w:val="33"/>
        <w:pageBreakBefore w:val="0"/>
        <w:widowControl w:val="0"/>
        <w:kinsoku/>
        <w:wordWrap/>
        <w:overflowPunct/>
        <w:topLinePunct w:val="0"/>
        <w:bidi w:val="0"/>
        <w:adjustRightInd w:val="0"/>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投标文件中价格全部采用人民币报价。报价应是唯一的, 采购人将不接受有选择的报价。</w:t>
      </w:r>
    </w:p>
    <w:p>
      <w:pPr>
        <w:pStyle w:val="33"/>
        <w:pageBreakBefore w:val="0"/>
        <w:widowControl w:val="0"/>
        <w:kinsoku/>
        <w:wordWrap/>
        <w:overflowPunct/>
        <w:topLinePunct w:val="0"/>
        <w:bidi w:val="0"/>
        <w:adjustRightInd w:val="0"/>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12.3供应商对在合同执行中，除有关费用及采购文件规定的由中标人负责的工作范围以外需要采购人协调或提供便利的工作应当在投标文件中说明。</w:t>
      </w:r>
    </w:p>
    <w:p>
      <w:pPr>
        <w:pageBreakBefore w:val="0"/>
        <w:widowControl w:val="0"/>
        <w:kinsoku/>
        <w:wordWrap/>
        <w:overflowPunct/>
        <w:topLinePunct w:val="0"/>
        <w:bidi w:val="0"/>
        <w:adjustRightInd w:val="0"/>
        <w:snapToGrid w:val="0"/>
        <w:spacing w:line="460" w:lineRule="exact"/>
        <w:ind w:lef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12.4投标人应充分考虑因各种原因可能发生的费用。对没有填报的费用，招标人认为所有费用已包含在总价中，除合同条款另有规定外，不得进行调整。</w:t>
      </w:r>
    </w:p>
    <w:p>
      <w:pPr>
        <w:pStyle w:val="4"/>
        <w:pageBreakBefore w:val="0"/>
        <w:kinsoku/>
        <w:wordWrap/>
        <w:overflowPunct/>
        <w:topLinePunct w:val="0"/>
        <w:bidi w:val="0"/>
        <w:spacing w:line="460" w:lineRule="exact"/>
        <w:jc w:val="center"/>
        <w:textAlignment w:val="auto"/>
        <w:rPr>
          <w:rFonts w:hint="eastAsia" w:ascii="宋体" w:hAnsi="宋体" w:eastAsia="宋体" w:cs="宋体"/>
          <w:sz w:val="32"/>
        </w:rPr>
      </w:pPr>
      <w:bookmarkStart w:id="24" w:name="_Hlt75236011"/>
      <w:bookmarkEnd w:id="24"/>
      <w:bookmarkStart w:id="25" w:name="_Toc33718205"/>
      <w:bookmarkStart w:id="26" w:name="_Toc91899884"/>
      <w:r>
        <w:rPr>
          <w:rFonts w:hint="eastAsia" w:ascii="宋体" w:hAnsi="宋体" w:eastAsia="宋体" w:cs="宋体"/>
          <w:sz w:val="32"/>
        </w:rPr>
        <w:t>三、投标文件的编制</w:t>
      </w:r>
      <w:bookmarkEnd w:id="25"/>
      <w:bookmarkEnd w:id="26"/>
    </w:p>
    <w:p>
      <w:pPr>
        <w:pStyle w:val="33"/>
        <w:pageBreakBefore w:val="0"/>
        <w:widowControl w:val="0"/>
        <w:kinsoku/>
        <w:wordWrap/>
        <w:overflowPunct/>
        <w:topLinePunct w:val="0"/>
        <w:bidi w:val="0"/>
        <w:adjustRightInd w:val="0"/>
        <w:spacing w:before="0" w:line="460" w:lineRule="exact"/>
        <w:ind w:left="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bCs/>
          <w:kern w:val="0"/>
          <w:sz w:val="24"/>
          <w:szCs w:val="24"/>
        </w:rPr>
        <w:t>13.</w:t>
      </w:r>
      <w:r>
        <w:rPr>
          <w:rFonts w:hint="eastAsia" w:ascii="宋体" w:hAnsi="宋体" w:eastAsia="宋体" w:cs="宋体"/>
          <w:b/>
          <w:color w:val="000000"/>
          <w:sz w:val="24"/>
          <w:szCs w:val="24"/>
        </w:rPr>
        <w:t xml:space="preserve"> 投标文件的语言</w:t>
      </w:r>
    </w:p>
    <w:p>
      <w:pPr>
        <w:pageBreakBefore w:val="0"/>
        <w:widowControl w:val="0"/>
        <w:kinsoku/>
        <w:wordWrap/>
        <w:overflowPunct/>
        <w:topLinePunct w:val="0"/>
        <w:autoSpaceDE w:val="0"/>
        <w:autoSpaceDN w:val="0"/>
        <w:bidi w:val="0"/>
        <w:adjustRightInd w:val="0"/>
        <w:spacing w:line="460" w:lineRule="exact"/>
        <w:ind w:left="0" w:right="0"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投标文件及供应商与采购有关的来往通知、函件和文件均应使用中文。</w:t>
      </w:r>
    </w:p>
    <w:p>
      <w:pPr>
        <w:pStyle w:val="5"/>
        <w:pageBreakBefore w:val="0"/>
        <w:widowControl w:val="0"/>
        <w:tabs>
          <w:tab w:val="left" w:pos="2651"/>
          <w:tab w:val="clear" w:pos="720"/>
        </w:tabs>
        <w:kinsoku/>
        <w:wordWrap/>
        <w:overflowPunct/>
        <w:topLinePunct w:val="0"/>
        <w:bidi w:val="0"/>
        <w:adjustRightInd w:val="0"/>
        <w:spacing w:before="0" w:after="0" w:line="460" w:lineRule="exact"/>
        <w:ind w:left="0" w:right="0" w:firstLine="482"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14.投标文件的组成</w:t>
      </w:r>
    </w:p>
    <w:p>
      <w:pPr>
        <w:pageBreakBefore w:val="0"/>
        <w:widowControl w:val="0"/>
        <w:kinsoku/>
        <w:wordWrap/>
        <w:overflowPunct/>
        <w:topLinePunct w:val="0"/>
        <w:autoSpaceDE w:val="0"/>
        <w:autoSpaceDN w:val="0"/>
        <w:bidi w:val="0"/>
        <w:adjustRightInd w:val="0"/>
        <w:spacing w:line="4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zh-CN"/>
        </w:rPr>
        <w:t>投标文件由</w:t>
      </w:r>
      <w:r>
        <w:rPr>
          <w:rFonts w:hint="eastAsia" w:ascii="宋体" w:hAnsi="宋体" w:eastAsia="宋体" w:cs="宋体"/>
          <w:b/>
          <w:color w:val="000000"/>
          <w:sz w:val="24"/>
          <w:szCs w:val="24"/>
          <w:lang w:val="zh-CN"/>
        </w:rPr>
        <w:t>资格文件、资信技术文件、报价文件三部分</w:t>
      </w:r>
      <w:r>
        <w:rPr>
          <w:rFonts w:hint="eastAsia" w:ascii="宋体" w:hAnsi="宋体" w:eastAsia="宋体" w:cs="宋体"/>
          <w:color w:val="000000"/>
          <w:sz w:val="24"/>
          <w:szCs w:val="24"/>
          <w:lang w:val="zh-CN"/>
        </w:rPr>
        <w:t>组成。以下列出的为投标文件的详细组成部分，请供应商按照以下要求制作投标文件。</w:t>
      </w:r>
    </w:p>
    <w:p>
      <w:pPr>
        <w:pageBreakBefore w:val="0"/>
        <w:widowControl w:val="0"/>
        <w:kinsoku/>
        <w:wordWrap/>
        <w:overflowPunct/>
        <w:topLinePunct w:val="0"/>
        <w:bidi w:val="0"/>
        <w:adjustRightInd w:val="0"/>
        <w:snapToGrid w:val="0"/>
        <w:spacing w:line="460" w:lineRule="exact"/>
        <w:ind w:left="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14.1资格文件的组成</w:t>
      </w:r>
      <w:r>
        <w:rPr>
          <w:rFonts w:hint="eastAsia" w:ascii="宋体" w:hAnsi="宋体" w:eastAsia="宋体" w:cs="宋体"/>
          <w:b/>
          <w:bCs/>
          <w:color w:val="000000"/>
          <w:sz w:val="24"/>
          <w:szCs w:val="24"/>
        </w:rPr>
        <w:t>（均需加盖公章）</w:t>
      </w:r>
      <w:r>
        <w:rPr>
          <w:rFonts w:hint="eastAsia" w:ascii="宋体" w:hAnsi="宋体" w:eastAsia="宋体" w:cs="宋体"/>
          <w:b/>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）营业执照扫描件；</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落实政府采购政策需满足的资格要求</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提供中小企业声明函</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本项目的特定资格要求</w:t>
      </w:r>
      <w:r>
        <w:rPr>
          <w:rFonts w:hint="eastAsia" w:ascii="宋体" w:hAnsi="宋体" w:eastAsia="宋体" w:cs="宋体"/>
          <w:color w:val="auto"/>
          <w:sz w:val="24"/>
          <w:szCs w:val="24"/>
          <w:lang w:eastAsia="zh-CN"/>
        </w:rPr>
        <w:t>（若有）</w:t>
      </w:r>
      <w:r>
        <w:rPr>
          <w:rFonts w:hint="eastAsia" w:ascii="宋体" w:hAnsi="宋体" w:eastAsia="宋体" w:cs="宋体"/>
          <w:color w:val="auto"/>
          <w:sz w:val="24"/>
          <w:szCs w:val="24"/>
        </w:rPr>
        <w:t>。</w:t>
      </w:r>
    </w:p>
    <w:p>
      <w:pPr>
        <w:pageBreakBefore w:val="0"/>
        <w:widowControl w:val="0"/>
        <w:kinsoku/>
        <w:wordWrap/>
        <w:overflowPunct/>
        <w:topLinePunct w:val="0"/>
        <w:bidi w:val="0"/>
        <w:adjustRightInd w:val="0"/>
        <w:snapToGrid w:val="0"/>
        <w:spacing w:line="460" w:lineRule="exact"/>
        <w:ind w:left="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14.2资信技术文件的组成：</w:t>
      </w:r>
    </w:p>
    <w:p>
      <w:pPr>
        <w:keepNext w:val="0"/>
        <w:keepLines w:val="0"/>
        <w:pageBreakBefore w:val="0"/>
        <w:widowControl w:val="0"/>
        <w:kinsoku/>
        <w:wordWrap/>
        <w:overflowPunct/>
        <w:topLinePunct w:val="0"/>
        <w:autoSpaceDE/>
        <w:autoSpaceDN/>
        <w:bidi w:val="0"/>
        <w:snapToGrid w:val="0"/>
        <w:spacing w:beforeAutospacing="0" w:afterAutospacing="0" w:line="460" w:lineRule="exact"/>
        <w:ind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（1）评分索引表</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格式附后</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w:t>
      </w:r>
    </w:p>
    <w:p>
      <w:pPr>
        <w:keepNext w:val="0"/>
        <w:keepLines w:val="0"/>
        <w:pageBreakBefore w:val="0"/>
        <w:widowControl w:val="0"/>
        <w:tabs>
          <w:tab w:val="left" w:pos="4018"/>
        </w:tabs>
        <w:kinsoku/>
        <w:wordWrap/>
        <w:overflowPunct/>
        <w:topLinePunct w:val="0"/>
        <w:autoSpaceDE/>
        <w:autoSpaceDN/>
        <w:bidi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（2）投标声明书 (格式附后) ；</w:t>
      </w:r>
    </w:p>
    <w:p>
      <w:pPr>
        <w:keepNext w:val="0"/>
        <w:keepLines w:val="0"/>
        <w:pageBreakBefore w:val="0"/>
        <w:widowControl w:val="0"/>
        <w:tabs>
          <w:tab w:val="left" w:pos="4018"/>
        </w:tabs>
        <w:kinsoku/>
        <w:wordWrap/>
        <w:overflowPunct/>
        <w:topLinePunct w:val="0"/>
        <w:autoSpaceDE/>
        <w:autoSpaceDN/>
        <w:bidi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（3）提供有效的营业执照；</w:t>
      </w:r>
    </w:p>
    <w:p>
      <w:pPr>
        <w:keepNext w:val="0"/>
        <w:keepLines w:val="0"/>
        <w:pageBreakBefore w:val="0"/>
        <w:widowControl w:val="0"/>
        <w:tabs>
          <w:tab w:val="left" w:pos="4018"/>
        </w:tabs>
        <w:kinsoku/>
        <w:wordWrap/>
        <w:overflowPunct/>
        <w:topLinePunct w:val="0"/>
        <w:autoSpaceDE/>
        <w:autoSpaceDN/>
        <w:bidi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（4）投标人须提供法定代表人身份证明书或法人授权委托书；</w:t>
      </w:r>
    </w:p>
    <w:p>
      <w:pPr>
        <w:keepNext w:val="0"/>
        <w:keepLines w:val="0"/>
        <w:pageBreakBefore w:val="0"/>
        <w:widowControl w:val="0"/>
        <w:tabs>
          <w:tab w:val="left" w:pos="4018"/>
        </w:tabs>
        <w:kinsoku/>
        <w:wordWrap/>
        <w:overflowPunct/>
        <w:topLinePunct w:val="0"/>
        <w:autoSpaceDE/>
        <w:autoSpaceDN/>
        <w:bidi w:val="0"/>
        <w:adjustRightInd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（5）投标人情况介绍（格式</w:t>
      </w:r>
      <w:r>
        <w:rPr>
          <w:rFonts w:hint="eastAsia" w:ascii="宋体" w:hAnsi="宋体" w:eastAsia="宋体" w:cs="宋体"/>
          <w:bCs/>
          <w:color w:val="auto"/>
          <w:sz w:val="24"/>
          <w:szCs w:val="24"/>
        </w:rPr>
        <w:t>附后</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keepNext w:val="0"/>
        <w:keepLines w:val="0"/>
        <w:pageBreakBefore w:val="0"/>
        <w:widowControl w:val="0"/>
        <w:tabs>
          <w:tab w:val="left" w:pos="4018"/>
        </w:tabs>
        <w:kinsoku/>
        <w:wordWrap/>
        <w:overflowPunct/>
        <w:topLinePunct w:val="0"/>
        <w:autoSpaceDE/>
        <w:autoSpaceDN/>
        <w:bidi w:val="0"/>
        <w:adjustRightInd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项目实施人员一览表；</w:t>
      </w:r>
    </w:p>
    <w:p>
      <w:pPr>
        <w:keepNext w:val="0"/>
        <w:keepLines w:val="0"/>
        <w:pageBreakBefore w:val="0"/>
        <w:widowControl w:val="0"/>
        <w:tabs>
          <w:tab w:val="left" w:pos="4018"/>
        </w:tabs>
        <w:kinsoku/>
        <w:wordWrap/>
        <w:overflowPunct/>
        <w:topLinePunct w:val="0"/>
        <w:autoSpaceDE/>
        <w:autoSpaceDN/>
        <w:bidi w:val="0"/>
        <w:adjustRightInd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（7）项目负责人情况表；</w:t>
      </w:r>
    </w:p>
    <w:p>
      <w:pPr>
        <w:keepNext w:val="0"/>
        <w:keepLines w:val="0"/>
        <w:pageBreakBefore w:val="0"/>
        <w:widowControl w:val="0"/>
        <w:tabs>
          <w:tab w:val="left" w:pos="4018"/>
        </w:tabs>
        <w:kinsoku/>
        <w:wordWrap/>
        <w:overflowPunct/>
        <w:topLinePunct w:val="0"/>
        <w:autoSpaceDE/>
        <w:autoSpaceDN/>
        <w:bidi w:val="0"/>
        <w:adjustRightInd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）商务技术条款偏离表（格式</w:t>
      </w:r>
      <w:r>
        <w:rPr>
          <w:rFonts w:hint="eastAsia" w:ascii="宋体" w:hAnsi="宋体" w:eastAsia="宋体" w:cs="宋体"/>
          <w:bCs/>
          <w:color w:val="auto"/>
          <w:sz w:val="24"/>
          <w:szCs w:val="24"/>
        </w:rPr>
        <w:t>附后</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keepNext w:val="0"/>
        <w:keepLines w:val="0"/>
        <w:pageBreakBefore w:val="0"/>
        <w:widowControl w:val="0"/>
        <w:tabs>
          <w:tab w:val="left" w:pos="4018"/>
        </w:tabs>
        <w:kinsoku/>
        <w:wordWrap/>
        <w:overflowPunct/>
        <w:topLinePunct w:val="0"/>
        <w:autoSpaceDE/>
        <w:autoSpaceDN/>
        <w:bidi w:val="0"/>
        <w:adjustRightInd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类似项目实施情况一览表；</w:t>
      </w:r>
    </w:p>
    <w:p>
      <w:pPr>
        <w:keepNext w:val="0"/>
        <w:keepLines w:val="0"/>
        <w:pageBreakBefore w:val="0"/>
        <w:widowControl w:val="0"/>
        <w:tabs>
          <w:tab w:val="left" w:pos="4018"/>
        </w:tabs>
        <w:kinsoku/>
        <w:wordWrap/>
        <w:overflowPunct/>
        <w:topLinePunct w:val="0"/>
        <w:autoSpaceDE/>
        <w:autoSpaceDN/>
        <w:bidi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）可根据评分项所涉及的内容进行编制详细内容；（格式自拟）</w:t>
      </w:r>
    </w:p>
    <w:p>
      <w:pPr>
        <w:keepNext w:val="0"/>
        <w:keepLines w:val="0"/>
        <w:pageBreakBefore w:val="0"/>
        <w:widowControl w:val="0"/>
        <w:tabs>
          <w:tab w:val="left" w:pos="4018"/>
        </w:tabs>
        <w:kinsoku/>
        <w:wordWrap/>
        <w:overflowPunct/>
        <w:topLinePunct w:val="0"/>
        <w:autoSpaceDE/>
        <w:autoSpaceDN/>
        <w:bidi w:val="0"/>
        <w:snapToGrid w:val="0"/>
        <w:spacing w:beforeAutospacing="0" w:afterAutospacing="0"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投标人认为与评分有关的需要提供的其他资料。</w:t>
      </w:r>
    </w:p>
    <w:p>
      <w:pPr>
        <w:pageBreakBefore w:val="0"/>
        <w:widowControl w:val="0"/>
        <w:tabs>
          <w:tab w:val="left" w:pos="720"/>
          <w:tab w:val="left" w:pos="1140"/>
        </w:tabs>
        <w:kinsoku/>
        <w:wordWrap/>
        <w:overflowPunct/>
        <w:topLinePunct w:val="0"/>
        <w:autoSpaceDE w:val="0"/>
        <w:autoSpaceDN w:val="0"/>
        <w:bidi w:val="0"/>
        <w:adjustRightInd w:val="0"/>
        <w:spacing w:line="460" w:lineRule="exact"/>
        <w:ind w:left="0" w:right="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14.3报价文件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开标一览表（报价表）</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pacing w:line="460" w:lineRule="exact"/>
        <w:ind w:leftChars="200"/>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）中小企业声明函。</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供应商提供以上资料复印件（加盖单位公章）。供应商应保证以上资料真实有效，必要时须提供原件进行核验，如发现弄虚作假，将取消投标资格，已中标的取消中标资格，并按有关规定处罚。</w:t>
      </w:r>
    </w:p>
    <w:p>
      <w:pPr>
        <w:pStyle w:val="5"/>
        <w:pageBreakBefore w:val="0"/>
        <w:widowControl w:val="0"/>
        <w:tabs>
          <w:tab w:val="left" w:pos="2651"/>
          <w:tab w:val="clear" w:pos="720"/>
        </w:tabs>
        <w:kinsoku/>
        <w:wordWrap/>
        <w:overflowPunct/>
        <w:topLinePunct w:val="0"/>
        <w:bidi w:val="0"/>
        <w:adjustRightInd w:val="0"/>
        <w:spacing w:before="0" w:after="0" w:line="460" w:lineRule="exact"/>
        <w:ind w:left="0" w:right="0" w:firstLine="482" w:firstLineChars="200"/>
        <w:jc w:val="both"/>
        <w:textAlignment w:val="auto"/>
        <w:rPr>
          <w:rFonts w:hint="eastAsia" w:ascii="宋体" w:hAnsi="宋体" w:eastAsia="宋体" w:cs="宋体"/>
          <w:sz w:val="24"/>
          <w:szCs w:val="24"/>
        </w:rPr>
      </w:pPr>
      <w:bookmarkStart w:id="27" w:name="_Toc91899887"/>
      <w:r>
        <w:rPr>
          <w:rFonts w:hint="eastAsia" w:ascii="宋体" w:hAnsi="宋体" w:eastAsia="宋体" w:cs="宋体"/>
          <w:sz w:val="24"/>
          <w:szCs w:val="24"/>
        </w:rPr>
        <w:t>15. 投标保证金</w:t>
      </w:r>
    </w:p>
    <w:p>
      <w:pPr>
        <w:pStyle w:val="15"/>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w:t>
      </w:r>
    </w:p>
    <w:bookmarkEnd w:id="27"/>
    <w:p>
      <w:pPr>
        <w:pStyle w:val="5"/>
        <w:pageBreakBefore w:val="0"/>
        <w:widowControl w:val="0"/>
        <w:tabs>
          <w:tab w:val="left" w:pos="2651"/>
          <w:tab w:val="clear" w:pos="720"/>
        </w:tabs>
        <w:kinsoku/>
        <w:wordWrap/>
        <w:overflowPunct/>
        <w:topLinePunct w:val="0"/>
        <w:bidi w:val="0"/>
        <w:adjustRightInd w:val="0"/>
        <w:spacing w:before="0" w:after="0" w:line="460" w:lineRule="exact"/>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 投标文件编制</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16.1</w:t>
      </w:r>
      <w:r>
        <w:rPr>
          <w:rFonts w:hint="eastAsia" w:ascii="宋体" w:hAnsi="宋体" w:eastAsia="宋体" w:cs="宋体"/>
          <w:color w:val="000000"/>
          <w:sz w:val="24"/>
          <w:szCs w:val="24"/>
        </w:rPr>
        <w:t>本项目通过“政府采购云平台（www.zcygov.cn）”实行在线投标响应（电子投标）。供应商应通过“政采云电子交易客户端”，并按照本采购文件和“政府采购云平台”的要求编制并加密投标文件。</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16.2供应商应当按照本章节 “投标文件组成”规定的内容及顺序在“政采云电子交易客户端”编制投标文件。其中《资格文件》和《资信、技术文件》中不得出现本项目投标报价，如因供应商原因提前泄露投标报价，是供应商的责任。</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16.3本采购文件中有提供格式的，供应商须参照格式进行编制（格式中要求提供相关证明材料的还需后附相关证明材料），并按格式要求在指定位置根据要求进行签章，未提供格式的，请各供应商自行拟定格式，并加盖单位公章并由法定代表人或其授权代表签署（签字或盖章），否则视为未提供。</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16.4 《投标文件》内容不完整、编排混乱导致《投标文件》被误读、漏读或者查找不到相关内容的，是供应商的责任。</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16.5 《投标文件》因字迹潦草或表达不清所引起的后果由供应商负责。</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16.6供应商没有按照本采购文件内 “投标文件组成”要求提供全部资料，或者没有</w:t>
      </w:r>
      <w:r>
        <w:rPr>
          <w:rFonts w:hint="eastAsia" w:ascii="宋体" w:hAnsi="宋体" w:eastAsia="宋体" w:cs="宋体"/>
          <w:sz w:val="24"/>
          <w:szCs w:val="24"/>
        </w:rPr>
        <w:t>仔细阅读采购文件，或者没有对采购文件在各方面的要求作出实质性响应是供应商的风险，由此造成的一切后果由供应商自行承担。</w:t>
      </w:r>
    </w:p>
    <w:p>
      <w:pPr>
        <w:pStyle w:val="5"/>
        <w:pageBreakBefore w:val="0"/>
        <w:widowControl w:val="0"/>
        <w:tabs>
          <w:tab w:val="left" w:pos="2651"/>
          <w:tab w:val="clear" w:pos="720"/>
        </w:tabs>
        <w:kinsoku/>
        <w:wordWrap/>
        <w:overflowPunct/>
        <w:topLinePunct w:val="0"/>
        <w:bidi w:val="0"/>
        <w:adjustRightInd w:val="0"/>
        <w:spacing w:before="0" w:after="0" w:line="460" w:lineRule="exact"/>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17.投标文件的签章</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 《投标文件》的签章：</w:t>
      </w:r>
      <w:r>
        <w:rPr>
          <w:rFonts w:hint="eastAsia" w:ascii="宋体" w:hAnsi="宋体" w:eastAsia="宋体" w:cs="宋体"/>
          <w:color w:val="000000"/>
          <w:sz w:val="24"/>
          <w:szCs w:val="24"/>
        </w:rPr>
        <w:t>见《前附表》。</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《投标文件》应由供应商法定代表人或其授权代表签字（或盖章），并时加盖供应商公章。</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 参与在线投标时如遇平台技术问题详询400-881-7190。</w:t>
      </w:r>
    </w:p>
    <w:p>
      <w:pPr>
        <w:pStyle w:val="5"/>
        <w:pageBreakBefore w:val="0"/>
        <w:widowControl w:val="0"/>
        <w:tabs>
          <w:tab w:val="left" w:pos="2651"/>
          <w:tab w:val="clear" w:pos="720"/>
        </w:tabs>
        <w:kinsoku/>
        <w:wordWrap/>
        <w:overflowPunct/>
        <w:topLinePunct w:val="0"/>
        <w:bidi w:val="0"/>
        <w:adjustRightInd w:val="0"/>
        <w:spacing w:before="0" w:after="0" w:line="460" w:lineRule="exact"/>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18.投标文件的形式</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18.1投标文件的形式：见《前附表》。</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18.2“电子加密投标文件”：“电子加密投标文件”是指通过“政采云电子交易客户端”完成投标文件编制后生成并加密的数据电文形式的投标文件。</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18.3“备份投标文件”：“备份投标文件”是指与“电子加密投标文件”同时生成的数据电文形式的电子文件（备份标书），其他方式编制的“备份投标文件”视为无效的“备份投标文件”。</w:t>
      </w:r>
    </w:p>
    <w:p>
      <w:pPr>
        <w:pStyle w:val="5"/>
        <w:pageBreakBefore w:val="0"/>
        <w:widowControl w:val="0"/>
        <w:tabs>
          <w:tab w:val="left" w:pos="2651"/>
          <w:tab w:val="clear" w:pos="720"/>
        </w:tabs>
        <w:kinsoku/>
        <w:wordWrap/>
        <w:overflowPunct/>
        <w:topLinePunct w:val="0"/>
        <w:bidi w:val="0"/>
        <w:adjustRightInd w:val="0"/>
        <w:spacing w:before="0" w:after="0" w:line="460" w:lineRule="exact"/>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19．投标文件的份数</w:t>
      </w:r>
    </w:p>
    <w:p>
      <w:pPr>
        <w:pageBreakBefore w:val="0"/>
        <w:widowControl w:val="0"/>
        <w:kinsoku/>
        <w:wordWrap/>
        <w:overflowPunct/>
        <w:topLinePunct w:val="0"/>
        <w:bidi w:val="0"/>
        <w:adjustRightInd w:val="0"/>
        <w:spacing w:line="460" w:lineRule="exact"/>
        <w:ind w:left="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19.1 投标文件的份数：见《前附表》。</w:t>
      </w:r>
    </w:p>
    <w:p>
      <w:pPr>
        <w:pStyle w:val="4"/>
        <w:pageBreakBefore w:val="0"/>
        <w:widowControl w:val="0"/>
        <w:kinsoku/>
        <w:wordWrap/>
        <w:overflowPunct/>
        <w:topLinePunct w:val="0"/>
        <w:bidi w:val="0"/>
        <w:spacing w:line="460" w:lineRule="exact"/>
        <w:jc w:val="center"/>
        <w:textAlignment w:val="auto"/>
        <w:rPr>
          <w:rFonts w:hint="eastAsia" w:ascii="宋体" w:hAnsi="宋体" w:eastAsia="宋体" w:cs="宋体"/>
          <w:sz w:val="32"/>
        </w:rPr>
      </w:pPr>
      <w:bookmarkStart w:id="28" w:name="_Toc86216991"/>
      <w:bookmarkStart w:id="29" w:name="_Toc33718206"/>
      <w:bookmarkStart w:id="30" w:name="_Toc91899892"/>
      <w:r>
        <w:rPr>
          <w:rFonts w:hint="eastAsia" w:ascii="宋体" w:hAnsi="宋体" w:eastAsia="宋体" w:cs="宋体"/>
          <w:sz w:val="32"/>
        </w:rPr>
        <w:t>四、投标文件的递交</w:t>
      </w:r>
      <w:bookmarkEnd w:id="28"/>
      <w:bookmarkEnd w:id="29"/>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20. </w:t>
      </w:r>
      <w:r>
        <w:rPr>
          <w:rFonts w:hint="eastAsia" w:ascii="宋体" w:hAnsi="宋体" w:eastAsia="宋体" w:cs="宋体"/>
          <w:sz w:val="24"/>
          <w:szCs w:val="24"/>
          <w:lang w:bidi="ar"/>
        </w:rPr>
        <w:t>投标文件的上传、递交</w:t>
      </w:r>
    </w:p>
    <w:p>
      <w:pPr>
        <w:pageBreakBefore w:val="0"/>
        <w:widowControl w:val="0"/>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20.1 “投标</w:t>
      </w:r>
      <w:r>
        <w:rPr>
          <w:rFonts w:hint="eastAsia" w:ascii="宋体" w:hAnsi="宋体" w:eastAsia="宋体" w:cs="宋体"/>
          <w:sz w:val="24"/>
          <w:szCs w:val="24"/>
        </w:rPr>
        <w:t>文件”的上传、递交：见《前附表》。</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21.“电子加密投标文件”解密和异常情况处理</w:t>
      </w:r>
    </w:p>
    <w:p>
      <w:pPr>
        <w:pageBreakBefore w:val="0"/>
        <w:widowControl w:val="0"/>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21.1“电子加密投标文件”解密：</w:t>
      </w:r>
      <w:r>
        <w:rPr>
          <w:rFonts w:hint="eastAsia" w:ascii="宋体" w:hAnsi="宋体" w:eastAsia="宋体" w:cs="宋体"/>
          <w:color w:val="000000"/>
          <w:sz w:val="24"/>
          <w:szCs w:val="24"/>
        </w:rPr>
        <w:t>见《前附表》。</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22.投标文件的补充、修改或撤回</w:t>
      </w:r>
    </w:p>
    <w:p>
      <w:pPr>
        <w:pageBreakBefore w:val="0"/>
        <w:widowControl w:val="0"/>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ageBreakBefore w:val="0"/>
        <w:widowControl w:val="0"/>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22.2投标截止时间后，供应商不得撤回、修改《投标文件》。</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23.投标文件的备选方案</w:t>
      </w:r>
    </w:p>
    <w:p>
      <w:pPr>
        <w:pageBreakBefore w:val="0"/>
        <w:widowControl w:val="0"/>
        <w:kinsoku/>
        <w:wordWrap/>
        <w:overflowPunct/>
        <w:topLinePunct w:val="0"/>
        <w:autoSpaceDE/>
        <w:autoSpaceDN/>
        <w:bidi w:val="0"/>
        <w:adjustRightInd w:val="0"/>
        <w:snapToGrid/>
        <w:spacing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23.1供应商不得递交任何的</w:t>
      </w:r>
      <w:r>
        <w:rPr>
          <w:rFonts w:hint="eastAsia" w:ascii="宋体" w:hAnsi="宋体" w:eastAsia="宋体" w:cs="宋体"/>
          <w:color w:val="000000"/>
          <w:kern w:val="0"/>
          <w:sz w:val="24"/>
          <w:szCs w:val="24"/>
        </w:rPr>
        <w:t>投标备选（替代）方案</w:t>
      </w:r>
      <w:r>
        <w:rPr>
          <w:rFonts w:hint="eastAsia" w:ascii="宋体" w:hAnsi="宋体" w:eastAsia="宋体" w:cs="宋体"/>
          <w:color w:val="000000"/>
          <w:sz w:val="24"/>
          <w:szCs w:val="24"/>
        </w:rPr>
        <w:t>，否则其投标文件将作无效标处理。与“电子加密投标文件”同时生成的“备份投标文件”不是投标备选（替代）方案。</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24. 投标截止期</w:t>
      </w:r>
    </w:p>
    <w:p>
      <w:pPr>
        <w:pStyle w:val="33"/>
        <w:pageBreakBefore w:val="0"/>
        <w:widowControl w:val="0"/>
        <w:kinsoku/>
        <w:wordWrap/>
        <w:overflowPunct/>
        <w:topLinePunct w:val="0"/>
        <w:autoSpaceDE/>
        <w:autoSpaceDN/>
        <w:bidi w:val="0"/>
        <w:adjustRightInd w:val="0"/>
        <w:snapToGrid/>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24.1供应商应按前附表第</w:t>
      </w:r>
      <w:r>
        <w:rPr>
          <w:rFonts w:hint="eastAsia" w:ascii="宋体" w:hAnsi="宋体" w:eastAsia="宋体" w:cs="宋体"/>
          <w:color w:val="000000"/>
          <w:sz w:val="24"/>
          <w:szCs w:val="24"/>
          <w:lang w:val="en-US" w:eastAsia="zh-CN"/>
        </w:rPr>
        <w:t>23、24</w:t>
      </w:r>
      <w:r>
        <w:rPr>
          <w:rFonts w:hint="eastAsia" w:ascii="宋体" w:hAnsi="宋体" w:eastAsia="宋体" w:cs="宋体"/>
          <w:color w:val="000000"/>
          <w:sz w:val="24"/>
          <w:szCs w:val="24"/>
        </w:rPr>
        <w:t>两项规定的时间、地点将投标文件递交给采购人，采购人将拒绝接受逾期送达的投标文件。</w:t>
      </w:r>
    </w:p>
    <w:p>
      <w:pPr>
        <w:pStyle w:val="33"/>
        <w:pageBreakBefore w:val="0"/>
        <w:widowControl w:val="0"/>
        <w:kinsoku/>
        <w:wordWrap/>
        <w:overflowPunct/>
        <w:topLinePunct w:val="0"/>
        <w:autoSpaceDE/>
        <w:autoSpaceDN/>
        <w:bidi w:val="0"/>
        <w:adjustRightInd w:val="0"/>
        <w:snapToGrid/>
        <w:spacing w:before="0" w:line="46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24.2采购人可以按本须知规定以补充通知的方式，酌情延长递交投标文件的截止日期。在上述情况下，采购人与供应商以前在投标截止期方面的全部权利、责任和义务，将适用于延长至新的投标截止期。</w:t>
      </w:r>
    </w:p>
    <w:bookmarkEnd w:id="30"/>
    <w:p>
      <w:pPr>
        <w:pStyle w:val="4"/>
        <w:pageBreakBefore w:val="0"/>
        <w:widowControl w:val="0"/>
        <w:kinsoku/>
        <w:wordWrap/>
        <w:overflowPunct/>
        <w:topLinePunct w:val="0"/>
        <w:bidi w:val="0"/>
        <w:spacing w:line="460" w:lineRule="exact"/>
        <w:jc w:val="center"/>
        <w:textAlignment w:val="auto"/>
        <w:rPr>
          <w:rFonts w:hint="eastAsia" w:ascii="宋体" w:hAnsi="宋体" w:eastAsia="宋体" w:cs="宋体"/>
          <w:sz w:val="32"/>
        </w:rPr>
      </w:pPr>
      <w:bookmarkStart w:id="31" w:name="_Toc91899897"/>
      <w:bookmarkStart w:id="32" w:name="_Toc33718207"/>
      <w:r>
        <w:rPr>
          <w:rFonts w:hint="eastAsia" w:ascii="宋体" w:hAnsi="宋体" w:eastAsia="宋体" w:cs="宋体"/>
          <w:sz w:val="32"/>
        </w:rPr>
        <w:t>五、开标</w:t>
      </w:r>
      <w:bookmarkEnd w:id="31"/>
      <w:bookmarkEnd w:id="32"/>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leftChars="0" w:firstLine="482" w:firstLineChars="200"/>
        <w:jc w:val="both"/>
        <w:textAlignment w:val="auto"/>
        <w:rPr>
          <w:rFonts w:hint="eastAsia" w:ascii="宋体" w:hAnsi="宋体" w:eastAsia="宋体" w:cs="宋体"/>
          <w:sz w:val="24"/>
          <w:szCs w:val="24"/>
          <w:lang w:val="zh-CN"/>
        </w:rPr>
      </w:pPr>
      <w:bookmarkStart w:id="33" w:name="_Hlt75236101"/>
      <w:bookmarkEnd w:id="33"/>
      <w:bookmarkStart w:id="34" w:name="_Toc91899902"/>
      <w:r>
        <w:rPr>
          <w:rFonts w:hint="eastAsia" w:ascii="宋体" w:hAnsi="宋体" w:eastAsia="宋体" w:cs="宋体"/>
          <w:sz w:val="24"/>
          <w:szCs w:val="24"/>
        </w:rPr>
        <w:t>25</w:t>
      </w:r>
      <w:r>
        <w:rPr>
          <w:rFonts w:hint="eastAsia" w:ascii="宋体" w:hAnsi="宋体" w:eastAsia="宋体" w:cs="宋体"/>
          <w:sz w:val="24"/>
          <w:szCs w:val="24"/>
          <w:lang w:val="zh-CN"/>
        </w:rPr>
        <w:t>.开标</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（一）开标形式</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color w:val="000000"/>
          <w:sz w:val="24"/>
          <w:szCs w:val="24"/>
        </w:rPr>
        <w:t xml:space="preserve">1.1 </w:t>
      </w:r>
      <w:r>
        <w:rPr>
          <w:rFonts w:hint="eastAsia" w:ascii="宋体" w:hAnsi="宋体" w:eastAsia="宋体" w:cs="宋体"/>
          <w:sz w:val="24"/>
          <w:szCs w:val="24"/>
        </w:rPr>
        <w:t>采购组织机构将按照采购文件规定的时间通过“政府采购云平台”组织开标、开启投标文件，所有供应商均应当准时在线参加。</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 开标准备</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2.1开标的准备工作由采购组织机构负责落实；</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2.2</w:t>
      </w:r>
      <w:r>
        <w:rPr>
          <w:rFonts w:hint="eastAsia" w:ascii="宋体" w:hAnsi="宋体" w:eastAsia="宋体" w:cs="宋体"/>
          <w:sz w:val="24"/>
          <w:szCs w:val="24"/>
        </w:rPr>
        <w:t>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（三）开标流程（两阶段）</w:t>
      </w:r>
    </w:p>
    <w:p>
      <w:pPr>
        <w:pStyle w:val="6"/>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3.1开标第一阶段</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sz w:val="24"/>
          <w:szCs w:val="24"/>
        </w:rPr>
        <w:t>投标文件解密结束，各投标人组织签署《政府采购活动现场确认声明书》；</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（3）开启投标文件，进入资格审查；</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（4）开启资格审查通过的供应商的商务技术文件进入符合性审查、商务技术评审；</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（5）第一阶段开标结束。</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备注：开标大会的第一阶段结束后，采购人或采购代理机构将对依法对供应商的资格进行审查，资格审查结束后进入符合性审查和资信技术的评审工作。</w:t>
      </w:r>
    </w:p>
    <w:p>
      <w:pPr>
        <w:pStyle w:val="6"/>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3.2开标大会第二阶段</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（3）评审结束后，通过发送邮件形式公布中标（成交）候选供应商名单，及采购人最终确定中标或成交供应商名单的时间和公告方式等。</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b/>
          <w:color w:val="000000"/>
          <w:kern w:val="0"/>
          <w:sz w:val="24"/>
          <w:szCs w:val="24"/>
        </w:rPr>
      </w:pPr>
      <w:r>
        <w:rPr>
          <w:rFonts w:hint="eastAsia" w:ascii="宋体" w:hAnsi="宋体" w:eastAsia="宋体" w:cs="宋体"/>
          <w:sz w:val="24"/>
          <w:szCs w:val="24"/>
        </w:rPr>
        <w:t>特</w:t>
      </w:r>
      <w:r>
        <w:rPr>
          <w:rFonts w:hint="eastAsia" w:ascii="宋体" w:hAnsi="宋体" w:eastAsia="宋体" w:cs="宋体"/>
          <w:bCs/>
          <w:color w:val="000000"/>
          <w:kern w:val="0"/>
          <w:sz w:val="24"/>
          <w:szCs w:val="24"/>
        </w:rPr>
        <w:t>别说明：如遇“政府采购云平台”电子化开标或评审程序调整的，按调整后程序执行。</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leftChars="0" w:firstLine="482" w:firstLineChars="200"/>
        <w:jc w:val="both"/>
        <w:textAlignment w:val="auto"/>
        <w:rPr>
          <w:rFonts w:hint="eastAsia" w:ascii="宋体" w:hAnsi="宋体" w:eastAsia="宋体" w:cs="宋体"/>
          <w:sz w:val="24"/>
          <w:szCs w:val="24"/>
        </w:rPr>
      </w:pPr>
      <w:bookmarkStart w:id="35" w:name="_Toc33194393"/>
      <w:bookmarkStart w:id="36" w:name="_Toc24550037"/>
      <w:r>
        <w:rPr>
          <w:rFonts w:hint="eastAsia" w:ascii="宋体" w:hAnsi="宋体" w:eastAsia="宋体" w:cs="宋体"/>
          <w:sz w:val="24"/>
          <w:szCs w:val="24"/>
        </w:rPr>
        <w:t>（四）供应商资格审查</w:t>
      </w:r>
      <w:bookmarkEnd w:id="35"/>
      <w:bookmarkEnd w:id="36"/>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4.1开标大会第一阶段结束后，采购人或采购代理机构首先依法对各供应商的资格进行审查，审查各供应商的资格是否满足采购文件的要求。采购人或采购代理机构对供应商所提交的资格证明材料仅负审核的责任。如发现供应商所提交的资格证明材料不合法或与事实不符，采购人可取消其中标资格并追究供应商的法律责任。</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sz w:val="24"/>
          <w:szCs w:val="24"/>
        </w:rPr>
        <w:t>4.2供应商提交的资格证明材料无法证明其符合采购文件规定的“供应商资格要求”的，采购人或采购代理机构</w:t>
      </w:r>
      <w:r>
        <w:rPr>
          <w:rFonts w:hint="eastAsia" w:ascii="宋体" w:hAnsi="宋体" w:eastAsia="宋体" w:cs="宋体"/>
          <w:bCs/>
          <w:color w:val="000000"/>
          <w:kern w:val="0"/>
          <w:sz w:val="24"/>
          <w:szCs w:val="24"/>
        </w:rPr>
        <w:t>将对其作资格审查不通过处理（无效投标），并不再将其投标提交评标委员会进行后续评审。</w:t>
      </w:r>
    </w:p>
    <w:p>
      <w:pPr>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sz w:val="24"/>
          <w:szCs w:val="24"/>
        </w:rPr>
        <w:t>4</w:t>
      </w:r>
      <w:r>
        <w:rPr>
          <w:rFonts w:hint="eastAsia" w:ascii="宋体" w:hAnsi="宋体" w:eastAsia="宋体" w:cs="宋体"/>
          <w:bCs/>
          <w:color w:val="000000"/>
          <w:kern w:val="0"/>
          <w:sz w:val="24"/>
          <w:szCs w:val="24"/>
        </w:rPr>
        <w:t>.3单位负责人为同一人或者存在直接控股、管理关系的不同供应商参加同一合同项下的政府采购活动的，相关供应商均作资格无效处理。</w:t>
      </w:r>
    </w:p>
    <w:p>
      <w:pPr>
        <w:pStyle w:val="4"/>
        <w:keepNext/>
        <w:keepLines/>
        <w:pageBreakBefore w:val="0"/>
        <w:widowControl w:val="0"/>
        <w:kinsoku/>
        <w:wordWrap/>
        <w:overflowPunct/>
        <w:topLinePunct w:val="0"/>
        <w:autoSpaceDE/>
        <w:autoSpaceDN/>
        <w:bidi w:val="0"/>
        <w:adjustRightInd/>
        <w:snapToGrid/>
        <w:spacing w:line="460" w:lineRule="exact"/>
        <w:ind w:left="0" w:firstLine="0"/>
        <w:jc w:val="center"/>
        <w:textAlignment w:val="auto"/>
        <w:rPr>
          <w:rFonts w:hint="eastAsia" w:ascii="宋体" w:hAnsi="宋体" w:eastAsia="宋体" w:cs="宋体"/>
          <w:sz w:val="32"/>
        </w:rPr>
      </w:pPr>
      <w:bookmarkStart w:id="37" w:name="_Toc33718208"/>
      <w:r>
        <w:rPr>
          <w:rFonts w:hint="eastAsia" w:ascii="宋体" w:hAnsi="宋体" w:eastAsia="宋体" w:cs="宋体"/>
          <w:sz w:val="32"/>
        </w:rPr>
        <w:t>六、评标</w:t>
      </w:r>
      <w:bookmarkEnd w:id="34"/>
      <w:bookmarkEnd w:id="37"/>
    </w:p>
    <w:p>
      <w:pPr>
        <w:pStyle w:val="5"/>
        <w:pageBreakBefore w:val="0"/>
        <w:widowControl w:val="0"/>
        <w:tabs>
          <w:tab w:val="left" w:pos="2651"/>
          <w:tab w:val="clear" w:pos="720"/>
        </w:tabs>
        <w:kinsoku/>
        <w:wordWrap/>
        <w:overflowPunct/>
        <w:topLinePunct w:val="0"/>
        <w:bidi w:val="0"/>
        <w:adjustRightInd w:val="0"/>
        <w:snapToGrid/>
        <w:spacing w:before="0" w:after="0" w:line="46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.评标会议</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（一）评审工作的组织</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1.1采购人或采购代理机构负责组织本项目的评审工作，并依据《政府采购货物和服务招标投标管理办法（财政部第87号令）》第四十五条的相关规定履行职责。</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（二）评标委员会的组建</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2.1评标委员会由采购人或采购代理机构依法组建，成员包括采购人代表和评审专家，成员人数为五人或以上单数，其中评审专家不少于成员总数的三分之二。</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 评标委员会成员名单在评审结果（采购结果）公告前保密。</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（三）评标委员会的职责</w:t>
      </w:r>
    </w:p>
    <w:p>
      <w:pPr>
        <w:pageBreakBefore w:val="0"/>
        <w:widowControl w:val="0"/>
        <w:kinsoku/>
        <w:wordWrap/>
        <w:overflowPunct/>
        <w:topLinePunct w:val="0"/>
        <w:bidi w:val="0"/>
        <w:adjustRightInd w:val="0"/>
        <w:snapToGrid/>
        <w:spacing w:line="460" w:lineRule="exact"/>
        <w:ind w:left="0" w:leftChars="0"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3.1评标委员会负责具体评审事务，并独立履行下列职责：</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（1）审查、评价投标文件是否符合采购文件的资信、技术等实质性要求；</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（2）要求供应商对投标文件有关事项作出澄清或者说明；</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（3）对投标文件进行比较和评价；</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（4）确定中标候选人名单，以及根据采购人委托直接确定中标人；</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（5）向采购人、采购代理机构或者有关部门报告评审中发现的违法行为。</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（四）评审原则</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4.1评审原则：</w:t>
      </w:r>
      <w:r>
        <w:rPr>
          <w:rFonts w:hint="eastAsia" w:ascii="宋体" w:hAnsi="宋体" w:eastAsia="宋体" w:cs="宋体"/>
          <w:color w:val="000000"/>
          <w:kern w:val="0"/>
          <w:sz w:val="24"/>
          <w:szCs w:val="24"/>
        </w:rPr>
        <w:t>评标委员会</w:t>
      </w:r>
      <w:r>
        <w:rPr>
          <w:rFonts w:hint="eastAsia" w:ascii="宋体" w:hAnsi="宋体" w:eastAsia="宋体" w:cs="宋体"/>
          <w:color w:val="000000"/>
          <w:sz w:val="24"/>
          <w:szCs w:val="24"/>
        </w:rPr>
        <w:t>按照客观、公正、审慎、择优的原则，根据采购文件规定的评审程序、评审方法和评审标准进行独立评审。</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4.2评审工作将依据</w:t>
      </w:r>
      <w:r>
        <w:rPr>
          <w:rFonts w:hint="eastAsia" w:ascii="宋体" w:hAnsi="宋体" w:eastAsia="宋体" w:cs="宋体"/>
          <w:color w:val="000000"/>
          <w:kern w:val="0"/>
          <w:sz w:val="24"/>
          <w:szCs w:val="24"/>
        </w:rPr>
        <w:t>采购文件、投标文件及采购文件中事先已列明的内容进行。</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（五）评审意见的争议处理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5.1评标委员会成员对需要共同认定的事项存在争议的，按照少数服从多数的原则作出结论。持不同意见的评标委员会成员应当在评审报告上签署不同意见及理由，否则视为同意评审报告。</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（六）评委纪律</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6.1评标委员会成员必须严格遵守保密规定，不得泄露评审的有关情况</w:t>
      </w:r>
      <w:r>
        <w:rPr>
          <w:rFonts w:hint="eastAsia" w:ascii="宋体" w:hAnsi="宋体" w:eastAsia="宋体" w:cs="宋体"/>
          <w:color w:val="000000"/>
          <w:kern w:val="0"/>
          <w:sz w:val="24"/>
          <w:szCs w:val="24"/>
        </w:rPr>
        <w:t>，任何单位和个人不得干扰、影响评标的正常进行，评标委员会成员不得私下与供应商接触，不得出现浙江省政府采购活动现场组织管理办法中规定的其他禁止行为。</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bookmarkStart w:id="38" w:name="_Toc24550044"/>
      <w:bookmarkStart w:id="39" w:name="_Toc33194395"/>
      <w:r>
        <w:rPr>
          <w:rFonts w:hint="eastAsia" w:ascii="宋体" w:hAnsi="宋体" w:eastAsia="宋体" w:cs="宋体"/>
          <w:sz w:val="24"/>
          <w:szCs w:val="24"/>
        </w:rPr>
        <w:t>（七）评审流程及内容</w:t>
      </w:r>
      <w:bookmarkEnd w:id="38"/>
      <w:bookmarkEnd w:id="39"/>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本项目具体的评审事务由评标委员会负责，评审流程及内容如下：</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 评审前准备</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7.1.1 由评审专家推选评审小组组长，采购人代表不得担任评审小组组长。</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7.1.2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对所有通过资格审查的供应商的投标文件进行初步审查，审查、评价投标文件是否符合采购文件的资信、技术、服务等实质性要求。</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7.2.1评标委员会首先对所有通过资格审查的供应商的投标文件进行符合性审查，审查每份投标文件是否实质上响应了采购文件的要求（实质性响应的投标文件是指投标文件符合采购文件规定的实质性内容、条件和规定）。</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pPr>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7.3.2 评标过程中评标委员会对供应商提出质询或要求供应商书面确认的（或通过“政府采购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 投标文件的错误修正</w:t>
      </w:r>
    </w:p>
    <w:p>
      <w:pPr>
        <w:pStyle w:val="15"/>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7.4.1 《投标文件》如果出现计算或表达上的错误，修正错误的原则如下：</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（1）投标文件中开标一览表（报价表）内容与投标文件中相应内容不一致的，以开标一览表（报价表）为准。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（2）《投标文件》的大写金额和小写金额不一致的，以大写金额为准；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（3）单价金额小数点或者百分比有明显错位的，应以开标一览表（报价表）的总价为准，并修改单价；</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（4）总价金额与按单价汇总金额不一致的，以单价金额计算结果为准。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7.4.2对不同文字文本《投标文件》的解释发生异议的，以中文文本为准。</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（八）投标文件有下列情况之一者将视为无效：</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kern w:val="0"/>
          <w:sz w:val="24"/>
          <w:szCs w:val="24"/>
        </w:rPr>
      </w:pPr>
      <w:bookmarkStart w:id="40" w:name="_Hlk33211013"/>
      <w:r>
        <w:rPr>
          <w:rFonts w:hint="eastAsia" w:ascii="宋体" w:hAnsi="宋体" w:eastAsia="宋体" w:cs="宋体"/>
          <w:bCs/>
          <w:color w:val="000000"/>
          <w:kern w:val="0"/>
          <w:sz w:val="24"/>
          <w:szCs w:val="24"/>
        </w:rPr>
        <w:t>8.1资信、技术文件符合性审查中，存在下列情形之一的，经评标委员会认定后作无效标处理：</w:t>
      </w:r>
    </w:p>
    <w:p>
      <w:pPr>
        <w:pStyle w:val="15"/>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bookmarkStart w:id="41" w:name="_Toc33194396"/>
      <w:r>
        <w:rPr>
          <w:rFonts w:hint="eastAsia" w:ascii="宋体" w:hAnsi="宋体" w:eastAsia="宋体" w:cs="宋体"/>
          <w:sz w:val="24"/>
          <w:szCs w:val="24"/>
        </w:rPr>
        <w:t>（1）投标文件未有效授权，法定代表人授权委托书等填写不完整或有涂改的；</w:t>
      </w:r>
      <w:bookmarkEnd w:id="41"/>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（2）投标文件没有对本采购文件作出实质性响应的，或不满足（不响应）本采购文件中标注“★”的实质性要求条款的，或存在采购文件中明确规定的其他无效标情形的；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（3）投标文件存在一个或一个以上备选（替代）投标方案的；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（4）仅提交“备份投标文件”的；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（5）文件组成内容不齐全，本采购文件规定必须提供而未提供的（属于资格审查范围的除外）；</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（6）投标文件标注的响应或偏离情况与事实不符，或提供了虚假材料的；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（7）不响应或擅自改变本采购文件要求或投标文件有采购人不能接受的附加条件的；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（8）参加同一合同项下政府采购活动的不同供应商之间存在利害关系并且存在影响政府采购公平竞争行为的；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bookmarkStart w:id="42" w:name="_Toc33194397"/>
      <w:r>
        <w:rPr>
          <w:rFonts w:hint="eastAsia" w:ascii="宋体" w:hAnsi="宋体" w:eastAsia="宋体" w:cs="宋体"/>
          <w:bCs/>
          <w:color w:val="000000"/>
          <w:sz w:val="24"/>
          <w:szCs w:val="24"/>
        </w:rPr>
        <w:t>（9）采购人拟采购的产品如属于品目清单范围内的强制采购品目的，供应商未</w:t>
      </w:r>
      <w:bookmarkEnd w:id="42"/>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bookmarkStart w:id="43" w:name="_Toc33194398"/>
      <w:r>
        <w:rPr>
          <w:rFonts w:hint="eastAsia" w:ascii="宋体" w:hAnsi="宋体" w:eastAsia="宋体" w:cs="宋体"/>
          <w:bCs/>
          <w:color w:val="000000"/>
          <w:sz w:val="24"/>
          <w:szCs w:val="24"/>
        </w:rPr>
        <w:t>能在响应文件中提供国家确定的认证机构出具的、处于有效期之内的该产品节能产品、环境标志产品认证证书；</w:t>
      </w:r>
      <w:bookmarkEnd w:id="43"/>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（10）违反国家或政府部门相关法律、法规、文件规定的。</w:t>
      </w:r>
      <w:bookmarkEnd w:id="40"/>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8.2报价文件符合性审查中，存在下列情形之一的，经评标委员会认定后作无效标处理：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（1）投标文件没有对本采购文件作出实质性响应的，或不满足（不响应）本采购文件中标注“★”的实质性要求条款的，或存在采购文件中明确规定的其他无效标情形的；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（2）投标文件存在一个或一个以上备选（替代）投标方案的；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（3）未按照采购文件标明的币种报价的，或者投标报价涵盖的内容不符合采购文件要求的；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（4）《开标一览表》内容与《投标报价明细表》内容不一致且拒不接受修正的；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（5）投标报价具有选择性，唱标价格与《投标文件》承诺的优惠（折扣）后价格不一致的；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（6）投标报价超过采购预算（或最高限价）的；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（7）仅提交“备份投标文件”的；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（8）投标文件组成内容不齐全，本采购文件规定必须提供而未提供的（属于资格审查范围的除外）；</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（9）投标文件标注的响应或偏离情况与事实不符，或提供了虚假材料的；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（10）不响应或擅自改变本采购文件要求或投标文件有采购人不能接受的附加条件的；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11）评审委员会认为供应商报价明显低于其他合格供应商的报价，有可能影响产品质量或者不能诚信履约的，应当要求其在合理时间内提供书面说明，必要时提供相关证明材料；供应商不能证明其报价合理性的，评审委员会应当将其作为无效投标或者无效响应处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投标报价中出现赠送、免费或返还形式的；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）违反国家或政府部门相关法律、法规、文件规定的。</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（九）投标文件的评估、比较、评分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评标委员会应当按照采购文件中规定的评审方法和标准，对符合性审查合格的投标文件进行商务和技术评估，综合比较与评价。评标时，评标委员会各成员将独立对每个供应商的投标文件进行评价，并汇总每个供应商的得分。评审细则详见“评标办法”。</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（十）修改评审结果</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10.1评标结果汇总完成后，除下列情形外，任何人不得修改评标结果：</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（1）分值汇总计算错误的；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（2）分项评分超出评分标准范围的；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（3）评标委员会成员对客观评审因素评分不一致的；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（4）经评标委员会认定评分畸高、畸低的。</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10.2评标报告签署前，经复核发现存在以上情形之一的，评标委员会将当场修改评标结果，并在评标报告中记载。</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（十一）供应商排序及推荐中标（成交）候选供应商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评标委员会根据以下规定确定供应商排名并推荐中标（成交）候选供应商。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11.1评标委员会根据各供应商的综合得分（商务技术分与报价得分之和）从高到低依次进行排名排序。特殊情形按以下原则处理：</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（1）综合得分相同的，按投标报价低的优先原则确定排名；</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（2）综合得分和投标报价均相同的，按技术资信得分从高到低确定排名；</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（3）综合得分、投标报价和技术资信得分均相同的由评标委员会全体成员记名投票按少数服从多数的原则确定排名。</w:t>
      </w:r>
    </w:p>
    <w:p>
      <w:pPr>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11.2根据最终得分排序，通过书面评审报告的形式，向采购人推荐</w:t>
      </w:r>
      <w:r>
        <w:rPr>
          <w:rFonts w:hint="eastAsia" w:ascii="宋体" w:hAnsi="宋体" w:eastAsia="宋体" w:cs="宋体"/>
          <w:kern w:val="0"/>
          <w:sz w:val="24"/>
          <w:szCs w:val="24"/>
        </w:rPr>
        <w:t>排名第一的供应商为中标（成交）候选供应商</w:t>
      </w:r>
      <w:r>
        <w:rPr>
          <w:rFonts w:hint="eastAsia" w:ascii="宋体" w:hAnsi="宋体" w:eastAsia="宋体" w:cs="宋体"/>
          <w:sz w:val="24"/>
          <w:szCs w:val="24"/>
        </w:rPr>
        <w:t>。</w:t>
      </w:r>
    </w:p>
    <w:p>
      <w:pPr>
        <w:pStyle w:val="6"/>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（十二）起草、签署评审报告</w:t>
      </w:r>
    </w:p>
    <w:p>
      <w:pPr>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
        <w:pageBreakBefore w:val="0"/>
        <w:widowControl w:val="0"/>
        <w:tabs>
          <w:tab w:val="left" w:pos="2651"/>
          <w:tab w:val="clear" w:pos="720"/>
        </w:tabs>
        <w:kinsoku/>
        <w:wordWrap/>
        <w:overflowPunct/>
        <w:topLinePunct w:val="0"/>
        <w:autoSpaceDE/>
        <w:autoSpaceDN/>
        <w:bidi w:val="0"/>
        <w:adjustRightInd w:val="0"/>
        <w:snapToGrid/>
        <w:spacing w:before="0" w:after="0" w:line="460" w:lineRule="exact"/>
        <w:ind w:left="0" w:leftChars="0" w:firstLine="482"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 评标内容的保密</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7</w:t>
      </w:r>
      <w:r>
        <w:rPr>
          <w:rFonts w:hint="eastAsia" w:ascii="宋体" w:hAnsi="宋体"/>
          <w:color w:val="000000"/>
          <w:sz w:val="24"/>
          <w:szCs w:val="24"/>
        </w:rPr>
        <w:t>.1 公开开标后，直到宣布中标单位止，凡属于审查、澄清、评价和比较投标的所有资料，都不应向供应商或与评标无关的其他人泄露。</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7</w:t>
      </w:r>
      <w:r>
        <w:rPr>
          <w:rFonts w:hint="eastAsia" w:ascii="宋体" w:hAnsi="宋体"/>
          <w:color w:val="000000"/>
          <w:sz w:val="24"/>
          <w:szCs w:val="24"/>
        </w:rPr>
        <w:t>.2 在投标文件的审查、澄清、评价和比较以及确定中标人过程中，供应商对采购人和评标机构施加影响的任何行为，都将导致取消资格。</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8</w:t>
      </w:r>
      <w:r>
        <w:rPr>
          <w:rFonts w:hint="eastAsia" w:ascii="宋体" w:hAnsi="宋体"/>
          <w:color w:val="000000"/>
          <w:sz w:val="24"/>
          <w:szCs w:val="24"/>
        </w:rPr>
        <w:t>. 投标文件的澄清</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8</w:t>
      </w:r>
      <w:r>
        <w:rPr>
          <w:rFonts w:hint="eastAsia" w:ascii="宋体" w:hAnsi="宋体"/>
          <w:color w:val="000000"/>
          <w:sz w:val="24"/>
          <w:szCs w:val="24"/>
        </w:rPr>
        <w:t>.1公开开标后，直到宣布中标单位止，凡属于审查、澄清、评价和比较投标的所有资料，都不应向供应商或与评标无关的其他人泄露。</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8</w:t>
      </w:r>
      <w:r>
        <w:rPr>
          <w:rFonts w:hint="eastAsia" w:ascii="宋体" w:hAnsi="宋体"/>
          <w:color w:val="000000"/>
          <w:sz w:val="24"/>
          <w:szCs w:val="24"/>
        </w:rPr>
        <w:t>.2在投标文件的审查、澄清、评价和比较以及确定中标人过程中，供应商对采购人、招标代理机构和评标委员会施加影响的任何行为，都将导致取消资格。</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lang w:val="en-US" w:eastAsia="zh-CN"/>
        </w:rPr>
        <w:t>29</w:t>
      </w:r>
      <w:r>
        <w:rPr>
          <w:rFonts w:hint="eastAsia" w:ascii="宋体" w:hAnsi="宋体"/>
          <w:color w:val="000000"/>
          <w:sz w:val="24"/>
          <w:szCs w:val="24"/>
        </w:rPr>
        <w:t>. 废标</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在采购中，出现下列情形之一的，应予废标：</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(1)符合专业条件的供应商或者对采购文件作实质响应的供应商不足3家的；</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(2)出现影响采购公正的违法、违规行为的；</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(3)报价均超过预算，不能支付的；</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bCs/>
          <w:color w:val="000000"/>
          <w:sz w:val="24"/>
          <w:szCs w:val="24"/>
        </w:rPr>
      </w:pPr>
      <w:r>
        <w:rPr>
          <w:rFonts w:hint="eastAsia" w:ascii="宋体" w:hAnsi="宋体"/>
          <w:color w:val="000000"/>
          <w:sz w:val="24"/>
          <w:szCs w:val="24"/>
        </w:rPr>
        <w:t>(4)因重大变故，采购任务取消的。</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0</w:t>
      </w:r>
      <w:r>
        <w:rPr>
          <w:rFonts w:hint="eastAsia" w:ascii="宋体" w:hAnsi="宋体"/>
          <w:color w:val="000000"/>
          <w:sz w:val="24"/>
          <w:szCs w:val="24"/>
        </w:rPr>
        <w:t>.可中止电子交易活动的情形</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采购过程中出现以下情形，导致电子交易平台无法正常运行，或者无法保证电子交易的公平、公正和安全时，采购组织机构可中止电子交易活动：</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0</w:t>
      </w:r>
      <w:r>
        <w:rPr>
          <w:rFonts w:hint="eastAsia" w:ascii="宋体" w:hAnsi="宋体"/>
          <w:color w:val="000000"/>
          <w:sz w:val="24"/>
          <w:szCs w:val="24"/>
        </w:rPr>
        <w:t>.1电子交易平台发生故障而无法登录访问的；</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0</w:t>
      </w:r>
      <w:r>
        <w:rPr>
          <w:rFonts w:hint="eastAsia" w:ascii="宋体" w:hAnsi="宋体"/>
          <w:color w:val="000000"/>
          <w:sz w:val="24"/>
          <w:szCs w:val="24"/>
        </w:rPr>
        <w:t>.2电子交易平台应用或数据库出现错误，不能进行正常操作的；</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0</w:t>
      </w:r>
      <w:r>
        <w:rPr>
          <w:rFonts w:hint="eastAsia" w:ascii="宋体" w:hAnsi="宋体"/>
          <w:color w:val="000000"/>
          <w:sz w:val="24"/>
          <w:szCs w:val="24"/>
        </w:rPr>
        <w:t>.3电子交易平台发现严重安全漏洞，有潜在泄密危险的；</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0</w:t>
      </w:r>
      <w:r>
        <w:rPr>
          <w:rFonts w:hint="eastAsia" w:ascii="宋体" w:hAnsi="宋体"/>
          <w:color w:val="000000"/>
          <w:sz w:val="24"/>
          <w:szCs w:val="24"/>
        </w:rPr>
        <w:t>.4病毒发作导致不能进行正常操作的；</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0</w:t>
      </w:r>
      <w:r>
        <w:rPr>
          <w:rFonts w:hint="eastAsia" w:ascii="宋体" w:hAnsi="宋体"/>
          <w:color w:val="000000"/>
          <w:sz w:val="24"/>
          <w:szCs w:val="24"/>
        </w:rPr>
        <w:t>.5其他无法保证电子交易的公平、公正和安全的情况。</w:t>
      </w:r>
    </w:p>
    <w:p>
      <w:pPr>
        <w:pageBreakBefore w:val="0"/>
        <w:widowControl w:val="0"/>
        <w:kinsoku/>
        <w:wordWrap/>
        <w:overflowPunct/>
        <w:topLinePunct w:val="0"/>
        <w:autoSpaceDE/>
        <w:autoSpaceDN/>
        <w:bidi w:val="0"/>
        <w:snapToGrid/>
        <w:spacing w:line="460" w:lineRule="exact"/>
        <w:ind w:firstLine="480"/>
        <w:textAlignment w:val="auto"/>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1</w:t>
      </w:r>
      <w:r>
        <w:rPr>
          <w:rFonts w:hint="eastAsia" w:ascii="宋体" w:hAnsi="宋体"/>
          <w:color w:val="000000"/>
          <w:sz w:val="24"/>
          <w:szCs w:val="24"/>
        </w:rPr>
        <w:t>.出现第3</w:t>
      </w:r>
      <w:r>
        <w:rPr>
          <w:rFonts w:hint="eastAsia" w:ascii="宋体" w:hAnsi="宋体"/>
          <w:color w:val="000000"/>
          <w:sz w:val="24"/>
          <w:szCs w:val="24"/>
          <w:lang w:val="en-US" w:eastAsia="zh-CN"/>
        </w:rPr>
        <w:t>0</w:t>
      </w:r>
      <w:r>
        <w:rPr>
          <w:rFonts w:hint="eastAsia" w:ascii="宋体" w:hAnsi="宋体"/>
          <w:color w:val="000000"/>
          <w:sz w:val="24"/>
          <w:szCs w:val="24"/>
        </w:rPr>
        <w:t>款规定以内的情形，不影响采购公平、公正性的，采购组织机构可以待上述情形消除后继续组织电子交易活动；影响或可能影响采购公平、公正性的，应当重新采购。</w:t>
      </w:r>
    </w:p>
    <w:p>
      <w:pPr>
        <w:pStyle w:val="47"/>
        <w:pageBreakBefore w:val="0"/>
        <w:kinsoku/>
        <w:wordWrap/>
        <w:overflowPunct/>
        <w:topLinePunct w:val="0"/>
        <w:bidi w:val="0"/>
        <w:spacing w:line="440" w:lineRule="exact"/>
        <w:ind w:firstLine="0"/>
        <w:jc w:val="center"/>
        <w:textAlignment w:val="auto"/>
        <w:outlineLvl w:val="1"/>
        <w:rPr>
          <w:rFonts w:hAnsi="宋体" w:cs="宋体"/>
          <w:b/>
          <w:bCs/>
          <w:sz w:val="32"/>
          <w:szCs w:val="32"/>
        </w:rPr>
      </w:pPr>
      <w:r>
        <w:rPr>
          <w:rFonts w:hint="eastAsia" w:hAnsi="宋体" w:cs="宋体"/>
          <w:b/>
          <w:bCs/>
          <w:sz w:val="32"/>
          <w:szCs w:val="32"/>
        </w:rPr>
        <w:t>七、定标</w:t>
      </w:r>
    </w:p>
    <w:p>
      <w:pPr>
        <w:pStyle w:val="5"/>
        <w:pageBreakBefore w:val="0"/>
        <w:widowControl w:val="0"/>
        <w:tabs>
          <w:tab w:val="left" w:pos="2651"/>
          <w:tab w:val="clear" w:pos="720"/>
        </w:tabs>
        <w:kinsoku/>
        <w:wordWrap/>
        <w:overflowPunct/>
        <w:topLinePunct w:val="0"/>
        <w:bidi w:val="0"/>
        <w:spacing w:before="0" w:after="0" w:line="360" w:lineRule="auto"/>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 定标</w:t>
      </w:r>
    </w:p>
    <w:p>
      <w:pPr>
        <w:pageBreakBefore w:val="0"/>
        <w:widowControl w:val="0"/>
        <w:shd w:val="clear" w:color="auto" w:fill="FFFFFF"/>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.1确定中标人后，招标代理机构将在发布招标公告的网站上公布评标结果。</w:t>
      </w:r>
    </w:p>
    <w:p>
      <w:pPr>
        <w:pageBreakBefore w:val="0"/>
        <w:widowControl w:val="0"/>
        <w:shd w:val="clear" w:color="auto" w:fill="FFFFFF"/>
        <w:tabs>
          <w:tab w:val="left" w:pos="0"/>
        </w:tabs>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pageBreakBefore w:val="0"/>
        <w:widowControl w:val="0"/>
        <w:shd w:val="clear" w:color="auto" w:fill="FFFFFF"/>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.3在中标人签订合同并生效后，招标代理机构及时将未中标的结果通知其他供应商。</w:t>
      </w:r>
    </w:p>
    <w:p>
      <w:pPr>
        <w:pStyle w:val="15"/>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.4如签订合同并生效后，供应商无故拒绝或延期，除按照合同条款处罚外，列入不良行为记录一次，并给予通报。</w:t>
      </w:r>
    </w:p>
    <w:p>
      <w:pPr>
        <w:pStyle w:val="4"/>
        <w:pageBreakBefore w:val="0"/>
        <w:widowControl w:val="0"/>
        <w:kinsoku/>
        <w:wordWrap/>
        <w:overflowPunct/>
        <w:topLinePunct w:val="0"/>
        <w:bidi w:val="0"/>
        <w:spacing w:line="360" w:lineRule="auto"/>
        <w:ind w:left="0" w:firstLine="482" w:firstLineChars="200"/>
        <w:jc w:val="center"/>
        <w:textAlignment w:val="auto"/>
        <w:rPr>
          <w:rFonts w:hint="eastAsia" w:ascii="宋体" w:hAnsi="宋体" w:eastAsia="宋体" w:cs="宋体"/>
          <w:sz w:val="24"/>
          <w:szCs w:val="24"/>
        </w:rPr>
      </w:pPr>
      <w:bookmarkStart w:id="44" w:name="_Toc86216995"/>
      <w:bookmarkStart w:id="45" w:name="_Toc33718209"/>
      <w:bookmarkStart w:id="46" w:name="_Toc91899910"/>
      <w:r>
        <w:rPr>
          <w:rFonts w:hint="eastAsia" w:ascii="宋体" w:hAnsi="宋体" w:eastAsia="宋体" w:cs="宋体"/>
          <w:sz w:val="24"/>
          <w:szCs w:val="24"/>
        </w:rPr>
        <w:t>八、</w:t>
      </w:r>
      <w:bookmarkEnd w:id="44"/>
      <w:r>
        <w:rPr>
          <w:rFonts w:hint="eastAsia" w:ascii="宋体" w:hAnsi="宋体" w:eastAsia="宋体" w:cs="宋体"/>
          <w:sz w:val="24"/>
          <w:szCs w:val="24"/>
        </w:rPr>
        <w:t>合同签订及其他</w:t>
      </w:r>
      <w:bookmarkEnd w:id="45"/>
    </w:p>
    <w:bookmarkEnd w:id="46"/>
    <w:p>
      <w:pPr>
        <w:pStyle w:val="5"/>
        <w:pageBreakBefore w:val="0"/>
        <w:widowControl w:val="0"/>
        <w:tabs>
          <w:tab w:val="left" w:pos="2651"/>
          <w:tab w:val="clear" w:pos="720"/>
        </w:tabs>
        <w:kinsoku/>
        <w:wordWrap/>
        <w:overflowPunct/>
        <w:topLinePunct w:val="0"/>
        <w:bidi w:val="0"/>
        <w:spacing w:before="0" w:after="0" w:line="360" w:lineRule="auto"/>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．中标通知书</w:t>
      </w:r>
    </w:p>
    <w:p>
      <w:pPr>
        <w:pStyle w:val="33"/>
        <w:pageBreakBefore w:val="0"/>
        <w:widowControl w:val="0"/>
        <w:tabs>
          <w:tab w:val="left" w:pos="0"/>
        </w:tabs>
        <w:kinsoku/>
        <w:wordWrap/>
        <w:overflowPunct/>
        <w:topLinePunct w:val="0"/>
        <w:bidi w:val="0"/>
        <w:spacing w:before="0"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.1确定中标供应商后，采购人将在发布招标公告的网站上公布中标结果，在发布公告的同时，采购代理机构将通知中标候选供应商</w:t>
      </w:r>
      <w:r>
        <w:rPr>
          <w:rFonts w:hint="eastAsia" w:ascii="宋体" w:hAnsi="宋体" w:eastAsia="宋体" w:cs="宋体"/>
          <w:color w:val="000000"/>
          <w:kern w:val="0"/>
          <w:sz w:val="24"/>
          <w:szCs w:val="24"/>
        </w:rPr>
        <w:t>按《关于印发浙江省政府采购供应商注册及诚信管理暂行办法的通知》（浙江省财政厅文件 浙财采监字[2009]28号）的要求注册并登记加入政府采购供应商库。</w:t>
      </w:r>
    </w:p>
    <w:p>
      <w:pPr>
        <w:pStyle w:val="33"/>
        <w:pageBreakBefore w:val="0"/>
        <w:widowControl w:val="0"/>
        <w:tabs>
          <w:tab w:val="left" w:pos="0"/>
        </w:tabs>
        <w:kinsoku/>
        <w:wordWrap/>
        <w:overflowPunct/>
        <w:topLinePunct w:val="0"/>
        <w:bidi w:val="0"/>
        <w:spacing w:before="0"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.2中标通知书对采购人和中标供应商具有同等法律效力。供应商对中标公告有异议的，应当在中标公告发布之日起七个工作日内，以书面形式向采购人或采购代理机构提出质疑。</w:t>
      </w:r>
    </w:p>
    <w:p>
      <w:pPr>
        <w:pStyle w:val="33"/>
        <w:pageBreakBefore w:val="0"/>
        <w:widowControl w:val="0"/>
        <w:tabs>
          <w:tab w:val="left" w:pos="0"/>
        </w:tabs>
        <w:kinsoku/>
        <w:wordWrap/>
        <w:overflowPunct/>
        <w:topLinePunct w:val="0"/>
        <w:bidi w:val="0"/>
        <w:spacing w:before="0"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.3供应商全部接受合同条件并签订合同后，中标通知书亦成为合同的组成部分。</w:t>
      </w:r>
    </w:p>
    <w:p>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.4如中标供应商拒绝承担中标的项目，或提出采购人、采购代理机构不能接受的条件，致使合同无法签订，采购人将取消其中标资格，可以考虑与下一次序中标候选人进行签订合同或另行组织采购。</w:t>
      </w:r>
    </w:p>
    <w:p>
      <w:pPr>
        <w:pStyle w:val="33"/>
        <w:pageBreakBefore w:val="0"/>
        <w:widowControl w:val="0"/>
        <w:tabs>
          <w:tab w:val="left" w:pos="0"/>
        </w:tabs>
        <w:kinsoku/>
        <w:wordWrap/>
        <w:overflowPunct/>
        <w:topLinePunct w:val="0"/>
        <w:bidi w:val="0"/>
        <w:spacing w:before="0"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.5如签</w:t>
      </w:r>
      <w:r>
        <w:rPr>
          <w:rFonts w:hint="eastAsia" w:ascii="宋体" w:hAnsi="宋体" w:eastAsia="宋体" w:cs="宋体"/>
          <w:color w:val="000000"/>
          <w:sz w:val="24"/>
          <w:szCs w:val="24"/>
          <w:lang w:val="zh-CN"/>
        </w:rPr>
        <w:t>订合同并生效后，供应商无故拒绝或延期，将按照合同条款处罚。</w:t>
      </w:r>
    </w:p>
    <w:p>
      <w:pPr>
        <w:pStyle w:val="5"/>
        <w:pageBreakBefore w:val="0"/>
        <w:widowControl w:val="0"/>
        <w:tabs>
          <w:tab w:val="left" w:pos="2651"/>
          <w:tab w:val="clear" w:pos="720"/>
        </w:tabs>
        <w:kinsoku/>
        <w:wordWrap/>
        <w:overflowPunct/>
        <w:topLinePunct w:val="0"/>
        <w:bidi w:val="0"/>
        <w:spacing w:before="0" w:after="0" w:line="360" w:lineRule="auto"/>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．合同的签订</w:t>
      </w:r>
    </w:p>
    <w:p>
      <w:pPr>
        <w:pStyle w:val="33"/>
        <w:pageBreakBefore w:val="0"/>
        <w:widowControl w:val="0"/>
        <w:kinsoku/>
        <w:wordWrap/>
        <w:overflowPunct/>
        <w:topLinePunct w:val="0"/>
        <w:bidi w:val="0"/>
        <w:spacing w:before="0"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.1中标供应商接到中标通知后30日内，与采购人签订合同，签订后送一份至招标代理机构备案。</w:t>
      </w:r>
    </w:p>
    <w:p>
      <w:pPr>
        <w:pStyle w:val="33"/>
        <w:pageBreakBefore w:val="0"/>
        <w:widowControl w:val="0"/>
        <w:numPr>
          <w:ilvl w:val="0"/>
          <w:numId w:val="0"/>
        </w:numPr>
        <w:kinsoku/>
        <w:wordWrap/>
        <w:overflowPunct/>
        <w:topLinePunct w:val="0"/>
        <w:bidi w:val="0"/>
        <w:spacing w:before="0"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SA"/>
        </w:rPr>
        <w:t>35.</w:t>
      </w:r>
      <w:r>
        <w:rPr>
          <w:rFonts w:hint="eastAsia" w:ascii="宋体" w:hAnsi="宋体" w:eastAsia="宋体" w:cs="宋体"/>
          <w:b/>
          <w:bCs/>
          <w:sz w:val="24"/>
          <w:szCs w:val="24"/>
        </w:rPr>
        <w:t>履约保证金</w:t>
      </w:r>
    </w:p>
    <w:p>
      <w:pPr>
        <w:pStyle w:val="3"/>
        <w:pageBreakBefore w:val="0"/>
        <w:widowControl w:val="0"/>
        <w:tabs>
          <w:tab w:val="left" w:pos="480"/>
          <w:tab w:val="clear" w:pos="432"/>
        </w:tabs>
        <w:kinsoku/>
        <w:wordWrap/>
        <w:overflowPunct/>
        <w:topLinePunct w:val="0"/>
        <w:bidi w:val="0"/>
        <w:spacing w:before="0" w:after="0" w:line="360" w:lineRule="auto"/>
        <w:ind w:left="0" w:firstLine="480" w:firstLineChars="200"/>
        <w:jc w:val="both"/>
        <w:textAlignment w:val="auto"/>
        <w:rPr>
          <w:rFonts w:hint="eastAsia" w:ascii="宋体" w:hAnsi="宋体" w:eastAsia="宋体" w:cs="宋体"/>
          <w:sz w:val="24"/>
          <w:szCs w:val="24"/>
        </w:rPr>
      </w:pPr>
      <w:bookmarkStart w:id="47" w:name="_Toc18410"/>
      <w:r>
        <w:rPr>
          <w:rFonts w:hint="eastAsia" w:ascii="宋体" w:hAnsi="宋体" w:eastAsia="宋体" w:cs="宋体"/>
          <w:b w:val="0"/>
          <w:color w:val="000000"/>
          <w:kern w:val="2"/>
          <w:sz w:val="24"/>
          <w:szCs w:val="24"/>
          <w:lang w:val="en-US" w:eastAsia="zh-CN" w:bidi="ar-SA"/>
        </w:rPr>
        <w:t>35.1 见第三章技术规范和服务要求。</w:t>
      </w:r>
      <w:bookmarkEnd w:id="47"/>
    </w:p>
    <w:p>
      <w:pPr>
        <w:pStyle w:val="15"/>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 中标人如未按时交纳履约保证金，采购人有权撤销其中标资格，并根据评标委员会确定的中标候选人名单与下一顺序单位商谈合同，或报请批准后另行采购。</w:t>
      </w:r>
    </w:p>
    <w:p>
      <w:pPr>
        <w:pStyle w:val="15"/>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 履约保证金可以用支票、银行汇票的形式交纳。</w:t>
      </w:r>
    </w:p>
    <w:p>
      <w:pPr>
        <w:pStyle w:val="5"/>
        <w:pageBreakBefore w:val="0"/>
        <w:widowControl w:val="0"/>
        <w:tabs>
          <w:tab w:val="left" w:pos="2651"/>
          <w:tab w:val="clear" w:pos="720"/>
        </w:tabs>
        <w:kinsoku/>
        <w:wordWrap/>
        <w:overflowPunct/>
        <w:topLinePunct w:val="0"/>
        <w:bidi w:val="0"/>
        <w:spacing w:before="0" w:after="0" w:line="360" w:lineRule="auto"/>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.采购方式改变</w:t>
      </w:r>
      <w:r>
        <w:rPr>
          <w:rFonts w:hint="eastAsia" w:ascii="宋体" w:hAnsi="宋体" w:eastAsia="宋体" w:cs="宋体"/>
          <w:sz w:val="24"/>
          <w:szCs w:val="24"/>
        </w:rPr>
        <w:tab/>
      </w:r>
    </w:p>
    <w:p>
      <w:pPr>
        <w:pStyle w:val="33"/>
        <w:pageBreakBefore w:val="0"/>
        <w:widowControl w:val="0"/>
        <w:kinsoku/>
        <w:wordWrap/>
        <w:overflowPunct/>
        <w:topLinePunct w:val="0"/>
        <w:bidi w:val="0"/>
        <w:spacing w:before="0"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在符合资格的供应商不足规定数量或供应商提供的服务及其报价等不能满足采购人要求，以及招标过程中出现其他不正常情况时，经批准，采购人</w:t>
      </w:r>
      <w:r>
        <w:rPr>
          <w:rFonts w:hint="eastAsia" w:ascii="宋体" w:hAnsi="宋体" w:eastAsia="宋体" w:cs="宋体"/>
          <w:color w:val="000000"/>
          <w:sz w:val="24"/>
          <w:szCs w:val="24"/>
          <w:lang w:val="zh-CN"/>
        </w:rPr>
        <w:t>将根据中华人民共和国财政部第87号令《政府采购货物和服务招标投标管理办法》的规定，</w:t>
      </w:r>
      <w:r>
        <w:rPr>
          <w:rFonts w:hint="eastAsia" w:ascii="宋体" w:hAnsi="宋体" w:eastAsia="宋体" w:cs="宋体"/>
          <w:color w:val="000000"/>
          <w:sz w:val="24"/>
          <w:szCs w:val="24"/>
        </w:rPr>
        <w:t>重新选择合适的方式进行采购。</w:t>
      </w:r>
    </w:p>
    <w:p>
      <w:pPr>
        <w:pStyle w:val="5"/>
        <w:pageBreakBefore w:val="0"/>
        <w:widowControl w:val="0"/>
        <w:tabs>
          <w:tab w:val="left" w:pos="2651"/>
          <w:tab w:val="clear" w:pos="720"/>
        </w:tabs>
        <w:kinsoku/>
        <w:wordWrap/>
        <w:overflowPunct/>
        <w:topLinePunct w:val="0"/>
        <w:bidi w:val="0"/>
        <w:spacing w:before="0" w:after="0" w:line="360" w:lineRule="auto"/>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t>.质疑与投诉</w:t>
      </w:r>
    </w:p>
    <w:p>
      <w:pPr>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根据《中华人民共和国政府采购法》和《政府采购质疑和投诉办法》(财政部令第94号)的规定，供应商对政府采购活动事项有疑问的，可以向采购人和招标代理机构提出询问，采购人和招标代理机构应当及时作出答复，但答复的内容不得涉及商业秘密。  </w:t>
      </w:r>
    </w:p>
    <w:p>
      <w:pPr>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snapToGrid w:val="0"/>
          <w:color w:val="000000"/>
          <w:kern w:val="0"/>
          <w:sz w:val="24"/>
          <w:szCs w:val="24"/>
        </w:rPr>
        <w:t>1、</w:t>
      </w:r>
      <w:r>
        <w:rPr>
          <w:rFonts w:hint="eastAsia" w:ascii="宋体" w:hAnsi="宋体" w:eastAsia="宋体" w:cs="宋体"/>
          <w:color w:val="000000"/>
          <w:sz w:val="24"/>
          <w:szCs w:val="24"/>
        </w:rPr>
        <w:t>供应商认为采购文件、采购过程和成交、成交结果使自己的权益受到损害的，可以在知道或者应知其权益受到损害之日起七个工作日内，以书面形式向采购人、采购代理机构提出质疑。</w:t>
      </w:r>
    </w:p>
    <w:p>
      <w:pPr>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（1）对可以质疑的采购文件提出质疑的，为收到采购文件之日或者采购文件公告期限届满之日；</w:t>
      </w:r>
    </w:p>
    <w:p>
      <w:pPr>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（2）对采购过程提出质疑的，为各采购程序环节结束之日；</w:t>
      </w:r>
    </w:p>
    <w:p>
      <w:pPr>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（3）对成交结果提出质疑的，为成交结果公告期限届满之日。</w:t>
      </w:r>
    </w:p>
    <w:p>
      <w:pPr>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2、采购人或者采购代理机构应当在3个工作日内对供应商依法提出的询问作出答复。</w:t>
      </w:r>
    </w:p>
    <w:p>
      <w:pPr>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供应商提出的询问或者质疑超出采购人对采购代理机构委托授权范围的，采购代理机构应当告知供应商向采购人提出。</w:t>
      </w:r>
    </w:p>
    <w:p>
      <w:pPr>
        <w:pageBreakBefore w:val="0"/>
        <w:widowControl w:val="0"/>
        <w:kinsoku/>
        <w:wordWrap/>
        <w:overflowPunct/>
        <w:topLinePunct w:val="0"/>
        <w:bidi w:val="0"/>
        <w:snapToGrid w:val="0"/>
        <w:spacing w:line="360" w:lineRule="auto"/>
        <w:ind w:left="0" w:firstLine="480" w:firstLineChars="200"/>
        <w:textAlignment w:val="auto"/>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政府采购评审专家应当配合采购人或者采购代理机构答复供应商的询问和质疑。</w:t>
      </w:r>
    </w:p>
    <w:p>
      <w:pPr>
        <w:pageBreakBefore w:val="0"/>
        <w:widowControl w:val="0"/>
        <w:shd w:val="clear" w:color="auto" w:fill="FFFFFF"/>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snapToGrid w:val="0"/>
          <w:color w:val="000000"/>
          <w:kern w:val="0"/>
          <w:sz w:val="24"/>
          <w:szCs w:val="24"/>
        </w:rPr>
        <w:t>3、</w:t>
      </w:r>
      <w:r>
        <w:rPr>
          <w:rFonts w:hint="eastAsia" w:ascii="宋体" w:hAnsi="宋体" w:eastAsia="宋体" w:cs="宋体"/>
          <w:color w:val="000000"/>
          <w:sz w:val="24"/>
          <w:szCs w:val="24"/>
        </w:rPr>
        <w:t>质疑供应商对采购人、采购代理机构的答复不满意或者采购人、采购代理机构未在规定时间内作出答复的，可以在答复期满后十五个工作日内向同级政府采购监管部门投诉。</w:t>
      </w:r>
    </w:p>
    <w:p>
      <w:pPr>
        <w:pageBreakBefore w:val="0"/>
        <w:widowControl w:val="0"/>
        <w:shd w:val="clear" w:color="auto" w:fill="FFFFFF"/>
        <w:kinsoku/>
        <w:wordWrap/>
        <w:overflowPunct/>
        <w:topLinePunct w:val="0"/>
        <w:bidi w:val="0"/>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4、要求供应商在法定质疑期内一次性提出针对同一招标程序环节的质疑。</w:t>
      </w:r>
    </w:p>
    <w:p>
      <w:pPr>
        <w:pStyle w:val="5"/>
        <w:pageBreakBefore w:val="0"/>
        <w:widowControl w:val="0"/>
        <w:tabs>
          <w:tab w:val="left" w:pos="2651"/>
          <w:tab w:val="clear" w:pos="720"/>
        </w:tabs>
        <w:kinsoku/>
        <w:wordWrap/>
        <w:overflowPunct/>
        <w:topLinePunct w:val="0"/>
        <w:bidi w:val="0"/>
        <w:spacing w:before="0" w:after="0" w:line="360" w:lineRule="auto"/>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．解释权</w:t>
      </w:r>
    </w:p>
    <w:p>
      <w:pPr>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宋体" w:hAnsi="宋体" w:eastAsia="宋体" w:cs="宋体"/>
          <w:b/>
          <w:sz w:val="24"/>
          <w:szCs w:val="24"/>
        </w:rPr>
      </w:pPr>
      <w:r>
        <w:rPr>
          <w:rFonts w:hint="eastAsia" w:ascii="宋体" w:hAnsi="宋体" w:eastAsia="宋体" w:cs="宋体"/>
          <w:color w:val="000000"/>
          <w:sz w:val="24"/>
          <w:szCs w:val="24"/>
        </w:rPr>
        <w:t>凡涉及本次采购文件的解释权均属于采购人和招标代理机构。</w:t>
      </w:r>
      <w:r>
        <w:rPr>
          <w:rFonts w:hint="eastAsia" w:ascii="宋体" w:hAnsi="宋体" w:eastAsia="宋体" w:cs="宋体"/>
          <w:b/>
          <w:sz w:val="24"/>
          <w:szCs w:val="24"/>
        </w:rPr>
        <w:br w:type="page"/>
      </w:r>
    </w:p>
    <w:p>
      <w:pPr>
        <w:adjustRightInd/>
        <w:spacing w:line="360" w:lineRule="auto"/>
        <w:jc w:val="center"/>
        <w:outlineLvl w:val="0"/>
        <w:rPr>
          <w:rStyle w:val="48"/>
          <w:rFonts w:hint="eastAsia" w:ascii="Times New Roman" w:hAnsi="Times New Roman" w:eastAsia="宋体" w:cs="Times New Roman"/>
          <w:sz w:val="36"/>
          <w:szCs w:val="36"/>
        </w:rPr>
      </w:pPr>
      <w:bookmarkStart w:id="48" w:name="_Toc10945"/>
      <w:r>
        <w:rPr>
          <w:rStyle w:val="48"/>
          <w:rFonts w:hint="eastAsia" w:ascii="Times New Roman" w:hAnsi="Times New Roman" w:eastAsia="宋体" w:cs="Times New Roman"/>
          <w:sz w:val="36"/>
          <w:szCs w:val="36"/>
        </w:rPr>
        <w:t>第三</w:t>
      </w:r>
      <w:r>
        <w:rPr>
          <w:rStyle w:val="48"/>
          <w:rFonts w:hint="eastAsia" w:ascii="Times New Roman" w:hAnsi="Times New Roman" w:eastAsia="宋体" w:cs="Times New Roman"/>
          <w:sz w:val="36"/>
          <w:szCs w:val="36"/>
          <w:lang w:val="en-US" w:eastAsia="zh-CN"/>
        </w:rPr>
        <w:t>章</w:t>
      </w:r>
      <w:r>
        <w:rPr>
          <w:rStyle w:val="48"/>
          <w:rFonts w:hint="eastAsia" w:ascii="Times New Roman" w:hAnsi="Times New Roman" w:eastAsia="宋体" w:cs="Times New Roman"/>
          <w:sz w:val="36"/>
          <w:szCs w:val="36"/>
        </w:rPr>
        <w:t xml:space="preserve">   采购需求</w:t>
      </w:r>
      <w:bookmarkEnd w:id="48"/>
    </w:p>
    <w:p>
      <w:pPr>
        <w:widowControl/>
        <w:spacing w:line="360" w:lineRule="auto"/>
        <w:ind w:firstLine="482"/>
        <w:jc w:val="left"/>
        <w:rPr>
          <w:rFonts w:hint="eastAsia" w:ascii="宋体" w:hAnsi="宋体" w:cs="宋体"/>
          <w:b/>
          <w:bCs/>
        </w:rPr>
      </w:pPr>
      <w:bookmarkStart w:id="49" w:name="_Toc20071"/>
      <w:r>
        <w:rPr>
          <w:rFonts w:hint="eastAsia" w:ascii="宋体" w:hAnsi="宋体" w:cs="宋体"/>
          <w:b/>
          <w:bCs/>
        </w:rPr>
        <w:t>一、采购内容及数量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1230"/>
        <w:gridCol w:w="855"/>
        <w:gridCol w:w="780"/>
        <w:gridCol w:w="4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采购内容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单位</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数量</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5" w:type="dxa"/>
            <w:vMerge w:val="restart"/>
            <w:tcBorders>
              <w:top w:val="single" w:color="auto" w:sz="4" w:space="0"/>
              <w:left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1</w:t>
            </w:r>
          </w:p>
        </w:tc>
        <w:tc>
          <w:tcPr>
            <w:tcW w:w="1230" w:type="dxa"/>
            <w:vMerge w:val="restart"/>
            <w:tcBorders>
              <w:top w:val="single" w:color="auto" w:sz="4" w:space="0"/>
              <w:left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自动气象站维保服务</w:t>
            </w:r>
          </w:p>
        </w:tc>
        <w:tc>
          <w:tcPr>
            <w:tcW w:w="855" w:type="dxa"/>
            <w:vMerge w:val="restart"/>
            <w:tcBorders>
              <w:top w:val="single" w:color="auto" w:sz="4" w:space="0"/>
              <w:left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年</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46</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四要素站点：已有41个，28+13+5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5"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1230"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855"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17</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五要素站点：已有17个，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5"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1230"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855"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7</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六要素站点：已有7个，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5" w:type="dxa"/>
            <w:vMerge w:val="continue"/>
            <w:tcBorders>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1230" w:type="dxa"/>
            <w:vMerge w:val="continue"/>
            <w:tcBorders>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855" w:type="dxa"/>
            <w:vMerge w:val="continue"/>
            <w:tcBorders>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1</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cs="宋体"/>
              </w:rPr>
            </w:pPr>
            <w:r>
              <w:rPr>
                <w:rFonts w:hint="eastAsia" w:ascii="宋体" w:hAnsi="宋体" w:cs="宋体"/>
              </w:rPr>
              <w:t>特殊要素站点：雪深、能见度、负氧离子等。</w:t>
            </w:r>
          </w:p>
        </w:tc>
      </w:tr>
    </w:tbl>
    <w:p>
      <w:pPr>
        <w:widowControl/>
        <w:spacing w:line="360" w:lineRule="auto"/>
        <w:ind w:firstLine="482"/>
        <w:jc w:val="left"/>
        <w:rPr>
          <w:rFonts w:hint="eastAsia" w:ascii="宋体" w:hAnsi="宋体" w:cs="宋体"/>
          <w:b/>
          <w:bCs/>
        </w:rPr>
      </w:pPr>
      <w:r>
        <w:rPr>
          <w:rFonts w:hint="eastAsia" w:ascii="宋体" w:hAnsi="宋体" w:cs="宋体"/>
          <w:b/>
          <w:bCs/>
        </w:rPr>
        <w:t>二、项目技术规范和服务要求：</w:t>
      </w:r>
    </w:p>
    <w:p>
      <w:pPr>
        <w:widowControl/>
        <w:spacing w:line="360" w:lineRule="auto"/>
        <w:ind w:firstLine="480"/>
        <w:jc w:val="left"/>
        <w:rPr>
          <w:rFonts w:hint="eastAsia" w:ascii="宋体" w:hAnsi="宋体" w:cs="宋体"/>
        </w:rPr>
      </w:pPr>
      <w:r>
        <w:rPr>
          <w:rFonts w:hint="eastAsia" w:ascii="宋体" w:hAnsi="宋体" w:cs="宋体"/>
        </w:rPr>
        <w:t>1、总体原则：积极主动，维护要及时，临时重大天气要求维护要快速，维护人员要具有经浙江省气象局观测与网络处核发的相关气象装备保障上岗证。</w:t>
      </w:r>
    </w:p>
    <w:p>
      <w:pPr>
        <w:widowControl/>
        <w:spacing w:line="360" w:lineRule="auto"/>
        <w:ind w:firstLine="480"/>
        <w:jc w:val="left"/>
        <w:rPr>
          <w:rFonts w:hint="eastAsia" w:ascii="宋体" w:hAnsi="宋体" w:cs="宋体"/>
        </w:rPr>
      </w:pPr>
      <w:r>
        <w:rPr>
          <w:rFonts w:hint="eastAsia" w:ascii="宋体" w:hAnsi="宋体" w:cs="宋体"/>
        </w:rPr>
        <w:t>2、服务总体需求：中标方须组建3人及以上的专业保障队伍，负责嵊州市自动气象站的技术保障任务，内容包括所有自动气象探测设备日常巡检、定期维护、重大天气临时维护任务、观测场地的维护，每月5号前将上月维护、维护表格填写要符合要（包括维保前照片和一张维保后的全景照片，照片上含日期和经纬度，维护要素等）。</w:t>
      </w:r>
    </w:p>
    <w:p>
      <w:pPr>
        <w:widowControl/>
        <w:spacing w:line="360" w:lineRule="auto"/>
        <w:ind w:firstLine="480"/>
        <w:jc w:val="left"/>
        <w:rPr>
          <w:rFonts w:hint="eastAsia" w:ascii="宋体" w:hAnsi="宋体" w:cs="宋体"/>
        </w:rPr>
      </w:pPr>
      <w:r>
        <w:rPr>
          <w:rFonts w:hint="eastAsia" w:ascii="宋体" w:hAnsi="宋体" w:cs="宋体"/>
        </w:rPr>
        <w:t>3、维护要求</w:t>
      </w:r>
    </w:p>
    <w:p>
      <w:pPr>
        <w:widowControl/>
        <w:shd w:val="clear" w:fill="FFFFFF" w:themeFill="background1"/>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（1）常规站、农气站1-2月、3-4月、11-12月各巡检一次，5-10月每月巡检一次，如遇重大天气过程，重大社会保障活动等应适时加密巡检频次，至少9次。。</w:t>
      </w:r>
    </w:p>
    <w:p>
      <w:pPr>
        <w:widowControl/>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每次巡检维护包括各传感器和百叶箱的清洁、场地环境的整修维护(修剪对场地有影响的植物、修剪场内草坪，自然植被的高度保持在0-20CM之间)、设备箱（电源箱、采集单元）维护，各设备的防雷安全排查等。每次巡检维护情况应详细记录于《区域自动气象站日常维护检测表》。</w:t>
      </w:r>
    </w:p>
    <w:p>
      <w:pPr>
        <w:widowControl/>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（3）配合自动气象站系统技术改造和升级，如确需搬迁的，中标方须配合采购方做好站址选择，迁站方案并协助采购方做好迁站工作；</w:t>
      </w:r>
    </w:p>
    <w:p>
      <w:pPr>
        <w:widowControl/>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（4）做好探测环境监控，出现违反区域站探测环境保护要求的情况，应及时通知采购方，并做好记录。</w:t>
      </w:r>
    </w:p>
    <w:p>
      <w:pPr>
        <w:widowControl/>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（5）协助采购方做好自动气象站核查配合工作，根据气象局计划配合开展。</w:t>
      </w:r>
    </w:p>
    <w:p>
      <w:pPr>
        <w:widowControl/>
        <w:spacing w:line="360" w:lineRule="auto"/>
        <w:ind w:firstLine="480"/>
        <w:jc w:val="left"/>
        <w:rPr>
          <w:rFonts w:hint="eastAsia" w:ascii="宋体" w:hAnsi="宋体" w:cs="宋体"/>
        </w:rPr>
      </w:pPr>
      <w:r>
        <w:rPr>
          <w:rFonts w:hint="eastAsia" w:ascii="宋体" w:hAnsi="宋体" w:cs="宋体"/>
        </w:rPr>
        <w:t>4、其他情况</w:t>
      </w:r>
    </w:p>
    <w:p>
      <w:pPr>
        <w:widowControl/>
        <w:spacing w:line="360" w:lineRule="auto"/>
        <w:ind w:firstLine="480"/>
        <w:jc w:val="left"/>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1</w:t>
      </w:r>
      <w:r>
        <w:rPr>
          <w:rFonts w:hint="eastAsia" w:ascii="宋体" w:hAnsi="宋体" w:cs="宋体"/>
          <w:color w:val="auto"/>
        </w:rPr>
        <w:t>）根据采购方提供的区域站建站时间和自动站新备件交付时间，保修期内损坏的配件，投标方应马上将损坏配件交由采购方，由采购方尽快与自动站厂家联系并更换配件。完全报废的配件，填写《备件报废记录表》，每月初将上月记录发给采购方，定期将报废配件移交给采购方。</w:t>
      </w:r>
    </w:p>
    <w:p>
      <w:pPr>
        <w:widowControl/>
        <w:spacing w:line="360" w:lineRule="auto"/>
        <w:ind w:firstLine="480"/>
        <w:jc w:val="left"/>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）投标方要做好每次移交的出入库记录，每次维修后及时登记备件出入库情况，填写《备件出入库记录表》，每月初将上月记录表发给采购方。</w:t>
      </w:r>
    </w:p>
    <w:p>
      <w:pPr>
        <w:widowControl/>
        <w:spacing w:line="360" w:lineRule="auto"/>
        <w:ind w:firstLine="480"/>
        <w:jc w:val="left"/>
        <w:rPr>
          <w:rFonts w:hint="eastAsia" w:ascii="宋体" w:hAnsi="宋体" w:cs="宋体"/>
        </w:rPr>
      </w:pPr>
      <w:r>
        <w:rPr>
          <w:rFonts w:hint="eastAsia" w:ascii="宋体" w:hAnsi="宋体" w:cs="宋体"/>
        </w:rPr>
        <w:t>5、服务方工具及交通要求</w:t>
      </w:r>
    </w:p>
    <w:p>
      <w:pPr>
        <w:widowControl/>
        <w:spacing w:line="360" w:lineRule="auto"/>
        <w:ind w:firstLine="480"/>
        <w:jc w:val="left"/>
        <w:rPr>
          <w:rFonts w:hint="eastAsia" w:ascii="宋体" w:hAnsi="宋体" w:cs="宋体"/>
        </w:rPr>
      </w:pPr>
      <w:r>
        <w:rPr>
          <w:rFonts w:hint="eastAsia" w:ascii="宋体" w:hAnsi="宋体" w:cs="宋体"/>
        </w:rPr>
        <w:t>（1）投标方须配备本项目服务所需的常用维护维修设备和常用工具。</w:t>
      </w:r>
    </w:p>
    <w:p>
      <w:pPr>
        <w:widowControl/>
        <w:spacing w:line="360" w:lineRule="auto"/>
        <w:ind w:firstLine="480"/>
        <w:jc w:val="left"/>
        <w:rPr>
          <w:rFonts w:hint="eastAsia" w:ascii="宋体" w:hAnsi="宋体" w:cs="宋体"/>
        </w:rPr>
      </w:pPr>
      <w:r>
        <w:rPr>
          <w:rFonts w:hint="eastAsia" w:ascii="宋体" w:hAnsi="宋体" w:cs="宋体"/>
        </w:rPr>
        <w:t>（2）投标方在提供服务过程中自备专用交通工具和其他工具。</w:t>
      </w:r>
    </w:p>
    <w:p>
      <w:pPr>
        <w:widowControl/>
        <w:spacing w:line="360" w:lineRule="auto"/>
        <w:ind w:firstLine="480"/>
        <w:jc w:val="left"/>
        <w:rPr>
          <w:rFonts w:hint="eastAsia" w:ascii="宋体" w:hAnsi="宋体" w:cs="宋体"/>
        </w:rPr>
      </w:pPr>
      <w:r>
        <w:rPr>
          <w:rFonts w:hint="eastAsia" w:ascii="宋体" w:hAnsi="宋体" w:cs="宋体"/>
        </w:rPr>
        <w:t>6、维护安全要求</w:t>
      </w:r>
    </w:p>
    <w:p>
      <w:pPr>
        <w:widowControl/>
        <w:spacing w:line="360" w:lineRule="auto"/>
        <w:ind w:firstLine="480"/>
        <w:jc w:val="left"/>
        <w:rPr>
          <w:rFonts w:hint="eastAsia" w:ascii="宋体" w:hAnsi="宋体" w:cs="宋体"/>
        </w:rPr>
      </w:pPr>
      <w:r>
        <w:rPr>
          <w:rFonts w:hint="eastAsia" w:ascii="宋体" w:hAnsi="宋体" w:cs="宋体"/>
        </w:rPr>
        <w:t>（1）投标方必须按照国家有关劳动安全的规定为维护人员配备安全作业防护用品，确保安全生产；</w:t>
      </w:r>
    </w:p>
    <w:p>
      <w:pPr>
        <w:widowControl/>
        <w:spacing w:line="360" w:lineRule="auto"/>
        <w:ind w:firstLine="480"/>
        <w:jc w:val="left"/>
        <w:rPr>
          <w:rFonts w:hint="eastAsia" w:ascii="宋体" w:hAnsi="宋体" w:cs="宋体"/>
        </w:rPr>
      </w:pPr>
      <w:r>
        <w:rPr>
          <w:rFonts w:hint="eastAsia" w:ascii="宋体" w:hAnsi="宋体" w:cs="宋体"/>
        </w:rPr>
        <w:t>（2）维护过程中的车辆及人身的安全由投标方负责，采购方不承担因意外伤亡而产生的任何法律责任和相关的费用；</w:t>
      </w:r>
    </w:p>
    <w:p>
      <w:pPr>
        <w:widowControl/>
        <w:spacing w:line="360" w:lineRule="auto"/>
        <w:ind w:firstLine="480"/>
        <w:jc w:val="left"/>
        <w:rPr>
          <w:rFonts w:hint="eastAsia" w:ascii="宋体" w:hAnsi="宋体" w:cs="宋体"/>
        </w:rPr>
      </w:pPr>
      <w:r>
        <w:rPr>
          <w:rFonts w:hint="eastAsia" w:ascii="宋体" w:hAnsi="宋体" w:cs="宋体"/>
        </w:rPr>
        <w:t>（3）在服务过程中，在采购方单位或观测点所在单位工作时，应遵守有关单位的相关规章制度。</w:t>
      </w:r>
    </w:p>
    <w:p>
      <w:pPr>
        <w:widowControl/>
        <w:spacing w:line="360" w:lineRule="auto"/>
        <w:ind w:firstLine="480"/>
        <w:jc w:val="left"/>
        <w:rPr>
          <w:rFonts w:hint="eastAsia" w:ascii="宋体" w:hAnsi="宋体" w:cs="宋体"/>
        </w:rPr>
      </w:pPr>
      <w:r>
        <w:rPr>
          <w:rFonts w:hint="eastAsia" w:ascii="宋体" w:hAnsi="宋体" w:cs="宋体"/>
        </w:rPr>
        <w:t>7、质量考核</w:t>
      </w:r>
    </w:p>
    <w:p>
      <w:pPr>
        <w:widowControl/>
        <w:spacing w:line="360" w:lineRule="auto"/>
        <w:ind w:firstLine="480"/>
        <w:jc w:val="left"/>
        <w:rPr>
          <w:rFonts w:hint="eastAsia" w:ascii="宋体" w:hAnsi="宋体" w:cs="宋体"/>
        </w:rPr>
      </w:pPr>
      <w:r>
        <w:rPr>
          <w:rFonts w:hint="eastAsia" w:ascii="宋体" w:hAnsi="宋体" w:cs="宋体"/>
        </w:rPr>
        <w:t>区域自动气象站考核指标</w:t>
      </w:r>
    </w:p>
    <w:tbl>
      <w:tblPr>
        <w:tblStyle w:val="27"/>
        <w:tblpPr w:leftFromText="180" w:rightFromText="180" w:vertAnchor="text" w:horzAnchor="margin" w:tblpXSpec="center" w:tblpY="178"/>
        <w:tblW w:w="81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2"/>
        <w:gridCol w:w="6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项目</w:t>
            </w:r>
          </w:p>
        </w:tc>
        <w:tc>
          <w:tcPr>
            <w:tcW w:w="6286"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内容和标准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维护及时率</w:t>
            </w:r>
          </w:p>
        </w:tc>
        <w:tc>
          <w:tcPr>
            <w:tcW w:w="6286"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按</w:t>
            </w:r>
            <w:r>
              <w:rPr>
                <w:rFonts w:hint="eastAsia" w:ascii="宋体" w:hAnsi="宋体" w:cs="宋体"/>
                <w:lang w:val="en-US" w:eastAsia="zh-CN"/>
              </w:rPr>
              <w:t>要求</w:t>
            </w:r>
            <w:r>
              <w:rPr>
                <w:rFonts w:hint="eastAsia" w:ascii="宋体" w:hAnsi="宋体" w:cs="宋体"/>
              </w:rPr>
              <w:t>开展区域自动站及特殊要素站维护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场地维护</w:t>
            </w:r>
          </w:p>
        </w:tc>
        <w:tc>
          <w:tcPr>
            <w:tcW w:w="6286"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对区域站内及区域站四周影响气象要素探测的树枝等要修剪到位，观测场内草坪，自然植被的高度保持在0-20CM之间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cs="宋体"/>
              </w:rPr>
            </w:pPr>
            <w:r>
              <w:rPr>
                <w:rFonts w:hint="eastAsia" w:ascii="宋体" w:hAnsi="宋体" w:cs="宋体"/>
              </w:rPr>
              <w:t>区域站设备维护</w:t>
            </w:r>
          </w:p>
        </w:tc>
        <w:tc>
          <w:tcPr>
            <w:tcW w:w="6286"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lang w:val="en-US" w:eastAsia="zh-CN"/>
              </w:rPr>
              <w:t>按要求</w:t>
            </w:r>
            <w:r>
              <w:rPr>
                <w:rFonts w:hint="eastAsia" w:ascii="宋体" w:hAnsi="宋体" w:cs="宋体"/>
              </w:rPr>
              <w:t>开展百叶箱擦洗，对各传感器进行测试，并将检测结果拍照留存，现场对检测结果上传到采购方指定目录下，并通知采购方查收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应急响应</w:t>
            </w:r>
          </w:p>
        </w:tc>
        <w:tc>
          <w:tcPr>
            <w:tcW w:w="6286"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highlight w:val="none"/>
              </w:rPr>
            </w:pPr>
            <w:r>
              <w:rPr>
                <w:rFonts w:hint="eastAsia" w:ascii="宋体" w:hAnsi="宋体" w:cs="宋体"/>
                <w:highlight w:val="none"/>
              </w:rPr>
              <w:t>在接到采购方自动气象站故障维修通知后，1小时内做出响应，维修时间单次不得超过18小时。如遇特殊情况不能及时修复的需及时上报采购方，经同意后可延长维修恢复时间。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cs="宋体"/>
              </w:rPr>
            </w:pPr>
            <w:r>
              <w:rPr>
                <w:rFonts w:hint="eastAsia" w:ascii="宋体" w:hAnsi="宋体" w:cs="宋体"/>
              </w:rPr>
              <w:t>信息、材料上报</w:t>
            </w:r>
          </w:p>
        </w:tc>
        <w:tc>
          <w:tcPr>
            <w:tcW w:w="6286"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按时按规定正确上报各类填报信息。</w:t>
            </w:r>
          </w:p>
        </w:tc>
      </w:tr>
    </w:tbl>
    <w:p>
      <w:pPr>
        <w:widowControl/>
        <w:spacing w:line="360" w:lineRule="auto"/>
        <w:ind w:firstLine="480"/>
        <w:jc w:val="left"/>
        <w:rPr>
          <w:rFonts w:hint="eastAsia" w:ascii="宋体" w:hAnsi="宋体" w:cs="宋体"/>
        </w:rPr>
      </w:pPr>
      <w:r>
        <w:rPr>
          <w:rFonts w:hint="eastAsia" w:ascii="宋体" w:hAnsi="宋体" w:cs="宋体"/>
        </w:rPr>
        <w:t>8、自动气象站考核内容</w:t>
      </w:r>
    </w:p>
    <w:p>
      <w:pPr>
        <w:widowControl/>
        <w:spacing w:line="360" w:lineRule="auto"/>
        <w:ind w:firstLine="480"/>
        <w:jc w:val="left"/>
        <w:rPr>
          <w:rFonts w:hint="eastAsia" w:ascii="宋体" w:hAnsi="宋体" w:cs="宋体"/>
        </w:rPr>
      </w:pPr>
      <w:r>
        <w:rPr>
          <w:rFonts w:hint="eastAsia" w:ascii="宋体" w:hAnsi="宋体" w:cs="宋体"/>
        </w:rPr>
        <w:t>服务质量按月定量考核，季度汇总，考核分应在95分以上。出现三个月低于95分的，视为考核不合格，采购方有权终止服务合同，中标方向采购方按合同总价10%支付违约金。考核由采购方负责，考核项目、内容和标准见下表。</w:t>
      </w:r>
    </w:p>
    <w:p>
      <w:pPr>
        <w:widowControl/>
        <w:spacing w:line="360" w:lineRule="auto"/>
        <w:ind w:firstLine="480"/>
        <w:jc w:val="left"/>
        <w:rPr>
          <w:rFonts w:hint="eastAsia" w:ascii="宋体" w:hAnsi="宋体" w:cs="宋体"/>
        </w:rPr>
      </w:pPr>
      <w:r>
        <w:rPr>
          <w:rFonts w:hint="eastAsia" w:ascii="宋体" w:hAnsi="宋体" w:cs="宋体"/>
        </w:rPr>
        <w:t>自动气象站月综合考核表</w:t>
      </w:r>
    </w:p>
    <w:tbl>
      <w:tblPr>
        <w:tblStyle w:val="27"/>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2"/>
        <w:gridCol w:w="6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考核项目</w:t>
            </w:r>
          </w:p>
        </w:tc>
        <w:tc>
          <w:tcPr>
            <w:tcW w:w="6363" w:type="dxa"/>
            <w:tcBorders>
              <w:top w:val="single" w:color="auto" w:sz="4" w:space="0"/>
              <w:left w:val="single" w:color="auto" w:sz="4" w:space="0"/>
              <w:bottom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考核内容和标准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维护及时率（30分）</w:t>
            </w:r>
          </w:p>
        </w:tc>
        <w:tc>
          <w:tcPr>
            <w:tcW w:w="6363"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按要求开展维护，规定时间内未开展维护，按每1个站扣2分。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jc w:val="center"/>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场地维护（25分）</w:t>
            </w:r>
          </w:p>
        </w:tc>
        <w:tc>
          <w:tcPr>
            <w:tcW w:w="6363"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对区域站内及区域站四周影响气象要素探测的树枝等要修剪到位，未修剪到位影响气象数据采集每次扣1分，观测场内草坪，自然植被的高度保持在0-20CM之间，未达要求的每1个站扣2分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区域设备维护</w:t>
            </w:r>
          </w:p>
          <w:p>
            <w:pPr>
              <w:widowControl/>
              <w:spacing w:line="360" w:lineRule="auto"/>
              <w:ind w:firstLine="0" w:firstLineChars="0"/>
              <w:jc w:val="center"/>
              <w:rPr>
                <w:rFonts w:hint="eastAsia" w:ascii="宋体" w:hAnsi="宋体" w:cs="宋体"/>
              </w:rPr>
            </w:pPr>
            <w:r>
              <w:rPr>
                <w:rFonts w:hint="eastAsia" w:ascii="宋体" w:hAnsi="宋体" w:cs="宋体"/>
              </w:rPr>
              <w:t>（25分）</w:t>
            </w:r>
          </w:p>
        </w:tc>
        <w:tc>
          <w:tcPr>
            <w:tcW w:w="6363"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未</w:t>
            </w:r>
            <w:r>
              <w:rPr>
                <w:rFonts w:hint="eastAsia" w:ascii="宋体" w:hAnsi="宋体" w:cs="宋体"/>
                <w:lang w:val="en-US" w:eastAsia="zh-CN"/>
              </w:rPr>
              <w:t>按要求</w:t>
            </w:r>
            <w:r>
              <w:rPr>
                <w:rFonts w:hint="eastAsia" w:ascii="宋体" w:hAnsi="宋体" w:cs="宋体"/>
              </w:rPr>
              <w:t>开展百叶箱擦洗，对各传感器进行测试，每1个站点扣2分，未并将检测结果拍照留存，每1个站扣1分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应急响应</w:t>
            </w:r>
          </w:p>
          <w:p>
            <w:pPr>
              <w:pStyle w:val="26"/>
              <w:ind w:left="0" w:leftChars="0" w:firstLine="0" w:firstLineChars="0"/>
              <w:jc w:val="center"/>
              <w:rPr>
                <w:rFonts w:hint="eastAsia" w:ascii="宋体" w:hAnsi="宋体" w:cs="宋体"/>
                <w:kern w:val="2"/>
                <w:lang w:val="en-US" w:eastAsia="zh-CN"/>
              </w:rPr>
            </w:pPr>
            <w:r>
              <w:rPr>
                <w:rFonts w:hint="eastAsia" w:ascii="宋体" w:hAnsi="宋体" w:cs="宋体"/>
                <w:kern w:val="2"/>
                <w:lang w:val="en-US" w:eastAsia="zh-CN"/>
              </w:rPr>
              <w:t>（10分）</w:t>
            </w:r>
          </w:p>
        </w:tc>
        <w:tc>
          <w:tcPr>
            <w:tcW w:w="6363"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临时性增加维护任务未能按时开展维护任务，本项不得分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02" w:type="dxa"/>
            <w:tcBorders>
              <w:top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信息、材料上报</w:t>
            </w:r>
          </w:p>
          <w:p>
            <w:pPr>
              <w:widowControl/>
              <w:spacing w:line="360" w:lineRule="auto"/>
              <w:ind w:firstLine="0" w:firstLineChars="0"/>
              <w:jc w:val="center"/>
              <w:rPr>
                <w:rFonts w:hint="eastAsia" w:ascii="宋体" w:hAnsi="宋体" w:cs="宋体"/>
              </w:rPr>
            </w:pPr>
            <w:r>
              <w:rPr>
                <w:rFonts w:hint="eastAsia" w:ascii="宋体" w:hAnsi="宋体" w:cs="宋体"/>
              </w:rPr>
              <w:t>（10分）</w:t>
            </w:r>
          </w:p>
        </w:tc>
        <w:tc>
          <w:tcPr>
            <w:tcW w:w="6363" w:type="dxa"/>
            <w:tcBorders>
              <w:top w:val="single" w:color="auto" w:sz="4" w:space="0"/>
              <w:left w:val="single" w:color="auto" w:sz="4" w:space="0"/>
              <w:bottom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按时按规定正确上报各类信息材料，及时准确上报得10分；未及时上报每次扣1分。维护服务上报材料不符合要求，必须在甲方提出要求后7天内无条件修改，否则每次扣5分。</w:t>
            </w:r>
          </w:p>
        </w:tc>
      </w:tr>
    </w:tbl>
    <w:p>
      <w:pPr>
        <w:widowControl/>
        <w:spacing w:line="360" w:lineRule="auto"/>
        <w:ind w:firstLine="480"/>
        <w:jc w:val="left"/>
        <w:rPr>
          <w:rFonts w:hint="eastAsia" w:ascii="宋体" w:hAnsi="宋体" w:cs="宋体"/>
        </w:rPr>
      </w:pPr>
      <w:r>
        <w:rPr>
          <w:rFonts w:hint="eastAsia" w:ascii="宋体" w:hAnsi="宋体" w:cs="宋体"/>
        </w:rPr>
        <w:t>因中标方巡检疏忽，未发现安全隐患，导致设备损坏的，除负责无偿恢复设备外，每站次扣2分。</w:t>
      </w:r>
    </w:p>
    <w:p>
      <w:pPr>
        <w:widowControl/>
        <w:spacing w:line="360" w:lineRule="auto"/>
        <w:ind w:firstLine="480"/>
        <w:jc w:val="left"/>
        <w:rPr>
          <w:rFonts w:hint="eastAsia" w:ascii="宋体" w:hAnsi="宋体" w:cs="宋体"/>
        </w:rPr>
      </w:pPr>
      <w:r>
        <w:rPr>
          <w:rFonts w:hint="eastAsia" w:ascii="宋体" w:hAnsi="宋体" w:cs="宋体"/>
        </w:rPr>
        <w:t>质量考核结果低于95分的月份，将被扣罚合同总价的3%违约金。</w:t>
      </w:r>
    </w:p>
    <w:p>
      <w:pPr>
        <w:widowControl/>
        <w:spacing w:line="360" w:lineRule="auto"/>
        <w:ind w:firstLine="480"/>
        <w:jc w:val="left"/>
        <w:rPr>
          <w:rFonts w:hint="eastAsia" w:ascii="宋体" w:hAnsi="宋体" w:cs="宋体"/>
        </w:rPr>
      </w:pPr>
      <w:r>
        <w:rPr>
          <w:rFonts w:hint="eastAsia" w:ascii="宋体" w:hAnsi="宋体" w:cs="宋体"/>
        </w:rPr>
        <w:t>9、全市自动气象站维保站点信息，中标后交付。</w:t>
      </w:r>
    </w:p>
    <w:p>
      <w:pPr>
        <w:widowControl/>
        <w:spacing w:line="360" w:lineRule="auto"/>
        <w:ind w:firstLine="480"/>
        <w:jc w:val="left"/>
        <w:rPr>
          <w:rFonts w:hint="eastAsia" w:ascii="宋体" w:hAnsi="宋体" w:cs="宋体"/>
        </w:rPr>
        <w:sectPr>
          <w:foot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rPr>
        <w:t>10、相关表格：</w:t>
      </w:r>
    </w:p>
    <w:tbl>
      <w:tblPr>
        <w:tblStyle w:val="27"/>
        <w:tblW w:w="13160" w:type="dxa"/>
        <w:jc w:val="center"/>
        <w:tblLayout w:type="fixed"/>
        <w:tblCellMar>
          <w:top w:w="0" w:type="dxa"/>
          <w:left w:w="0" w:type="dxa"/>
          <w:bottom w:w="0" w:type="dxa"/>
          <w:right w:w="0" w:type="dxa"/>
        </w:tblCellMar>
      </w:tblPr>
      <w:tblGrid>
        <w:gridCol w:w="960"/>
        <w:gridCol w:w="740"/>
        <w:gridCol w:w="3540"/>
        <w:gridCol w:w="2240"/>
        <w:gridCol w:w="2240"/>
        <w:gridCol w:w="1700"/>
        <w:gridCol w:w="1740"/>
      </w:tblGrid>
      <w:tr>
        <w:tblPrEx>
          <w:tblCellMar>
            <w:top w:w="0" w:type="dxa"/>
            <w:left w:w="0" w:type="dxa"/>
            <w:bottom w:w="0" w:type="dxa"/>
            <w:right w:w="0" w:type="dxa"/>
          </w:tblCellMar>
        </w:tblPrEx>
        <w:trPr>
          <w:trHeight w:val="512" w:hRule="atLeast"/>
          <w:jc w:val="center"/>
        </w:trPr>
        <w:tc>
          <w:tcPr>
            <w:tcW w:w="13160" w:type="dxa"/>
            <w:gridSpan w:val="7"/>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r>
              <w:rPr>
                <w:rFonts w:hint="eastAsia" w:ascii="宋体" w:hAnsi="宋体" w:cs="宋体"/>
              </w:rPr>
              <w:t>区域自动气象站日常维护检测表</w:t>
            </w:r>
          </w:p>
        </w:tc>
      </w:tr>
      <w:tr>
        <w:tblPrEx>
          <w:tblCellMar>
            <w:top w:w="0" w:type="dxa"/>
            <w:left w:w="0" w:type="dxa"/>
            <w:bottom w:w="0" w:type="dxa"/>
            <w:right w:w="0" w:type="dxa"/>
          </w:tblCellMar>
        </w:tblPrEx>
        <w:trPr>
          <w:trHeight w:val="321" w:hRule="atLeast"/>
          <w:jc w:val="center"/>
        </w:trPr>
        <w:tc>
          <w:tcPr>
            <w:tcW w:w="96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类别</w:t>
            </w: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序号</w:t>
            </w: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174" w:firstLineChars="83"/>
              <w:jc w:val="center"/>
              <w:rPr>
                <w:rFonts w:hint="eastAsia" w:ascii="宋体" w:hAnsi="宋体" w:cs="宋体"/>
              </w:rPr>
            </w:pPr>
            <w:r>
              <w:rPr>
                <w:rFonts w:hint="eastAsia" w:ascii="宋体" w:hAnsi="宋体" w:cs="宋体"/>
              </w:rPr>
              <w:t>项目（根据台站类型定）</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目的</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标准</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示值/现象</w:t>
            </w: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结论/措施</w:t>
            </w:r>
          </w:p>
        </w:tc>
      </w:tr>
      <w:tr>
        <w:tblPrEx>
          <w:tblCellMar>
            <w:top w:w="0" w:type="dxa"/>
            <w:left w:w="0" w:type="dxa"/>
            <w:bottom w:w="0" w:type="dxa"/>
            <w:right w:w="0" w:type="dxa"/>
          </w:tblCellMar>
        </w:tblPrEx>
        <w:trPr>
          <w:trHeight w:val="260" w:hRule="atLeast"/>
          <w:jc w:val="center"/>
        </w:trPr>
        <w:tc>
          <w:tcPr>
            <w:tcW w:w="960"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整体检查</w:t>
            </w: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环境变化</w:t>
            </w:r>
          </w:p>
        </w:tc>
        <w:tc>
          <w:tcPr>
            <w:tcW w:w="2240"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保证观测数据的真实性和代表性</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场内植被不高于20厘米</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260"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center"/>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观测场地清洁</w:t>
            </w:r>
          </w:p>
        </w:tc>
        <w:tc>
          <w:tcPr>
            <w:tcW w:w="2240" w:type="dxa"/>
            <w:vMerge w:val="continue"/>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无垃圾</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519"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center"/>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结构件松紧、腐蚀检查</w:t>
            </w:r>
          </w:p>
        </w:tc>
        <w:tc>
          <w:tcPr>
            <w:tcW w:w="2240" w:type="dxa"/>
            <w:vMerge w:val="continue"/>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结构无松动、无明显腐蚀现象</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519" w:hRule="atLeast"/>
          <w:jc w:val="center"/>
        </w:trPr>
        <w:tc>
          <w:tcPr>
            <w:tcW w:w="960"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主供电系统</w:t>
            </w: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太阳能板输入电压</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判断充电条件</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晴天（14-16V）</w:t>
            </w:r>
          </w:p>
          <w:p>
            <w:pPr>
              <w:widowControl/>
              <w:spacing w:line="360" w:lineRule="auto"/>
              <w:ind w:firstLine="0" w:firstLineChars="0"/>
              <w:jc w:val="center"/>
              <w:rPr>
                <w:rFonts w:hint="eastAsia" w:ascii="宋体" w:hAnsi="宋体" w:cs="宋体"/>
              </w:rPr>
            </w:pPr>
            <w:r>
              <w:rPr>
                <w:rFonts w:hint="eastAsia" w:ascii="宋体" w:hAnsi="宋体" w:cs="宋体"/>
              </w:rPr>
              <w:t>阴天（13-15V）</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260"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center"/>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蓄电池电压</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判断持续供电时间</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12-14V</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260"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center"/>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PV输出电压</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判断供电稳定性</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12-14V</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519"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center"/>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清洁太阳能板</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保证太阳能板最大充电状态</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无灰尘和无污物</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519"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center"/>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外观检查、清洁，线路是否有断裂、虚接等</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保证可靠性运行</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电缆无虚接、外观无破损、无明显污染</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rPr>
          <w:trHeight w:val="260" w:hRule="atLeast"/>
          <w:jc w:val="center"/>
        </w:trPr>
        <w:tc>
          <w:tcPr>
            <w:tcW w:w="960"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主采集箱</w:t>
            </w: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工作电源电压</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判断供电稳定性</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11.8-13.8V</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260"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采集器工作指示灯</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判断采集器工作状态</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秒闪</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260"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气压计工作指示灯</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判断气压计工作状态</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常亮</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519"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外观检查、清洁，线路是否有断裂、虚接等</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保证可靠性运行</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电缆无虚接、外观无破损、无明显污染</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519" w:hRule="atLeast"/>
          <w:jc w:val="center"/>
        </w:trPr>
        <w:tc>
          <w:tcPr>
            <w:tcW w:w="960"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left"/>
              <w:rPr>
                <w:rFonts w:hint="eastAsia" w:ascii="宋体" w:hAnsi="宋体" w:cs="宋体"/>
              </w:rPr>
            </w:pPr>
            <w:r>
              <w:rPr>
                <w:rFonts w:hint="eastAsia" w:ascii="宋体" w:hAnsi="宋体" w:cs="宋体"/>
              </w:rPr>
              <w:t>温、湿度</w:t>
            </w: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温、湿度传感器安装高度</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符合规范</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敏感元件距地面1.5米</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519"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温湿度传感器保护罩外观检查、清洁</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保证测量数据质量</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无灰尘</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519"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35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外观检查、清洁，线路是否有断裂、虚接等</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保证可靠性运行</w:t>
            </w:r>
          </w:p>
        </w:tc>
        <w:tc>
          <w:tcPr>
            <w:tcW w:w="22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电缆无虚接、外观无破损、无明显污染</w:t>
            </w:r>
          </w:p>
        </w:tc>
        <w:tc>
          <w:tcPr>
            <w:tcW w:w="170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1740"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bl>
    <w:p>
      <w:pPr>
        <w:widowControl/>
        <w:spacing w:line="360" w:lineRule="auto"/>
        <w:ind w:firstLine="480"/>
        <w:jc w:val="left"/>
        <w:rPr>
          <w:rFonts w:hint="eastAsia" w:ascii="宋体" w:hAnsi="宋体" w:cs="宋体"/>
        </w:rPr>
      </w:pPr>
    </w:p>
    <w:tbl>
      <w:tblPr>
        <w:tblStyle w:val="27"/>
        <w:tblW w:w="13155" w:type="dxa"/>
        <w:jc w:val="center"/>
        <w:tblLayout w:type="fixed"/>
        <w:tblCellMar>
          <w:top w:w="0" w:type="dxa"/>
          <w:left w:w="0" w:type="dxa"/>
          <w:bottom w:w="0" w:type="dxa"/>
          <w:right w:w="0" w:type="dxa"/>
        </w:tblCellMar>
      </w:tblPr>
      <w:tblGrid>
        <w:gridCol w:w="918"/>
        <w:gridCol w:w="3274"/>
        <w:gridCol w:w="2136"/>
        <w:gridCol w:w="2138"/>
        <w:gridCol w:w="1694"/>
        <w:gridCol w:w="2995"/>
      </w:tblGrid>
      <w:tr>
        <w:tblPrEx>
          <w:tblCellMar>
            <w:top w:w="0" w:type="dxa"/>
            <w:left w:w="0" w:type="dxa"/>
            <w:bottom w:w="0" w:type="dxa"/>
            <w:right w:w="0" w:type="dxa"/>
          </w:tblCellMar>
        </w:tblPrEx>
        <w:trPr>
          <w:trHeight w:val="348" w:hRule="atLeast"/>
          <w:jc w:val="center"/>
        </w:trPr>
        <w:tc>
          <w:tcPr>
            <w:tcW w:w="91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类别</w:t>
            </w: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r>
              <w:rPr>
                <w:rFonts w:hint="eastAsia" w:ascii="宋体" w:hAnsi="宋体" w:cs="宋体"/>
              </w:rPr>
              <w:t>项目（根据台站类型定）</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r>
              <w:rPr>
                <w:rFonts w:hint="eastAsia" w:ascii="宋体" w:hAnsi="宋体" w:cs="宋体"/>
              </w:rPr>
              <w:t>目的</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r>
              <w:rPr>
                <w:rFonts w:hint="eastAsia" w:ascii="宋体" w:hAnsi="宋体" w:cs="宋体"/>
              </w:rPr>
              <w:t>标准</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示值/现象</w:t>
            </w: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r>
              <w:rPr>
                <w:rFonts w:hint="eastAsia" w:ascii="宋体" w:hAnsi="宋体" w:cs="宋体"/>
              </w:rPr>
              <w:t>结论/措施</w:t>
            </w:r>
          </w:p>
        </w:tc>
      </w:tr>
      <w:tr>
        <w:tblPrEx>
          <w:tblCellMar>
            <w:top w:w="0" w:type="dxa"/>
            <w:left w:w="0" w:type="dxa"/>
            <w:bottom w:w="0" w:type="dxa"/>
            <w:right w:w="0" w:type="dxa"/>
          </w:tblCellMar>
        </w:tblPrEx>
        <w:trPr>
          <w:trHeight w:val="526" w:hRule="atLeast"/>
          <w:jc w:val="center"/>
        </w:trPr>
        <w:tc>
          <w:tcPr>
            <w:tcW w:w="918"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风</w:t>
            </w: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目测启动风速</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保证测量数据质量</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微风下能启动（结合调试数据）</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263"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center"/>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目测风向转动</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保证测量数据质量</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转动灵活</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526"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r>
              <w:rPr>
                <w:rFonts w:hint="eastAsia" w:ascii="宋体" w:hAnsi="宋体" w:cs="宋体"/>
              </w:rPr>
              <w:t>外观检查、清洁，线路是否有断裂、虚接等</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保证可靠性运行</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r>
              <w:rPr>
                <w:rFonts w:hint="eastAsia" w:ascii="宋体" w:hAnsi="宋体" w:cs="宋体"/>
              </w:rPr>
              <w:t>电缆无虚接、外观无破损、无明显污染</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263" w:hRule="atLeast"/>
          <w:jc w:val="center"/>
        </w:trPr>
        <w:tc>
          <w:tcPr>
            <w:tcW w:w="918"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left"/>
              <w:rPr>
                <w:rFonts w:hint="eastAsia" w:ascii="宋体" w:hAnsi="宋体" w:cs="宋体"/>
              </w:rPr>
            </w:pPr>
            <w:r>
              <w:rPr>
                <w:rFonts w:hint="eastAsia" w:ascii="宋体" w:hAnsi="宋体" w:cs="宋体"/>
              </w:rPr>
              <w:t>雨量</w:t>
            </w: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翻斗翻动灵活检查</w:t>
            </w:r>
          </w:p>
        </w:tc>
        <w:tc>
          <w:tcPr>
            <w:tcW w:w="2136"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保证测量数据质量</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翻动灵活</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263"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漏斗堵塞检查</w:t>
            </w:r>
          </w:p>
        </w:tc>
        <w:tc>
          <w:tcPr>
            <w:tcW w:w="2136" w:type="dxa"/>
            <w:vMerge w:val="continue"/>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无堵塞</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263"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干簧管通断检测</w:t>
            </w:r>
          </w:p>
        </w:tc>
        <w:tc>
          <w:tcPr>
            <w:tcW w:w="2136" w:type="dxa"/>
            <w:vMerge w:val="continue"/>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翻动能导通</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263"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安装水平检查</w:t>
            </w:r>
          </w:p>
        </w:tc>
        <w:tc>
          <w:tcPr>
            <w:tcW w:w="2136" w:type="dxa"/>
            <w:vMerge w:val="continue"/>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水平泡居中</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526"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外观检查、清洁，线路是否有断裂、虚接等</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保证可靠性运行</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电缆无虚接、外观无破损、无明显污染</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526" w:hRule="atLeast"/>
          <w:jc w:val="center"/>
        </w:trPr>
        <w:tc>
          <w:tcPr>
            <w:tcW w:w="918"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left"/>
              <w:rPr>
                <w:rFonts w:hint="eastAsia" w:ascii="宋体" w:hAnsi="宋体" w:cs="宋体"/>
              </w:rPr>
            </w:pPr>
            <w:r>
              <w:rPr>
                <w:rFonts w:hint="eastAsia" w:ascii="宋体" w:hAnsi="宋体" w:cs="宋体"/>
              </w:rPr>
              <w:t>能见度</w:t>
            </w: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太阳能板供电电压</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判断充电条件</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晴天（14-16V）阴天（13-15V）</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263"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蓄电池电压</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判断持续供电时间</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12-14V</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263"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PV输出电压</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判断供电稳定性</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12-14V</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521"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镜头清洁（定期CLEAN操作）</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保证测量数据质量</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镜头无灰尘和无污物</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r>
      <w:tr>
        <w:tblPrEx>
          <w:tblCellMar>
            <w:top w:w="0" w:type="dxa"/>
            <w:left w:w="0" w:type="dxa"/>
            <w:bottom w:w="0" w:type="dxa"/>
            <w:right w:w="0" w:type="dxa"/>
          </w:tblCellMar>
        </w:tblPrEx>
        <w:trPr>
          <w:trHeight w:val="526"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外观检查、清洁，线路是否有断裂、虚接等</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保证可靠性运行</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电缆无虚接、外观无破损、无明显污染</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263" w:hRule="atLeast"/>
          <w:jc w:val="center"/>
        </w:trPr>
        <w:tc>
          <w:tcPr>
            <w:tcW w:w="918" w:type="dxa"/>
            <w:vMerge w:val="restart"/>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left"/>
              <w:rPr>
                <w:rFonts w:hint="eastAsia" w:ascii="宋体" w:hAnsi="宋体" w:cs="宋体"/>
              </w:rPr>
            </w:pPr>
            <w:r>
              <w:rPr>
                <w:rFonts w:hint="eastAsia" w:ascii="宋体" w:hAnsi="宋体" w:cs="宋体"/>
              </w:rPr>
              <w:t>地温</w:t>
            </w: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采集器工作电源电压</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判断供电稳定性</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11.8-13.8V</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263"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采集器工作指示灯</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判断采集器工作状态</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秒闪</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526"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外观检查、清洁，线路是否有断裂、虚接等</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保证可靠性运行</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电缆无虚接、外观无破损、无明显污染</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r>
        <w:tblPrEx>
          <w:tblCellMar>
            <w:top w:w="0" w:type="dxa"/>
            <w:left w:w="0" w:type="dxa"/>
            <w:bottom w:w="0" w:type="dxa"/>
            <w:right w:w="0" w:type="dxa"/>
          </w:tblCellMar>
        </w:tblPrEx>
        <w:trPr>
          <w:trHeight w:val="526" w:hRule="atLeast"/>
          <w:jc w:val="center"/>
        </w:trPr>
        <w:tc>
          <w:tcPr>
            <w:tcW w:w="91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ind w:firstLine="480"/>
              <w:jc w:val="left"/>
              <w:rPr>
                <w:rFonts w:hint="eastAsia" w:ascii="宋体" w:hAnsi="宋体" w:cs="宋体"/>
              </w:rPr>
            </w:pPr>
          </w:p>
        </w:tc>
        <w:tc>
          <w:tcPr>
            <w:tcW w:w="327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地温传感器安装检查</w:t>
            </w:r>
          </w:p>
        </w:tc>
        <w:tc>
          <w:tcPr>
            <w:tcW w:w="2136"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保证测量数据质量</w:t>
            </w:r>
          </w:p>
        </w:tc>
        <w:tc>
          <w:tcPr>
            <w:tcW w:w="2138"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0" w:firstLineChars="0"/>
              <w:jc w:val="center"/>
              <w:rPr>
                <w:rFonts w:hint="eastAsia" w:ascii="宋体" w:hAnsi="宋体" w:cs="宋体"/>
              </w:rPr>
            </w:pPr>
            <w:r>
              <w:rPr>
                <w:rFonts w:hint="eastAsia" w:ascii="宋体" w:hAnsi="宋体" w:cs="宋体"/>
              </w:rPr>
              <w:t>地表温传感器一半露出地面</w:t>
            </w:r>
          </w:p>
        </w:tc>
        <w:tc>
          <w:tcPr>
            <w:tcW w:w="1694"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center"/>
              <w:rPr>
                <w:rFonts w:hint="eastAsia" w:ascii="宋体" w:hAnsi="宋体" w:cs="宋体"/>
              </w:rPr>
            </w:pPr>
          </w:p>
        </w:tc>
        <w:tc>
          <w:tcPr>
            <w:tcW w:w="2995" w:type="dxa"/>
            <w:tcBorders>
              <w:top w:val="single" w:color="000000" w:sz="8" w:space="0"/>
              <w:left w:val="single" w:color="000000" w:sz="8" w:space="0"/>
              <w:bottom w:val="single" w:color="000000" w:sz="8" w:space="0"/>
              <w:right w:val="single" w:color="000000" w:sz="8" w:space="0"/>
            </w:tcBorders>
            <w:noWrap w:val="0"/>
            <w:tcMar>
              <w:top w:w="15" w:type="dxa"/>
              <w:left w:w="95" w:type="dxa"/>
              <w:bottom w:w="0" w:type="dxa"/>
              <w:right w:w="95" w:type="dxa"/>
            </w:tcMar>
            <w:vAlign w:val="center"/>
          </w:tcPr>
          <w:p>
            <w:pPr>
              <w:widowControl/>
              <w:spacing w:line="360" w:lineRule="auto"/>
              <w:ind w:firstLine="480"/>
              <w:jc w:val="left"/>
              <w:rPr>
                <w:rFonts w:hint="eastAsia" w:ascii="宋体" w:hAnsi="宋体" w:cs="宋体"/>
              </w:rPr>
            </w:pPr>
            <w:r>
              <w:rPr>
                <w:rFonts w:hint="eastAsia" w:ascii="宋体" w:hAnsi="宋体" w:cs="宋体"/>
              </w:rPr>
              <w:t> </w:t>
            </w:r>
          </w:p>
        </w:tc>
      </w:tr>
    </w:tbl>
    <w:p>
      <w:pPr>
        <w:widowControl/>
        <w:spacing w:line="360" w:lineRule="auto"/>
        <w:ind w:firstLine="480"/>
        <w:jc w:val="left"/>
        <w:rPr>
          <w:rFonts w:hint="eastAsia" w:ascii="宋体" w:hAnsi="宋体" w:cs="宋体"/>
        </w:rPr>
      </w:pPr>
    </w:p>
    <w:p>
      <w:pPr>
        <w:widowControl/>
        <w:spacing w:line="360" w:lineRule="auto"/>
        <w:ind w:firstLine="480"/>
        <w:jc w:val="left"/>
        <w:rPr>
          <w:rFonts w:hint="eastAsia" w:ascii="宋体" w:hAnsi="宋体" w:cs="宋体"/>
        </w:rPr>
        <w:sectPr>
          <w:pgSz w:w="16838" w:h="11906" w:orient="landscape"/>
          <w:pgMar w:top="1800" w:right="1440" w:bottom="1800" w:left="1440" w:header="851" w:footer="992" w:gutter="0"/>
          <w:cols w:space="720" w:num="1"/>
          <w:docGrid w:linePitch="312" w:charSpace="0"/>
        </w:sectPr>
      </w:pPr>
    </w:p>
    <w:p>
      <w:pPr>
        <w:widowControl/>
        <w:spacing w:line="360" w:lineRule="auto"/>
        <w:ind w:firstLine="0" w:firstLineChars="0"/>
        <w:jc w:val="left"/>
        <w:rPr>
          <w:rFonts w:hint="eastAsia" w:ascii="宋体" w:hAnsi="宋体" w:cs="宋体"/>
        </w:rPr>
      </w:pPr>
      <w:r>
        <w:rPr>
          <w:rFonts w:hint="eastAsia" w:ascii="宋体" w:hAnsi="宋体" w:cs="宋体"/>
        </w:rPr>
        <w:t>　　　年　　月备件出入库记录表</w:t>
      </w:r>
    </w:p>
    <w:p>
      <w:pPr>
        <w:widowControl/>
        <w:spacing w:line="360" w:lineRule="auto"/>
        <w:ind w:firstLine="480"/>
        <w:jc w:val="left"/>
        <w:rPr>
          <w:rFonts w:hint="eastAsia" w:ascii="宋体" w:hAnsi="宋体" w:cs="宋体"/>
        </w:rPr>
      </w:pPr>
      <w:r>
        <w:rPr>
          <w:rFonts w:hint="eastAsia" w:ascii="宋体" w:hAnsi="宋体" w:cs="宋体"/>
        </w:rPr>
        <w:t xml:space="preserve">填表人：                        </w:t>
      </w:r>
    </w:p>
    <w:tbl>
      <w:tblPr>
        <w:tblStyle w:val="27"/>
        <w:tblW w:w="13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3118"/>
        <w:gridCol w:w="2410"/>
        <w:gridCol w:w="2410"/>
        <w:gridCol w:w="212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53"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备件型号</w:t>
            </w:r>
          </w:p>
        </w:tc>
        <w:tc>
          <w:tcPr>
            <w:tcW w:w="3118"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编号</w:t>
            </w:r>
          </w:p>
        </w:tc>
        <w:tc>
          <w:tcPr>
            <w:tcW w:w="2410"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入库时间</w:t>
            </w:r>
          </w:p>
        </w:tc>
        <w:tc>
          <w:tcPr>
            <w:tcW w:w="2410"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出库时间</w:t>
            </w:r>
          </w:p>
        </w:tc>
        <w:tc>
          <w:tcPr>
            <w:tcW w:w="2126"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所用自动站站号</w:t>
            </w:r>
          </w:p>
        </w:tc>
        <w:tc>
          <w:tcPr>
            <w:tcW w:w="1243"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noWrap w:val="0"/>
            <w:vAlign w:val="center"/>
          </w:tcPr>
          <w:p>
            <w:pPr>
              <w:widowControl/>
              <w:spacing w:line="360" w:lineRule="auto"/>
              <w:ind w:firstLine="480"/>
              <w:jc w:val="left"/>
              <w:rPr>
                <w:rFonts w:hint="eastAsia" w:ascii="宋体" w:hAnsi="宋体" w:cs="宋体"/>
              </w:rPr>
            </w:pPr>
          </w:p>
        </w:tc>
        <w:tc>
          <w:tcPr>
            <w:tcW w:w="3118"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126" w:type="dxa"/>
            <w:noWrap w:val="0"/>
            <w:vAlign w:val="center"/>
          </w:tcPr>
          <w:p>
            <w:pPr>
              <w:widowControl/>
              <w:spacing w:line="360" w:lineRule="auto"/>
              <w:ind w:firstLine="480"/>
              <w:jc w:val="left"/>
              <w:rPr>
                <w:rFonts w:hint="eastAsia" w:ascii="宋体" w:hAnsi="宋体" w:cs="宋体"/>
              </w:rPr>
            </w:pPr>
          </w:p>
        </w:tc>
        <w:tc>
          <w:tcPr>
            <w:tcW w:w="1243" w:type="dxa"/>
            <w:noWrap w:val="0"/>
            <w:vAlign w:val="center"/>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53" w:type="dxa"/>
            <w:noWrap w:val="0"/>
            <w:vAlign w:val="center"/>
          </w:tcPr>
          <w:p>
            <w:pPr>
              <w:widowControl/>
              <w:spacing w:line="360" w:lineRule="auto"/>
              <w:ind w:firstLine="480"/>
              <w:jc w:val="left"/>
              <w:rPr>
                <w:rFonts w:hint="eastAsia" w:ascii="宋体" w:hAnsi="宋体" w:cs="宋体"/>
              </w:rPr>
            </w:pPr>
          </w:p>
        </w:tc>
        <w:tc>
          <w:tcPr>
            <w:tcW w:w="3118"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126" w:type="dxa"/>
            <w:noWrap w:val="0"/>
            <w:vAlign w:val="center"/>
          </w:tcPr>
          <w:p>
            <w:pPr>
              <w:widowControl/>
              <w:spacing w:line="360" w:lineRule="auto"/>
              <w:ind w:firstLine="480"/>
              <w:jc w:val="left"/>
              <w:rPr>
                <w:rFonts w:hint="eastAsia" w:ascii="宋体" w:hAnsi="宋体" w:cs="宋体"/>
              </w:rPr>
            </w:pPr>
          </w:p>
        </w:tc>
        <w:tc>
          <w:tcPr>
            <w:tcW w:w="1243" w:type="dxa"/>
            <w:noWrap w:val="0"/>
            <w:vAlign w:val="center"/>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noWrap w:val="0"/>
            <w:vAlign w:val="center"/>
          </w:tcPr>
          <w:p>
            <w:pPr>
              <w:widowControl/>
              <w:spacing w:line="360" w:lineRule="auto"/>
              <w:ind w:firstLine="480"/>
              <w:jc w:val="left"/>
              <w:rPr>
                <w:rFonts w:hint="eastAsia" w:ascii="宋体" w:hAnsi="宋体" w:cs="宋体"/>
              </w:rPr>
            </w:pPr>
          </w:p>
        </w:tc>
        <w:tc>
          <w:tcPr>
            <w:tcW w:w="3118"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126" w:type="dxa"/>
            <w:noWrap w:val="0"/>
            <w:vAlign w:val="center"/>
          </w:tcPr>
          <w:p>
            <w:pPr>
              <w:widowControl/>
              <w:spacing w:line="360" w:lineRule="auto"/>
              <w:ind w:firstLine="480"/>
              <w:jc w:val="left"/>
              <w:rPr>
                <w:rFonts w:hint="eastAsia" w:ascii="宋体" w:hAnsi="宋体" w:cs="宋体"/>
              </w:rPr>
            </w:pPr>
          </w:p>
        </w:tc>
        <w:tc>
          <w:tcPr>
            <w:tcW w:w="1243" w:type="dxa"/>
            <w:noWrap w:val="0"/>
            <w:vAlign w:val="center"/>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noWrap w:val="0"/>
            <w:vAlign w:val="center"/>
          </w:tcPr>
          <w:p>
            <w:pPr>
              <w:widowControl/>
              <w:spacing w:line="360" w:lineRule="auto"/>
              <w:ind w:firstLine="480"/>
              <w:jc w:val="left"/>
              <w:rPr>
                <w:rFonts w:hint="eastAsia" w:ascii="宋体" w:hAnsi="宋体" w:cs="宋体"/>
              </w:rPr>
            </w:pPr>
          </w:p>
        </w:tc>
        <w:tc>
          <w:tcPr>
            <w:tcW w:w="3118"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126" w:type="dxa"/>
            <w:noWrap w:val="0"/>
            <w:vAlign w:val="center"/>
          </w:tcPr>
          <w:p>
            <w:pPr>
              <w:widowControl/>
              <w:spacing w:line="360" w:lineRule="auto"/>
              <w:ind w:firstLine="480"/>
              <w:jc w:val="left"/>
              <w:rPr>
                <w:rFonts w:hint="eastAsia" w:ascii="宋体" w:hAnsi="宋体" w:cs="宋体"/>
              </w:rPr>
            </w:pPr>
          </w:p>
        </w:tc>
        <w:tc>
          <w:tcPr>
            <w:tcW w:w="1243" w:type="dxa"/>
            <w:noWrap w:val="0"/>
            <w:vAlign w:val="center"/>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noWrap w:val="0"/>
            <w:vAlign w:val="center"/>
          </w:tcPr>
          <w:p>
            <w:pPr>
              <w:widowControl/>
              <w:spacing w:line="360" w:lineRule="auto"/>
              <w:ind w:firstLine="480"/>
              <w:jc w:val="left"/>
              <w:rPr>
                <w:rFonts w:hint="eastAsia" w:ascii="宋体" w:hAnsi="宋体" w:cs="宋体"/>
              </w:rPr>
            </w:pPr>
          </w:p>
        </w:tc>
        <w:tc>
          <w:tcPr>
            <w:tcW w:w="3118"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126" w:type="dxa"/>
            <w:noWrap w:val="0"/>
            <w:vAlign w:val="center"/>
          </w:tcPr>
          <w:p>
            <w:pPr>
              <w:widowControl/>
              <w:spacing w:line="360" w:lineRule="auto"/>
              <w:ind w:firstLine="480"/>
              <w:jc w:val="left"/>
              <w:rPr>
                <w:rFonts w:hint="eastAsia" w:ascii="宋体" w:hAnsi="宋体" w:cs="宋体"/>
              </w:rPr>
            </w:pPr>
          </w:p>
        </w:tc>
        <w:tc>
          <w:tcPr>
            <w:tcW w:w="1243" w:type="dxa"/>
            <w:noWrap w:val="0"/>
            <w:vAlign w:val="center"/>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noWrap w:val="0"/>
            <w:vAlign w:val="center"/>
          </w:tcPr>
          <w:p>
            <w:pPr>
              <w:widowControl/>
              <w:spacing w:line="360" w:lineRule="auto"/>
              <w:ind w:firstLine="480"/>
              <w:jc w:val="left"/>
              <w:rPr>
                <w:rFonts w:hint="eastAsia" w:ascii="宋体" w:hAnsi="宋体" w:cs="宋体"/>
              </w:rPr>
            </w:pPr>
          </w:p>
        </w:tc>
        <w:tc>
          <w:tcPr>
            <w:tcW w:w="3118"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126" w:type="dxa"/>
            <w:noWrap w:val="0"/>
            <w:vAlign w:val="center"/>
          </w:tcPr>
          <w:p>
            <w:pPr>
              <w:widowControl/>
              <w:spacing w:line="360" w:lineRule="auto"/>
              <w:ind w:firstLine="480"/>
              <w:jc w:val="left"/>
              <w:rPr>
                <w:rFonts w:hint="eastAsia" w:ascii="宋体" w:hAnsi="宋体" w:cs="宋体"/>
              </w:rPr>
            </w:pPr>
          </w:p>
        </w:tc>
        <w:tc>
          <w:tcPr>
            <w:tcW w:w="1243" w:type="dxa"/>
            <w:noWrap w:val="0"/>
            <w:vAlign w:val="center"/>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noWrap w:val="0"/>
            <w:vAlign w:val="center"/>
          </w:tcPr>
          <w:p>
            <w:pPr>
              <w:widowControl/>
              <w:spacing w:line="360" w:lineRule="auto"/>
              <w:ind w:firstLine="480"/>
              <w:jc w:val="left"/>
              <w:rPr>
                <w:rFonts w:hint="eastAsia" w:ascii="宋体" w:hAnsi="宋体" w:cs="宋体"/>
              </w:rPr>
            </w:pPr>
          </w:p>
        </w:tc>
        <w:tc>
          <w:tcPr>
            <w:tcW w:w="3118"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126" w:type="dxa"/>
            <w:noWrap w:val="0"/>
            <w:vAlign w:val="center"/>
          </w:tcPr>
          <w:p>
            <w:pPr>
              <w:widowControl/>
              <w:spacing w:line="360" w:lineRule="auto"/>
              <w:ind w:firstLine="480"/>
              <w:jc w:val="left"/>
              <w:rPr>
                <w:rFonts w:hint="eastAsia" w:ascii="宋体" w:hAnsi="宋体" w:cs="宋体"/>
              </w:rPr>
            </w:pPr>
          </w:p>
        </w:tc>
        <w:tc>
          <w:tcPr>
            <w:tcW w:w="1243" w:type="dxa"/>
            <w:noWrap w:val="0"/>
            <w:vAlign w:val="center"/>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noWrap w:val="0"/>
            <w:vAlign w:val="center"/>
          </w:tcPr>
          <w:p>
            <w:pPr>
              <w:widowControl/>
              <w:spacing w:line="360" w:lineRule="auto"/>
              <w:ind w:firstLine="480"/>
              <w:jc w:val="left"/>
              <w:rPr>
                <w:rFonts w:hint="eastAsia" w:ascii="宋体" w:hAnsi="宋体" w:cs="宋体"/>
              </w:rPr>
            </w:pPr>
          </w:p>
        </w:tc>
        <w:tc>
          <w:tcPr>
            <w:tcW w:w="3118"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410" w:type="dxa"/>
            <w:noWrap w:val="0"/>
            <w:vAlign w:val="center"/>
          </w:tcPr>
          <w:p>
            <w:pPr>
              <w:widowControl/>
              <w:spacing w:line="360" w:lineRule="auto"/>
              <w:ind w:firstLine="480"/>
              <w:jc w:val="left"/>
              <w:rPr>
                <w:rFonts w:hint="eastAsia" w:ascii="宋体" w:hAnsi="宋体" w:cs="宋体"/>
              </w:rPr>
            </w:pPr>
          </w:p>
        </w:tc>
        <w:tc>
          <w:tcPr>
            <w:tcW w:w="2126" w:type="dxa"/>
            <w:noWrap w:val="0"/>
            <w:vAlign w:val="center"/>
          </w:tcPr>
          <w:p>
            <w:pPr>
              <w:widowControl/>
              <w:spacing w:line="360" w:lineRule="auto"/>
              <w:ind w:firstLine="480"/>
              <w:jc w:val="left"/>
              <w:rPr>
                <w:rFonts w:hint="eastAsia" w:ascii="宋体" w:hAnsi="宋体" w:cs="宋体"/>
              </w:rPr>
            </w:pPr>
          </w:p>
        </w:tc>
        <w:tc>
          <w:tcPr>
            <w:tcW w:w="1243" w:type="dxa"/>
            <w:noWrap w:val="0"/>
            <w:vAlign w:val="center"/>
          </w:tcPr>
          <w:p>
            <w:pPr>
              <w:widowControl/>
              <w:spacing w:line="360" w:lineRule="auto"/>
              <w:ind w:firstLine="480"/>
              <w:jc w:val="left"/>
              <w:rPr>
                <w:rFonts w:hint="eastAsia" w:ascii="宋体" w:hAnsi="宋体" w:cs="宋体"/>
              </w:rPr>
            </w:pPr>
          </w:p>
        </w:tc>
      </w:tr>
    </w:tbl>
    <w:p>
      <w:pPr>
        <w:widowControl/>
        <w:spacing w:line="360" w:lineRule="auto"/>
        <w:ind w:firstLine="480"/>
        <w:jc w:val="left"/>
        <w:rPr>
          <w:rFonts w:hint="eastAsia" w:ascii="宋体" w:hAnsi="宋体" w:cs="宋体"/>
        </w:rPr>
      </w:pPr>
    </w:p>
    <w:p>
      <w:pPr>
        <w:widowControl/>
        <w:spacing w:line="360" w:lineRule="auto"/>
        <w:ind w:firstLine="480"/>
        <w:jc w:val="left"/>
        <w:rPr>
          <w:rFonts w:hint="eastAsia" w:ascii="宋体" w:hAnsi="宋体" w:cs="宋体"/>
        </w:rPr>
        <w:sectPr>
          <w:pgSz w:w="16838" w:h="11906" w:orient="landscape"/>
          <w:pgMar w:top="1440" w:right="1440" w:bottom="1440" w:left="1440" w:header="851" w:footer="992" w:gutter="0"/>
          <w:cols w:space="720" w:num="1"/>
          <w:docGrid w:linePitch="312" w:charSpace="0"/>
        </w:sectPr>
      </w:pPr>
      <w:r>
        <w:rPr>
          <w:rFonts w:hint="eastAsia" w:ascii="宋体" w:hAnsi="宋体" w:cs="宋体"/>
        </w:rPr>
        <w:t>　　</w:t>
      </w:r>
    </w:p>
    <w:p>
      <w:pPr>
        <w:widowControl/>
        <w:spacing w:line="360" w:lineRule="auto"/>
        <w:ind w:firstLine="480"/>
        <w:jc w:val="left"/>
        <w:rPr>
          <w:rFonts w:hint="eastAsia" w:ascii="宋体" w:hAnsi="宋体" w:cs="宋体"/>
        </w:rPr>
      </w:pPr>
      <w:r>
        <w:rPr>
          <w:rFonts w:hint="eastAsia" w:ascii="宋体" w:hAnsi="宋体" w:cs="宋体"/>
        </w:rPr>
        <w:t>　年　　月备件报废记录表</w:t>
      </w:r>
    </w:p>
    <w:p>
      <w:pPr>
        <w:widowControl/>
        <w:spacing w:line="360" w:lineRule="auto"/>
        <w:ind w:firstLine="480"/>
        <w:jc w:val="left"/>
        <w:rPr>
          <w:rFonts w:hint="eastAsia" w:ascii="宋体" w:hAnsi="宋体" w:cs="宋体"/>
        </w:rPr>
      </w:pPr>
      <w:r>
        <w:rPr>
          <w:rFonts w:hint="eastAsia" w:ascii="宋体" w:hAnsi="宋体" w:cs="宋体"/>
        </w:rPr>
        <w:t xml:space="preserve">填表人：                        </w:t>
      </w:r>
    </w:p>
    <w:tbl>
      <w:tblPr>
        <w:tblStyle w:val="27"/>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1984"/>
        <w:gridCol w:w="212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备件型号</w:t>
            </w:r>
          </w:p>
        </w:tc>
        <w:tc>
          <w:tcPr>
            <w:tcW w:w="1418"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编号</w:t>
            </w:r>
          </w:p>
        </w:tc>
        <w:tc>
          <w:tcPr>
            <w:tcW w:w="1984"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报废时间</w:t>
            </w:r>
          </w:p>
        </w:tc>
        <w:tc>
          <w:tcPr>
            <w:tcW w:w="2127" w:type="dxa"/>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原自动站站号</w:t>
            </w:r>
          </w:p>
        </w:tc>
        <w:tc>
          <w:tcPr>
            <w:tcW w:w="1008" w:type="dxa"/>
            <w:noWrap w:val="0"/>
            <w:vAlign w:val="top"/>
          </w:tcPr>
          <w:p>
            <w:pPr>
              <w:widowControl/>
              <w:spacing w:line="360" w:lineRule="auto"/>
              <w:ind w:firstLine="0" w:firstLineChars="0"/>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spacing w:line="360" w:lineRule="auto"/>
              <w:ind w:firstLine="480"/>
              <w:jc w:val="left"/>
              <w:rPr>
                <w:rFonts w:hint="eastAsia" w:ascii="宋体" w:hAnsi="宋体" w:cs="宋体"/>
              </w:rPr>
            </w:pPr>
          </w:p>
        </w:tc>
        <w:tc>
          <w:tcPr>
            <w:tcW w:w="1418" w:type="dxa"/>
            <w:noWrap w:val="0"/>
            <w:vAlign w:val="center"/>
          </w:tcPr>
          <w:p>
            <w:pPr>
              <w:widowControl/>
              <w:spacing w:line="360" w:lineRule="auto"/>
              <w:ind w:firstLine="480"/>
              <w:jc w:val="left"/>
              <w:rPr>
                <w:rFonts w:hint="eastAsia" w:ascii="宋体" w:hAnsi="宋体" w:cs="宋体"/>
              </w:rPr>
            </w:pPr>
          </w:p>
        </w:tc>
        <w:tc>
          <w:tcPr>
            <w:tcW w:w="1984" w:type="dxa"/>
            <w:noWrap w:val="0"/>
            <w:vAlign w:val="center"/>
          </w:tcPr>
          <w:p>
            <w:pPr>
              <w:widowControl/>
              <w:spacing w:line="360" w:lineRule="auto"/>
              <w:ind w:firstLine="480"/>
              <w:jc w:val="left"/>
              <w:rPr>
                <w:rFonts w:hint="eastAsia" w:ascii="宋体" w:hAnsi="宋体" w:cs="宋体"/>
              </w:rPr>
            </w:pPr>
          </w:p>
        </w:tc>
        <w:tc>
          <w:tcPr>
            <w:tcW w:w="2127" w:type="dxa"/>
            <w:noWrap w:val="0"/>
            <w:vAlign w:val="center"/>
          </w:tcPr>
          <w:p>
            <w:pPr>
              <w:widowControl/>
              <w:spacing w:line="360" w:lineRule="auto"/>
              <w:ind w:firstLine="480"/>
              <w:jc w:val="left"/>
              <w:rPr>
                <w:rFonts w:hint="eastAsia" w:ascii="宋体" w:hAnsi="宋体" w:cs="宋体"/>
              </w:rPr>
            </w:pPr>
          </w:p>
        </w:tc>
        <w:tc>
          <w:tcPr>
            <w:tcW w:w="1008" w:type="dxa"/>
            <w:noWrap w:val="0"/>
            <w:vAlign w:val="top"/>
          </w:tcPr>
          <w:p>
            <w:pPr>
              <w:widowControl/>
              <w:spacing w:line="360" w:lineRule="auto"/>
              <w:ind w:firstLine="480"/>
              <w:jc w:val="left"/>
              <w:rPr>
                <w:rFonts w:hint="eastAsia" w:ascii="宋体" w:hAnsi="宋体" w:cs="宋体"/>
              </w:rPr>
            </w:pPr>
          </w:p>
        </w:tc>
      </w:tr>
    </w:tbl>
    <w:p>
      <w:pPr>
        <w:widowControl/>
        <w:spacing w:line="360" w:lineRule="auto"/>
        <w:ind w:firstLine="480"/>
        <w:jc w:val="left"/>
        <w:rPr>
          <w:rFonts w:hint="eastAsia" w:ascii="宋体" w:hAnsi="宋体" w:cs="宋体"/>
        </w:rPr>
      </w:pPr>
      <w:r>
        <w:rPr>
          <w:rFonts w:hint="eastAsia" w:ascii="宋体" w:hAnsi="宋体" w:cs="宋体"/>
        </w:rPr>
        <w:t>验收要求：</w:t>
      </w:r>
    </w:p>
    <w:p>
      <w:pPr>
        <w:widowControl/>
        <w:spacing w:line="360" w:lineRule="auto"/>
        <w:ind w:firstLine="480"/>
        <w:jc w:val="left"/>
        <w:rPr>
          <w:rFonts w:hint="eastAsia" w:ascii="宋体" w:hAnsi="宋体" w:cs="宋体"/>
        </w:rPr>
      </w:pPr>
      <w:r>
        <w:rPr>
          <w:rFonts w:hint="eastAsia" w:ascii="宋体" w:hAnsi="宋体" w:cs="宋体"/>
        </w:rPr>
        <w:t>1、由采购方负责进行验收。</w:t>
      </w:r>
    </w:p>
    <w:p>
      <w:pPr>
        <w:widowControl/>
        <w:spacing w:line="360" w:lineRule="auto"/>
        <w:ind w:firstLine="480"/>
        <w:jc w:val="left"/>
        <w:rPr>
          <w:rFonts w:hint="eastAsia" w:ascii="宋体" w:hAnsi="宋体" w:cs="宋体"/>
        </w:rPr>
      </w:pPr>
      <w:r>
        <w:rPr>
          <w:rFonts w:hint="eastAsia" w:ascii="宋体" w:hAnsi="宋体" w:cs="宋体"/>
        </w:rPr>
        <w:t>2、采购方在中标单位履行合同结束后进行检查验收，如果发现成果有质量、技术等问题，中标单位应负责根据合同及采购方的要求采取补足或更换等处理措施，并承担由此发生的一切损失和费用。验收合格后，采购方在验收单上签字并加盖单位公章。</w:t>
      </w:r>
    </w:p>
    <w:p>
      <w:pPr>
        <w:pStyle w:val="4"/>
        <w:keepNext/>
        <w:keepLines/>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商务要求表</w:t>
      </w:r>
      <w:bookmarkEnd w:id="49"/>
    </w:p>
    <w:tbl>
      <w:tblPr>
        <w:tblStyle w:val="27"/>
        <w:tblW w:w="97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1"/>
        <w:gridCol w:w="8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地点及</w:t>
            </w:r>
          </w:p>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服务时间</w:t>
            </w:r>
          </w:p>
        </w:tc>
        <w:tc>
          <w:tcPr>
            <w:tcW w:w="8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地点：采购人指定地点。</w:t>
            </w:r>
          </w:p>
          <w:p>
            <w:pPr>
              <w:keepNext w:val="0"/>
              <w:keepLines w:val="0"/>
              <w:pageBreakBefore w:val="0"/>
              <w:widowControl w:val="0"/>
              <w:kinsoku/>
              <w:wordWrap/>
              <w:overflowPunct/>
              <w:topLinePunct w:val="0"/>
              <w:autoSpaceDE/>
              <w:autoSpaceDN/>
              <w:bidi w:val="0"/>
              <w:adjustRightInd/>
              <w:spacing w:line="460" w:lineRule="exact"/>
              <w:ind w:firstLine="240" w:firstLineChars="1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2、工期要求：</w:t>
            </w:r>
            <w:r>
              <w:rPr>
                <w:rFonts w:hint="eastAsia" w:ascii="宋体" w:hAnsi="宋体" w:cs="宋体"/>
                <w:color w:val="auto"/>
                <w:sz w:val="24"/>
                <w:szCs w:val="24"/>
                <w:highlight w:val="none"/>
                <w:lang w:val="en-US" w:eastAsia="zh-CN"/>
              </w:rPr>
              <w:t>合同签订后一年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其他要求</w:t>
            </w:r>
          </w:p>
        </w:tc>
        <w:tc>
          <w:tcPr>
            <w:tcW w:w="8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中标单位必须按规定程序和安全文明施工有关要求进行实施，服务过程中的各种意外，其责任由中标单位承担，采购方不承担任何责任。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8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合同签订后一个月内采购方支付合同总价的50%；12月底前支付合同金额剩余的50%。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p>
        </w:tc>
        <w:tc>
          <w:tcPr>
            <w:tcW w:w="81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本次招标最高限价为人民币肆拾肆万圆整（¥44</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00.00），任何超过最高限价的报价将被认定为无效报价。（其费用包括投标方交通费、人工费、维修工具费、除草费、保险费、税金、验收、管理费、利润、专家费及其他相关服务等完成本项目的所有费用。不包括区域自动气象站设施设备配件和备件等硬件费用。）</w:t>
            </w:r>
          </w:p>
          <w:p>
            <w:pPr>
              <w:keepNext w:val="0"/>
              <w:keepLines w:val="0"/>
              <w:pageBreakBefore w:val="0"/>
              <w:widowControl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auto"/>
                <w:sz w:val="24"/>
                <w:szCs w:val="24"/>
                <w:highlight w:val="none"/>
              </w:rPr>
            </w:pPr>
          </w:p>
        </w:tc>
      </w:tr>
    </w:tbl>
    <w:p>
      <w:pPr>
        <w:pageBreakBefore w:val="0"/>
        <w:widowControl w:val="0"/>
        <w:kinsoku/>
        <w:wordWrap/>
        <w:overflowPunct/>
        <w:topLinePunct w:val="0"/>
        <w:autoSpaceDE/>
        <w:autoSpaceDN/>
        <w:bidi w:val="0"/>
        <w:spacing w:line="460" w:lineRule="exact"/>
        <w:textAlignment w:val="auto"/>
        <w:rPr>
          <w:rFonts w:hint="eastAsia" w:ascii="仿宋" w:hAnsi="仿宋" w:eastAsia="仿宋" w:cs="仿宋_GB2312"/>
          <w:b/>
          <w:sz w:val="24"/>
          <w:szCs w:val="24"/>
        </w:rPr>
      </w:pPr>
      <w:r>
        <w:rPr>
          <w:rFonts w:hint="eastAsia" w:ascii="仿宋" w:hAnsi="仿宋" w:eastAsia="仿宋" w:cs="仿宋_GB2312"/>
          <w:b/>
          <w:sz w:val="24"/>
          <w:szCs w:val="24"/>
        </w:rPr>
        <w:br w:type="page"/>
      </w:r>
    </w:p>
    <w:p>
      <w:pPr>
        <w:adjustRightInd/>
        <w:spacing w:line="360" w:lineRule="auto"/>
        <w:jc w:val="center"/>
        <w:outlineLvl w:val="0"/>
        <w:rPr>
          <w:rStyle w:val="48"/>
          <w:rFonts w:hint="eastAsia" w:ascii="Times New Roman" w:hAnsi="Times New Roman" w:eastAsia="宋体" w:cs="Times New Roman"/>
          <w:sz w:val="36"/>
          <w:szCs w:val="36"/>
        </w:rPr>
      </w:pPr>
      <w:bookmarkStart w:id="50" w:name="_Toc25260"/>
      <w:r>
        <w:rPr>
          <w:rStyle w:val="48"/>
          <w:rFonts w:hint="eastAsia" w:ascii="Times New Roman" w:hAnsi="Times New Roman" w:eastAsia="宋体" w:cs="Times New Roman"/>
          <w:sz w:val="36"/>
          <w:szCs w:val="36"/>
        </w:rPr>
        <w:t>第四</w:t>
      </w:r>
      <w:r>
        <w:rPr>
          <w:rStyle w:val="48"/>
          <w:rFonts w:hint="eastAsia" w:ascii="Times New Roman" w:hAnsi="Times New Roman" w:eastAsia="宋体" w:cs="Times New Roman"/>
          <w:sz w:val="36"/>
          <w:szCs w:val="36"/>
          <w:lang w:val="en-US" w:eastAsia="zh-CN"/>
        </w:rPr>
        <w:t>章</w:t>
      </w:r>
      <w:r>
        <w:rPr>
          <w:rStyle w:val="48"/>
          <w:rFonts w:hint="eastAsia" w:ascii="Times New Roman" w:hAnsi="Times New Roman" w:eastAsia="宋体" w:cs="Times New Roman"/>
          <w:sz w:val="36"/>
          <w:szCs w:val="36"/>
        </w:rPr>
        <w:t xml:space="preserve">   </w:t>
      </w:r>
      <w:bookmarkStart w:id="51" w:name="_Toc184308057"/>
      <w:bookmarkEnd w:id="51"/>
      <w:bookmarkStart w:id="52" w:name="_Toc184314459"/>
      <w:bookmarkEnd w:id="52"/>
      <w:bookmarkStart w:id="53" w:name="_Toc184308082"/>
      <w:bookmarkEnd w:id="53"/>
      <w:bookmarkStart w:id="54" w:name="_Toc184313290"/>
      <w:bookmarkEnd w:id="54"/>
      <w:bookmarkStart w:id="55" w:name="_Toc184314452"/>
      <w:bookmarkEnd w:id="55"/>
      <w:bookmarkStart w:id="56" w:name="_Toc184312116"/>
      <w:bookmarkEnd w:id="56"/>
      <w:bookmarkStart w:id="57" w:name="_Toc184308053"/>
      <w:bookmarkEnd w:id="57"/>
      <w:bookmarkStart w:id="58" w:name="_Toc184308086"/>
      <w:bookmarkEnd w:id="58"/>
      <w:bookmarkStart w:id="59" w:name="_Toc184314427"/>
      <w:bookmarkEnd w:id="59"/>
      <w:bookmarkStart w:id="60" w:name="_Toc184310335"/>
      <w:bookmarkEnd w:id="60"/>
      <w:bookmarkStart w:id="61" w:name="_Toc184310272"/>
      <w:bookmarkEnd w:id="61"/>
      <w:bookmarkStart w:id="62" w:name="_Toc184312118"/>
      <w:bookmarkEnd w:id="62"/>
      <w:bookmarkStart w:id="63" w:name="_Toc184310299"/>
      <w:bookmarkEnd w:id="63"/>
      <w:bookmarkStart w:id="64" w:name="_Toc184312081"/>
      <w:bookmarkEnd w:id="64"/>
      <w:bookmarkStart w:id="65" w:name="_Toc184313301"/>
      <w:bookmarkEnd w:id="65"/>
      <w:bookmarkStart w:id="66" w:name="_Toc184312110"/>
      <w:bookmarkEnd w:id="66"/>
      <w:bookmarkStart w:id="67" w:name="_Toc184314474"/>
      <w:bookmarkEnd w:id="67"/>
      <w:bookmarkStart w:id="68" w:name="_Toc184312105"/>
      <w:bookmarkEnd w:id="68"/>
      <w:bookmarkStart w:id="69" w:name="_Toc184310302"/>
      <w:bookmarkEnd w:id="69"/>
      <w:bookmarkStart w:id="70" w:name="_Toc184310331"/>
      <w:bookmarkEnd w:id="70"/>
      <w:bookmarkStart w:id="71" w:name="_Toc184308075"/>
      <w:bookmarkEnd w:id="71"/>
      <w:bookmarkStart w:id="72" w:name="_Toc184314426"/>
      <w:bookmarkEnd w:id="72"/>
      <w:bookmarkStart w:id="73" w:name="_Toc184312138"/>
      <w:bookmarkEnd w:id="73"/>
      <w:bookmarkStart w:id="74" w:name="_Toc184310321"/>
      <w:bookmarkEnd w:id="74"/>
      <w:bookmarkStart w:id="75" w:name="_Toc184310330"/>
      <w:bookmarkEnd w:id="75"/>
      <w:bookmarkStart w:id="76" w:name="_Toc184313252"/>
      <w:bookmarkEnd w:id="76"/>
      <w:bookmarkStart w:id="77" w:name="_Toc184310307"/>
      <w:bookmarkEnd w:id="77"/>
      <w:bookmarkStart w:id="78" w:name="_Toc184313302"/>
      <w:bookmarkEnd w:id="78"/>
      <w:bookmarkStart w:id="79" w:name="_Toc184313300"/>
      <w:bookmarkEnd w:id="79"/>
      <w:bookmarkStart w:id="80" w:name="_Toc184310329"/>
      <w:bookmarkEnd w:id="80"/>
      <w:bookmarkStart w:id="81" w:name="_Toc184312089"/>
      <w:bookmarkEnd w:id="81"/>
      <w:bookmarkStart w:id="82" w:name="_Toc184313284"/>
      <w:bookmarkEnd w:id="82"/>
      <w:bookmarkStart w:id="83" w:name="_Toc184310284"/>
      <w:bookmarkEnd w:id="83"/>
      <w:bookmarkStart w:id="84" w:name="_Toc184310339"/>
      <w:bookmarkEnd w:id="84"/>
      <w:bookmarkStart w:id="85" w:name="_Toc184313249"/>
      <w:bookmarkEnd w:id="85"/>
      <w:bookmarkStart w:id="86" w:name="_Toc184308071"/>
      <w:bookmarkEnd w:id="86"/>
      <w:bookmarkStart w:id="87" w:name="_Toc184308060"/>
      <w:bookmarkEnd w:id="87"/>
      <w:bookmarkStart w:id="88" w:name="_Toc184308077"/>
      <w:bookmarkEnd w:id="88"/>
      <w:bookmarkStart w:id="89" w:name="_Toc184308056"/>
      <w:bookmarkEnd w:id="89"/>
      <w:bookmarkStart w:id="90" w:name="_Toc184310333"/>
      <w:bookmarkEnd w:id="90"/>
      <w:bookmarkStart w:id="91" w:name="_Toc184314479"/>
      <w:bookmarkEnd w:id="91"/>
      <w:bookmarkStart w:id="92" w:name="_Toc184308093"/>
      <w:bookmarkEnd w:id="92"/>
      <w:bookmarkStart w:id="93" w:name="_Toc184312068"/>
      <w:bookmarkEnd w:id="93"/>
      <w:bookmarkStart w:id="94" w:name="_Toc184310313"/>
      <w:bookmarkEnd w:id="94"/>
      <w:bookmarkStart w:id="95" w:name="_Toc184310301"/>
      <w:bookmarkEnd w:id="95"/>
      <w:bookmarkStart w:id="96" w:name="_Toc184308081"/>
      <w:bookmarkEnd w:id="96"/>
      <w:bookmarkStart w:id="97" w:name="_Toc184312091"/>
      <w:bookmarkEnd w:id="97"/>
      <w:bookmarkStart w:id="98" w:name="_Toc184312128"/>
      <w:bookmarkEnd w:id="98"/>
      <w:bookmarkStart w:id="99" w:name="_Toc184308036"/>
      <w:bookmarkEnd w:id="99"/>
      <w:bookmarkStart w:id="100" w:name="_Toc184310289"/>
      <w:bookmarkEnd w:id="100"/>
      <w:bookmarkStart w:id="101" w:name="_Toc184310317"/>
      <w:bookmarkEnd w:id="101"/>
      <w:bookmarkStart w:id="102" w:name="_Toc184308080"/>
      <w:bookmarkEnd w:id="102"/>
      <w:bookmarkStart w:id="103" w:name="_Toc184314436"/>
      <w:bookmarkEnd w:id="103"/>
      <w:bookmarkStart w:id="104" w:name="_Toc184313243"/>
      <w:bookmarkEnd w:id="104"/>
      <w:bookmarkStart w:id="105" w:name="_Toc184310320"/>
      <w:bookmarkEnd w:id="105"/>
      <w:bookmarkStart w:id="106" w:name="_Toc184308102"/>
      <w:bookmarkEnd w:id="106"/>
      <w:bookmarkStart w:id="107" w:name="_Toc184313295"/>
      <w:bookmarkEnd w:id="107"/>
      <w:bookmarkStart w:id="108" w:name="_Toc184313255"/>
      <w:bookmarkEnd w:id="108"/>
      <w:bookmarkStart w:id="109" w:name="_Toc184313293"/>
      <w:bookmarkEnd w:id="109"/>
      <w:bookmarkStart w:id="110" w:name="_Toc184314439"/>
      <w:bookmarkEnd w:id="110"/>
      <w:bookmarkStart w:id="111" w:name="_Toc184313286"/>
      <w:bookmarkEnd w:id="111"/>
      <w:bookmarkStart w:id="112" w:name="_Toc184313309"/>
      <w:bookmarkEnd w:id="112"/>
      <w:bookmarkStart w:id="113" w:name="_Toc184312083"/>
      <w:bookmarkEnd w:id="113"/>
      <w:bookmarkStart w:id="114" w:name="_Toc184314451"/>
      <w:bookmarkEnd w:id="114"/>
      <w:bookmarkStart w:id="115" w:name="_Toc184313299"/>
      <w:bookmarkEnd w:id="115"/>
      <w:bookmarkStart w:id="116" w:name="_Toc184312120"/>
      <w:bookmarkEnd w:id="116"/>
      <w:bookmarkStart w:id="117" w:name="_Toc184310306"/>
      <w:bookmarkEnd w:id="117"/>
      <w:bookmarkStart w:id="118" w:name="_Toc184314455"/>
      <w:bookmarkEnd w:id="118"/>
      <w:bookmarkStart w:id="119" w:name="_Toc184312112"/>
      <w:bookmarkEnd w:id="119"/>
      <w:bookmarkStart w:id="120" w:name="_Toc184313238"/>
      <w:bookmarkEnd w:id="120"/>
      <w:bookmarkStart w:id="121" w:name="_Toc184313257"/>
      <w:bookmarkEnd w:id="121"/>
      <w:bookmarkStart w:id="122" w:name="_Toc184308066"/>
      <w:bookmarkEnd w:id="122"/>
      <w:bookmarkStart w:id="123" w:name="_Toc184310308"/>
      <w:bookmarkEnd w:id="123"/>
      <w:bookmarkStart w:id="124" w:name="_Toc184308048"/>
      <w:bookmarkEnd w:id="124"/>
      <w:bookmarkStart w:id="125" w:name="_Toc184310277"/>
      <w:bookmarkEnd w:id="125"/>
      <w:bookmarkStart w:id="126" w:name="_Toc184314413"/>
      <w:bookmarkEnd w:id="126"/>
      <w:bookmarkStart w:id="127" w:name="_Toc184312070"/>
      <w:bookmarkEnd w:id="127"/>
      <w:bookmarkStart w:id="128" w:name="_Toc184310341"/>
      <w:bookmarkEnd w:id="128"/>
      <w:bookmarkStart w:id="129" w:name="_Toc184308044"/>
      <w:bookmarkEnd w:id="129"/>
      <w:bookmarkStart w:id="130" w:name="_Toc184314414"/>
      <w:bookmarkEnd w:id="130"/>
      <w:bookmarkStart w:id="131" w:name="_Toc184312115"/>
      <w:bookmarkEnd w:id="131"/>
      <w:bookmarkStart w:id="132" w:name="_Toc184313276"/>
      <w:bookmarkEnd w:id="132"/>
      <w:bookmarkStart w:id="133" w:name="_Toc184310295"/>
      <w:bookmarkEnd w:id="133"/>
      <w:bookmarkStart w:id="134" w:name="_Toc184310279"/>
      <w:bookmarkEnd w:id="134"/>
      <w:bookmarkStart w:id="135" w:name="_Toc184313271"/>
      <w:bookmarkEnd w:id="135"/>
      <w:bookmarkStart w:id="136" w:name="_Toc184312121"/>
      <w:bookmarkEnd w:id="136"/>
      <w:bookmarkStart w:id="137" w:name="_Toc184312087"/>
      <w:bookmarkEnd w:id="137"/>
      <w:bookmarkStart w:id="138" w:name="_Toc184308038"/>
      <w:bookmarkEnd w:id="138"/>
      <w:bookmarkStart w:id="139" w:name="_Toc184310281"/>
      <w:bookmarkEnd w:id="139"/>
      <w:bookmarkStart w:id="140" w:name="_Toc184313298"/>
      <w:bookmarkEnd w:id="140"/>
      <w:bookmarkStart w:id="141" w:name="_Toc184314430"/>
      <w:bookmarkEnd w:id="141"/>
      <w:bookmarkStart w:id="142" w:name="_Toc184314456"/>
      <w:bookmarkEnd w:id="142"/>
      <w:bookmarkStart w:id="143" w:name="_Toc184308097"/>
      <w:bookmarkEnd w:id="143"/>
      <w:bookmarkStart w:id="144" w:name="_Toc184313272"/>
      <w:bookmarkEnd w:id="144"/>
      <w:bookmarkStart w:id="145" w:name="_Toc184308062"/>
      <w:bookmarkEnd w:id="145"/>
      <w:bookmarkStart w:id="146" w:name="_Toc184308037"/>
      <w:bookmarkEnd w:id="146"/>
      <w:bookmarkStart w:id="147" w:name="_Toc184313308"/>
      <w:bookmarkEnd w:id="147"/>
      <w:bookmarkStart w:id="148" w:name="_Toc184308092"/>
      <w:bookmarkEnd w:id="148"/>
      <w:bookmarkStart w:id="149" w:name="_Toc184308059"/>
      <w:bookmarkEnd w:id="149"/>
      <w:bookmarkStart w:id="150" w:name="_Toc184313245"/>
      <w:bookmarkEnd w:id="150"/>
      <w:bookmarkStart w:id="151" w:name="_Toc184313251"/>
      <w:bookmarkEnd w:id="151"/>
      <w:bookmarkStart w:id="152" w:name="_Toc184308068"/>
      <w:bookmarkEnd w:id="152"/>
      <w:bookmarkStart w:id="153" w:name="_Toc184312080"/>
      <w:bookmarkEnd w:id="153"/>
      <w:bookmarkStart w:id="154" w:name="_Toc184313281"/>
      <w:bookmarkEnd w:id="154"/>
      <w:bookmarkStart w:id="155" w:name="_Toc184312074"/>
      <w:bookmarkEnd w:id="155"/>
      <w:bookmarkStart w:id="156" w:name="_Toc184312133"/>
      <w:bookmarkEnd w:id="156"/>
      <w:bookmarkStart w:id="157" w:name="_Toc184314475"/>
      <w:bookmarkEnd w:id="157"/>
      <w:bookmarkStart w:id="158" w:name="_Toc184313264"/>
      <w:bookmarkEnd w:id="158"/>
      <w:bookmarkStart w:id="159" w:name="_Toc184313297"/>
      <w:bookmarkEnd w:id="159"/>
      <w:bookmarkStart w:id="160" w:name="_Toc184310316"/>
      <w:bookmarkEnd w:id="160"/>
      <w:bookmarkStart w:id="161" w:name="_Toc184310336"/>
      <w:bookmarkEnd w:id="161"/>
      <w:bookmarkStart w:id="162" w:name="_Toc184312135"/>
      <w:bookmarkEnd w:id="162"/>
      <w:bookmarkStart w:id="163" w:name="_Toc184310325"/>
      <w:bookmarkEnd w:id="163"/>
      <w:bookmarkStart w:id="164" w:name="_Toc184310332"/>
      <w:bookmarkEnd w:id="164"/>
      <w:bookmarkStart w:id="165" w:name="_Toc184312114"/>
      <w:bookmarkEnd w:id="165"/>
      <w:bookmarkStart w:id="166" w:name="_Toc184308073"/>
      <w:bookmarkEnd w:id="166"/>
      <w:bookmarkStart w:id="167" w:name="_Toc184312086"/>
      <w:bookmarkEnd w:id="167"/>
      <w:bookmarkStart w:id="168" w:name="_Toc184308047"/>
      <w:bookmarkEnd w:id="168"/>
      <w:bookmarkStart w:id="169" w:name="_Toc184313269"/>
      <w:bookmarkEnd w:id="169"/>
      <w:bookmarkStart w:id="170" w:name="_Toc184310286"/>
      <w:bookmarkEnd w:id="170"/>
      <w:bookmarkStart w:id="171" w:name="_Toc184314440"/>
      <w:bookmarkEnd w:id="171"/>
      <w:bookmarkStart w:id="172" w:name="_Toc184308074"/>
      <w:bookmarkEnd w:id="172"/>
      <w:bookmarkStart w:id="173" w:name="_Toc184313285"/>
      <w:bookmarkEnd w:id="173"/>
      <w:bookmarkStart w:id="174" w:name="_Toc184313289"/>
      <w:bookmarkEnd w:id="174"/>
      <w:bookmarkStart w:id="175" w:name="_Toc184314463"/>
      <w:bookmarkEnd w:id="175"/>
      <w:bookmarkStart w:id="176" w:name="_Toc184314481"/>
      <w:bookmarkEnd w:id="176"/>
      <w:bookmarkStart w:id="177" w:name="_Toc184313288"/>
      <w:bookmarkEnd w:id="177"/>
      <w:bookmarkStart w:id="178" w:name="_Toc184308094"/>
      <w:bookmarkEnd w:id="178"/>
      <w:bookmarkStart w:id="179" w:name="_Toc184308088"/>
      <w:bookmarkEnd w:id="179"/>
      <w:bookmarkStart w:id="180" w:name="_Toc184310309"/>
      <w:bookmarkEnd w:id="180"/>
      <w:bookmarkStart w:id="181" w:name="_Toc184310314"/>
      <w:bookmarkEnd w:id="181"/>
      <w:bookmarkStart w:id="182" w:name="_Toc184310285"/>
      <w:bookmarkEnd w:id="182"/>
      <w:bookmarkStart w:id="183" w:name="_Toc184314453"/>
      <w:bookmarkEnd w:id="183"/>
      <w:bookmarkStart w:id="184" w:name="_Toc184312101"/>
      <w:bookmarkEnd w:id="184"/>
      <w:bookmarkStart w:id="185" w:name="_Toc184310297"/>
      <w:bookmarkEnd w:id="185"/>
      <w:bookmarkStart w:id="186" w:name="_Toc184313273"/>
      <w:bookmarkEnd w:id="186"/>
      <w:bookmarkStart w:id="187" w:name="_Toc184312134"/>
      <w:bookmarkEnd w:id="187"/>
      <w:bookmarkStart w:id="188" w:name="_Toc184312102"/>
      <w:bookmarkEnd w:id="188"/>
      <w:bookmarkStart w:id="189" w:name="_Toc184314470"/>
      <w:bookmarkEnd w:id="189"/>
      <w:bookmarkStart w:id="190" w:name="_Toc184314476"/>
      <w:bookmarkEnd w:id="190"/>
      <w:bookmarkStart w:id="191" w:name="_Toc184310319"/>
      <w:bookmarkEnd w:id="191"/>
      <w:bookmarkStart w:id="192" w:name="_Toc184313310"/>
      <w:bookmarkEnd w:id="192"/>
      <w:bookmarkStart w:id="193" w:name="_Toc184313266"/>
      <w:bookmarkEnd w:id="193"/>
      <w:bookmarkStart w:id="194" w:name="_Toc184310288"/>
      <w:bookmarkEnd w:id="194"/>
      <w:bookmarkStart w:id="195" w:name="_Toc184308099"/>
      <w:bookmarkEnd w:id="195"/>
      <w:bookmarkStart w:id="196" w:name="_Toc184313296"/>
      <w:bookmarkEnd w:id="196"/>
      <w:bookmarkStart w:id="197" w:name="_Toc184310315"/>
      <w:bookmarkEnd w:id="197"/>
      <w:bookmarkStart w:id="198" w:name="_Toc184314410"/>
      <w:bookmarkEnd w:id="198"/>
      <w:bookmarkStart w:id="199" w:name="_Toc184313254"/>
      <w:bookmarkEnd w:id="199"/>
      <w:bookmarkStart w:id="200" w:name="_Toc184313262"/>
      <w:bookmarkEnd w:id="200"/>
      <w:bookmarkStart w:id="201" w:name="_Toc184313274"/>
      <w:bookmarkEnd w:id="201"/>
      <w:bookmarkStart w:id="202" w:name="_Toc184313270"/>
      <w:bookmarkEnd w:id="202"/>
      <w:bookmarkStart w:id="203" w:name="_Toc184312107"/>
      <w:bookmarkEnd w:id="203"/>
      <w:bookmarkStart w:id="204" w:name="_Toc184310305"/>
      <w:bookmarkEnd w:id="204"/>
      <w:bookmarkStart w:id="205" w:name="_Toc184308049"/>
      <w:bookmarkEnd w:id="205"/>
      <w:bookmarkStart w:id="206" w:name="_Toc184314417"/>
      <w:bookmarkEnd w:id="206"/>
      <w:bookmarkStart w:id="207" w:name="_Toc184313283"/>
      <w:bookmarkEnd w:id="207"/>
      <w:bookmarkStart w:id="208" w:name="_Toc184312111"/>
      <w:bookmarkEnd w:id="208"/>
      <w:bookmarkStart w:id="209" w:name="_Toc184310340"/>
      <w:bookmarkEnd w:id="209"/>
      <w:bookmarkStart w:id="210" w:name="_Toc184310326"/>
      <w:bookmarkEnd w:id="210"/>
      <w:bookmarkStart w:id="211" w:name="_Toc184308108"/>
      <w:bookmarkEnd w:id="211"/>
      <w:bookmarkStart w:id="212" w:name="_Toc184308105"/>
      <w:bookmarkEnd w:id="212"/>
      <w:bookmarkStart w:id="213" w:name="_Toc184313268"/>
      <w:bookmarkEnd w:id="213"/>
      <w:bookmarkStart w:id="214" w:name="_Toc184314467"/>
      <w:bookmarkEnd w:id="214"/>
      <w:bookmarkStart w:id="215" w:name="_Toc184312126"/>
      <w:bookmarkEnd w:id="215"/>
      <w:bookmarkStart w:id="216" w:name="_Toc184314412"/>
      <w:bookmarkEnd w:id="216"/>
      <w:bookmarkStart w:id="217" w:name="_Toc184312094"/>
      <w:bookmarkEnd w:id="217"/>
      <w:bookmarkStart w:id="218" w:name="_Toc184312076"/>
      <w:bookmarkEnd w:id="218"/>
      <w:bookmarkStart w:id="219" w:name="_Toc184313247"/>
      <w:bookmarkEnd w:id="219"/>
      <w:bookmarkStart w:id="220" w:name="_Toc184314441"/>
      <w:bookmarkEnd w:id="220"/>
      <w:bookmarkStart w:id="221" w:name="_Toc184310328"/>
      <w:bookmarkEnd w:id="221"/>
      <w:bookmarkStart w:id="222" w:name="_Toc184308065"/>
      <w:bookmarkEnd w:id="222"/>
      <w:bookmarkStart w:id="223" w:name="_Toc184313306"/>
      <w:bookmarkEnd w:id="223"/>
      <w:bookmarkStart w:id="224" w:name="_Toc184312124"/>
      <w:bookmarkEnd w:id="224"/>
      <w:bookmarkStart w:id="225" w:name="_Toc184312099"/>
      <w:bookmarkEnd w:id="225"/>
      <w:bookmarkStart w:id="226" w:name="_Toc184314432"/>
      <w:bookmarkEnd w:id="226"/>
      <w:bookmarkStart w:id="227" w:name="_Toc184313261"/>
      <w:bookmarkEnd w:id="227"/>
      <w:bookmarkStart w:id="228" w:name="_Toc184314422"/>
      <w:bookmarkEnd w:id="228"/>
      <w:bookmarkStart w:id="229" w:name="_Toc184312069"/>
      <w:bookmarkEnd w:id="229"/>
      <w:bookmarkStart w:id="230" w:name="_Toc184310304"/>
      <w:bookmarkEnd w:id="230"/>
      <w:bookmarkStart w:id="231" w:name="_Toc184313258"/>
      <w:bookmarkEnd w:id="231"/>
      <w:bookmarkStart w:id="232" w:name="_Toc184310282"/>
      <w:bookmarkEnd w:id="232"/>
      <w:bookmarkStart w:id="233" w:name="_Toc184308083"/>
      <w:bookmarkEnd w:id="233"/>
      <w:bookmarkStart w:id="234" w:name="_Toc184314465"/>
      <w:bookmarkEnd w:id="234"/>
      <w:bookmarkStart w:id="235" w:name="_Toc184313267"/>
      <w:bookmarkEnd w:id="235"/>
      <w:bookmarkStart w:id="236" w:name="_Toc184312136"/>
      <w:bookmarkEnd w:id="236"/>
      <w:bookmarkStart w:id="237" w:name="_Toc184310323"/>
      <w:bookmarkEnd w:id="237"/>
      <w:bookmarkStart w:id="238" w:name="_Toc184314431"/>
      <w:bookmarkEnd w:id="238"/>
      <w:bookmarkStart w:id="239" w:name="_Toc184314434"/>
      <w:bookmarkEnd w:id="239"/>
      <w:bookmarkStart w:id="240" w:name="_Toc184312113"/>
      <w:bookmarkEnd w:id="240"/>
      <w:bookmarkStart w:id="241" w:name="_Toc184314482"/>
      <w:bookmarkEnd w:id="241"/>
      <w:bookmarkStart w:id="242" w:name="_Toc184310278"/>
      <w:bookmarkEnd w:id="242"/>
      <w:bookmarkStart w:id="243" w:name="_Toc184310324"/>
      <w:bookmarkEnd w:id="243"/>
      <w:bookmarkStart w:id="244" w:name="_Toc184313292"/>
      <w:bookmarkEnd w:id="244"/>
      <w:bookmarkStart w:id="245" w:name="_Toc184313287"/>
      <w:bookmarkEnd w:id="245"/>
      <w:bookmarkStart w:id="246" w:name="_Toc184314433"/>
      <w:bookmarkEnd w:id="246"/>
      <w:bookmarkStart w:id="247" w:name="_Toc184308085"/>
      <w:bookmarkEnd w:id="247"/>
      <w:bookmarkStart w:id="248" w:name="_Toc184312108"/>
      <w:bookmarkEnd w:id="248"/>
      <w:bookmarkStart w:id="249" w:name="_Toc184312106"/>
      <w:bookmarkEnd w:id="249"/>
      <w:bookmarkStart w:id="250" w:name="_Toc184308079"/>
      <w:bookmarkEnd w:id="250"/>
      <w:bookmarkStart w:id="251" w:name="_Toc184308103"/>
      <w:bookmarkEnd w:id="251"/>
      <w:bookmarkStart w:id="252" w:name="_Toc184312100"/>
      <w:bookmarkEnd w:id="252"/>
      <w:bookmarkStart w:id="253" w:name="_Toc184308039"/>
      <w:bookmarkEnd w:id="253"/>
      <w:bookmarkStart w:id="254" w:name="_Toc184314477"/>
      <w:bookmarkEnd w:id="254"/>
      <w:bookmarkStart w:id="255" w:name="_Toc184308098"/>
      <w:bookmarkEnd w:id="255"/>
      <w:bookmarkStart w:id="256" w:name="_Toc184308107"/>
      <w:bookmarkEnd w:id="256"/>
      <w:bookmarkStart w:id="257" w:name="_Toc184308046"/>
      <w:bookmarkEnd w:id="257"/>
      <w:bookmarkStart w:id="258" w:name="_Toc184314469"/>
      <w:bookmarkEnd w:id="258"/>
      <w:bookmarkStart w:id="259" w:name="_Toc184312125"/>
      <w:bookmarkEnd w:id="259"/>
      <w:bookmarkStart w:id="260" w:name="_Toc184313240"/>
      <w:bookmarkEnd w:id="260"/>
      <w:bookmarkStart w:id="261" w:name="_Toc184313250"/>
      <w:bookmarkEnd w:id="261"/>
      <w:bookmarkStart w:id="262" w:name="_Toc184310287"/>
      <w:bookmarkEnd w:id="262"/>
      <w:bookmarkStart w:id="263" w:name="_Toc184314445"/>
      <w:bookmarkEnd w:id="263"/>
      <w:bookmarkStart w:id="264" w:name="_Toc184312103"/>
      <w:bookmarkEnd w:id="264"/>
      <w:bookmarkStart w:id="265" w:name="_Toc184313244"/>
      <w:bookmarkEnd w:id="265"/>
      <w:bookmarkStart w:id="266" w:name="_Toc184313291"/>
      <w:bookmarkEnd w:id="266"/>
      <w:bookmarkStart w:id="267" w:name="_Toc184308106"/>
      <w:bookmarkEnd w:id="267"/>
      <w:bookmarkStart w:id="268" w:name="_Toc184310300"/>
      <w:bookmarkEnd w:id="268"/>
      <w:bookmarkStart w:id="269" w:name="_Toc184312098"/>
      <w:bookmarkEnd w:id="269"/>
      <w:bookmarkStart w:id="270" w:name="_Toc184312078"/>
      <w:bookmarkEnd w:id="270"/>
      <w:bookmarkStart w:id="271" w:name="_Toc184313246"/>
      <w:bookmarkEnd w:id="271"/>
      <w:bookmarkStart w:id="272" w:name="_Toc184314457"/>
      <w:bookmarkEnd w:id="272"/>
      <w:bookmarkStart w:id="273" w:name="_Toc184314472"/>
      <w:bookmarkEnd w:id="273"/>
      <w:bookmarkStart w:id="274" w:name="_Toc184310311"/>
      <w:bookmarkEnd w:id="274"/>
      <w:bookmarkStart w:id="275" w:name="_Toc184312130"/>
      <w:bookmarkEnd w:id="275"/>
      <w:bookmarkStart w:id="276" w:name="_Toc184313256"/>
      <w:bookmarkEnd w:id="276"/>
      <w:bookmarkStart w:id="277" w:name="_Toc184310338"/>
      <w:bookmarkEnd w:id="277"/>
      <w:bookmarkStart w:id="278" w:name="_Toc184310296"/>
      <w:bookmarkEnd w:id="278"/>
      <w:bookmarkStart w:id="279" w:name="_Toc184308043"/>
      <w:bookmarkEnd w:id="279"/>
      <w:bookmarkStart w:id="280" w:name="_Toc184310291"/>
      <w:bookmarkEnd w:id="280"/>
      <w:bookmarkStart w:id="281" w:name="_Toc184313303"/>
      <w:bookmarkEnd w:id="281"/>
      <w:bookmarkStart w:id="282" w:name="_Toc184314438"/>
      <w:bookmarkEnd w:id="282"/>
      <w:bookmarkStart w:id="283" w:name="_Toc184310292"/>
      <w:bookmarkEnd w:id="283"/>
      <w:bookmarkStart w:id="284" w:name="_Toc184310343"/>
      <w:bookmarkEnd w:id="284"/>
      <w:bookmarkStart w:id="285" w:name="_Toc184312109"/>
      <w:bookmarkEnd w:id="285"/>
      <w:bookmarkStart w:id="286" w:name="_Toc184312079"/>
      <w:bookmarkEnd w:id="286"/>
      <w:bookmarkStart w:id="287" w:name="_Toc184308051"/>
      <w:bookmarkEnd w:id="287"/>
      <w:bookmarkStart w:id="288" w:name="_Toc184312092"/>
      <w:bookmarkEnd w:id="288"/>
      <w:bookmarkStart w:id="289" w:name="_Toc184314421"/>
      <w:bookmarkEnd w:id="289"/>
      <w:bookmarkStart w:id="290" w:name="_Toc184312123"/>
      <w:bookmarkEnd w:id="290"/>
      <w:bookmarkStart w:id="291" w:name="_Toc184310322"/>
      <w:bookmarkEnd w:id="291"/>
      <w:bookmarkStart w:id="292" w:name="_Toc184308089"/>
      <w:bookmarkEnd w:id="292"/>
      <w:bookmarkStart w:id="293" w:name="_Toc184312137"/>
      <w:bookmarkEnd w:id="293"/>
      <w:bookmarkStart w:id="294" w:name="_Toc184310280"/>
      <w:bookmarkEnd w:id="294"/>
      <w:bookmarkStart w:id="295" w:name="_Toc184314462"/>
      <w:bookmarkEnd w:id="295"/>
      <w:bookmarkStart w:id="296" w:name="_Toc184308090"/>
      <w:bookmarkEnd w:id="296"/>
      <w:bookmarkStart w:id="297" w:name="_Toc184312088"/>
      <w:bookmarkEnd w:id="297"/>
      <w:bookmarkStart w:id="298" w:name="_Toc184313279"/>
      <w:bookmarkEnd w:id="298"/>
      <w:bookmarkStart w:id="299" w:name="_Toc184312117"/>
      <w:bookmarkEnd w:id="299"/>
      <w:bookmarkStart w:id="300" w:name="_Toc184313260"/>
      <w:bookmarkEnd w:id="300"/>
      <w:bookmarkStart w:id="301" w:name="_Toc184313263"/>
      <w:bookmarkEnd w:id="301"/>
      <w:bookmarkStart w:id="302" w:name="_Toc184313304"/>
      <w:bookmarkEnd w:id="302"/>
      <w:bookmarkStart w:id="303" w:name="_Toc184312072"/>
      <w:bookmarkEnd w:id="303"/>
      <w:bookmarkStart w:id="304" w:name="_Toc184308084"/>
      <w:bookmarkEnd w:id="304"/>
      <w:bookmarkStart w:id="305" w:name="_Toc184310294"/>
      <w:bookmarkEnd w:id="305"/>
      <w:bookmarkStart w:id="306" w:name="_Toc184313265"/>
      <w:bookmarkEnd w:id="306"/>
      <w:bookmarkStart w:id="307" w:name="_Toc184310312"/>
      <w:bookmarkEnd w:id="307"/>
      <w:bookmarkStart w:id="308" w:name="_Toc184314428"/>
      <w:bookmarkEnd w:id="308"/>
      <w:bookmarkStart w:id="309" w:name="_Toc184310276"/>
      <w:bookmarkEnd w:id="309"/>
      <w:bookmarkStart w:id="310" w:name="_Toc184312071"/>
      <w:bookmarkEnd w:id="310"/>
      <w:bookmarkStart w:id="311" w:name="_Toc184313278"/>
      <w:bookmarkEnd w:id="311"/>
      <w:bookmarkStart w:id="312" w:name="_Toc184314466"/>
      <w:bookmarkEnd w:id="312"/>
      <w:bookmarkStart w:id="313" w:name="_Toc184313282"/>
      <w:bookmarkEnd w:id="313"/>
      <w:bookmarkStart w:id="314" w:name="_Toc184314458"/>
      <w:bookmarkEnd w:id="314"/>
      <w:bookmarkStart w:id="315" w:name="_Toc184312097"/>
      <w:bookmarkEnd w:id="315"/>
      <w:bookmarkStart w:id="316" w:name="_Toc184314435"/>
      <w:bookmarkEnd w:id="316"/>
      <w:bookmarkStart w:id="317" w:name="_Toc184313239"/>
      <w:bookmarkEnd w:id="317"/>
      <w:bookmarkStart w:id="318" w:name="_Toc184308041"/>
      <w:bookmarkEnd w:id="318"/>
      <w:bookmarkStart w:id="319" w:name="_Toc184314411"/>
      <w:bookmarkEnd w:id="319"/>
      <w:bookmarkStart w:id="320" w:name="_Toc184314468"/>
      <w:bookmarkEnd w:id="320"/>
      <w:bookmarkStart w:id="321" w:name="_Toc184308054"/>
      <w:bookmarkEnd w:id="321"/>
      <w:bookmarkStart w:id="322" w:name="_Toc184313277"/>
      <w:bookmarkEnd w:id="322"/>
      <w:bookmarkStart w:id="323" w:name="_Toc184314416"/>
      <w:bookmarkEnd w:id="323"/>
      <w:bookmarkStart w:id="324" w:name="_Toc184310274"/>
      <w:bookmarkEnd w:id="324"/>
      <w:bookmarkStart w:id="325" w:name="_Toc184312093"/>
      <w:bookmarkEnd w:id="325"/>
      <w:bookmarkStart w:id="326" w:name="_Toc184310310"/>
      <w:bookmarkEnd w:id="326"/>
      <w:bookmarkStart w:id="327" w:name="_Toc184313259"/>
      <w:bookmarkEnd w:id="327"/>
      <w:bookmarkStart w:id="328" w:name="_Toc184308067"/>
      <w:bookmarkEnd w:id="328"/>
      <w:bookmarkStart w:id="329" w:name="_Toc184312082"/>
      <w:bookmarkEnd w:id="329"/>
      <w:bookmarkStart w:id="330" w:name="_Toc184312129"/>
      <w:bookmarkEnd w:id="330"/>
      <w:bookmarkStart w:id="331" w:name="_Toc184314423"/>
      <w:bookmarkEnd w:id="331"/>
      <w:bookmarkStart w:id="332" w:name="_Toc184314461"/>
      <w:bookmarkEnd w:id="332"/>
      <w:bookmarkStart w:id="333" w:name="_Toc184308091"/>
      <w:bookmarkEnd w:id="333"/>
      <w:bookmarkStart w:id="334" w:name="_Toc184312139"/>
      <w:bookmarkEnd w:id="334"/>
      <w:bookmarkStart w:id="335" w:name="_Toc184314446"/>
      <w:bookmarkEnd w:id="335"/>
      <w:bookmarkStart w:id="336" w:name="_Toc184313275"/>
      <w:bookmarkEnd w:id="336"/>
      <w:bookmarkStart w:id="337" w:name="_Toc184314460"/>
      <w:bookmarkEnd w:id="337"/>
      <w:bookmarkStart w:id="338" w:name="_Toc184308078"/>
      <w:bookmarkEnd w:id="338"/>
      <w:bookmarkStart w:id="339" w:name="_Toc184313307"/>
      <w:bookmarkEnd w:id="339"/>
      <w:bookmarkStart w:id="340" w:name="_Toc184314464"/>
      <w:bookmarkEnd w:id="340"/>
      <w:bookmarkStart w:id="341" w:name="_Toc184312073"/>
      <w:bookmarkEnd w:id="341"/>
      <w:bookmarkStart w:id="342" w:name="_Toc184314443"/>
      <w:bookmarkEnd w:id="342"/>
      <w:bookmarkStart w:id="343" w:name="_Toc184308072"/>
      <w:bookmarkEnd w:id="343"/>
      <w:bookmarkStart w:id="344" w:name="_Toc184312095"/>
      <w:bookmarkEnd w:id="344"/>
      <w:bookmarkStart w:id="345" w:name="_Toc184314424"/>
      <w:bookmarkEnd w:id="345"/>
      <w:bookmarkStart w:id="346" w:name="_Toc184308063"/>
      <w:bookmarkEnd w:id="346"/>
      <w:bookmarkStart w:id="347" w:name="_Toc184310337"/>
      <w:bookmarkEnd w:id="347"/>
      <w:bookmarkStart w:id="348" w:name="_Toc184314449"/>
      <w:bookmarkEnd w:id="348"/>
      <w:bookmarkStart w:id="349" w:name="_Toc184312077"/>
      <w:bookmarkEnd w:id="349"/>
      <w:bookmarkStart w:id="350" w:name="_Toc184312104"/>
      <w:bookmarkEnd w:id="350"/>
      <w:bookmarkStart w:id="351" w:name="_Toc184308104"/>
      <w:bookmarkEnd w:id="351"/>
      <w:bookmarkStart w:id="352" w:name="_Toc184314454"/>
      <w:bookmarkEnd w:id="352"/>
      <w:bookmarkStart w:id="353" w:name="_Toc184314447"/>
      <w:bookmarkEnd w:id="353"/>
      <w:bookmarkStart w:id="354" w:name="_Toc184308052"/>
      <w:bookmarkEnd w:id="354"/>
      <w:bookmarkStart w:id="355" w:name="_Toc184312085"/>
      <w:bookmarkEnd w:id="355"/>
      <w:bookmarkStart w:id="356" w:name="_Toc184314450"/>
      <w:bookmarkEnd w:id="356"/>
      <w:bookmarkStart w:id="357" w:name="_Toc184308076"/>
      <w:bookmarkEnd w:id="357"/>
      <w:bookmarkStart w:id="358" w:name="_Toc184312084"/>
      <w:bookmarkEnd w:id="358"/>
      <w:bookmarkStart w:id="359" w:name="_Toc184314473"/>
      <w:bookmarkEnd w:id="359"/>
      <w:bookmarkStart w:id="360" w:name="_Toc184308101"/>
      <w:bookmarkEnd w:id="360"/>
      <w:bookmarkStart w:id="361" w:name="_Toc184313248"/>
      <w:bookmarkEnd w:id="361"/>
      <w:bookmarkStart w:id="362" w:name="_Toc184313294"/>
      <w:bookmarkEnd w:id="362"/>
      <w:bookmarkStart w:id="363" w:name="_Toc184308064"/>
      <w:bookmarkEnd w:id="363"/>
      <w:bookmarkStart w:id="364" w:name="_Toc184313242"/>
      <w:bookmarkEnd w:id="364"/>
      <w:bookmarkStart w:id="365" w:name="_Toc184308070"/>
      <w:bookmarkEnd w:id="365"/>
      <w:bookmarkStart w:id="366" w:name="_Toc184308069"/>
      <w:bookmarkEnd w:id="366"/>
      <w:bookmarkStart w:id="367" w:name="_Toc184308096"/>
      <w:bookmarkEnd w:id="367"/>
      <w:bookmarkStart w:id="368" w:name="_Toc184312067"/>
      <w:bookmarkEnd w:id="368"/>
      <w:bookmarkStart w:id="369" w:name="_Toc184314444"/>
      <w:bookmarkEnd w:id="369"/>
      <w:bookmarkStart w:id="370" w:name="_Toc184310283"/>
      <w:bookmarkEnd w:id="370"/>
      <w:bookmarkStart w:id="371" w:name="_Toc184308087"/>
      <w:bookmarkEnd w:id="371"/>
      <w:bookmarkStart w:id="372" w:name="_Toc184310344"/>
      <w:bookmarkEnd w:id="372"/>
      <w:bookmarkStart w:id="373" w:name="_Toc184308100"/>
      <w:bookmarkEnd w:id="373"/>
      <w:bookmarkStart w:id="374" w:name="_Toc184314415"/>
      <w:bookmarkEnd w:id="374"/>
      <w:bookmarkStart w:id="375" w:name="_Toc184310334"/>
      <w:bookmarkEnd w:id="375"/>
      <w:bookmarkStart w:id="376" w:name="_Toc184310273"/>
      <w:bookmarkEnd w:id="376"/>
      <w:bookmarkStart w:id="377" w:name="_Toc184312132"/>
      <w:bookmarkEnd w:id="377"/>
      <w:bookmarkStart w:id="378" w:name="_Toc184312127"/>
      <w:bookmarkEnd w:id="378"/>
      <w:bookmarkStart w:id="379" w:name="_Toc184312122"/>
      <w:bookmarkEnd w:id="379"/>
      <w:bookmarkStart w:id="380" w:name="_Toc184308045"/>
      <w:bookmarkEnd w:id="380"/>
      <w:bookmarkStart w:id="381" w:name="_Toc184314471"/>
      <w:bookmarkEnd w:id="381"/>
      <w:bookmarkStart w:id="382" w:name="_Toc184314437"/>
      <w:bookmarkEnd w:id="382"/>
      <w:bookmarkStart w:id="383" w:name="_Toc184308058"/>
      <w:bookmarkEnd w:id="383"/>
      <w:bookmarkStart w:id="384" w:name="_Toc184313280"/>
      <w:bookmarkEnd w:id="384"/>
      <w:bookmarkStart w:id="385" w:name="_Toc184308042"/>
      <w:bookmarkEnd w:id="385"/>
      <w:bookmarkStart w:id="386" w:name="_Toc184308040"/>
      <w:bookmarkEnd w:id="386"/>
      <w:bookmarkStart w:id="387" w:name="_Toc184314448"/>
      <w:bookmarkEnd w:id="387"/>
      <w:bookmarkStart w:id="388" w:name="_Toc184313241"/>
      <w:bookmarkEnd w:id="388"/>
      <w:bookmarkStart w:id="389" w:name="_Toc184314480"/>
      <w:bookmarkEnd w:id="389"/>
      <w:bookmarkStart w:id="390" w:name="_Toc184308061"/>
      <w:bookmarkEnd w:id="390"/>
      <w:bookmarkStart w:id="391" w:name="_Toc184314478"/>
      <w:bookmarkEnd w:id="391"/>
      <w:bookmarkStart w:id="392" w:name="_Toc184314419"/>
      <w:bookmarkEnd w:id="392"/>
      <w:bookmarkStart w:id="393" w:name="_Toc184310275"/>
      <w:bookmarkEnd w:id="393"/>
      <w:bookmarkStart w:id="394" w:name="_Toc184314442"/>
      <w:bookmarkEnd w:id="394"/>
      <w:bookmarkStart w:id="395" w:name="_Toc184310298"/>
      <w:bookmarkEnd w:id="395"/>
      <w:bookmarkStart w:id="396" w:name="_Toc184313253"/>
      <w:bookmarkEnd w:id="396"/>
      <w:bookmarkStart w:id="397" w:name="_Toc184310290"/>
      <w:bookmarkEnd w:id="397"/>
      <w:bookmarkStart w:id="398" w:name="_Toc184312096"/>
      <w:bookmarkEnd w:id="398"/>
      <w:bookmarkStart w:id="399" w:name="_Toc184308055"/>
      <w:bookmarkEnd w:id="399"/>
      <w:bookmarkStart w:id="400" w:name="_Toc184310342"/>
      <w:bookmarkEnd w:id="400"/>
      <w:bookmarkStart w:id="401" w:name="_Toc184312090"/>
      <w:bookmarkEnd w:id="401"/>
      <w:bookmarkStart w:id="402" w:name="_Toc184308050"/>
      <w:bookmarkEnd w:id="402"/>
      <w:bookmarkStart w:id="403" w:name="_Toc184314420"/>
      <w:bookmarkEnd w:id="403"/>
      <w:bookmarkStart w:id="404" w:name="_Toc184308095"/>
      <w:bookmarkEnd w:id="404"/>
      <w:bookmarkStart w:id="405" w:name="_Toc184310318"/>
      <w:bookmarkEnd w:id="405"/>
      <w:bookmarkStart w:id="406" w:name="_Toc184312075"/>
      <w:bookmarkEnd w:id="406"/>
      <w:bookmarkStart w:id="407" w:name="_Toc184310293"/>
      <w:bookmarkEnd w:id="407"/>
      <w:bookmarkStart w:id="408" w:name="_Toc184312131"/>
      <w:bookmarkEnd w:id="408"/>
      <w:bookmarkStart w:id="409" w:name="_Toc184314429"/>
      <w:bookmarkEnd w:id="409"/>
      <w:bookmarkStart w:id="410" w:name="_Toc184313305"/>
      <w:bookmarkEnd w:id="410"/>
      <w:bookmarkStart w:id="411" w:name="_Toc184314418"/>
      <w:bookmarkEnd w:id="411"/>
      <w:bookmarkStart w:id="412" w:name="_Toc184312119"/>
      <w:bookmarkEnd w:id="412"/>
      <w:bookmarkStart w:id="413" w:name="_Toc184310327"/>
      <w:bookmarkEnd w:id="413"/>
      <w:bookmarkStart w:id="414" w:name="_Toc184310303"/>
      <w:bookmarkEnd w:id="414"/>
      <w:bookmarkStart w:id="415" w:name="_Toc184314425"/>
      <w:bookmarkEnd w:id="415"/>
      <w:r>
        <w:rPr>
          <w:rStyle w:val="48"/>
          <w:rFonts w:hint="eastAsia" w:ascii="Times New Roman" w:hAnsi="Times New Roman" w:eastAsia="宋体" w:cs="Times New Roman"/>
          <w:sz w:val="36"/>
          <w:szCs w:val="36"/>
        </w:rPr>
        <w:t>评标办法</w:t>
      </w:r>
      <w:bookmarkEnd w:id="50"/>
    </w:p>
    <w:p>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一、</w:t>
      </w:r>
      <w:r>
        <w:rPr>
          <w:rFonts w:hint="eastAsia" w:ascii="宋体" w:hAnsi="宋体" w:eastAsia="宋体" w:cs="宋体"/>
          <w:color w:val="auto"/>
          <w:sz w:val="24"/>
          <w:szCs w:val="24"/>
          <w:highlight w:val="none"/>
          <w:lang w:bidi="ar"/>
        </w:rPr>
        <w:t>总则</w:t>
      </w:r>
    </w:p>
    <w:p>
      <w:pPr>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bidi="ar"/>
        </w:rPr>
        <w:t>本次评标采用综合评分法，总分为100分。合格投标人的评标得分为各项目汇总得分，中标候选资格按评标得分由高到低顺序排列，得分相同的，按投标报价由低到高顺序排列；得分且投标报价相同的，按商务得分由高到低顺序排列。评分过程中采用四舍五入法，并保留小数2位。</w:t>
      </w:r>
    </w:p>
    <w:p>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bidi="ar"/>
        </w:rPr>
        <w:t>分值的计算</w:t>
      </w:r>
    </w:p>
    <w:p>
      <w:pPr>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bidi="ar"/>
        </w:rPr>
        <w:t>技术分按照评标委员会成员的独立评分结果汇总后的算术平均分计算，计算公式为：</w:t>
      </w:r>
    </w:p>
    <w:p>
      <w:pPr>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bidi="ar"/>
        </w:rPr>
        <w:t>商务资信、技术分=（评标委员会所有成员评分合计数/评标委员会组成人员数）</w:t>
      </w:r>
    </w:p>
    <w:p>
      <w:pPr>
        <w:spacing w:line="360" w:lineRule="auto"/>
        <w:ind w:firstLine="480"/>
        <w:rPr>
          <w:rFonts w:hint="eastAsia" w:ascii="宋体" w:hAnsi="宋体" w:eastAsia="宋体" w:cs="宋体"/>
          <w:color w:val="auto"/>
          <w:kern w:val="1"/>
          <w:sz w:val="24"/>
          <w:szCs w:val="24"/>
          <w:highlight w:val="none"/>
          <w:lang w:bidi="ar"/>
        </w:rPr>
      </w:pPr>
      <w:r>
        <w:rPr>
          <w:rFonts w:hint="eastAsia" w:ascii="宋体" w:hAnsi="宋体" w:eastAsia="宋体" w:cs="宋体"/>
          <w:color w:val="auto"/>
          <w:kern w:val="1"/>
          <w:sz w:val="24"/>
          <w:szCs w:val="24"/>
          <w:highlight w:val="none"/>
          <w:lang w:bidi="ar"/>
        </w:rPr>
        <w:t>投标人评标综合得分=价格分+商务资信、技术分</w:t>
      </w:r>
    </w:p>
    <w:p>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1.商务技术资信分</w:t>
      </w:r>
      <w:r>
        <w:rPr>
          <w:rFonts w:hint="eastAsia" w:ascii="宋体" w:hAnsi="宋体" w:eastAsia="宋体" w:cs="宋体"/>
          <w:b/>
          <w:bCs/>
          <w:sz w:val="24"/>
          <w:szCs w:val="24"/>
        </w:rPr>
        <w:t>（</w:t>
      </w:r>
      <w:r>
        <w:rPr>
          <w:rFonts w:hint="eastAsia" w:ascii="宋体" w:hAnsi="宋体" w:cs="宋体"/>
          <w:b/>
          <w:bCs/>
          <w:sz w:val="24"/>
          <w:szCs w:val="24"/>
          <w:lang w:val="en-US" w:eastAsia="zh-CN"/>
        </w:rPr>
        <w:t>7</w:t>
      </w:r>
      <w:r>
        <w:rPr>
          <w:rFonts w:hint="eastAsia" w:ascii="宋体" w:hAnsi="宋体" w:eastAsia="宋体" w:cs="宋体"/>
          <w:b/>
          <w:bCs/>
          <w:sz w:val="24"/>
          <w:szCs w:val="24"/>
        </w:rPr>
        <w:t>0分</w:t>
      </w:r>
      <w:r>
        <w:rPr>
          <w:rFonts w:hint="eastAsia" w:ascii="宋体" w:hAnsi="宋体" w:eastAsia="宋体" w:cs="宋体"/>
          <w:b/>
          <w:bCs/>
          <w:color w:val="000000"/>
          <w:sz w:val="24"/>
          <w:szCs w:val="24"/>
        </w:rPr>
        <w:t>）</w:t>
      </w:r>
    </w:p>
    <w:tbl>
      <w:tblPr>
        <w:tblStyle w:val="27"/>
        <w:tblW w:w="498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695"/>
        <w:gridCol w:w="990"/>
        <w:gridCol w:w="6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分值（分）</w:t>
            </w:r>
          </w:p>
        </w:tc>
        <w:tc>
          <w:tcPr>
            <w:tcW w:w="32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20"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sz w:val="24"/>
                <w:szCs w:val="24"/>
              </w:rPr>
              <w:t>投标人情况</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sz w:val="24"/>
                <w:szCs w:val="24"/>
                <w:lang w:val="en-US" w:eastAsia="zh-CN"/>
              </w:rPr>
              <w:t>5</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根据投标人企业情况（包括体系认证，获奖情况，制度等）进行综合评分，满分</w:t>
            </w:r>
            <w:r>
              <w:rPr>
                <w:rFonts w:hint="eastAsia" w:ascii="宋体" w:hAnsi="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40" w:hRule="atLeast"/>
          <w:jc w:val="center"/>
        </w:trPr>
        <w:tc>
          <w:tcPr>
            <w:tcW w:w="36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6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项目实施方案</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10</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根据实施方案科学性、合理性、规范性、可操作性进行综合打分，满分10分。（含售后服务团队配置及联系方式等，是否能够快速提供良好的售后服务支持，如有故障发生是否具备立即响应的能力等情况）。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36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86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有现场管理专用APP，可将维保工作现场情况（图片、数据、视频等）实时上传和反馈，满分10分。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60" w:hRule="atLeast"/>
          <w:jc w:val="center"/>
        </w:trPr>
        <w:tc>
          <w:tcPr>
            <w:tcW w:w="36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3</w:t>
            </w:r>
          </w:p>
        </w:tc>
        <w:tc>
          <w:tcPr>
            <w:tcW w:w="86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sz w:val="24"/>
                <w:szCs w:val="24"/>
                <w:highlight w:val="none"/>
              </w:rPr>
              <w:t>项目组成人员</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sz w:val="24"/>
                <w:szCs w:val="24"/>
                <w:lang w:val="en-US" w:eastAsia="zh-CN"/>
              </w:rPr>
              <w:t>15</w:t>
            </w:r>
          </w:p>
        </w:tc>
        <w:tc>
          <w:tcPr>
            <w:tcW w:w="64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根据投标人的人员资料及介绍，人员履历和参与项目等情况进行打分，具有浙江省气象局观测与网络处核发的气象装备保障上岗证，每人</w:t>
            </w:r>
            <w:r>
              <w:rPr>
                <w:rFonts w:hint="eastAsia" w:ascii="宋体" w:hAnsi="宋体" w:cs="宋体"/>
                <w:sz w:val="24"/>
                <w:szCs w:val="24"/>
                <w:lang w:val="en-US" w:eastAsia="zh-CN"/>
              </w:rPr>
              <w:t>3</w:t>
            </w:r>
            <w:r>
              <w:rPr>
                <w:rFonts w:hint="eastAsia" w:ascii="宋体" w:hAnsi="宋体" w:eastAsia="宋体" w:cs="宋体"/>
                <w:sz w:val="24"/>
                <w:szCs w:val="24"/>
              </w:rPr>
              <w:t>分，最多</w:t>
            </w:r>
            <w:r>
              <w:rPr>
                <w:rFonts w:hint="eastAsia" w:ascii="宋体" w:hAnsi="宋体" w:cs="宋体"/>
                <w:sz w:val="24"/>
                <w:szCs w:val="24"/>
                <w:lang w:val="en-US" w:eastAsia="zh-CN"/>
              </w:rPr>
              <w:t>15</w:t>
            </w:r>
            <w:r>
              <w:rPr>
                <w:rFonts w:hint="eastAsia" w:ascii="宋体" w:hAnsi="宋体" w:eastAsia="宋体" w:cs="宋体"/>
                <w:sz w:val="24"/>
                <w:szCs w:val="24"/>
              </w:rPr>
              <w:t>分。（投标时需提供对应人员名单、相应的证书复印件及投标人为其缴纳的近三个月社保材料证明加盖CA签章）。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36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c>
          <w:tcPr>
            <w:tcW w:w="86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sz w:val="24"/>
                <w:szCs w:val="24"/>
                <w:highlight w:val="yellow"/>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4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sz w:val="24"/>
                <w:szCs w:val="24"/>
              </w:rPr>
              <w:t>气象相关专业人员配备，气象相关专业本科及以上学历的1名得</w:t>
            </w:r>
            <w:r>
              <w:rPr>
                <w:rFonts w:hint="eastAsia" w:ascii="宋体" w:hAnsi="宋体" w:cs="宋体"/>
                <w:sz w:val="24"/>
                <w:szCs w:val="24"/>
                <w:lang w:val="en-US" w:eastAsia="zh-CN"/>
              </w:rPr>
              <w:t>3</w:t>
            </w:r>
            <w:r>
              <w:rPr>
                <w:rFonts w:hint="eastAsia" w:ascii="宋体" w:hAnsi="宋体" w:eastAsia="宋体" w:cs="宋体"/>
                <w:sz w:val="24"/>
                <w:szCs w:val="24"/>
              </w:rPr>
              <w:t>分，本项最高得分不超过</w:t>
            </w:r>
            <w:r>
              <w:rPr>
                <w:rFonts w:hint="eastAsia" w:ascii="宋体" w:hAnsi="宋体" w:cs="宋体"/>
                <w:sz w:val="24"/>
                <w:szCs w:val="24"/>
                <w:lang w:val="en-US" w:eastAsia="zh-CN"/>
              </w:rPr>
              <w:t>10</w:t>
            </w:r>
            <w:r>
              <w:rPr>
                <w:rFonts w:hint="eastAsia" w:ascii="宋体" w:hAnsi="宋体" w:eastAsia="宋体" w:cs="宋体"/>
                <w:sz w:val="24"/>
                <w:szCs w:val="24"/>
              </w:rPr>
              <w:t>分。（投标时需提供相关证明和投标人为其缴纳的近三个月社保材料证明加盖CA签章）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sz w:val="24"/>
                <w:szCs w:val="24"/>
              </w:rPr>
              <w:t>应急预案</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default" w:ascii="宋体" w:hAnsi="宋体" w:eastAsia="宋体" w:cs="宋体"/>
                <w:bCs/>
                <w:color w:val="auto"/>
                <w:sz w:val="24"/>
                <w:szCs w:val="24"/>
                <w:lang w:val="en-US" w:eastAsia="zh-CN"/>
              </w:rPr>
            </w:pPr>
            <w:r>
              <w:rPr>
                <w:rFonts w:hint="eastAsia" w:ascii="宋体" w:hAnsi="宋体" w:cs="宋体"/>
                <w:sz w:val="24"/>
                <w:szCs w:val="24"/>
                <w:lang w:val="en-US" w:eastAsia="zh-CN"/>
              </w:rPr>
              <w:t>10</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在重大天气过程来前临时通知维护，在接到通知1小时内到达并开展维护，维保服务期间巡检、故障处理的组织和联系机制的合理性，满分</w:t>
            </w:r>
            <w:r>
              <w:rPr>
                <w:rFonts w:hint="eastAsia" w:ascii="宋体" w:hAnsi="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根据投标人建立运行服务保障应急预案，方案对系统实施可能遇到的问题及其应对措施的考虑情况，有效性，满分</w:t>
            </w:r>
            <w:r>
              <w:rPr>
                <w:rFonts w:hint="eastAsia" w:ascii="宋体" w:hAnsi="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9" w:hRule="atLeast"/>
          <w:jc w:val="center"/>
        </w:trPr>
        <w:tc>
          <w:tcPr>
            <w:tcW w:w="368"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63"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sz w:val="24"/>
                <w:szCs w:val="24"/>
              </w:rPr>
              <w:t>组织实施方案</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cs="宋体"/>
                <w:sz w:val="24"/>
                <w:szCs w:val="24"/>
                <w:lang w:val="en-US" w:eastAsia="zh-CN"/>
              </w:rPr>
              <w:t>5</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z w:val="24"/>
                <w:szCs w:val="24"/>
              </w:rPr>
              <w:t>根据投标人组织实施方案的科学性、合理性、规范性和可操作性：包括资产建档、运行维护、风险评估、定期巡检、运维管理培训、日常运行维护培训等内容，以及工作时间进度表、工作程序和步骤、协调方法、关键步骤的思路和要点等，满分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68"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63"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sz w:val="24"/>
                <w:szCs w:val="24"/>
              </w:rPr>
              <w:t>成功案例及业绩</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cs="宋体"/>
                <w:sz w:val="24"/>
                <w:szCs w:val="24"/>
                <w:lang w:val="en-US" w:eastAsia="zh-CN"/>
              </w:rPr>
              <w:t>3</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z w:val="24"/>
                <w:szCs w:val="24"/>
              </w:rPr>
              <w:t>近三年内投标人成功实施的同类项目的业绩或案例证明。每提供1个得</w:t>
            </w:r>
            <w:r>
              <w:rPr>
                <w:rFonts w:hint="eastAsia" w:ascii="宋体" w:hAnsi="宋体" w:cs="宋体"/>
                <w:sz w:val="24"/>
                <w:szCs w:val="24"/>
                <w:lang w:val="en-US" w:eastAsia="zh-CN"/>
              </w:rPr>
              <w:t>1</w:t>
            </w:r>
            <w:r>
              <w:rPr>
                <w:rFonts w:hint="eastAsia" w:ascii="宋体" w:hAnsi="宋体" w:eastAsia="宋体" w:cs="宋体"/>
                <w:sz w:val="24"/>
                <w:szCs w:val="24"/>
              </w:rPr>
              <w:t>分，最多得</w:t>
            </w:r>
            <w:r>
              <w:rPr>
                <w:rFonts w:hint="eastAsia" w:ascii="宋体" w:hAnsi="宋体" w:cs="宋体"/>
                <w:sz w:val="24"/>
                <w:szCs w:val="24"/>
                <w:lang w:val="en-US" w:eastAsia="zh-CN"/>
              </w:rPr>
              <w:t>3</w:t>
            </w:r>
            <w:r>
              <w:rPr>
                <w:rFonts w:hint="eastAsia" w:ascii="宋体" w:hAnsi="宋体" w:eastAsia="宋体" w:cs="宋体"/>
                <w:sz w:val="24"/>
                <w:szCs w:val="24"/>
              </w:rPr>
              <w:t>分。（投标时需提供合同和中标通知书复印件加盖CA签章）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5" w:hRule="atLeast"/>
          <w:jc w:val="center"/>
        </w:trPr>
        <w:tc>
          <w:tcPr>
            <w:tcW w:w="368"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863"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sz w:val="24"/>
                <w:szCs w:val="24"/>
              </w:rPr>
              <w:t>服务承诺</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cs="宋体"/>
                <w:sz w:val="24"/>
                <w:szCs w:val="24"/>
                <w:lang w:val="en-US" w:eastAsia="zh-CN"/>
              </w:rPr>
              <w:t>2</w:t>
            </w:r>
          </w:p>
        </w:tc>
        <w:tc>
          <w:tcPr>
            <w:tcW w:w="6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投标人承诺合同期内根据需求临时增加维护服务，提供承诺书并加盖CA签章，未提供不得分（格式自拟）。</w:t>
            </w:r>
          </w:p>
        </w:tc>
      </w:tr>
    </w:tbl>
    <w:p>
      <w:pPr>
        <w:pageBreakBefore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bidi="ar"/>
        </w:rPr>
        <w:t>2</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报价分(</w:t>
      </w:r>
      <w:r>
        <w:rPr>
          <w:rFonts w:hint="eastAsia" w:ascii="宋体" w:hAnsi="宋体" w:cs="宋体"/>
          <w:b/>
          <w:bCs/>
          <w:color w:val="auto"/>
          <w:sz w:val="24"/>
          <w:szCs w:val="24"/>
          <w:highlight w:val="none"/>
          <w:lang w:val="en-US" w:eastAsia="zh-CN" w:bidi="ar"/>
        </w:rPr>
        <w:t>3</w:t>
      </w:r>
      <w:r>
        <w:rPr>
          <w:rFonts w:hint="eastAsia" w:ascii="宋体" w:hAnsi="宋体" w:eastAsia="宋体" w:cs="宋体"/>
          <w:b/>
          <w:bCs/>
          <w:color w:val="auto"/>
          <w:sz w:val="24"/>
          <w:szCs w:val="24"/>
          <w:highlight w:val="none"/>
          <w:lang w:val="en-US" w:eastAsia="zh-CN" w:bidi="ar"/>
        </w:rPr>
        <w:t>0</w:t>
      </w:r>
      <w:r>
        <w:rPr>
          <w:rFonts w:hint="eastAsia" w:ascii="宋体" w:hAnsi="宋体" w:eastAsia="宋体" w:cs="宋体"/>
          <w:b/>
          <w:bCs/>
          <w:color w:val="auto"/>
          <w:sz w:val="24"/>
          <w:szCs w:val="24"/>
          <w:highlight w:val="none"/>
          <w:lang w:bidi="ar"/>
        </w:rPr>
        <w:t>分)</w:t>
      </w:r>
    </w:p>
    <w:p>
      <w:pPr>
        <w:pageBreakBefore w:val="0"/>
        <w:kinsoku/>
        <w:wordWrap/>
        <w:overflowPunct/>
        <w:topLinePunct w:val="0"/>
        <w:bidi w:val="0"/>
        <w:spacing w:line="360" w:lineRule="auto"/>
        <w:ind w:firstLine="48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2.1价格评分采用低价优先法计算，即在有效</w:t>
      </w:r>
      <w:r>
        <w:rPr>
          <w:rFonts w:hint="eastAsia" w:ascii="宋体" w:hAnsi="宋体" w:eastAsia="宋体" w:cs="宋体"/>
          <w:color w:val="auto"/>
          <w:sz w:val="24"/>
          <w:szCs w:val="24"/>
          <w:lang w:bidi="ar"/>
        </w:rPr>
        <w:t>报价中，满足采购文件要求且投标价格最低的投标报价为评标基准价，其报价分为满分</w:t>
      </w:r>
      <w:r>
        <w:rPr>
          <w:rFonts w:hint="eastAsia" w:ascii="宋体" w:hAnsi="宋体" w:cs="宋体"/>
          <w:color w:val="auto"/>
          <w:sz w:val="24"/>
          <w:szCs w:val="24"/>
          <w:lang w:val="en-US" w:eastAsia="zh-CN" w:bidi="ar"/>
        </w:rPr>
        <w:t>30</w:t>
      </w:r>
      <w:r>
        <w:rPr>
          <w:rFonts w:hint="eastAsia" w:ascii="宋体" w:hAnsi="宋体" w:eastAsia="宋体" w:cs="宋体"/>
          <w:color w:val="auto"/>
          <w:sz w:val="24"/>
          <w:szCs w:val="24"/>
          <w:lang w:bidi="ar"/>
        </w:rPr>
        <w:t>分。其他投标人的报价分统一按照下列公式计算：投标报价得分=（评标基准价/投标报价）×</w:t>
      </w:r>
      <w:r>
        <w:rPr>
          <w:rFonts w:hint="eastAsia" w:ascii="宋体" w:hAnsi="宋体" w:cs="宋体"/>
          <w:color w:val="auto"/>
          <w:sz w:val="24"/>
          <w:szCs w:val="24"/>
          <w:lang w:val="en-US" w:eastAsia="zh-CN" w:bidi="ar"/>
        </w:rPr>
        <w:t>3</w:t>
      </w:r>
      <w:r>
        <w:rPr>
          <w:rFonts w:hint="eastAsia" w:ascii="宋体" w:hAnsi="宋体" w:eastAsia="宋体" w:cs="宋体"/>
          <w:color w:val="auto"/>
          <w:sz w:val="24"/>
          <w:szCs w:val="24"/>
          <w:lang w:bidi="ar"/>
        </w:rPr>
        <w:t>0%×100</w:t>
      </w:r>
      <w:r>
        <w:rPr>
          <w:rFonts w:hint="eastAsia" w:ascii="宋体" w:hAnsi="宋体" w:eastAsia="宋体" w:cs="宋体"/>
          <w:sz w:val="24"/>
          <w:szCs w:val="24"/>
          <w:lang w:bidi="ar"/>
        </w:rPr>
        <w:t>（保留到小数点后两位，第三位四舍五入）。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zh-CN" w:bidi="ar"/>
        </w:rPr>
        <w:t>2</w:t>
      </w:r>
      <w:r>
        <w:rPr>
          <w:rFonts w:hint="eastAsia" w:ascii="宋体" w:hAnsi="宋体" w:eastAsia="宋体" w:cs="宋体"/>
          <w:b/>
          <w:bCs/>
          <w:sz w:val="24"/>
          <w:szCs w:val="24"/>
          <w:lang w:val="zh-CN" w:bidi="ar"/>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b/>
          <w:bCs/>
          <w:sz w:val="24"/>
          <w:szCs w:val="24"/>
          <w:lang w:bidi="ar"/>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bidi="ar"/>
        </w:rPr>
        <w:t>2.3</w:t>
      </w:r>
      <w:r>
        <w:rPr>
          <w:rFonts w:hint="eastAsia" w:ascii="宋体" w:hAnsi="宋体" w:eastAsia="宋体" w:cs="宋体"/>
          <w:color w:val="auto"/>
          <w:sz w:val="24"/>
          <w:szCs w:val="24"/>
        </w:rPr>
        <w:t>支持中小企业</w:t>
      </w:r>
      <w:r>
        <w:rPr>
          <w:rFonts w:hint="eastAsia" w:ascii="宋体" w:hAnsi="宋体" w:eastAsia="宋体" w:cs="宋体"/>
          <w:sz w:val="24"/>
          <w:szCs w:val="24"/>
        </w:rPr>
        <w:t>发展</w:t>
      </w:r>
    </w:p>
    <w:p>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3"/>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.3.2</w:t>
      </w:r>
      <w:r>
        <w:rPr>
          <w:rFonts w:hint="eastAsia" w:ascii="宋体" w:hAnsi="宋体" w:eastAsia="宋体" w:cs="宋体"/>
          <w:kern w:val="0"/>
          <w:sz w:val="24"/>
          <w:szCs w:val="24"/>
        </w:rPr>
        <w:t>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.3.2.3在服务采购项目中，服务由中小企业承接，即提供服务的人员为中小企业依照</w:t>
      </w:r>
      <w:r>
        <w:rPr>
          <w:rFonts w:hint="eastAsia" w:ascii="宋体" w:hAnsi="宋体" w:eastAsia="宋体" w:cs="宋体"/>
          <w:color w:val="auto"/>
          <w:kern w:val="0"/>
          <w:sz w:val="24"/>
          <w:szCs w:val="24"/>
        </w:rPr>
        <w:t>《中华人民共和国劳动合同法》订立劳动合同的从业人员。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%的扣除，用扣除后的价格参与评审。接受</w:t>
      </w:r>
      <w:r>
        <w:rPr>
          <w:rFonts w:hint="eastAsia" w:ascii="宋体" w:hAnsi="宋体" w:eastAsia="宋体" w:cs="宋体"/>
          <w:sz w:val="24"/>
          <w:szCs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szCs w:val="24"/>
          <w:lang w:val="en-US" w:eastAsia="zh-CN"/>
        </w:rPr>
        <w:t>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.3.4符合《关于促进残疾人就业政府采购政策的通知》（财库〔2017〕141号）规定的条件并提供《残疾人福利性单位声明函》的残疾人福利性单位视同小型、微型企业；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bCs/>
          <w:sz w:val="24"/>
          <w:szCs w:val="24"/>
        </w:rPr>
        <w:t>支持创新发展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.4.1 采购人优先采购被认定为首台套产品和“制造精品”的自主创新产品。</w:t>
      </w:r>
    </w:p>
    <w:p>
      <w:pPr>
        <w:pStyle w:val="41"/>
        <w:keepNext w:val="0"/>
        <w:keepLines w:val="0"/>
        <w:pageBreakBefore w:val="0"/>
        <w:kinsoku/>
        <w:wordWrap/>
        <w:overflowPunct/>
        <w:topLinePunct w:val="0"/>
        <w:autoSpaceDE/>
        <w:autoSpaceDN/>
        <w:bidi w:val="0"/>
        <w:adjustRightInd/>
        <w:snapToGrid/>
        <w:spacing w:line="500" w:lineRule="exact"/>
        <w:ind w:left="0" w:leftChars="0" w:firstLine="464"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rPr>
          <w:sz w:val="24"/>
          <w:szCs w:val="24"/>
        </w:rPr>
      </w:pPr>
      <w:r>
        <w:rPr>
          <w:sz w:val="24"/>
          <w:szCs w:val="24"/>
        </w:rPr>
        <w:br w:type="page"/>
      </w:r>
    </w:p>
    <w:p>
      <w:pPr>
        <w:adjustRightInd/>
        <w:spacing w:line="360" w:lineRule="auto"/>
        <w:jc w:val="center"/>
        <w:outlineLvl w:val="0"/>
        <w:rPr>
          <w:rStyle w:val="48"/>
          <w:rFonts w:hint="default" w:ascii="Times New Roman" w:hAnsi="Times New Roman" w:eastAsia="宋体" w:cs="Times New Roman"/>
          <w:sz w:val="36"/>
          <w:szCs w:val="36"/>
          <w:lang w:val="en-US" w:eastAsia="zh-CN"/>
        </w:rPr>
      </w:pPr>
      <w:bookmarkStart w:id="416" w:name="_Toc10691"/>
      <w:r>
        <w:rPr>
          <w:rStyle w:val="48"/>
          <w:rFonts w:hint="eastAsia" w:ascii="Times New Roman" w:hAnsi="Times New Roman" w:eastAsia="宋体" w:cs="Times New Roman"/>
          <w:sz w:val="36"/>
          <w:szCs w:val="36"/>
        </w:rPr>
        <w:t>第五</w:t>
      </w:r>
      <w:r>
        <w:rPr>
          <w:rStyle w:val="48"/>
          <w:rFonts w:hint="eastAsia" w:ascii="Times New Roman" w:hAnsi="Times New Roman" w:eastAsia="宋体" w:cs="Times New Roman"/>
          <w:sz w:val="36"/>
          <w:szCs w:val="36"/>
          <w:lang w:val="en-US" w:eastAsia="zh-CN"/>
        </w:rPr>
        <w:t>章</w:t>
      </w:r>
      <w:r>
        <w:rPr>
          <w:rStyle w:val="48"/>
          <w:rFonts w:hint="eastAsia" w:ascii="Times New Roman" w:hAnsi="Times New Roman" w:eastAsia="宋体" w:cs="Times New Roman"/>
          <w:sz w:val="36"/>
          <w:szCs w:val="36"/>
        </w:rPr>
        <w:t xml:space="preserve"> </w:t>
      </w:r>
      <w:r>
        <w:rPr>
          <w:rStyle w:val="48"/>
          <w:rFonts w:hint="eastAsia" w:ascii="Times New Roman" w:hAnsi="Times New Roman" w:eastAsia="宋体" w:cs="Times New Roman"/>
          <w:sz w:val="36"/>
          <w:szCs w:val="36"/>
          <w:lang w:val="en-US" w:eastAsia="zh-CN"/>
        </w:rPr>
        <w:t>合同格式及合同条款</w:t>
      </w:r>
      <w:bookmarkEnd w:id="416"/>
    </w:p>
    <w:p/>
    <w:p>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甲方：</w:t>
      </w:r>
      <w:r>
        <w:rPr>
          <w:rFonts w:hint="eastAsia" w:ascii="宋体" w:hAnsi="宋体" w:eastAsia="宋体" w:cs="宋体"/>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乙方：</w:t>
      </w:r>
      <w:r>
        <w:rPr>
          <w:rFonts w:hint="eastAsia" w:ascii="宋体" w:hAnsi="宋体" w:eastAsia="宋体" w:cs="宋体"/>
          <w:kern w:val="2"/>
          <w:sz w:val="24"/>
          <w:szCs w:val="24"/>
          <w:lang w:val="en-US" w:eastAsia="zh-CN" w:bidi="ar-SA"/>
        </w:rPr>
        <w:t xml:space="preserve"> </w:t>
      </w:r>
    </w:p>
    <w:p>
      <w:pPr>
        <w:pStyle w:val="51"/>
        <w:keepNext w:val="0"/>
        <w:keepLines w:val="0"/>
        <w:pageBreakBefore w:val="0"/>
        <w:widowControl/>
        <w:numPr>
          <w:ilvl w:val="0"/>
          <w:numId w:val="0"/>
        </w:numPr>
        <w:tabs>
          <w:tab w:val="clear" w:pos="360"/>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bidi="ar-SA"/>
        </w:rPr>
        <w:t xml:space="preserve">根据《民法典》及相关法律法规规定，甲方和乙方在平等自愿、协商一致的基础上，签订本合同。 </w:t>
      </w:r>
    </w:p>
    <w:p>
      <w:pPr>
        <w:pStyle w:val="15"/>
        <w:keepNext w:val="0"/>
        <w:keepLines w:val="0"/>
        <w:pageBreakBefore w:val="0"/>
        <w:widowControl w:val="0"/>
        <w:tabs>
          <w:tab w:val="left" w:pos="180"/>
        </w:tabs>
        <w:kinsoku/>
        <w:wordWrap/>
        <w:overflowPunct/>
        <w:topLinePunct w:val="0"/>
        <w:autoSpaceDE/>
        <w:autoSpaceDN/>
        <w:bidi w:val="0"/>
        <w:snapToGrid w:val="0"/>
        <w:spacing w:before="0" w:line="4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服务内容</w:t>
      </w:r>
      <w:r>
        <w:rPr>
          <w:rFonts w:hint="eastAsia" w:ascii="宋体" w:hAnsi="宋体" w:eastAsia="宋体" w:cs="宋体"/>
          <w:sz w:val="24"/>
          <w:szCs w:val="24"/>
          <w:lang w:val="en-US" w:eastAsia="zh-CN"/>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1230"/>
        <w:gridCol w:w="855"/>
        <w:gridCol w:w="780"/>
        <w:gridCol w:w="4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采购内容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单位</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数量</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5" w:type="dxa"/>
            <w:vMerge w:val="restart"/>
            <w:tcBorders>
              <w:top w:val="single" w:color="auto" w:sz="4" w:space="0"/>
              <w:left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1</w:t>
            </w:r>
          </w:p>
        </w:tc>
        <w:tc>
          <w:tcPr>
            <w:tcW w:w="1230" w:type="dxa"/>
            <w:vMerge w:val="restart"/>
            <w:tcBorders>
              <w:top w:val="single" w:color="auto" w:sz="4" w:space="0"/>
              <w:left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自动气象站维保服务</w:t>
            </w:r>
          </w:p>
        </w:tc>
        <w:tc>
          <w:tcPr>
            <w:tcW w:w="855" w:type="dxa"/>
            <w:vMerge w:val="restart"/>
            <w:tcBorders>
              <w:top w:val="single" w:color="auto" w:sz="4" w:space="0"/>
              <w:left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年</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46</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四要素站点：已有41个，28+13+5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5"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1230"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855"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17</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五要素站点：已有17个，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5"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1230"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855" w:type="dxa"/>
            <w:vMerge w:val="continue"/>
            <w:tcBorders>
              <w:left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7</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r>
              <w:rPr>
                <w:rFonts w:hint="eastAsia" w:ascii="宋体" w:hAnsi="宋体" w:cs="宋体"/>
              </w:rPr>
              <w:t>六要素站点：已有7个，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65" w:type="dxa"/>
            <w:vMerge w:val="continue"/>
            <w:tcBorders>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1230" w:type="dxa"/>
            <w:vMerge w:val="continue"/>
            <w:tcBorders>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855" w:type="dxa"/>
            <w:vMerge w:val="continue"/>
            <w:tcBorders>
              <w:left w:val="single" w:color="auto" w:sz="4" w:space="0"/>
              <w:bottom w:val="single" w:color="auto" w:sz="4" w:space="0"/>
              <w:right w:val="single" w:color="auto" w:sz="4" w:space="0"/>
            </w:tcBorders>
            <w:noWrap w:val="0"/>
            <w:vAlign w:val="center"/>
          </w:tcPr>
          <w:p>
            <w:pPr>
              <w:widowControl/>
              <w:spacing w:line="360" w:lineRule="auto"/>
              <w:ind w:firstLine="480"/>
              <w:jc w:val="left"/>
              <w:rPr>
                <w:rFonts w:hint="eastAsia" w:ascii="宋体" w:hAnsi="宋体" w:cs="宋体"/>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cs="宋体"/>
              </w:rPr>
            </w:pPr>
            <w:r>
              <w:rPr>
                <w:rFonts w:hint="eastAsia" w:ascii="宋体" w:hAnsi="宋体" w:cs="宋体"/>
              </w:rPr>
              <w:t>1</w:t>
            </w:r>
          </w:p>
        </w:tc>
        <w:tc>
          <w:tcPr>
            <w:tcW w:w="47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cs="宋体"/>
              </w:rPr>
            </w:pPr>
            <w:r>
              <w:rPr>
                <w:rFonts w:hint="eastAsia" w:ascii="宋体" w:hAnsi="宋体" w:cs="宋体"/>
              </w:rPr>
              <w:t>特殊要素站点：雪深、能见度、负氧离子等。</w:t>
            </w:r>
          </w:p>
        </w:tc>
      </w:tr>
    </w:tbl>
    <w:p>
      <w:pPr>
        <w:pStyle w:val="26"/>
        <w:keepNext w:val="0"/>
        <w:keepLines w:val="0"/>
        <w:pageBreakBefore w:val="0"/>
        <w:numPr>
          <w:ilvl w:val="0"/>
          <w:numId w:val="0"/>
        </w:numPr>
        <w:kinsoku/>
        <w:wordWrap/>
        <w:overflowPunct/>
        <w:topLinePunct w:val="0"/>
        <w:autoSpaceDE/>
        <w:autoSpaceDN/>
        <w:bidi w:val="0"/>
        <w:spacing w:after="0" w:line="460" w:lineRule="exact"/>
        <w:ind w:left="0" w:leftChars="0" w:right="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二、服务期限</w:t>
      </w:r>
    </w:p>
    <w:p>
      <w:pPr>
        <w:pStyle w:val="15"/>
        <w:keepNext w:val="0"/>
        <w:keepLines w:val="0"/>
        <w:pageBreakBefore w:val="0"/>
        <w:widowControl w:val="0"/>
        <w:tabs>
          <w:tab w:val="left" w:pos="180"/>
        </w:tabs>
        <w:kinsoku/>
        <w:wordWrap/>
        <w:overflowPunct/>
        <w:topLinePunct w:val="0"/>
        <w:autoSpaceDE/>
        <w:autoSpaceDN/>
        <w:bidi w:val="0"/>
        <w:snapToGrid w:val="0"/>
        <w:spacing w:before="0" w:line="460" w:lineRule="exact"/>
        <w:ind w:left="0" w:leftChars="0" w:right="0" w:rightChars="0" w:firstLine="480" w:firstLineChars="200"/>
        <w:textAlignment w:val="auto"/>
        <w:outlineLvl w:val="9"/>
        <w:rPr>
          <w:rFonts w:hint="eastAsia" w:ascii="宋体" w:hAnsi="宋体" w:eastAsia="宋体" w:cs="宋体"/>
          <w:b/>
          <w:sz w:val="24"/>
          <w:szCs w:val="24"/>
          <w:lang w:eastAsia="zh-CN"/>
        </w:rPr>
      </w:pPr>
      <w:r>
        <w:rPr>
          <w:rFonts w:hint="eastAsia" w:ascii="宋体" w:hAnsi="宋体" w:eastAsia="宋体" w:cs="宋体"/>
          <w:color w:val="auto"/>
          <w:sz w:val="24"/>
          <w:szCs w:val="24"/>
          <w:lang w:val="en-US" w:eastAsia="zh-CN"/>
        </w:rPr>
        <w:t xml:space="preserve"> </w:t>
      </w:r>
      <w:r>
        <w:rPr>
          <w:rFonts w:hint="eastAsia" w:hAnsi="宋体" w:cs="宋体"/>
          <w:color w:val="auto"/>
          <w:sz w:val="24"/>
          <w:szCs w:val="24"/>
          <w:lang w:val="en-US" w:eastAsia="zh-CN"/>
        </w:rPr>
        <w:t>2023年</w:t>
      </w:r>
      <w:r>
        <w:rPr>
          <w:rFonts w:hint="eastAsia" w:hAnsi="宋体" w:cs="宋体"/>
          <w:color w:val="auto"/>
          <w:sz w:val="24"/>
          <w:szCs w:val="24"/>
          <w:u w:val="single"/>
          <w:lang w:val="en-US" w:eastAsia="zh-CN"/>
        </w:rPr>
        <w:t xml:space="preserve">   </w:t>
      </w:r>
      <w:r>
        <w:rPr>
          <w:rFonts w:hint="eastAsia" w:hAnsi="宋体" w:cs="宋体"/>
          <w:color w:val="auto"/>
          <w:sz w:val="24"/>
          <w:szCs w:val="24"/>
          <w:u w:val="none"/>
          <w:lang w:val="en-US" w:eastAsia="zh-CN"/>
        </w:rPr>
        <w:t>月</w:t>
      </w:r>
      <w:r>
        <w:rPr>
          <w:rFonts w:hint="eastAsia" w:hAnsi="宋体" w:cs="宋体"/>
          <w:color w:val="auto"/>
          <w:sz w:val="24"/>
          <w:szCs w:val="24"/>
          <w:u w:val="single"/>
          <w:lang w:val="en-US" w:eastAsia="zh-CN"/>
        </w:rPr>
        <w:t xml:space="preserve">    </w:t>
      </w:r>
      <w:r>
        <w:rPr>
          <w:rFonts w:hint="eastAsia" w:hAnsi="宋体" w:cs="宋体"/>
          <w:color w:val="auto"/>
          <w:sz w:val="24"/>
          <w:szCs w:val="24"/>
          <w:u w:val="none"/>
          <w:lang w:val="en-US" w:eastAsia="zh-CN"/>
        </w:rPr>
        <w:t>日</w:t>
      </w:r>
      <w:r>
        <w:rPr>
          <w:rFonts w:hint="eastAsia" w:ascii="宋体" w:hAnsi="宋体" w:eastAsia="宋体" w:cs="宋体"/>
          <w:color w:val="auto"/>
          <w:sz w:val="24"/>
          <w:szCs w:val="24"/>
          <w:lang w:val="en-US" w:eastAsia="zh-CN"/>
        </w:rPr>
        <w:t>至</w:t>
      </w:r>
      <w:r>
        <w:rPr>
          <w:rFonts w:hint="eastAsia" w:hAnsi="宋体" w:cs="宋体"/>
          <w:color w:val="auto"/>
          <w:sz w:val="24"/>
          <w:szCs w:val="24"/>
          <w:u w:val="single"/>
          <w:lang w:val="en-US" w:eastAsia="zh-CN"/>
        </w:rPr>
        <w:t xml:space="preserve">      </w:t>
      </w:r>
      <w:r>
        <w:rPr>
          <w:rFonts w:hint="eastAsia" w:hAnsi="宋体" w:cs="宋体"/>
          <w:color w:val="auto"/>
          <w:sz w:val="24"/>
          <w:szCs w:val="24"/>
          <w:lang w:val="en-US" w:eastAsia="zh-CN"/>
        </w:rPr>
        <w:t>年</w:t>
      </w:r>
      <w:r>
        <w:rPr>
          <w:rFonts w:hint="eastAsia" w:hAnsi="宋体" w:cs="宋体"/>
          <w:color w:val="auto"/>
          <w:sz w:val="24"/>
          <w:szCs w:val="24"/>
          <w:u w:val="single"/>
          <w:lang w:val="en-US" w:eastAsia="zh-CN"/>
        </w:rPr>
        <w:t xml:space="preserve">   </w:t>
      </w:r>
      <w:r>
        <w:rPr>
          <w:rFonts w:hint="eastAsia" w:hAnsi="宋体" w:cs="宋体"/>
          <w:color w:val="auto"/>
          <w:sz w:val="24"/>
          <w:szCs w:val="24"/>
          <w:u w:val="none"/>
          <w:lang w:val="en-US" w:eastAsia="zh-CN"/>
        </w:rPr>
        <w:t>月</w:t>
      </w:r>
      <w:r>
        <w:rPr>
          <w:rFonts w:hint="eastAsia" w:hAnsi="宋体" w:cs="宋体"/>
          <w:color w:val="auto"/>
          <w:sz w:val="24"/>
          <w:szCs w:val="24"/>
          <w:u w:val="single"/>
          <w:lang w:val="en-US" w:eastAsia="zh-CN"/>
        </w:rPr>
        <w:t xml:space="preserve">    </w:t>
      </w:r>
      <w:r>
        <w:rPr>
          <w:rFonts w:hint="eastAsia" w:hAnsi="宋体" w:cs="宋体"/>
          <w:color w:val="auto"/>
          <w:sz w:val="24"/>
          <w:szCs w:val="24"/>
          <w:u w:val="none"/>
          <w:lang w:val="en-US" w:eastAsia="zh-CN"/>
        </w:rPr>
        <w:t>日</w:t>
      </w:r>
      <w:r>
        <w:rPr>
          <w:rFonts w:hint="eastAsia" w:ascii="宋体" w:hAnsi="宋体" w:eastAsia="宋体" w:cs="宋体"/>
          <w:color w:val="auto"/>
          <w:sz w:val="24"/>
          <w:szCs w:val="24"/>
          <w:lang w:val="en-US" w:eastAsia="zh-CN"/>
        </w:rPr>
        <w:t>（如果项目因特殊原因延期，服务期顺延）</w:t>
      </w:r>
    </w:p>
    <w:p>
      <w:pPr>
        <w:pStyle w:val="7"/>
        <w:keepNext w:val="0"/>
        <w:keepLines w:val="0"/>
        <w:pageBreakBefore w:val="0"/>
        <w:kinsoku/>
        <w:wordWrap/>
        <w:overflowPunct/>
        <w:topLinePunct w:val="0"/>
        <w:autoSpaceDE/>
        <w:autoSpaceDN/>
        <w:bidi w:val="0"/>
        <w:spacing w:line="460" w:lineRule="exact"/>
        <w:ind w:left="0" w:leftChars="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sz w:val="24"/>
          <w:szCs w:val="24"/>
          <w:lang w:val="en-US" w:eastAsia="zh-CN"/>
        </w:rPr>
        <w:t>三、</w:t>
      </w:r>
      <w:r>
        <w:rPr>
          <w:rFonts w:hint="eastAsia" w:ascii="宋体" w:hAnsi="宋体" w:eastAsia="宋体" w:cs="宋体"/>
          <w:sz w:val="24"/>
          <w:szCs w:val="24"/>
        </w:rPr>
        <w:t>合同价款</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合同价款：</w:t>
      </w:r>
      <w:r>
        <w:rPr>
          <w:rFonts w:hint="eastAsia" w:ascii="宋体" w:hAnsi="宋体" w:eastAsia="宋体" w:cs="宋体"/>
          <w:sz w:val="24"/>
          <w:szCs w:val="24"/>
          <w:u w:val="single"/>
        </w:rPr>
        <w:t xml:space="preserve">（大写）：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u w:val="single"/>
        </w:rPr>
      </w:pPr>
      <w:r>
        <w:rPr>
          <w:rFonts w:hint="eastAsia" w:ascii="宋体" w:hAnsi="宋体" w:eastAsia="宋体" w:cs="宋体"/>
          <w:color w:val="FFFFFF"/>
          <w:sz w:val="24"/>
          <w:szCs w:val="24"/>
        </w:rPr>
        <w:t>合同价款：</w:t>
      </w:r>
      <w:r>
        <w:rPr>
          <w:rFonts w:hint="eastAsia" w:ascii="宋体" w:hAnsi="宋体" w:eastAsia="宋体" w:cs="宋体"/>
          <w:sz w:val="24"/>
          <w:szCs w:val="24"/>
          <w:u w:val="single"/>
        </w:rPr>
        <w:t xml:space="preserve">（小写）：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注：本合同价</w:t>
      </w:r>
      <w:r>
        <w:rPr>
          <w:rFonts w:hint="eastAsia" w:ascii="宋体" w:hAnsi="宋体" w:eastAsia="宋体" w:cs="宋体"/>
          <w:bCs/>
          <w:sz w:val="24"/>
          <w:szCs w:val="24"/>
        </w:rPr>
        <w:t>包括但不限于人工成本费、人员的工资福利、管理费、税费、验收费和采购代理费等一切费用。凡乙方在报价中未列明但又为本次采购所必备的项目或遗漏项目，甲方将一律视为已包括在合同价中，在合同执行中将不予考虑。</w:t>
      </w:r>
    </w:p>
    <w:p>
      <w:pPr>
        <w:pStyle w:val="7"/>
        <w:keepNext w:val="0"/>
        <w:keepLines w:val="0"/>
        <w:pageBreakBefore w:val="0"/>
        <w:kinsoku/>
        <w:wordWrap/>
        <w:overflowPunct/>
        <w:topLinePunct w:val="0"/>
        <w:autoSpaceDE/>
        <w:autoSpaceDN/>
        <w:bidi w:val="0"/>
        <w:spacing w:line="460" w:lineRule="exact"/>
        <w:ind w:left="0" w:leftChars="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、技术资料</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1、乙方应按招标文件规定的时间向甲方提供有关技术资料。</w:t>
      </w:r>
    </w:p>
    <w:p>
      <w:pPr>
        <w:pStyle w:val="10"/>
        <w:keepNext w:val="0"/>
        <w:keepLines w:val="0"/>
        <w:pageBreakBefore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2、没有甲方事先书面同意，乙方不得将由甲方提供的有关合同或任何合同条文、规格、 计划、图纸、样品或资料提供给与履行本合同无关的任何其他人。即使向履行本合同有关的</w:t>
      </w:r>
      <w:r>
        <w:rPr>
          <w:rFonts w:hint="eastAsia" w:ascii="宋体" w:hAnsi="宋体" w:eastAsia="宋体" w:cs="宋体"/>
          <w:spacing w:val="-40"/>
          <w:sz w:val="24"/>
          <w:szCs w:val="24"/>
        </w:rPr>
        <w:t xml:space="preserve"> </w:t>
      </w:r>
      <w:r>
        <w:rPr>
          <w:rFonts w:hint="eastAsia" w:ascii="宋体" w:hAnsi="宋体" w:eastAsia="宋体" w:cs="宋体"/>
          <w:sz w:val="24"/>
          <w:szCs w:val="24"/>
        </w:rPr>
        <w:t>人员提供，也应注意保密并限于履行合同的必需范围。</w:t>
      </w:r>
    </w:p>
    <w:p>
      <w:pPr>
        <w:pStyle w:val="15"/>
        <w:keepNext w:val="0"/>
        <w:keepLines w:val="0"/>
        <w:pageBreakBefore w:val="0"/>
        <w:widowControl w:val="0"/>
        <w:tabs>
          <w:tab w:val="left" w:pos="180"/>
        </w:tabs>
        <w:kinsoku/>
        <w:wordWrap/>
        <w:overflowPunct/>
        <w:topLinePunct w:val="0"/>
        <w:autoSpaceDE/>
        <w:autoSpaceDN/>
        <w:bidi w:val="0"/>
        <w:snapToGrid w:val="0"/>
        <w:spacing w:before="0" w:line="460" w:lineRule="exact"/>
        <w:ind w:left="0" w:leftChars="0" w:right="0" w:rightChars="0" w:firstLine="480" w:firstLineChars="200"/>
        <w:textAlignment w:val="auto"/>
        <w:outlineLvl w:val="9"/>
        <w:rPr>
          <w:rFonts w:hint="eastAsia" w:ascii="宋体" w:hAnsi="宋体" w:eastAsia="宋体" w:cs="宋体"/>
          <w:b/>
          <w:sz w:val="24"/>
          <w:szCs w:val="24"/>
          <w:lang w:eastAsia="zh-CN"/>
        </w:rPr>
      </w:pPr>
      <w:r>
        <w:rPr>
          <w:rFonts w:hint="eastAsia" w:hAnsi="宋体" w:cs="宋体"/>
          <w:b/>
          <w:sz w:val="24"/>
          <w:szCs w:val="24"/>
          <w:lang w:val="en-US" w:eastAsia="zh-CN"/>
        </w:rPr>
        <w:t>五</w:t>
      </w:r>
      <w:r>
        <w:rPr>
          <w:rFonts w:hint="eastAsia" w:ascii="宋体" w:hAnsi="宋体" w:eastAsia="宋体" w:cs="宋体"/>
          <w:b/>
          <w:sz w:val="24"/>
          <w:szCs w:val="24"/>
          <w:lang w:eastAsia="zh-CN"/>
        </w:rPr>
        <w:t>、</w:t>
      </w:r>
      <w:r>
        <w:rPr>
          <w:rFonts w:hint="eastAsia" w:ascii="宋体" w:hAnsi="宋体" w:eastAsia="宋体" w:cs="宋体"/>
          <w:b/>
          <w:bCs/>
          <w:sz w:val="24"/>
          <w:szCs w:val="24"/>
        </w:rPr>
        <w:t>服务质量保证</w:t>
      </w:r>
    </w:p>
    <w:p>
      <w:pPr>
        <w:spacing w:line="360" w:lineRule="auto"/>
        <w:ind w:firstLine="480"/>
        <w:jc w:val="left"/>
        <w:rPr>
          <w:rFonts w:hint="eastAsia" w:ascii="宋体" w:hAnsi="宋体" w:cs="宋体"/>
        </w:rPr>
      </w:pPr>
      <w:r>
        <w:rPr>
          <w:rFonts w:hint="eastAsia" w:ascii="宋体" w:hAnsi="宋体" w:cs="宋体"/>
        </w:rPr>
        <w:t>5.1中标人提供的产品及服务必须是经合法途径取得的。</w:t>
      </w:r>
    </w:p>
    <w:p>
      <w:pPr>
        <w:spacing w:line="360" w:lineRule="auto"/>
        <w:ind w:firstLine="480"/>
        <w:jc w:val="left"/>
        <w:rPr>
          <w:rFonts w:hint="eastAsia" w:ascii="宋体" w:hAnsi="宋体" w:cs="宋体"/>
        </w:rPr>
      </w:pPr>
      <w:r>
        <w:rPr>
          <w:rFonts w:hint="eastAsia" w:ascii="宋体" w:hAnsi="宋体" w:cs="宋体"/>
        </w:rPr>
        <w:t>5.2中标人应按现行的国家或行业技术及验收标准和招标文件的规定提供工程、货物或服务，因中标人提供的工程、货物或服务达不到约定的质量标准，中标人承担违约责任。</w:t>
      </w:r>
    </w:p>
    <w:p>
      <w:pPr>
        <w:spacing w:line="360" w:lineRule="auto"/>
        <w:ind w:firstLine="480"/>
        <w:jc w:val="left"/>
        <w:rPr>
          <w:rFonts w:hint="eastAsia" w:ascii="宋体" w:hAnsi="宋体" w:cs="宋体"/>
        </w:rPr>
      </w:pPr>
      <w:r>
        <w:rPr>
          <w:rFonts w:hint="eastAsia" w:ascii="宋体" w:hAnsi="宋体" w:cs="宋体"/>
        </w:rPr>
        <w:t>5.3验收由使用单位按规定组织相关人员或专家进行。</w:t>
      </w:r>
    </w:p>
    <w:p>
      <w:pPr>
        <w:spacing w:line="360" w:lineRule="auto"/>
        <w:ind w:firstLine="480"/>
        <w:jc w:val="left"/>
        <w:rPr>
          <w:rFonts w:hint="eastAsia" w:ascii="宋体" w:hAnsi="宋体" w:cs="宋体"/>
        </w:rPr>
      </w:pPr>
      <w:r>
        <w:rPr>
          <w:rFonts w:hint="eastAsia" w:ascii="宋体" w:hAnsi="宋体" w:cs="宋体"/>
        </w:rPr>
        <w:t>5.4双方对工程、货物或服务的质量有争议的，由双方同意的专业检测机构鉴定，所需费及因此造成的损失由责任方承担，双方均有责任的，双方根据其责任分别承担。</w:t>
      </w:r>
    </w:p>
    <w:p>
      <w:pPr>
        <w:pStyle w:val="15"/>
        <w:keepNext w:val="0"/>
        <w:keepLines w:val="0"/>
        <w:pageBreakBefore w:val="0"/>
        <w:widowControl w:val="0"/>
        <w:numPr>
          <w:ilvl w:val="0"/>
          <w:numId w:val="6"/>
        </w:numPr>
        <w:tabs>
          <w:tab w:val="left" w:pos="180"/>
        </w:tabs>
        <w:kinsoku/>
        <w:wordWrap/>
        <w:overflowPunct/>
        <w:topLinePunct w:val="0"/>
        <w:autoSpaceDE/>
        <w:autoSpaceDN/>
        <w:bidi w:val="0"/>
        <w:snapToGrid w:val="0"/>
        <w:spacing w:before="0" w:line="460" w:lineRule="exact"/>
        <w:ind w:left="0" w:leftChars="0" w:right="0" w:rightChars="0" w:firstLine="480" w:firstLineChars="200"/>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付款方式</w:t>
      </w:r>
    </w:p>
    <w:p>
      <w:pPr>
        <w:keepNext w:val="0"/>
        <w:keepLines w:val="0"/>
        <w:pageBreakBefore w:val="0"/>
        <w:widowControl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合同签订后一个月内采购方支付合同总价的50%；12月底前支付合同金额剩余的50%。</w:t>
      </w:r>
    </w:p>
    <w:p>
      <w:pPr>
        <w:pStyle w:val="15"/>
        <w:keepNext w:val="0"/>
        <w:keepLines w:val="0"/>
        <w:pageBreakBefore w:val="0"/>
        <w:widowControl w:val="0"/>
        <w:tabs>
          <w:tab w:val="left" w:pos="180"/>
        </w:tabs>
        <w:kinsoku/>
        <w:wordWrap/>
        <w:overflowPunct/>
        <w:topLinePunct w:val="0"/>
        <w:autoSpaceDE/>
        <w:autoSpaceDN/>
        <w:bidi w:val="0"/>
        <w:snapToGrid w:val="0"/>
        <w:spacing w:before="0" w:line="460" w:lineRule="exact"/>
        <w:ind w:left="0" w:leftChars="0" w:right="0" w:rightChars="0" w:firstLine="480" w:firstLineChars="200"/>
        <w:textAlignment w:val="auto"/>
        <w:outlineLvl w:val="9"/>
        <w:rPr>
          <w:rFonts w:hint="eastAsia" w:ascii="宋体" w:hAnsi="宋体" w:eastAsia="宋体" w:cs="宋体"/>
          <w:b/>
          <w:sz w:val="24"/>
          <w:szCs w:val="24"/>
          <w:lang w:eastAsia="zh-CN"/>
        </w:rPr>
      </w:pPr>
      <w:r>
        <w:rPr>
          <w:rFonts w:hint="eastAsia" w:hAnsi="宋体" w:cs="宋体"/>
          <w:b/>
          <w:sz w:val="24"/>
          <w:szCs w:val="24"/>
          <w:lang w:val="en-US" w:eastAsia="zh-CN"/>
        </w:rPr>
        <w:t>七</w:t>
      </w:r>
      <w:r>
        <w:rPr>
          <w:rFonts w:hint="eastAsia" w:ascii="宋体" w:hAnsi="宋体" w:eastAsia="宋体" w:cs="宋体"/>
          <w:b/>
          <w:sz w:val="24"/>
          <w:szCs w:val="24"/>
          <w:lang w:eastAsia="zh-CN"/>
        </w:rPr>
        <w:t>、</w:t>
      </w:r>
      <w:r>
        <w:rPr>
          <w:rFonts w:hint="eastAsia" w:ascii="宋体" w:hAnsi="宋体" w:eastAsia="宋体" w:cs="宋体"/>
          <w:b/>
          <w:bCs/>
          <w:sz w:val="24"/>
          <w:szCs w:val="24"/>
        </w:rPr>
        <w:t>转包或分包</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pPr>
        <w:pStyle w:val="10"/>
        <w:keepNext w:val="0"/>
        <w:keepLines w:val="0"/>
        <w:pageBreakBefore w:val="0"/>
        <w:kinsoku/>
        <w:wordWrap/>
        <w:overflowPunct/>
        <w:topLinePunct w:val="0"/>
        <w:autoSpaceDE/>
        <w:autoSpaceDN/>
        <w:bidi w:val="0"/>
        <w:spacing w:line="460" w:lineRule="exact"/>
        <w:ind w:left="0" w:leftChars="0" w:right="0" w:firstLine="456" w:firstLineChars="200"/>
        <w:textAlignment w:val="auto"/>
        <w:rPr>
          <w:rFonts w:hint="eastAsia" w:ascii="宋体" w:hAnsi="宋体" w:eastAsia="宋体" w:cs="宋体"/>
          <w:sz w:val="24"/>
          <w:szCs w:val="24"/>
        </w:rPr>
      </w:pPr>
      <w:r>
        <w:rPr>
          <w:rFonts w:hint="eastAsia" w:ascii="宋体" w:hAnsi="宋体" w:eastAsia="宋体" w:cs="宋体"/>
          <w:spacing w:val="-6"/>
          <w:sz w:val="24"/>
          <w:szCs w:val="24"/>
        </w:rPr>
        <w:t>2、除非得到甲方的书面同意，乙方不得将本合同范围的服务全部或部分分包给他人供应；</w:t>
      </w:r>
    </w:p>
    <w:p>
      <w:pPr>
        <w:pStyle w:val="10"/>
        <w:keepNext w:val="0"/>
        <w:keepLines w:val="0"/>
        <w:pageBreakBefore w:val="0"/>
        <w:kinsoku/>
        <w:wordWrap/>
        <w:overflowPunct/>
        <w:topLinePunct w:val="0"/>
        <w:autoSpaceDE/>
        <w:autoSpaceDN/>
        <w:bidi w:val="0"/>
        <w:spacing w:line="460" w:lineRule="exact"/>
        <w:ind w:left="0" w:leftChars="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3、如有转让和未经甲方同意的分包行为，甲方有权解除合同，没收履约保证金并追究乙</w:t>
      </w:r>
      <w:r>
        <w:rPr>
          <w:rFonts w:hint="eastAsia" w:ascii="宋体" w:hAnsi="宋体" w:eastAsia="宋体" w:cs="宋体"/>
          <w:sz w:val="24"/>
          <w:szCs w:val="24"/>
        </w:rPr>
        <w:t>方的违约责任。</w:t>
      </w:r>
    </w:p>
    <w:p>
      <w:pPr>
        <w:keepNext w:val="0"/>
        <w:keepLines w:val="0"/>
        <w:pageBreakBefore w:val="0"/>
        <w:numPr>
          <w:ilvl w:val="0"/>
          <w:numId w:val="0"/>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b/>
          <w:bCs/>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lang w:eastAsia="zh-CN"/>
        </w:rPr>
        <w:t>、</w:t>
      </w:r>
      <w:r>
        <w:rPr>
          <w:rFonts w:hint="eastAsia" w:ascii="宋体" w:hAnsi="宋体" w:eastAsia="宋体" w:cs="宋体"/>
          <w:b/>
          <w:bCs/>
          <w:sz w:val="24"/>
          <w:szCs w:val="24"/>
        </w:rPr>
        <w:t>甲方权利与义务</w:t>
      </w:r>
    </w:p>
    <w:p>
      <w:pPr>
        <w:keepNext w:val="0"/>
        <w:keepLines w:val="0"/>
        <w:pageBreakBefore w:val="0"/>
        <w:numPr>
          <w:ilvl w:val="0"/>
          <w:numId w:val="7"/>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甲方有权对乙方的合同履约和实施情况、质量、效果进行全面的技术指导、检查、管理和监督，对发现的问题及时向乙方提出书面或口头改进意见，并限期予以整改。</w:t>
      </w:r>
    </w:p>
    <w:p>
      <w:pPr>
        <w:keepNext w:val="0"/>
        <w:keepLines w:val="0"/>
        <w:pageBreakBefore w:val="0"/>
        <w:numPr>
          <w:ilvl w:val="0"/>
          <w:numId w:val="7"/>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甲方有权对乙方不履行合同义务及其投标承诺的行为进行合同款项扣罚及经济处罚，情节严重或严重影响项目筹备进程的，乙方应赔偿甲方相应的损失。</w:t>
      </w:r>
    </w:p>
    <w:p>
      <w:pPr>
        <w:keepNext w:val="0"/>
        <w:keepLines w:val="0"/>
        <w:pageBreakBefore w:val="0"/>
        <w:numPr>
          <w:ilvl w:val="0"/>
          <w:numId w:val="7"/>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甲方应按时向乙方支付合同款项，如出现有合同款项扣罚或经济处罚的情况，将在扣罚相关金额后进行余额的支付。</w:t>
      </w:r>
    </w:p>
    <w:p>
      <w:pPr>
        <w:keepNext w:val="0"/>
        <w:keepLines w:val="0"/>
        <w:pageBreakBefore w:val="0"/>
        <w:numPr>
          <w:ilvl w:val="0"/>
          <w:numId w:val="7"/>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甲方需积极协助配合乙方开展相关工作，协助乙方解决问题、使之顺利开展工作。</w:t>
      </w:r>
    </w:p>
    <w:p>
      <w:pPr>
        <w:pStyle w:val="15"/>
        <w:keepNext w:val="0"/>
        <w:keepLines w:val="0"/>
        <w:pageBreakBefore w:val="0"/>
        <w:widowControl w:val="0"/>
        <w:tabs>
          <w:tab w:val="left" w:pos="180"/>
        </w:tabs>
        <w:kinsoku/>
        <w:wordWrap/>
        <w:overflowPunct/>
        <w:topLinePunct w:val="0"/>
        <w:autoSpaceDE/>
        <w:autoSpaceDN/>
        <w:bidi w:val="0"/>
        <w:snapToGrid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甲方可要求乙方调整不合格项目组成员及员工，并在要求的时间内及时调整到位。</w:t>
      </w:r>
    </w:p>
    <w:p>
      <w:pPr>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九</w:t>
      </w:r>
      <w:r>
        <w:rPr>
          <w:rFonts w:hint="eastAsia" w:ascii="宋体" w:hAnsi="宋体" w:eastAsia="宋体" w:cs="宋体"/>
          <w:b/>
          <w:sz w:val="24"/>
          <w:szCs w:val="24"/>
          <w:lang w:eastAsia="zh-CN"/>
        </w:rPr>
        <w:t>、</w:t>
      </w:r>
      <w:r>
        <w:rPr>
          <w:rFonts w:hint="eastAsia" w:ascii="宋体" w:hAnsi="宋体" w:eastAsia="宋体" w:cs="宋体"/>
          <w:b/>
          <w:bCs/>
          <w:sz w:val="24"/>
          <w:szCs w:val="24"/>
        </w:rPr>
        <w:t>乙方权利与义务</w:t>
      </w:r>
    </w:p>
    <w:p>
      <w:pPr>
        <w:keepNext w:val="0"/>
        <w:keepLines w:val="0"/>
        <w:pageBreakBefore w:val="0"/>
        <w:numPr>
          <w:ilvl w:val="0"/>
          <w:numId w:val="8"/>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乙方应全面、高效、优质的履行合同约定的各项要求（包括中标文件的要求及履约过程中甲方交待的事项）以及己方承诺的义务（包括投标文件的承诺）。</w:t>
      </w:r>
    </w:p>
    <w:p>
      <w:pPr>
        <w:keepNext w:val="0"/>
        <w:keepLines w:val="0"/>
        <w:pageBreakBefore w:val="0"/>
        <w:numPr>
          <w:ilvl w:val="0"/>
          <w:numId w:val="8"/>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乙方应按甲方的要求开展工作，如在合同履约过程中出现计划或方案变更情况时，应及时向甲方提出，并在征得甲方的同意后方可实施。</w:t>
      </w:r>
    </w:p>
    <w:p>
      <w:pPr>
        <w:keepNext w:val="0"/>
        <w:keepLines w:val="0"/>
        <w:pageBreakBefore w:val="0"/>
        <w:numPr>
          <w:ilvl w:val="0"/>
          <w:numId w:val="8"/>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乙方应按照甲方的要求，合理确定各项目组的工作人员，全程参与组委会各工作机构的工作，积极配合项目保障工作有关职能部门，做好项目的各项筹备和保障工作，确保项目安全、成功完成。</w:t>
      </w:r>
    </w:p>
    <w:p>
      <w:pPr>
        <w:keepNext w:val="0"/>
        <w:keepLines w:val="0"/>
        <w:pageBreakBefore w:val="0"/>
        <w:numPr>
          <w:ilvl w:val="0"/>
          <w:numId w:val="8"/>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乙方应接受甲方的管理、监督、检查及指导，在项目实施过程中出现问题应及时的纠正并向甲方进行通报。</w:t>
      </w:r>
    </w:p>
    <w:p>
      <w:pPr>
        <w:keepNext w:val="0"/>
        <w:keepLines w:val="0"/>
        <w:pageBreakBefore w:val="0"/>
        <w:numPr>
          <w:ilvl w:val="0"/>
          <w:numId w:val="8"/>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乙方应维护甲方的声誉和利益，服从甲方的统一安排。</w:t>
      </w:r>
    </w:p>
    <w:p>
      <w:pPr>
        <w:keepNext w:val="0"/>
        <w:keepLines w:val="0"/>
        <w:pageBreakBefore w:val="0"/>
        <w:numPr>
          <w:ilvl w:val="0"/>
          <w:numId w:val="8"/>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甲方不承担乙方在合同履行过程中因其责任引起的一切事故、法律纠纷和经济责任，乙方须自行负责并处理合同履行过程中与第三方发生的所有事故、法律纠纷及一切费用。</w:t>
      </w:r>
    </w:p>
    <w:p>
      <w:pPr>
        <w:keepNext w:val="0"/>
        <w:keepLines w:val="0"/>
        <w:pageBreakBefore w:val="0"/>
        <w:numPr>
          <w:ilvl w:val="0"/>
          <w:numId w:val="8"/>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乙方应严格遵守国家有关法律、法规，若有违反，由此造成的一切后果由乙方承担。乙方如因上述原因使合同性质发生改变，甲方不负赔偿责任。</w:t>
      </w:r>
    </w:p>
    <w:p>
      <w:pPr>
        <w:keepNext w:val="0"/>
        <w:keepLines w:val="0"/>
        <w:pageBreakBefore w:val="0"/>
        <w:numPr>
          <w:ilvl w:val="0"/>
          <w:numId w:val="8"/>
        </w:numPr>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乙方在检测、服务过程中，应严格按照国家有关操作规程和施工规范进行作业。任何由乙方的原因造成的事故及赔偿均由乙方负责承担。</w:t>
      </w:r>
    </w:p>
    <w:p>
      <w:pPr>
        <w:pStyle w:val="15"/>
        <w:keepNext w:val="0"/>
        <w:keepLines w:val="0"/>
        <w:pageBreakBefore w:val="0"/>
        <w:widowControl w:val="0"/>
        <w:tabs>
          <w:tab w:val="left" w:pos="180"/>
        </w:tabs>
        <w:kinsoku/>
        <w:wordWrap/>
        <w:overflowPunct/>
        <w:topLinePunct w:val="0"/>
        <w:autoSpaceDE/>
        <w:autoSpaceDN/>
        <w:bidi w:val="0"/>
        <w:snapToGrid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乙方应做好项目的各类资料的收集整理工作，项目结束后统一移交给甲方立卷、归档。</w:t>
      </w:r>
    </w:p>
    <w:p>
      <w:pPr>
        <w:pStyle w:val="7"/>
        <w:keepNext w:val="0"/>
        <w:keepLines w:val="0"/>
        <w:pageBreakBefore w:val="0"/>
        <w:kinsoku/>
        <w:wordWrap/>
        <w:overflowPunct/>
        <w:topLinePunct w:val="0"/>
        <w:autoSpaceDE/>
        <w:autoSpaceDN/>
        <w:bidi w:val="0"/>
        <w:spacing w:line="460" w:lineRule="exact"/>
        <w:ind w:left="0" w:leftChars="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sz w:val="24"/>
          <w:szCs w:val="24"/>
          <w:lang w:eastAsia="zh-CN"/>
        </w:rPr>
        <w:t>十、</w:t>
      </w:r>
      <w:r>
        <w:rPr>
          <w:rFonts w:hint="eastAsia" w:ascii="宋体" w:hAnsi="宋体" w:eastAsia="宋体" w:cs="宋体"/>
          <w:sz w:val="24"/>
          <w:szCs w:val="24"/>
        </w:rPr>
        <w:t>税费</w:t>
      </w:r>
    </w:p>
    <w:p>
      <w:pPr>
        <w:pStyle w:val="44"/>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pStyle w:val="44"/>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违约责任</w:t>
      </w:r>
    </w:p>
    <w:p>
      <w:pPr>
        <w:pStyle w:val="9"/>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1、在项目实施过程中，因乙方原因导致项目过程出现问题，严重影响项目成效的，乙方应赔偿甲方相应的损失；</w:t>
      </w:r>
    </w:p>
    <w:p>
      <w:pPr>
        <w:pStyle w:val="9"/>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2、乙方需按投标时的承诺提供服务，如需更换需高于原投标时的标准，如更换的服务标准低于投标时的标准，乙方应赔偿甲方相应的损失；</w:t>
      </w:r>
    </w:p>
    <w:p>
      <w:pPr>
        <w:pStyle w:val="9"/>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3、乙方未能履行本合同约定，造成甲方直接经济损失的，经相关部门认定后，乙方须承担赔偿责任；</w:t>
      </w:r>
    </w:p>
    <w:p>
      <w:pPr>
        <w:pStyle w:val="9"/>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4、若给甲方工作造成严重影响的，甲方有权提前终止合同，由此给甲方带来经济损失的，乙方须承担相应的经济赔偿责任。</w:t>
      </w:r>
    </w:p>
    <w:p>
      <w:pPr>
        <w:pStyle w:val="44"/>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不可抗力事件处理</w:t>
      </w:r>
    </w:p>
    <w:p>
      <w:pPr>
        <w:pStyle w:val="10"/>
        <w:keepNext w:val="0"/>
        <w:keepLines w:val="0"/>
        <w:pageBreakBefore w:val="0"/>
        <w:kinsoku/>
        <w:wordWrap/>
        <w:overflowPunct/>
        <w:topLinePunct w:val="0"/>
        <w:autoSpaceDE/>
        <w:autoSpaceDN/>
        <w:bidi w:val="0"/>
        <w:spacing w:line="460" w:lineRule="exact"/>
        <w:ind w:left="0" w:leftChars="0" w:right="0" w:firstLine="456" w:firstLineChars="200"/>
        <w:textAlignment w:val="auto"/>
        <w:rPr>
          <w:rFonts w:hint="eastAsia" w:ascii="宋体" w:hAnsi="宋体" w:eastAsia="宋体" w:cs="宋体"/>
          <w:sz w:val="24"/>
          <w:szCs w:val="24"/>
        </w:rPr>
      </w:pPr>
      <w:r>
        <w:rPr>
          <w:rFonts w:hint="eastAsia" w:ascii="宋体" w:hAnsi="宋体" w:eastAsia="宋体" w:cs="宋体"/>
          <w:spacing w:val="-6"/>
          <w:sz w:val="24"/>
          <w:szCs w:val="24"/>
        </w:rPr>
        <w:t>1、在合同有效期内，任何一方因不可抗力事件</w:t>
      </w:r>
      <w:r>
        <w:rPr>
          <w:rFonts w:hint="eastAsia" w:ascii="宋体" w:hAnsi="宋体" w:eastAsia="宋体" w:cs="宋体"/>
          <w:kern w:val="0"/>
          <w:sz w:val="24"/>
          <w:szCs w:val="24"/>
        </w:rPr>
        <w:t>（包括自然灾害、如台风、地震、洪水、冰雹；政府行为，如征收、征用；社会异常事件，如罢工、骚乱）</w:t>
      </w:r>
      <w:r>
        <w:rPr>
          <w:rFonts w:hint="eastAsia" w:ascii="宋体" w:hAnsi="宋体" w:eastAsia="宋体" w:cs="宋体"/>
          <w:spacing w:val="-6"/>
          <w:sz w:val="24"/>
          <w:szCs w:val="24"/>
        </w:rPr>
        <w:t>导致不能履行合同，则合同履行期可延长，</w:t>
      </w:r>
      <w:r>
        <w:rPr>
          <w:rFonts w:hint="eastAsia" w:ascii="宋体" w:hAnsi="宋体" w:eastAsia="宋体" w:cs="宋体"/>
          <w:sz w:val="24"/>
          <w:szCs w:val="24"/>
        </w:rPr>
        <w:t xml:space="preserve"> 其延长期与不可抗力影响期相同。</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3、不可抗力事件延续 120</w:t>
      </w:r>
      <w:r>
        <w:rPr>
          <w:rFonts w:hint="eastAsia" w:ascii="宋体" w:hAnsi="宋体" w:eastAsia="宋体" w:cs="宋体"/>
          <w:spacing w:val="-25"/>
          <w:sz w:val="24"/>
          <w:szCs w:val="24"/>
        </w:rPr>
        <w:t xml:space="preserve"> </w:t>
      </w:r>
      <w:r>
        <w:rPr>
          <w:rFonts w:hint="eastAsia" w:ascii="宋体" w:hAnsi="宋体" w:eastAsia="宋体" w:cs="宋体"/>
          <w:sz w:val="24"/>
          <w:szCs w:val="24"/>
        </w:rPr>
        <w:t xml:space="preserve">天以上，双方应通过友好协商，确定是否继续履行合同。 </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hAnsi="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解决争议的方法 </w:t>
      </w:r>
    </w:p>
    <w:p>
      <w:pPr>
        <w:pStyle w:val="15"/>
        <w:keepNext w:val="0"/>
        <w:keepLines w:val="0"/>
        <w:pageBreakBefore w:val="0"/>
        <w:kinsoku/>
        <w:wordWrap/>
        <w:overflowPunct/>
        <w:topLinePunct w:val="0"/>
        <w:autoSpaceDE/>
        <w:autoSpaceDN/>
        <w:bidi w:val="0"/>
        <w:adjustRightInd w:val="0"/>
        <w:snapToGrid w:val="0"/>
        <w:spacing w:before="0" w:line="460" w:lineRule="exact"/>
        <w:ind w:left="0" w:leftChars="0" w:right="0" w:firstLine="480" w:firstLineChars="200"/>
        <w:textAlignment w:val="auto"/>
        <w:rPr>
          <w:rFonts w:hint="eastAsia" w:ascii="宋体" w:hAnsi="宋体" w:eastAsia="宋体" w:cs="宋体"/>
          <w:b/>
          <w:snapToGrid w:val="0"/>
          <w:kern w:val="0"/>
          <w:sz w:val="24"/>
          <w:szCs w:val="24"/>
        </w:rPr>
      </w:pPr>
      <w:r>
        <w:rPr>
          <w:rFonts w:hint="eastAsia" w:ascii="宋体" w:hAnsi="宋体" w:eastAsia="宋体" w:cs="宋体"/>
          <w:snapToGrid w:val="0"/>
          <w:kern w:val="0"/>
          <w:sz w:val="24"/>
          <w:szCs w:val="24"/>
        </w:rPr>
        <w:t>双方在执行合同中所发生的一切争议，应通过协商解决。如协商不成，可向甲方所在地法院起诉。</w:t>
      </w:r>
    </w:p>
    <w:p>
      <w:pPr>
        <w:pStyle w:val="7"/>
        <w:keepNext w:val="0"/>
        <w:keepLines w:val="0"/>
        <w:pageBreakBefore w:val="0"/>
        <w:kinsoku/>
        <w:wordWrap/>
        <w:overflowPunct/>
        <w:topLinePunct w:val="0"/>
        <w:autoSpaceDE/>
        <w:autoSpaceDN/>
        <w:bidi w:val="0"/>
        <w:spacing w:line="460" w:lineRule="exact"/>
        <w:ind w:left="0" w:leftChars="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合同生效及其它</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pPr>
        <w:pStyle w:val="10"/>
        <w:keepNext w:val="0"/>
        <w:keepLines w:val="0"/>
        <w:pageBreakBefore w:val="0"/>
        <w:kinsoku/>
        <w:wordWrap/>
        <w:overflowPunct/>
        <w:topLinePunct w:val="0"/>
        <w:autoSpaceDE/>
        <w:autoSpaceDN/>
        <w:bidi w:val="0"/>
        <w:spacing w:line="4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2、本合同未尽事宜，遵照《合同法》有关条文执行。</w:t>
      </w:r>
    </w:p>
    <w:p>
      <w:pPr>
        <w:pStyle w:val="10"/>
        <w:keepNext w:val="0"/>
        <w:keepLines w:val="0"/>
        <w:pageBreakBefore w:val="0"/>
        <w:kinsoku/>
        <w:wordWrap/>
        <w:overflowPunct/>
        <w:topLinePunct w:val="0"/>
        <w:autoSpaceDE/>
        <w:autoSpaceDN/>
        <w:bidi w:val="0"/>
        <w:spacing w:line="460" w:lineRule="exact"/>
        <w:ind w:left="0" w:leftChars="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3、本合同一式陆份。甲、乙双方各执叁份，</w:t>
      </w:r>
      <w:r>
        <w:rPr>
          <w:rFonts w:hint="eastAsia" w:ascii="宋体" w:hAnsi="宋体" w:eastAsia="宋体" w:cs="宋体"/>
          <w:sz w:val="24"/>
          <w:szCs w:val="24"/>
        </w:rPr>
        <w:t>本项目未尽事宜以招标文件、投标文件及澄清文件等为准。</w:t>
      </w:r>
    </w:p>
    <w:p>
      <w:pPr>
        <w:pStyle w:val="44"/>
        <w:rPr>
          <w:rFonts w:hint="eastAsia" w:hAnsi="宋体"/>
          <w:b/>
        </w:rPr>
      </w:pPr>
    </w:p>
    <w:tbl>
      <w:tblPr>
        <w:tblStyle w:val="27"/>
        <w:tblW w:w="10264"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2877"/>
        <w:gridCol w:w="2381"/>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1" w:type="dxa"/>
            <w:noWrap w:val="0"/>
            <w:vAlign w:val="center"/>
          </w:tcPr>
          <w:p>
            <w:pPr>
              <w:pStyle w:val="15"/>
              <w:snapToGrid w:val="0"/>
              <w:spacing w:after="120" w:line="440" w:lineRule="exact"/>
              <w:jc w:val="both"/>
              <w:rPr>
                <w:sz w:val="24"/>
              </w:rPr>
            </w:pPr>
            <w:r>
              <w:rPr>
                <w:rFonts w:hint="eastAsia" w:ascii="宋体" w:hAnsi="宋体" w:eastAsia="宋体" w:cs="宋体"/>
                <w:sz w:val="24"/>
              </w:rPr>
              <w:t>甲方：</w:t>
            </w:r>
          </w:p>
        </w:tc>
        <w:tc>
          <w:tcPr>
            <w:tcW w:w="2877" w:type="dxa"/>
            <w:noWrap w:val="0"/>
            <w:vAlign w:val="top"/>
          </w:tcPr>
          <w:p>
            <w:pPr>
              <w:pStyle w:val="39"/>
              <w:spacing w:before="91"/>
              <w:jc w:val="right"/>
              <w:rPr>
                <w:sz w:val="24"/>
              </w:rPr>
            </w:pPr>
            <w:r>
              <w:rPr>
                <w:sz w:val="24"/>
              </w:rPr>
              <w:t>（公章）</w:t>
            </w:r>
          </w:p>
        </w:tc>
        <w:tc>
          <w:tcPr>
            <w:tcW w:w="2381" w:type="dxa"/>
            <w:noWrap w:val="0"/>
            <w:vAlign w:val="top"/>
          </w:tcPr>
          <w:p>
            <w:pPr>
              <w:pStyle w:val="39"/>
              <w:spacing w:before="91"/>
              <w:rPr>
                <w:sz w:val="24"/>
              </w:rPr>
            </w:pPr>
            <w:r>
              <w:rPr>
                <w:sz w:val="24"/>
              </w:rPr>
              <w:t>乙方：</w:t>
            </w:r>
          </w:p>
        </w:tc>
        <w:tc>
          <w:tcPr>
            <w:tcW w:w="2865" w:type="dxa"/>
            <w:noWrap w:val="0"/>
            <w:vAlign w:val="top"/>
          </w:tcPr>
          <w:p>
            <w:pPr>
              <w:pStyle w:val="39"/>
              <w:spacing w:before="91"/>
              <w:jc w:val="right"/>
              <w:rPr>
                <w:sz w:val="24"/>
              </w:rPr>
            </w:pPr>
            <w:r>
              <w:rPr>
                <w:sz w:val="24"/>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1" w:type="dxa"/>
            <w:noWrap w:val="0"/>
            <w:vAlign w:val="top"/>
          </w:tcPr>
          <w:p>
            <w:pPr>
              <w:pStyle w:val="39"/>
              <w:spacing w:before="91"/>
              <w:rPr>
                <w:sz w:val="24"/>
              </w:rPr>
            </w:pPr>
            <w:r>
              <w:rPr>
                <w:sz w:val="24"/>
              </w:rPr>
              <w:t>法定代表人：</w:t>
            </w:r>
          </w:p>
        </w:tc>
        <w:tc>
          <w:tcPr>
            <w:tcW w:w="2877" w:type="dxa"/>
            <w:noWrap w:val="0"/>
            <w:vAlign w:val="top"/>
          </w:tcPr>
          <w:p>
            <w:pPr>
              <w:pStyle w:val="39"/>
              <w:ind w:left="0"/>
              <w:rPr>
                <w:rFonts w:ascii="Times New Roman"/>
                <w:sz w:val="22"/>
              </w:rPr>
            </w:pPr>
          </w:p>
        </w:tc>
        <w:tc>
          <w:tcPr>
            <w:tcW w:w="2381" w:type="dxa"/>
            <w:noWrap w:val="0"/>
            <w:vAlign w:val="top"/>
          </w:tcPr>
          <w:p>
            <w:pPr>
              <w:pStyle w:val="39"/>
              <w:spacing w:before="91"/>
              <w:rPr>
                <w:sz w:val="24"/>
              </w:rPr>
            </w:pPr>
            <w:r>
              <w:rPr>
                <w:sz w:val="24"/>
              </w:rPr>
              <w:t>法定代表人：</w:t>
            </w:r>
          </w:p>
        </w:tc>
        <w:tc>
          <w:tcPr>
            <w:tcW w:w="2865" w:type="dxa"/>
            <w:noWrap w:val="0"/>
            <w:vAlign w:val="top"/>
          </w:tcPr>
          <w:p>
            <w:pPr>
              <w:pStyle w:val="39"/>
              <w:ind w:left="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1" w:type="dxa"/>
            <w:noWrap w:val="0"/>
            <w:vAlign w:val="top"/>
          </w:tcPr>
          <w:p>
            <w:pPr>
              <w:pStyle w:val="39"/>
              <w:spacing w:before="90"/>
              <w:rPr>
                <w:sz w:val="24"/>
              </w:rPr>
            </w:pPr>
            <w:r>
              <w:rPr>
                <w:sz w:val="24"/>
              </w:rPr>
              <w:t>或委托代理人：</w:t>
            </w:r>
          </w:p>
        </w:tc>
        <w:tc>
          <w:tcPr>
            <w:tcW w:w="2877" w:type="dxa"/>
            <w:noWrap w:val="0"/>
            <w:vAlign w:val="top"/>
          </w:tcPr>
          <w:p>
            <w:pPr>
              <w:pStyle w:val="39"/>
              <w:ind w:left="0"/>
              <w:rPr>
                <w:rFonts w:ascii="Times New Roman"/>
                <w:sz w:val="22"/>
              </w:rPr>
            </w:pPr>
          </w:p>
        </w:tc>
        <w:tc>
          <w:tcPr>
            <w:tcW w:w="2381" w:type="dxa"/>
            <w:noWrap w:val="0"/>
            <w:vAlign w:val="top"/>
          </w:tcPr>
          <w:p>
            <w:pPr>
              <w:pStyle w:val="39"/>
              <w:spacing w:before="90"/>
              <w:rPr>
                <w:sz w:val="24"/>
              </w:rPr>
            </w:pPr>
            <w:r>
              <w:rPr>
                <w:sz w:val="24"/>
              </w:rPr>
              <w:t>或委托代理人：</w:t>
            </w:r>
          </w:p>
        </w:tc>
        <w:tc>
          <w:tcPr>
            <w:tcW w:w="2865" w:type="dxa"/>
            <w:noWrap w:val="0"/>
            <w:vAlign w:val="top"/>
          </w:tcPr>
          <w:p>
            <w:pPr>
              <w:pStyle w:val="39"/>
              <w:ind w:left="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1" w:type="dxa"/>
            <w:noWrap w:val="0"/>
            <w:vAlign w:val="top"/>
          </w:tcPr>
          <w:p>
            <w:pPr>
              <w:pStyle w:val="39"/>
              <w:spacing w:before="90"/>
              <w:rPr>
                <w:sz w:val="24"/>
              </w:rPr>
            </w:pPr>
            <w:r>
              <w:rPr>
                <w:sz w:val="24"/>
              </w:rPr>
              <w:t>联系电话：</w:t>
            </w:r>
          </w:p>
        </w:tc>
        <w:tc>
          <w:tcPr>
            <w:tcW w:w="2877" w:type="dxa"/>
            <w:noWrap w:val="0"/>
            <w:vAlign w:val="top"/>
          </w:tcPr>
          <w:p>
            <w:pPr>
              <w:pStyle w:val="39"/>
              <w:ind w:left="0"/>
              <w:rPr>
                <w:rFonts w:ascii="Times New Roman"/>
                <w:sz w:val="22"/>
              </w:rPr>
            </w:pPr>
          </w:p>
        </w:tc>
        <w:tc>
          <w:tcPr>
            <w:tcW w:w="2381" w:type="dxa"/>
            <w:noWrap w:val="0"/>
            <w:vAlign w:val="top"/>
          </w:tcPr>
          <w:p>
            <w:pPr>
              <w:pStyle w:val="39"/>
              <w:spacing w:before="90"/>
              <w:rPr>
                <w:sz w:val="24"/>
              </w:rPr>
            </w:pPr>
            <w:r>
              <w:rPr>
                <w:sz w:val="24"/>
              </w:rPr>
              <w:t>联系电话：</w:t>
            </w:r>
          </w:p>
        </w:tc>
        <w:tc>
          <w:tcPr>
            <w:tcW w:w="2865" w:type="dxa"/>
            <w:noWrap w:val="0"/>
            <w:vAlign w:val="center"/>
          </w:tcPr>
          <w:p>
            <w:pPr>
              <w:pStyle w:val="39"/>
              <w:ind w:left="0"/>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41" w:type="dxa"/>
            <w:noWrap w:val="0"/>
            <w:vAlign w:val="top"/>
          </w:tcPr>
          <w:p>
            <w:pPr>
              <w:pStyle w:val="39"/>
              <w:spacing w:before="89"/>
              <w:rPr>
                <w:sz w:val="24"/>
              </w:rPr>
            </w:pPr>
            <w:r>
              <w:rPr>
                <w:sz w:val="24"/>
              </w:rPr>
              <w:t>开户银行：</w:t>
            </w:r>
          </w:p>
        </w:tc>
        <w:tc>
          <w:tcPr>
            <w:tcW w:w="2877" w:type="dxa"/>
            <w:noWrap w:val="0"/>
            <w:vAlign w:val="top"/>
          </w:tcPr>
          <w:p>
            <w:pPr>
              <w:pStyle w:val="39"/>
              <w:ind w:left="0"/>
              <w:rPr>
                <w:rFonts w:ascii="Times New Roman"/>
                <w:sz w:val="22"/>
              </w:rPr>
            </w:pPr>
          </w:p>
        </w:tc>
        <w:tc>
          <w:tcPr>
            <w:tcW w:w="2381" w:type="dxa"/>
            <w:noWrap w:val="0"/>
            <w:vAlign w:val="top"/>
          </w:tcPr>
          <w:p>
            <w:pPr>
              <w:pStyle w:val="39"/>
              <w:spacing w:before="89"/>
              <w:rPr>
                <w:sz w:val="24"/>
              </w:rPr>
            </w:pPr>
            <w:r>
              <w:rPr>
                <w:sz w:val="24"/>
              </w:rPr>
              <w:t>开户银行：</w:t>
            </w:r>
          </w:p>
        </w:tc>
        <w:tc>
          <w:tcPr>
            <w:tcW w:w="2865" w:type="dxa"/>
            <w:noWrap w:val="0"/>
            <w:vAlign w:val="center"/>
          </w:tcPr>
          <w:p>
            <w:pPr>
              <w:pStyle w:val="39"/>
              <w:ind w:left="0"/>
              <w:jc w:val="both"/>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1" w:type="dxa"/>
            <w:noWrap w:val="0"/>
            <w:vAlign w:val="top"/>
          </w:tcPr>
          <w:p>
            <w:pPr>
              <w:pStyle w:val="39"/>
              <w:spacing w:before="89"/>
              <w:rPr>
                <w:sz w:val="24"/>
              </w:rPr>
            </w:pPr>
            <w:r>
              <w:rPr>
                <w:sz w:val="24"/>
              </w:rPr>
              <w:t>帐号：</w:t>
            </w:r>
          </w:p>
        </w:tc>
        <w:tc>
          <w:tcPr>
            <w:tcW w:w="2877" w:type="dxa"/>
            <w:noWrap w:val="0"/>
            <w:vAlign w:val="top"/>
          </w:tcPr>
          <w:p>
            <w:pPr>
              <w:pStyle w:val="39"/>
              <w:ind w:left="0"/>
              <w:rPr>
                <w:rFonts w:ascii="Times New Roman"/>
                <w:sz w:val="22"/>
              </w:rPr>
            </w:pPr>
          </w:p>
        </w:tc>
        <w:tc>
          <w:tcPr>
            <w:tcW w:w="2381" w:type="dxa"/>
            <w:noWrap w:val="0"/>
            <w:vAlign w:val="top"/>
          </w:tcPr>
          <w:p>
            <w:pPr>
              <w:pStyle w:val="39"/>
              <w:spacing w:before="89"/>
              <w:rPr>
                <w:sz w:val="24"/>
              </w:rPr>
            </w:pPr>
            <w:r>
              <w:rPr>
                <w:sz w:val="24"/>
              </w:rPr>
              <w:t>帐号：</w:t>
            </w:r>
          </w:p>
        </w:tc>
        <w:tc>
          <w:tcPr>
            <w:tcW w:w="2865" w:type="dxa"/>
            <w:noWrap w:val="0"/>
            <w:vAlign w:val="center"/>
          </w:tcPr>
          <w:p>
            <w:pPr>
              <w:pStyle w:val="39"/>
              <w:ind w:left="0"/>
              <w:jc w:val="both"/>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41" w:type="dxa"/>
            <w:noWrap w:val="0"/>
            <w:vAlign w:val="top"/>
          </w:tcPr>
          <w:p>
            <w:pPr>
              <w:pStyle w:val="39"/>
              <w:spacing w:before="91"/>
              <w:rPr>
                <w:rFonts w:hint="eastAsia" w:eastAsia="宋体"/>
                <w:sz w:val="24"/>
                <w:lang w:eastAsia="zh-CN"/>
              </w:rPr>
            </w:pPr>
            <w:r>
              <w:rPr>
                <w:sz w:val="24"/>
              </w:rPr>
              <w:t>地址</w:t>
            </w:r>
            <w:r>
              <w:rPr>
                <w:rFonts w:hint="eastAsia"/>
                <w:sz w:val="24"/>
                <w:lang w:eastAsia="zh-CN"/>
              </w:rPr>
              <w:t>：</w:t>
            </w:r>
          </w:p>
        </w:tc>
        <w:tc>
          <w:tcPr>
            <w:tcW w:w="2877" w:type="dxa"/>
            <w:noWrap w:val="0"/>
            <w:vAlign w:val="top"/>
          </w:tcPr>
          <w:p>
            <w:pPr>
              <w:pStyle w:val="39"/>
              <w:ind w:left="0"/>
              <w:rPr>
                <w:rFonts w:ascii="Times New Roman"/>
                <w:sz w:val="22"/>
              </w:rPr>
            </w:pPr>
          </w:p>
        </w:tc>
        <w:tc>
          <w:tcPr>
            <w:tcW w:w="2381" w:type="dxa"/>
            <w:noWrap w:val="0"/>
            <w:vAlign w:val="top"/>
          </w:tcPr>
          <w:p>
            <w:pPr>
              <w:pStyle w:val="39"/>
              <w:spacing w:before="91"/>
              <w:rPr>
                <w:rFonts w:hint="eastAsia" w:eastAsia="宋体"/>
                <w:sz w:val="24"/>
                <w:lang w:eastAsia="zh-CN"/>
              </w:rPr>
            </w:pPr>
            <w:r>
              <w:rPr>
                <w:sz w:val="24"/>
              </w:rPr>
              <w:t>地址</w:t>
            </w:r>
            <w:r>
              <w:rPr>
                <w:rFonts w:hint="eastAsia"/>
                <w:sz w:val="24"/>
                <w:lang w:eastAsia="zh-CN"/>
              </w:rPr>
              <w:t>：</w:t>
            </w:r>
          </w:p>
        </w:tc>
        <w:tc>
          <w:tcPr>
            <w:tcW w:w="2865" w:type="dxa"/>
            <w:noWrap w:val="0"/>
            <w:vAlign w:val="center"/>
          </w:tcPr>
          <w:p>
            <w:pPr>
              <w:pStyle w:val="39"/>
              <w:ind w:left="0"/>
              <w:jc w:val="both"/>
              <w:rPr>
                <w:rFonts w:ascii="Times New Roman"/>
                <w:sz w:val="22"/>
              </w:rPr>
            </w:pPr>
          </w:p>
        </w:tc>
      </w:tr>
    </w:tbl>
    <w:p>
      <w:pPr>
        <w:pStyle w:val="15"/>
        <w:adjustRightInd w:val="0"/>
        <w:snapToGrid w:val="0"/>
        <w:spacing w:line="360" w:lineRule="auto"/>
        <w:ind w:firstLine="480"/>
        <w:rPr>
          <w:rFonts w:ascii="Times New Roman" w:hAnsi="Times New Roman"/>
          <w:szCs w:val="21"/>
        </w:rPr>
      </w:pPr>
    </w:p>
    <w:p>
      <w:pPr>
        <w:pStyle w:val="15"/>
        <w:keepNext w:val="0"/>
        <w:keepLines w:val="0"/>
        <w:pageBreakBefore w:val="0"/>
        <w:widowControl w:val="0"/>
        <w:numPr>
          <w:ilvl w:val="0"/>
          <w:numId w:val="0"/>
        </w:numPr>
        <w:tabs>
          <w:tab w:val="left" w:pos="180"/>
        </w:tabs>
        <w:kinsoku/>
        <w:wordWrap/>
        <w:overflowPunct/>
        <w:topLinePunct w:val="0"/>
        <w:autoSpaceDE/>
        <w:autoSpaceDN/>
        <w:bidi w:val="0"/>
        <w:adjustRightInd/>
        <w:snapToGrid w:val="0"/>
        <w:spacing w:line="480" w:lineRule="exact"/>
        <w:ind w:leftChars="200" w:firstLine="1440" w:firstLineChars="400"/>
        <w:textAlignment w:val="auto"/>
        <w:rPr>
          <w:rFonts w:hint="eastAsia"/>
          <w:b/>
          <w:color w:val="auto"/>
        </w:rPr>
      </w:pPr>
      <w:r>
        <w:rPr>
          <w:rFonts w:hint="eastAsia" w:ascii="宋体" w:hAnsi="宋体" w:eastAsia="宋体" w:cs="宋体"/>
          <w:b/>
          <w:bCs/>
          <w:sz w:val="36"/>
          <w:szCs w:val="36"/>
        </w:rPr>
        <w:br w:type="page"/>
      </w:r>
    </w:p>
    <w:p>
      <w:pPr>
        <w:adjustRightInd/>
        <w:spacing w:line="360" w:lineRule="auto"/>
        <w:jc w:val="center"/>
        <w:outlineLvl w:val="0"/>
        <w:rPr>
          <w:rStyle w:val="48"/>
          <w:rFonts w:hint="eastAsia" w:ascii="Times New Roman" w:hAnsi="Times New Roman" w:eastAsia="宋体" w:cs="Times New Roman"/>
          <w:sz w:val="36"/>
          <w:szCs w:val="36"/>
        </w:rPr>
      </w:pPr>
      <w:bookmarkStart w:id="417" w:name="_Toc16762"/>
      <w:r>
        <w:rPr>
          <w:rStyle w:val="48"/>
          <w:rFonts w:hint="eastAsia" w:ascii="Times New Roman" w:hAnsi="Times New Roman" w:eastAsia="宋体" w:cs="Times New Roman"/>
          <w:sz w:val="36"/>
          <w:szCs w:val="36"/>
        </w:rPr>
        <w:t xml:space="preserve">第六章  </w:t>
      </w:r>
      <w:bookmarkStart w:id="418" w:name="_Toc253"/>
      <w:r>
        <w:rPr>
          <w:rStyle w:val="48"/>
          <w:rFonts w:hint="eastAsia" w:ascii="Times New Roman" w:hAnsi="Times New Roman" w:eastAsia="宋体" w:cs="Times New Roman"/>
          <w:sz w:val="36"/>
          <w:szCs w:val="36"/>
        </w:rPr>
        <w:t>投标文件的格式</w:t>
      </w:r>
      <w:bookmarkEnd w:id="417"/>
      <w:bookmarkEnd w:id="418"/>
    </w:p>
    <w:p>
      <w:pPr>
        <w:snapToGrid w:val="0"/>
        <w:spacing w:beforeLines="50" w:after="50" w:line="360" w:lineRule="auto"/>
        <w:rPr>
          <w:rFonts w:hint="eastAsia" w:ascii="仿宋" w:hAnsi="仿宋" w:eastAsia="仿宋" w:cs="仿宋"/>
          <w:b/>
          <w:color w:val="000000"/>
          <w:sz w:val="24"/>
          <w:szCs w:val="20"/>
        </w:rPr>
      </w:pPr>
      <w:r>
        <w:rPr>
          <w:rFonts w:hint="eastAsia" w:ascii="仿宋" w:hAnsi="仿宋" w:eastAsia="仿宋" w:cs="仿宋"/>
          <w:b/>
          <w:color w:val="000000"/>
          <w:sz w:val="24"/>
        </w:rPr>
        <w:t xml:space="preserve">投标文件封面格式 </w:t>
      </w:r>
    </w:p>
    <w:p>
      <w:pPr>
        <w:snapToGrid w:val="0"/>
        <w:spacing w:beforeLines="50" w:after="50" w:line="360" w:lineRule="auto"/>
        <w:rPr>
          <w:rFonts w:hint="eastAsia" w:ascii="仿宋" w:hAnsi="仿宋" w:eastAsia="仿宋" w:cs="仿宋"/>
          <w:b/>
          <w:bCs/>
          <w:color w:val="000000"/>
          <w:sz w:val="32"/>
          <w:szCs w:val="20"/>
        </w:rPr>
      </w:pPr>
      <w:r>
        <w:rPr>
          <w:rFonts w:hint="eastAsia" w:ascii="仿宋" w:hAnsi="仿宋" w:eastAsia="仿宋" w:cs="仿宋"/>
          <w:color w:val="000000"/>
          <w:sz w:val="24"/>
        </w:rPr>
        <w:t xml:space="preserve">                                                       </w:t>
      </w:r>
    </w:p>
    <w:p>
      <w:pPr>
        <w:snapToGrid w:val="0"/>
        <w:spacing w:beforeLines="50" w:after="50" w:line="360" w:lineRule="auto"/>
        <w:jc w:val="center"/>
        <w:rPr>
          <w:rFonts w:hint="eastAsia" w:ascii="仿宋" w:hAnsi="仿宋" w:eastAsia="仿宋" w:cs="仿宋"/>
          <w:bCs/>
          <w:color w:val="000000"/>
          <w:sz w:val="24"/>
          <w:szCs w:val="20"/>
        </w:rPr>
      </w:pPr>
    </w:p>
    <w:p>
      <w:pPr>
        <w:snapToGrid w:val="0"/>
        <w:spacing w:beforeLines="50" w:after="50" w:line="360" w:lineRule="auto"/>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资格证明/</w:t>
      </w:r>
      <w:r>
        <w:rPr>
          <w:rFonts w:hint="eastAsia" w:ascii="仿宋" w:hAnsi="仿宋" w:eastAsia="仿宋" w:cs="仿宋"/>
          <w:b/>
          <w:bCs/>
          <w:color w:val="000000"/>
          <w:sz w:val="52"/>
          <w:szCs w:val="52"/>
          <w:lang w:val="en-US" w:eastAsia="zh-CN"/>
        </w:rPr>
        <w:t>资信</w:t>
      </w:r>
      <w:r>
        <w:rPr>
          <w:rFonts w:hint="eastAsia" w:ascii="仿宋" w:hAnsi="仿宋" w:eastAsia="仿宋" w:cs="仿宋"/>
          <w:b/>
          <w:bCs/>
          <w:color w:val="000000"/>
          <w:sz w:val="52"/>
          <w:szCs w:val="52"/>
        </w:rPr>
        <w:t>技术/报价文件</w:t>
      </w:r>
    </w:p>
    <w:p>
      <w:pPr>
        <w:snapToGrid w:val="0"/>
        <w:spacing w:beforeLines="50" w:after="50" w:line="360" w:lineRule="auto"/>
        <w:rPr>
          <w:rFonts w:hint="eastAsia" w:ascii="仿宋" w:hAnsi="仿宋" w:eastAsia="仿宋" w:cs="仿宋"/>
          <w:bCs/>
          <w:color w:val="000000"/>
          <w:sz w:val="24"/>
          <w:szCs w:val="20"/>
        </w:rPr>
      </w:pPr>
    </w:p>
    <w:p>
      <w:pPr>
        <w:snapToGrid w:val="0"/>
        <w:spacing w:beforeLines="50" w:after="50" w:line="360" w:lineRule="auto"/>
        <w:rPr>
          <w:rFonts w:hint="eastAsia" w:ascii="仿宋" w:hAnsi="仿宋" w:eastAsia="仿宋" w:cs="仿宋"/>
          <w:bCs/>
          <w:color w:val="000000"/>
          <w:sz w:val="24"/>
          <w:szCs w:val="20"/>
        </w:rPr>
      </w:pPr>
    </w:p>
    <w:p>
      <w:pPr>
        <w:pStyle w:val="3"/>
        <w:outlineLvl w:val="9"/>
        <w:rPr>
          <w:rFonts w:hint="eastAsia" w:ascii="仿宋" w:hAnsi="仿宋" w:eastAsia="仿宋" w:cs="仿宋"/>
        </w:rPr>
      </w:pPr>
    </w:p>
    <w:p>
      <w:pPr>
        <w:snapToGrid w:val="0"/>
        <w:spacing w:beforeLines="50" w:after="50" w:line="360" w:lineRule="auto"/>
        <w:ind w:left="2649" w:leftChars="595" w:hanging="1400" w:hangingChars="500"/>
        <w:rPr>
          <w:rFonts w:hint="eastAsia" w:ascii="仿宋" w:hAnsi="仿宋" w:eastAsia="仿宋" w:cs="仿宋"/>
          <w:bCs/>
          <w:color w:val="000000"/>
          <w:sz w:val="28"/>
          <w:szCs w:val="28"/>
        </w:rPr>
      </w:pPr>
      <w:r>
        <w:rPr>
          <w:rFonts w:hint="eastAsia" w:ascii="仿宋" w:hAnsi="仿宋" w:eastAsia="仿宋" w:cs="仿宋"/>
          <w:bCs/>
          <w:color w:val="000000"/>
          <w:sz w:val="28"/>
          <w:szCs w:val="28"/>
        </w:rPr>
        <w:t>项目名称：</w:t>
      </w:r>
    </w:p>
    <w:p>
      <w:pPr>
        <w:snapToGrid w:val="0"/>
        <w:spacing w:beforeLines="50" w:after="50"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项目编号：</w:t>
      </w:r>
    </w:p>
    <w:p>
      <w:pPr>
        <w:snapToGrid w:val="0"/>
        <w:spacing w:beforeLines="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p>
    <w:p>
      <w:pPr>
        <w:pStyle w:val="9"/>
        <w:snapToGrid w:val="0"/>
        <w:spacing w:before="50" w:after="50" w:line="360" w:lineRule="auto"/>
        <w:ind w:firstLine="1260" w:firstLineChars="450"/>
        <w:rPr>
          <w:rFonts w:hint="eastAsia" w:ascii="仿宋" w:hAnsi="仿宋" w:eastAsia="仿宋" w:cs="仿宋"/>
          <w:bCs/>
          <w:color w:val="000000"/>
          <w:sz w:val="28"/>
          <w:szCs w:val="28"/>
        </w:rPr>
      </w:pPr>
    </w:p>
    <w:p>
      <w:pPr>
        <w:pStyle w:val="9"/>
        <w:snapToGrid w:val="0"/>
        <w:spacing w:before="50" w:after="50" w:line="360" w:lineRule="auto"/>
        <w:ind w:firstLine="1260" w:firstLineChars="450"/>
        <w:rPr>
          <w:rFonts w:hint="eastAsia" w:ascii="仿宋" w:hAnsi="仿宋" w:eastAsia="仿宋" w:cs="仿宋"/>
          <w:bCs/>
          <w:color w:val="000000"/>
          <w:sz w:val="28"/>
          <w:szCs w:val="28"/>
        </w:rPr>
      </w:pPr>
    </w:p>
    <w:p>
      <w:pPr>
        <w:pStyle w:val="9"/>
        <w:snapToGrid w:val="0"/>
        <w:spacing w:before="50" w:after="50" w:line="360" w:lineRule="auto"/>
        <w:ind w:firstLine="1260" w:firstLineChars="450"/>
        <w:rPr>
          <w:rFonts w:hint="eastAsia" w:ascii="仿宋" w:hAnsi="仿宋" w:eastAsia="仿宋" w:cs="仿宋"/>
          <w:bCs/>
          <w:color w:val="000000"/>
          <w:sz w:val="28"/>
          <w:szCs w:val="28"/>
        </w:rPr>
      </w:pPr>
    </w:p>
    <w:p>
      <w:pPr>
        <w:pStyle w:val="9"/>
        <w:snapToGrid w:val="0"/>
        <w:spacing w:before="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投标人名称：</w:t>
      </w:r>
    </w:p>
    <w:p>
      <w:pPr>
        <w:pStyle w:val="9"/>
        <w:snapToGrid w:val="0"/>
        <w:spacing w:before="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投标人地址：</w:t>
      </w:r>
    </w:p>
    <w:p>
      <w:pPr>
        <w:snapToGrid w:val="0"/>
        <w:spacing w:beforeLines="50" w:after="50" w:line="360" w:lineRule="auto"/>
        <w:ind w:firstLine="645"/>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napToGrid w:val="0"/>
        <w:spacing w:beforeLines="50" w:after="50" w:line="360" w:lineRule="auto"/>
        <w:ind w:firstLine="645"/>
        <w:jc w:val="center"/>
        <w:rPr>
          <w:rFonts w:hint="eastAsia" w:ascii="仿宋" w:hAnsi="仿宋" w:eastAsia="仿宋" w:cs="仿宋"/>
          <w:color w:val="000000"/>
          <w:sz w:val="24"/>
          <w:szCs w:val="20"/>
        </w:rPr>
      </w:pPr>
      <w:r>
        <w:rPr>
          <w:rFonts w:hint="eastAsia" w:ascii="仿宋" w:hAnsi="仿宋" w:eastAsia="仿宋" w:cs="仿宋"/>
          <w:color w:val="000000"/>
          <w:sz w:val="28"/>
          <w:szCs w:val="28"/>
        </w:rPr>
        <w:t>年  月  日</w:t>
      </w:r>
    </w:p>
    <w:p>
      <w:pPr>
        <w:spacing w:line="600" w:lineRule="exact"/>
        <w:ind w:right="532" w:firstLine="640" w:firstLineChars="200"/>
        <w:rPr>
          <w:rFonts w:ascii="宋体" w:hAnsi="宋体"/>
          <w:sz w:val="32"/>
          <w:szCs w:val="32"/>
        </w:rPr>
      </w:pPr>
    </w:p>
    <w:p>
      <w:pPr>
        <w:snapToGrid w:val="0"/>
        <w:spacing w:beforeLines="50" w:line="360" w:lineRule="auto"/>
        <w:jc w:val="left"/>
        <w:rPr>
          <w:rFonts w:hint="eastAsia" w:ascii="仿宋" w:hAnsi="仿宋" w:eastAsia="仿宋" w:cs="仿宋"/>
          <w:b/>
          <w:color w:val="000000"/>
          <w:sz w:val="24"/>
        </w:rPr>
      </w:pPr>
    </w:p>
    <w:p>
      <w:pPr>
        <w:spacing w:line="360" w:lineRule="auto"/>
        <w:jc w:val="center"/>
        <w:outlineLvl w:val="0"/>
        <w:rPr>
          <w:rFonts w:ascii="仿宋_GB2312" w:hAnsi="仿宋" w:eastAsia="仿宋_GB2312" w:cs="仿宋_GB2312"/>
          <w:b/>
          <w:kern w:val="0"/>
          <w:sz w:val="36"/>
          <w:szCs w:val="36"/>
        </w:rPr>
      </w:pPr>
      <w:bookmarkStart w:id="419" w:name="_Toc2383"/>
      <w:r>
        <w:rPr>
          <w:rFonts w:hint="eastAsia" w:ascii="仿宋_GB2312" w:hAnsi="仿宋" w:eastAsia="仿宋_GB2312" w:cs="仿宋_GB2312"/>
          <w:b/>
          <w:kern w:val="0"/>
          <w:sz w:val="36"/>
          <w:szCs w:val="36"/>
        </w:rPr>
        <w:t>目录</w:t>
      </w:r>
      <w:bookmarkEnd w:id="419"/>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）营业执照扫描件；</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提供中小企业声明函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本项目的特定资格要求</w:t>
      </w:r>
      <w:r>
        <w:rPr>
          <w:rFonts w:hint="eastAsia" w:ascii="宋体" w:hAnsi="宋体" w:eastAsia="宋体" w:cs="宋体"/>
          <w:color w:val="auto"/>
          <w:sz w:val="24"/>
          <w:szCs w:val="24"/>
          <w:lang w:eastAsia="zh-CN"/>
        </w:rPr>
        <w:t>（若有）</w:t>
      </w:r>
      <w:r>
        <w:rPr>
          <w:rFonts w:hint="eastAsia" w:ascii="宋体" w:hAnsi="宋体" w:eastAsia="宋体" w:cs="宋体"/>
          <w:color w:val="auto"/>
          <w:sz w:val="24"/>
          <w:szCs w:val="24"/>
        </w:rPr>
        <w:t>。</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hint="eastAsia" w:ascii="仿宋_GB2312" w:hAnsi="仿宋" w:eastAsia="仿宋_GB2312" w:cs="仿宋_GB2312"/>
          <w:b/>
          <w:kern w:val="0"/>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营业执照扫描件</w:t>
      </w:r>
    </w:p>
    <w:p>
      <w:pPr>
        <w:snapToGrid w:val="0"/>
        <w:spacing w:line="360" w:lineRule="auto"/>
        <w:ind w:left="2931" w:right="480"/>
        <w:rPr>
          <w:rFonts w:hint="eastAsia"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符合参加政府采购活动应当具备的一般条件的承诺函</w:t>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我方参与（项目名称）【项目编号：】政府采购活动，郑重承诺：</w:t>
      </w:r>
    </w:p>
    <w:p>
      <w:pPr>
        <w:keepNext w:val="0"/>
        <w:keepLines w:val="0"/>
        <w:pageBreakBefore w:val="0"/>
        <w:widowControl w:val="0"/>
        <w:kinsoku/>
        <w:wordWrap/>
        <w:overflowPunct/>
        <w:topLinePunct w:val="0"/>
        <w:autoSpaceDE/>
        <w:autoSpaceDN/>
        <w:bidi w:val="0"/>
        <w:adjustRightInd w:val="0"/>
        <w:snapToGrid w:val="0"/>
        <w:spacing w:line="500" w:lineRule="exact"/>
        <w:ind w:firstLine="360" w:firstLineChars="150"/>
        <w:textAlignment w:val="auto"/>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6.具有法律、行政法规规定的其他条件。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（三）不存在以下情况：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500" w:lineRule="exact"/>
        <w:ind w:firstLine="5520" w:firstLineChars="2300"/>
        <w:textAlignment w:val="auto"/>
        <w:rPr>
          <w:rFonts w:hint="eastAsia" w:ascii="宋体" w:hAnsi="宋体" w:eastAsia="宋体" w:cs="宋体"/>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5520" w:firstLineChars="2300"/>
        <w:textAlignment w:val="auto"/>
        <w:rPr>
          <w:rFonts w:hint="eastAsia" w:ascii="宋体" w:hAnsi="宋体" w:eastAsia="宋体" w:cs="宋体"/>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5520" w:firstLineChars="2300"/>
        <w:textAlignment w:val="auto"/>
        <w:rPr>
          <w:rFonts w:hint="eastAsia" w:ascii="宋体" w:hAnsi="宋体" w:eastAsia="宋体" w:cs="宋体"/>
          <w:kern w:val="0"/>
          <w:sz w:val="24"/>
        </w:rPr>
      </w:pPr>
      <w:r>
        <w:rPr>
          <w:rFonts w:hint="eastAsia" w:ascii="宋体" w:hAnsi="宋体" w:eastAsia="宋体" w:cs="宋体"/>
          <w:kern w:val="0"/>
          <w:sz w:val="24"/>
          <w:lang w:val="zh-CN"/>
        </w:rPr>
        <w:t>投标人(盖章)：</w:t>
      </w:r>
    </w:p>
    <w:p>
      <w:pPr>
        <w:keepNext w:val="0"/>
        <w:keepLines w:val="0"/>
        <w:pageBreakBefore w:val="0"/>
        <w:widowControl w:val="0"/>
        <w:tabs>
          <w:tab w:val="left" w:pos="5580"/>
        </w:tabs>
        <w:kinsoku/>
        <w:wordWrap/>
        <w:overflowPunct/>
        <w:topLinePunct w:val="0"/>
        <w:autoSpaceDE/>
        <w:autoSpaceDN/>
        <w:bidi w:val="0"/>
        <w:adjustRightInd w:val="0"/>
        <w:spacing w:line="500" w:lineRule="exact"/>
        <w:ind w:firstLine="600" w:firstLineChars="250"/>
        <w:textAlignment w:val="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color w:val="000000"/>
          <w:sz w:val="24"/>
        </w:rPr>
        <w:t>法人或授权委托人：（签字）</w:t>
      </w:r>
    </w:p>
    <w:p>
      <w:pPr>
        <w:keepNext w:val="0"/>
        <w:keepLines w:val="0"/>
        <w:pageBreakBefore w:val="0"/>
        <w:widowControl w:val="0"/>
        <w:kinsoku/>
        <w:wordWrap/>
        <w:overflowPunct/>
        <w:topLinePunct w:val="0"/>
        <w:autoSpaceDE/>
        <w:autoSpaceDN/>
        <w:bidi w:val="0"/>
        <w:adjustRightInd w:val="0"/>
        <w:snapToGrid w:val="0"/>
        <w:spacing w:line="500" w:lineRule="exact"/>
        <w:ind w:firstLine="5280" w:firstLineChars="2200"/>
        <w:textAlignment w:val="auto"/>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widowControl/>
        <w:spacing w:line="360" w:lineRule="auto"/>
        <w:ind w:left="150"/>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本项目的特定资格要求（若有）</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p>
    <w:p>
      <w:pPr>
        <w:snapToGrid w:val="0"/>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商务技术文件目录</w:t>
      </w:r>
    </w:p>
    <w:p>
      <w:pPr>
        <w:keepNext w:val="0"/>
        <w:keepLines w:val="0"/>
        <w:pageBreakBefore w:val="0"/>
        <w:kinsoku/>
        <w:wordWrap/>
        <w:overflowPunct/>
        <w:topLinePunct w:val="0"/>
        <w:autoSpaceDE/>
        <w:autoSpaceDN/>
        <w:bidi w:val="0"/>
        <w:snapToGrid w:val="0"/>
        <w:spacing w:line="500" w:lineRule="exact"/>
        <w:ind w:firstLine="470" w:firstLineChars="196"/>
        <w:jc w:val="left"/>
        <w:textAlignment w:val="auto"/>
        <w:outlineLvl w:val="2"/>
        <w:rPr>
          <w:rFonts w:hint="eastAsia" w:ascii="宋体" w:hAnsi="宋体" w:eastAsia="宋体" w:cs="宋体"/>
          <w:sz w:val="24"/>
          <w:szCs w:val="24"/>
        </w:rPr>
      </w:pPr>
      <w:r>
        <w:rPr>
          <w:rFonts w:hint="eastAsia" w:ascii="宋体" w:hAnsi="宋体" w:eastAsia="宋体" w:cs="宋体"/>
          <w:sz w:val="24"/>
          <w:szCs w:val="24"/>
        </w:rPr>
        <w:t>（1）评分索引表</w:t>
      </w:r>
      <w:r>
        <w:rPr>
          <w:rFonts w:hint="eastAsia" w:ascii="宋体" w:hAnsi="宋体" w:eastAsia="宋体" w:cs="宋体"/>
          <w:sz w:val="24"/>
          <w:szCs w:val="24"/>
          <w:lang w:val="zh-CN"/>
        </w:rPr>
        <w:t>（</w:t>
      </w:r>
      <w:r>
        <w:rPr>
          <w:rFonts w:hint="eastAsia" w:ascii="宋体" w:hAnsi="宋体" w:eastAsia="宋体" w:cs="宋体"/>
          <w:sz w:val="24"/>
          <w:szCs w:val="24"/>
        </w:rPr>
        <w:t>格式附后</w:t>
      </w:r>
      <w:r>
        <w:rPr>
          <w:rFonts w:hint="eastAsia" w:ascii="宋体" w:hAnsi="宋体" w:eastAsia="宋体" w:cs="宋体"/>
          <w:sz w:val="24"/>
          <w:szCs w:val="24"/>
          <w:lang w:val="zh-CN"/>
        </w:rPr>
        <w:t>）</w:t>
      </w:r>
      <w:r>
        <w:rPr>
          <w:rFonts w:hint="eastAsia" w:ascii="宋体" w:hAnsi="宋体" w:eastAsia="宋体" w:cs="宋体"/>
          <w:sz w:val="24"/>
          <w:szCs w:val="24"/>
        </w:rPr>
        <w:t>；</w:t>
      </w:r>
    </w:p>
    <w:p>
      <w:pPr>
        <w:keepNext w:val="0"/>
        <w:keepLines w:val="0"/>
        <w:pageBreakBefore w:val="0"/>
        <w:tabs>
          <w:tab w:val="left" w:pos="4018"/>
        </w:tabs>
        <w:kinsoku/>
        <w:wordWrap/>
        <w:overflowPunct/>
        <w:topLinePunct w:val="0"/>
        <w:autoSpaceDE/>
        <w:autoSpaceDN/>
        <w:bidi w:val="0"/>
        <w:snapToGrid w:val="0"/>
        <w:spacing w:line="500" w:lineRule="exact"/>
        <w:ind w:firstLine="470" w:firstLineChars="196"/>
        <w:jc w:val="left"/>
        <w:textAlignment w:val="auto"/>
        <w:rPr>
          <w:rFonts w:hint="eastAsia" w:ascii="宋体" w:hAnsi="宋体" w:eastAsia="宋体" w:cs="宋体"/>
          <w:sz w:val="24"/>
          <w:szCs w:val="24"/>
          <w:lang w:val="zh-CN"/>
        </w:rPr>
      </w:pPr>
      <w:r>
        <w:rPr>
          <w:rFonts w:hint="eastAsia" w:ascii="宋体" w:hAnsi="宋体" w:eastAsia="宋体" w:cs="宋体"/>
          <w:sz w:val="24"/>
          <w:szCs w:val="24"/>
        </w:rPr>
        <w:t>（2）投标声明书 (格式附后) ；</w:t>
      </w:r>
    </w:p>
    <w:p>
      <w:pPr>
        <w:keepNext w:val="0"/>
        <w:keepLines w:val="0"/>
        <w:pageBreakBefore w:val="0"/>
        <w:tabs>
          <w:tab w:val="left" w:pos="4018"/>
        </w:tabs>
        <w:kinsoku/>
        <w:wordWrap/>
        <w:overflowPunct/>
        <w:topLinePunct w:val="0"/>
        <w:autoSpaceDE/>
        <w:autoSpaceDN/>
        <w:bidi w:val="0"/>
        <w:snapToGrid w:val="0"/>
        <w:spacing w:line="500" w:lineRule="exact"/>
        <w:ind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（3）提供有效的营业执照；</w:t>
      </w:r>
    </w:p>
    <w:p>
      <w:pPr>
        <w:keepNext w:val="0"/>
        <w:keepLines w:val="0"/>
        <w:pageBreakBefore w:val="0"/>
        <w:tabs>
          <w:tab w:val="left" w:pos="4018"/>
        </w:tabs>
        <w:kinsoku/>
        <w:wordWrap/>
        <w:overflowPunct/>
        <w:topLinePunct w:val="0"/>
        <w:autoSpaceDE/>
        <w:autoSpaceDN/>
        <w:bidi w:val="0"/>
        <w:snapToGrid w:val="0"/>
        <w:spacing w:line="500" w:lineRule="exact"/>
        <w:ind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（4）投标人须提供法定代表人身份证明书或法人授权委托书；</w:t>
      </w:r>
    </w:p>
    <w:p>
      <w:pPr>
        <w:keepNext w:val="0"/>
        <w:keepLines w:val="0"/>
        <w:pageBreakBefore w:val="0"/>
        <w:tabs>
          <w:tab w:val="left" w:pos="4018"/>
        </w:tabs>
        <w:kinsoku/>
        <w:wordWrap/>
        <w:overflowPunct/>
        <w:topLinePunct w:val="0"/>
        <w:autoSpaceDE/>
        <w:autoSpaceDN/>
        <w:bidi w:val="0"/>
        <w:snapToGrid w:val="0"/>
        <w:spacing w:line="500" w:lineRule="exact"/>
        <w:ind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（5）投标人情况介绍（格式</w:t>
      </w:r>
      <w:r>
        <w:rPr>
          <w:rFonts w:hint="eastAsia" w:ascii="宋体" w:hAnsi="宋体" w:eastAsia="宋体" w:cs="宋体"/>
          <w:bCs/>
          <w:sz w:val="24"/>
          <w:szCs w:val="24"/>
        </w:rPr>
        <w:t>附后</w:t>
      </w:r>
      <w:r>
        <w:rPr>
          <w:rFonts w:hint="eastAsia" w:ascii="宋体" w:hAnsi="宋体" w:eastAsia="宋体" w:cs="宋体"/>
          <w:sz w:val="24"/>
          <w:szCs w:val="24"/>
        </w:rPr>
        <w:t>）；</w:t>
      </w:r>
    </w:p>
    <w:p>
      <w:pPr>
        <w:pStyle w:val="38"/>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项目实施人员一览表</w:t>
      </w:r>
    </w:p>
    <w:p>
      <w:pPr>
        <w:pStyle w:val="38"/>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（7）项目负责人情况表</w:t>
      </w:r>
    </w:p>
    <w:p>
      <w:pPr>
        <w:keepNext w:val="0"/>
        <w:keepLines w:val="0"/>
        <w:pageBreakBefore w:val="0"/>
        <w:tabs>
          <w:tab w:val="left" w:pos="4018"/>
        </w:tabs>
        <w:kinsoku/>
        <w:wordWrap/>
        <w:overflowPunct/>
        <w:topLinePunct w:val="0"/>
        <w:autoSpaceDE/>
        <w:autoSpaceDN/>
        <w:bidi w:val="0"/>
        <w:snapToGrid w:val="0"/>
        <w:spacing w:line="500" w:lineRule="exact"/>
        <w:ind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）商务技术条款偏离表（格式</w:t>
      </w:r>
      <w:r>
        <w:rPr>
          <w:rFonts w:hint="eastAsia" w:ascii="宋体" w:hAnsi="宋体" w:eastAsia="宋体" w:cs="宋体"/>
          <w:bCs/>
          <w:sz w:val="24"/>
          <w:szCs w:val="24"/>
        </w:rPr>
        <w:t>附后</w:t>
      </w:r>
      <w:r>
        <w:rPr>
          <w:rFonts w:hint="eastAsia" w:ascii="宋体" w:hAnsi="宋体" w:eastAsia="宋体" w:cs="宋体"/>
          <w:sz w:val="24"/>
          <w:szCs w:val="24"/>
        </w:rPr>
        <w:t>）；</w:t>
      </w:r>
    </w:p>
    <w:p>
      <w:pPr>
        <w:pStyle w:val="38"/>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类似项目实施情况一览表</w:t>
      </w:r>
    </w:p>
    <w:p>
      <w:pPr>
        <w:keepNext w:val="0"/>
        <w:keepLines w:val="0"/>
        <w:pageBreakBefore w:val="0"/>
        <w:tabs>
          <w:tab w:val="left" w:pos="4018"/>
        </w:tabs>
        <w:kinsoku/>
        <w:wordWrap/>
        <w:overflowPunct/>
        <w:topLinePunct w:val="0"/>
        <w:autoSpaceDE/>
        <w:autoSpaceDN/>
        <w:bidi w:val="0"/>
        <w:snapToGrid w:val="0"/>
        <w:spacing w:line="500" w:lineRule="exact"/>
        <w:ind w:firstLine="470" w:firstLineChars="19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）可根据评分项所涉及的内容进行编制详细内容；（格式自拟）</w:t>
      </w:r>
    </w:p>
    <w:p>
      <w:pPr>
        <w:keepNext w:val="0"/>
        <w:keepLines w:val="0"/>
        <w:pageBreakBefore w:val="0"/>
        <w:tabs>
          <w:tab w:val="left" w:pos="4018"/>
        </w:tabs>
        <w:kinsoku/>
        <w:wordWrap/>
        <w:overflowPunct/>
        <w:topLinePunct w:val="0"/>
        <w:autoSpaceDE/>
        <w:autoSpaceDN/>
        <w:bidi w:val="0"/>
        <w:snapToGrid w:val="0"/>
        <w:spacing w:line="500" w:lineRule="exact"/>
        <w:ind w:firstLine="470" w:firstLineChars="196"/>
        <w:jc w:val="left"/>
        <w:textAlignment w:val="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w:t>
      </w:r>
      <w:r>
        <w:rPr>
          <w:rFonts w:hint="eastAsia" w:ascii="宋体" w:hAnsi="宋体" w:eastAsia="宋体" w:cs="宋体"/>
          <w:sz w:val="24"/>
          <w:szCs w:val="24"/>
        </w:rPr>
        <w:t>投标人认为与评分有关的需要提供的其他资料</w:t>
      </w:r>
      <w:r>
        <w:rPr>
          <w:rFonts w:hint="eastAsia" w:ascii="宋体" w:hAnsi="宋体" w:eastAsia="宋体" w:cs="宋体"/>
          <w:color w:val="FF0000"/>
          <w:sz w:val="24"/>
          <w:szCs w:val="24"/>
        </w:rPr>
        <w:t>。</w:t>
      </w:r>
    </w:p>
    <w:p>
      <w:pPr>
        <w:snapToGrid w:val="0"/>
        <w:spacing w:before="50" w:afterLines="50" w:line="360" w:lineRule="auto"/>
        <w:jc w:val="left"/>
        <w:rPr>
          <w:rFonts w:hint="eastAsia" w:ascii="宋体" w:hAnsi="宋体" w:cs="宋体"/>
          <w:b/>
          <w:bCs/>
          <w:sz w:val="24"/>
        </w:rPr>
      </w:pPr>
    </w:p>
    <w:p>
      <w:pPr>
        <w:snapToGrid w:val="0"/>
        <w:spacing w:before="50" w:afterLines="50" w:line="360" w:lineRule="auto"/>
        <w:jc w:val="left"/>
        <w:rPr>
          <w:rFonts w:hint="eastAsia" w:ascii="宋体" w:hAnsi="宋体" w:cs="宋体"/>
          <w:b/>
          <w:bCs/>
          <w:sz w:val="24"/>
        </w:rPr>
      </w:pPr>
    </w:p>
    <w:p>
      <w:pPr>
        <w:snapToGrid w:val="0"/>
        <w:spacing w:before="50" w:afterLines="50" w:line="360" w:lineRule="auto"/>
        <w:jc w:val="left"/>
        <w:rPr>
          <w:rFonts w:hint="eastAsia" w:ascii="宋体" w:hAnsi="宋体" w:cs="宋体"/>
          <w:b/>
          <w:bCs/>
          <w:sz w:val="24"/>
        </w:rPr>
      </w:pPr>
    </w:p>
    <w:p>
      <w:pPr>
        <w:pStyle w:val="38"/>
        <w:rPr>
          <w:rFonts w:hint="eastAsia" w:ascii="宋体" w:hAnsi="宋体" w:cs="宋体"/>
          <w:b/>
          <w:bCs/>
          <w:sz w:val="24"/>
        </w:rPr>
      </w:pPr>
    </w:p>
    <w:p>
      <w:pPr>
        <w:pStyle w:val="38"/>
        <w:rPr>
          <w:rFonts w:hint="eastAsia" w:ascii="宋体" w:hAnsi="宋体" w:cs="宋体"/>
          <w:b/>
          <w:bCs/>
          <w:sz w:val="24"/>
        </w:rPr>
      </w:pPr>
    </w:p>
    <w:p>
      <w:pPr>
        <w:pStyle w:val="38"/>
        <w:rPr>
          <w:rFonts w:hint="eastAsia" w:ascii="宋体" w:hAnsi="宋体" w:cs="宋体"/>
          <w:b/>
          <w:bCs/>
          <w:sz w:val="24"/>
        </w:rPr>
      </w:pPr>
    </w:p>
    <w:p>
      <w:pPr>
        <w:pStyle w:val="38"/>
        <w:rPr>
          <w:rFonts w:hint="eastAsia" w:ascii="宋体" w:hAnsi="宋体" w:cs="宋体"/>
          <w:b/>
          <w:bCs/>
          <w:sz w:val="24"/>
        </w:rPr>
      </w:pPr>
    </w:p>
    <w:p>
      <w:pPr>
        <w:snapToGrid w:val="0"/>
        <w:spacing w:before="50" w:afterLines="50" w:line="360" w:lineRule="auto"/>
        <w:jc w:val="left"/>
        <w:rPr>
          <w:rFonts w:hint="eastAsia" w:ascii="宋体" w:hAnsi="宋体" w:cs="宋体"/>
          <w:b/>
          <w:bCs/>
          <w:sz w:val="24"/>
        </w:rPr>
      </w:pPr>
    </w:p>
    <w:p>
      <w:pPr>
        <w:snapToGrid w:val="0"/>
        <w:spacing w:before="50" w:afterLines="50" w:line="360" w:lineRule="auto"/>
        <w:jc w:val="left"/>
        <w:rPr>
          <w:rFonts w:hint="eastAsia" w:ascii="宋体" w:hAnsi="宋体" w:cs="宋体"/>
          <w:b/>
          <w:bCs/>
          <w:sz w:val="24"/>
        </w:rPr>
      </w:pPr>
    </w:p>
    <w:p>
      <w:pPr>
        <w:snapToGrid w:val="0"/>
        <w:spacing w:before="50" w:afterLines="50" w:line="360" w:lineRule="auto"/>
        <w:jc w:val="left"/>
        <w:rPr>
          <w:rFonts w:hint="eastAsia" w:ascii="宋体" w:hAnsi="宋体" w:cs="宋体"/>
          <w:b/>
          <w:bCs/>
          <w:sz w:val="24"/>
        </w:rPr>
      </w:pPr>
    </w:p>
    <w:p>
      <w:pPr>
        <w:rPr>
          <w:rFonts w:hint="eastAsia" w:ascii="仿宋" w:hAnsi="仿宋" w:eastAsia="仿宋" w:cs="仿宋"/>
          <w:b/>
          <w:bCs/>
          <w:sz w:val="24"/>
        </w:rPr>
      </w:pPr>
      <w:r>
        <w:rPr>
          <w:rFonts w:hint="eastAsia" w:ascii="仿宋" w:hAnsi="仿宋" w:eastAsia="仿宋" w:cs="仿宋"/>
          <w:b/>
          <w:bCs/>
          <w:sz w:val="24"/>
        </w:rPr>
        <w:br w:type="page"/>
      </w:r>
    </w:p>
    <w:p>
      <w:pPr>
        <w:snapToGrid w:val="0"/>
        <w:spacing w:before="50" w:afterLines="50" w:line="360" w:lineRule="auto"/>
        <w:jc w:val="center"/>
        <w:rPr>
          <w:rFonts w:hint="eastAsia" w:ascii="宋体" w:hAnsi="宋体" w:eastAsia="宋体" w:cs="宋体"/>
          <w:b/>
          <w:color w:val="000000"/>
          <w:sz w:val="24"/>
        </w:rPr>
      </w:pPr>
      <w:r>
        <w:rPr>
          <w:rFonts w:hint="eastAsia" w:ascii="宋体" w:hAnsi="宋体" w:eastAsia="宋体" w:cs="宋体"/>
          <w:b/>
          <w:bCs/>
          <w:sz w:val="24"/>
        </w:rPr>
        <w:t>评分索引表</w:t>
      </w:r>
    </w:p>
    <w:tbl>
      <w:tblPr>
        <w:tblStyle w:val="2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705"/>
        <w:gridCol w:w="2689"/>
        <w:gridCol w:w="166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widowControl/>
              <w:spacing w:after="120" w:line="360" w:lineRule="auto"/>
              <w:ind w:left="-854" w:firstLine="854"/>
              <w:jc w:val="center"/>
              <w:rPr>
                <w:rFonts w:hint="eastAsia" w:ascii="宋体" w:hAnsi="宋体" w:eastAsia="宋体" w:cs="宋体"/>
                <w:b/>
                <w:bCs/>
                <w:sz w:val="24"/>
                <w:szCs w:val="24"/>
              </w:rPr>
            </w:pPr>
            <w:r>
              <w:rPr>
                <w:rFonts w:hint="eastAsia" w:ascii="宋体" w:hAnsi="宋体" w:eastAsia="宋体" w:cs="宋体"/>
                <w:kern w:val="0"/>
                <w:sz w:val="24"/>
                <w:szCs w:val="24"/>
              </w:rPr>
              <w:t>序号</w:t>
            </w:r>
          </w:p>
        </w:tc>
        <w:tc>
          <w:tcPr>
            <w:tcW w:w="1705" w:type="dxa"/>
            <w:noWrap w:val="0"/>
            <w:vAlign w:val="center"/>
          </w:tcPr>
          <w:p>
            <w:pPr>
              <w:widowControl/>
              <w:spacing w:after="120" w:line="360" w:lineRule="auto"/>
              <w:jc w:val="center"/>
              <w:rPr>
                <w:rFonts w:hint="eastAsia" w:ascii="宋体" w:hAnsi="宋体" w:eastAsia="宋体" w:cs="宋体"/>
                <w:b/>
                <w:bCs/>
                <w:sz w:val="24"/>
                <w:szCs w:val="24"/>
              </w:rPr>
            </w:pPr>
            <w:r>
              <w:rPr>
                <w:rFonts w:hint="eastAsia" w:ascii="宋体" w:hAnsi="宋体" w:eastAsia="宋体" w:cs="宋体"/>
                <w:kern w:val="0"/>
                <w:sz w:val="24"/>
                <w:szCs w:val="24"/>
              </w:rPr>
              <w:t>评分内容</w:t>
            </w:r>
          </w:p>
        </w:tc>
        <w:tc>
          <w:tcPr>
            <w:tcW w:w="2689" w:type="dxa"/>
            <w:noWrap w:val="0"/>
            <w:vAlign w:val="center"/>
          </w:tcPr>
          <w:p>
            <w:pPr>
              <w:spacing w:after="120" w:line="360" w:lineRule="auto"/>
              <w:jc w:val="center"/>
              <w:rPr>
                <w:rFonts w:hint="eastAsia" w:ascii="宋体" w:hAnsi="宋体" w:eastAsia="宋体" w:cs="宋体"/>
                <w:b/>
                <w:bCs/>
                <w:sz w:val="24"/>
                <w:szCs w:val="24"/>
              </w:rPr>
            </w:pPr>
            <w:r>
              <w:rPr>
                <w:rFonts w:hint="eastAsia" w:ascii="宋体" w:hAnsi="宋体" w:eastAsia="宋体" w:cs="宋体"/>
                <w:kern w:val="0"/>
                <w:sz w:val="24"/>
                <w:szCs w:val="24"/>
              </w:rPr>
              <w:t>评分方法</w:t>
            </w:r>
          </w:p>
        </w:tc>
        <w:tc>
          <w:tcPr>
            <w:tcW w:w="1665" w:type="dxa"/>
            <w:noWrap w:val="0"/>
            <w:vAlign w:val="center"/>
          </w:tcPr>
          <w:p>
            <w:pPr>
              <w:widowControl/>
              <w:spacing w:after="120" w:line="360" w:lineRule="auto"/>
              <w:jc w:val="center"/>
              <w:rPr>
                <w:rFonts w:hint="eastAsia" w:ascii="宋体" w:hAnsi="宋体" w:eastAsia="宋体" w:cs="宋体"/>
                <w:b/>
                <w:bCs/>
                <w:sz w:val="24"/>
                <w:szCs w:val="24"/>
              </w:rPr>
            </w:pPr>
            <w:r>
              <w:rPr>
                <w:rFonts w:hint="eastAsia" w:ascii="宋体" w:hAnsi="宋体" w:eastAsia="宋体" w:cs="宋体"/>
                <w:kern w:val="0"/>
                <w:sz w:val="24"/>
                <w:szCs w:val="24"/>
              </w:rPr>
              <w:t>分值</w:t>
            </w:r>
          </w:p>
        </w:tc>
        <w:tc>
          <w:tcPr>
            <w:tcW w:w="1395" w:type="dxa"/>
            <w:noWrap w:val="0"/>
            <w:vAlign w:val="center"/>
          </w:tcPr>
          <w:p>
            <w:pPr>
              <w:widowControl/>
              <w:spacing w:after="120" w:line="360" w:lineRule="auto"/>
              <w:jc w:val="center"/>
              <w:rPr>
                <w:rFonts w:hint="eastAsia" w:ascii="宋体" w:hAnsi="宋体" w:eastAsia="宋体" w:cs="宋体"/>
                <w:b/>
                <w:bCs/>
                <w:sz w:val="24"/>
                <w:szCs w:val="24"/>
              </w:rPr>
            </w:pPr>
            <w:r>
              <w:rPr>
                <w:rFonts w:hint="eastAsia" w:ascii="宋体" w:hAnsi="宋体" w:eastAsia="宋体" w:cs="宋体"/>
                <w:kern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widowControl/>
              <w:spacing w:after="120" w:line="360" w:lineRule="auto"/>
              <w:ind w:left="-854" w:firstLine="854"/>
              <w:jc w:val="center"/>
              <w:rPr>
                <w:rFonts w:hint="eastAsia" w:ascii="宋体" w:hAnsi="宋体" w:eastAsia="宋体" w:cs="宋体"/>
                <w:kern w:val="0"/>
                <w:sz w:val="24"/>
                <w:szCs w:val="24"/>
              </w:rPr>
            </w:pPr>
          </w:p>
        </w:tc>
        <w:tc>
          <w:tcPr>
            <w:tcW w:w="1705" w:type="dxa"/>
            <w:noWrap w:val="0"/>
            <w:vAlign w:val="center"/>
          </w:tcPr>
          <w:p>
            <w:pPr>
              <w:widowControl/>
              <w:spacing w:after="120" w:line="360" w:lineRule="auto"/>
              <w:jc w:val="center"/>
              <w:rPr>
                <w:rFonts w:hint="eastAsia" w:ascii="宋体" w:hAnsi="宋体" w:eastAsia="宋体" w:cs="宋体"/>
                <w:kern w:val="0"/>
                <w:sz w:val="24"/>
                <w:szCs w:val="24"/>
              </w:rPr>
            </w:pPr>
          </w:p>
        </w:tc>
        <w:tc>
          <w:tcPr>
            <w:tcW w:w="2689" w:type="dxa"/>
            <w:noWrap w:val="0"/>
            <w:vAlign w:val="center"/>
          </w:tcPr>
          <w:p>
            <w:pPr>
              <w:spacing w:after="120" w:line="360" w:lineRule="auto"/>
              <w:jc w:val="center"/>
              <w:rPr>
                <w:rFonts w:hint="eastAsia" w:ascii="宋体" w:hAnsi="宋体" w:eastAsia="宋体" w:cs="宋体"/>
                <w:kern w:val="0"/>
                <w:sz w:val="24"/>
                <w:szCs w:val="24"/>
              </w:rPr>
            </w:pPr>
          </w:p>
        </w:tc>
        <w:tc>
          <w:tcPr>
            <w:tcW w:w="1665" w:type="dxa"/>
            <w:noWrap w:val="0"/>
            <w:vAlign w:val="center"/>
          </w:tcPr>
          <w:p>
            <w:pPr>
              <w:widowControl/>
              <w:spacing w:after="120" w:line="360" w:lineRule="auto"/>
              <w:jc w:val="center"/>
              <w:rPr>
                <w:rFonts w:hint="eastAsia" w:ascii="宋体" w:hAnsi="宋体" w:eastAsia="宋体" w:cs="宋体"/>
                <w:kern w:val="0"/>
                <w:sz w:val="24"/>
                <w:szCs w:val="24"/>
              </w:rPr>
            </w:pPr>
          </w:p>
        </w:tc>
        <w:tc>
          <w:tcPr>
            <w:tcW w:w="1395" w:type="dxa"/>
            <w:noWrap w:val="0"/>
            <w:vAlign w:val="center"/>
          </w:tcPr>
          <w:p>
            <w:pPr>
              <w:widowControl/>
              <w:spacing w:after="120"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widowControl/>
              <w:spacing w:after="120" w:line="360" w:lineRule="auto"/>
              <w:ind w:left="-854" w:firstLine="854"/>
              <w:jc w:val="center"/>
              <w:rPr>
                <w:rFonts w:hint="eastAsia" w:ascii="宋体" w:hAnsi="宋体" w:eastAsia="宋体" w:cs="宋体"/>
                <w:kern w:val="0"/>
                <w:sz w:val="24"/>
                <w:szCs w:val="24"/>
              </w:rPr>
            </w:pPr>
          </w:p>
        </w:tc>
        <w:tc>
          <w:tcPr>
            <w:tcW w:w="1705" w:type="dxa"/>
            <w:noWrap w:val="0"/>
            <w:vAlign w:val="center"/>
          </w:tcPr>
          <w:p>
            <w:pPr>
              <w:widowControl/>
              <w:spacing w:after="120" w:line="360" w:lineRule="auto"/>
              <w:jc w:val="center"/>
              <w:rPr>
                <w:rFonts w:hint="eastAsia" w:ascii="宋体" w:hAnsi="宋体" w:eastAsia="宋体" w:cs="宋体"/>
                <w:kern w:val="0"/>
                <w:sz w:val="24"/>
                <w:szCs w:val="24"/>
              </w:rPr>
            </w:pPr>
          </w:p>
        </w:tc>
        <w:tc>
          <w:tcPr>
            <w:tcW w:w="2689" w:type="dxa"/>
            <w:noWrap w:val="0"/>
            <w:vAlign w:val="center"/>
          </w:tcPr>
          <w:p>
            <w:pPr>
              <w:spacing w:after="120" w:line="360" w:lineRule="auto"/>
              <w:jc w:val="center"/>
              <w:rPr>
                <w:rFonts w:hint="eastAsia" w:ascii="宋体" w:hAnsi="宋体" w:eastAsia="宋体" w:cs="宋体"/>
                <w:kern w:val="0"/>
                <w:sz w:val="24"/>
                <w:szCs w:val="24"/>
              </w:rPr>
            </w:pPr>
          </w:p>
        </w:tc>
        <w:tc>
          <w:tcPr>
            <w:tcW w:w="1665" w:type="dxa"/>
            <w:noWrap w:val="0"/>
            <w:vAlign w:val="center"/>
          </w:tcPr>
          <w:p>
            <w:pPr>
              <w:widowControl/>
              <w:spacing w:after="120" w:line="360" w:lineRule="auto"/>
              <w:jc w:val="center"/>
              <w:rPr>
                <w:rFonts w:hint="eastAsia" w:ascii="宋体" w:hAnsi="宋体" w:eastAsia="宋体" w:cs="宋体"/>
                <w:kern w:val="0"/>
                <w:sz w:val="24"/>
                <w:szCs w:val="24"/>
              </w:rPr>
            </w:pPr>
          </w:p>
        </w:tc>
        <w:tc>
          <w:tcPr>
            <w:tcW w:w="1395" w:type="dxa"/>
            <w:noWrap w:val="0"/>
            <w:vAlign w:val="center"/>
          </w:tcPr>
          <w:p>
            <w:pPr>
              <w:widowControl/>
              <w:spacing w:after="120"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widowControl/>
              <w:spacing w:after="120" w:line="360" w:lineRule="auto"/>
              <w:ind w:left="-854" w:firstLine="854"/>
              <w:jc w:val="center"/>
              <w:rPr>
                <w:rFonts w:hint="eastAsia" w:ascii="宋体" w:hAnsi="宋体" w:eastAsia="宋体" w:cs="宋体"/>
                <w:kern w:val="0"/>
                <w:sz w:val="24"/>
                <w:szCs w:val="24"/>
              </w:rPr>
            </w:pPr>
          </w:p>
        </w:tc>
        <w:tc>
          <w:tcPr>
            <w:tcW w:w="1705" w:type="dxa"/>
            <w:noWrap w:val="0"/>
            <w:vAlign w:val="center"/>
          </w:tcPr>
          <w:p>
            <w:pPr>
              <w:widowControl/>
              <w:spacing w:after="120" w:line="360" w:lineRule="auto"/>
              <w:jc w:val="center"/>
              <w:rPr>
                <w:rFonts w:hint="eastAsia" w:ascii="宋体" w:hAnsi="宋体" w:eastAsia="宋体" w:cs="宋体"/>
                <w:kern w:val="0"/>
                <w:sz w:val="24"/>
                <w:szCs w:val="24"/>
              </w:rPr>
            </w:pPr>
          </w:p>
        </w:tc>
        <w:tc>
          <w:tcPr>
            <w:tcW w:w="2689" w:type="dxa"/>
            <w:noWrap w:val="0"/>
            <w:vAlign w:val="center"/>
          </w:tcPr>
          <w:p>
            <w:pPr>
              <w:spacing w:after="120" w:line="360" w:lineRule="auto"/>
              <w:jc w:val="center"/>
              <w:rPr>
                <w:rFonts w:hint="eastAsia" w:ascii="宋体" w:hAnsi="宋体" w:eastAsia="宋体" w:cs="宋体"/>
                <w:kern w:val="0"/>
                <w:sz w:val="24"/>
                <w:szCs w:val="24"/>
              </w:rPr>
            </w:pPr>
          </w:p>
        </w:tc>
        <w:tc>
          <w:tcPr>
            <w:tcW w:w="1665" w:type="dxa"/>
            <w:noWrap w:val="0"/>
            <w:vAlign w:val="center"/>
          </w:tcPr>
          <w:p>
            <w:pPr>
              <w:widowControl/>
              <w:spacing w:after="120" w:line="360" w:lineRule="auto"/>
              <w:jc w:val="center"/>
              <w:rPr>
                <w:rFonts w:hint="eastAsia" w:ascii="宋体" w:hAnsi="宋体" w:eastAsia="宋体" w:cs="宋体"/>
                <w:kern w:val="0"/>
                <w:sz w:val="24"/>
                <w:szCs w:val="24"/>
              </w:rPr>
            </w:pPr>
          </w:p>
        </w:tc>
        <w:tc>
          <w:tcPr>
            <w:tcW w:w="1395" w:type="dxa"/>
            <w:noWrap w:val="0"/>
            <w:vAlign w:val="center"/>
          </w:tcPr>
          <w:p>
            <w:pPr>
              <w:widowControl/>
              <w:spacing w:after="120"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widowControl/>
              <w:spacing w:after="120" w:line="360" w:lineRule="auto"/>
              <w:ind w:left="-854" w:firstLine="854"/>
              <w:jc w:val="center"/>
              <w:rPr>
                <w:rFonts w:hint="eastAsia" w:ascii="宋体" w:hAnsi="宋体" w:eastAsia="宋体" w:cs="宋体"/>
                <w:kern w:val="0"/>
                <w:sz w:val="24"/>
                <w:szCs w:val="24"/>
              </w:rPr>
            </w:pPr>
          </w:p>
        </w:tc>
        <w:tc>
          <w:tcPr>
            <w:tcW w:w="1705" w:type="dxa"/>
            <w:noWrap w:val="0"/>
            <w:vAlign w:val="center"/>
          </w:tcPr>
          <w:p>
            <w:pPr>
              <w:widowControl/>
              <w:spacing w:after="120" w:line="360" w:lineRule="auto"/>
              <w:jc w:val="center"/>
              <w:rPr>
                <w:rFonts w:hint="eastAsia" w:ascii="宋体" w:hAnsi="宋体" w:eastAsia="宋体" w:cs="宋体"/>
                <w:kern w:val="0"/>
                <w:sz w:val="24"/>
                <w:szCs w:val="24"/>
              </w:rPr>
            </w:pPr>
          </w:p>
        </w:tc>
        <w:tc>
          <w:tcPr>
            <w:tcW w:w="2689" w:type="dxa"/>
            <w:noWrap w:val="0"/>
            <w:vAlign w:val="center"/>
          </w:tcPr>
          <w:p>
            <w:pPr>
              <w:spacing w:after="120" w:line="360" w:lineRule="auto"/>
              <w:jc w:val="center"/>
              <w:rPr>
                <w:rFonts w:hint="eastAsia" w:ascii="宋体" w:hAnsi="宋体" w:eastAsia="宋体" w:cs="宋体"/>
                <w:kern w:val="0"/>
                <w:sz w:val="24"/>
                <w:szCs w:val="24"/>
              </w:rPr>
            </w:pPr>
          </w:p>
        </w:tc>
        <w:tc>
          <w:tcPr>
            <w:tcW w:w="1665" w:type="dxa"/>
            <w:noWrap w:val="0"/>
            <w:vAlign w:val="center"/>
          </w:tcPr>
          <w:p>
            <w:pPr>
              <w:widowControl/>
              <w:spacing w:after="120" w:line="360" w:lineRule="auto"/>
              <w:jc w:val="center"/>
              <w:rPr>
                <w:rFonts w:hint="eastAsia" w:ascii="宋体" w:hAnsi="宋体" w:eastAsia="宋体" w:cs="宋体"/>
                <w:kern w:val="0"/>
                <w:sz w:val="24"/>
                <w:szCs w:val="24"/>
              </w:rPr>
            </w:pPr>
          </w:p>
        </w:tc>
        <w:tc>
          <w:tcPr>
            <w:tcW w:w="1395" w:type="dxa"/>
            <w:noWrap w:val="0"/>
            <w:vAlign w:val="center"/>
          </w:tcPr>
          <w:p>
            <w:pPr>
              <w:widowControl/>
              <w:spacing w:after="120" w:line="360" w:lineRule="auto"/>
              <w:jc w:val="center"/>
              <w:rPr>
                <w:rFonts w:hint="eastAsia" w:ascii="宋体" w:hAnsi="宋体" w:eastAsia="宋体" w:cs="宋体"/>
                <w:kern w:val="0"/>
                <w:sz w:val="24"/>
                <w:szCs w:val="24"/>
              </w:rPr>
            </w:pPr>
          </w:p>
        </w:tc>
      </w:tr>
    </w:tbl>
    <w:p>
      <w:pPr>
        <w:snapToGrid w:val="0"/>
        <w:spacing w:line="360" w:lineRule="auto"/>
        <w:ind w:firstLine="480" w:firstLineChars="200"/>
        <w:jc w:val="left"/>
        <w:rPr>
          <w:rFonts w:hint="eastAsia" w:ascii="仿宋" w:hAnsi="仿宋" w:eastAsia="仿宋" w:cs="仿宋"/>
          <w:b/>
          <w:bCs/>
          <w:sz w:val="24"/>
        </w:rPr>
      </w:pPr>
    </w:p>
    <w:p>
      <w:pPr>
        <w:widowControl/>
        <w:spacing w:line="360" w:lineRule="auto"/>
        <w:rPr>
          <w:rFonts w:hint="eastAsia" w:ascii="宋体" w:hAnsi="宋体" w:eastAsia="宋体" w:cs="宋体"/>
          <w:kern w:val="0"/>
          <w:sz w:val="24"/>
        </w:rPr>
      </w:pPr>
      <w:r>
        <w:rPr>
          <w:rFonts w:hint="eastAsia" w:ascii="宋体" w:hAnsi="宋体" w:eastAsia="宋体" w:cs="宋体"/>
          <w:kern w:val="0"/>
          <w:sz w:val="24"/>
        </w:rPr>
        <w:t>注：本表可根据实际自行扩展。</w:t>
      </w: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snapToGrid w:val="0"/>
        <w:spacing w:before="50" w:afterLines="50" w:line="360" w:lineRule="auto"/>
        <w:ind w:firstLine="480" w:firstLineChars="200"/>
        <w:jc w:val="left"/>
        <w:rPr>
          <w:rFonts w:hint="eastAsia" w:ascii="宋体" w:hAnsi="宋体" w:cs="宋体"/>
          <w:b/>
          <w:bCs/>
          <w:sz w:val="24"/>
        </w:rPr>
      </w:pPr>
    </w:p>
    <w:p>
      <w:pPr>
        <w:pStyle w:val="3"/>
        <w:outlineLvl w:val="9"/>
        <w:rPr>
          <w:rFonts w:hint="eastAsia" w:ascii="宋体" w:hAnsi="宋体" w:cs="宋体"/>
          <w:bCs/>
          <w:sz w:val="24"/>
        </w:rPr>
      </w:pPr>
    </w:p>
    <w:p>
      <w:pPr>
        <w:rPr>
          <w:rFonts w:hint="eastAsia" w:ascii="宋体" w:hAnsi="宋体" w:cs="宋体"/>
          <w:b/>
          <w:bCs/>
          <w:sz w:val="24"/>
        </w:rPr>
      </w:pPr>
    </w:p>
    <w:p>
      <w:pPr>
        <w:rPr>
          <w:rFonts w:hint="eastAsia"/>
          <w:b/>
          <w:color w:val="000000"/>
          <w:sz w:val="24"/>
        </w:rPr>
      </w:pPr>
    </w:p>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投 标 声 明 书</w:t>
      </w:r>
    </w:p>
    <w:p>
      <w:pPr>
        <w:spacing w:line="360" w:lineRule="auto"/>
        <w:rPr>
          <w:rFonts w:hint="eastAsia" w:ascii="宋体" w:hAnsi="宋体" w:eastAsia="宋体" w:cs="宋体"/>
          <w:kern w:val="0"/>
          <w:sz w:val="24"/>
          <w:u w:val="single"/>
        </w:rPr>
      </w:pPr>
      <w:r>
        <w:rPr>
          <w:rFonts w:hint="eastAsia" w:ascii="宋体" w:hAnsi="宋体" w:eastAsia="宋体" w:cs="宋体"/>
          <w:sz w:val="24"/>
        </w:rPr>
        <w:t>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（招标人名称）</w:t>
      </w:r>
      <w:r>
        <w:rPr>
          <w:rFonts w:hint="eastAsia" w:ascii="宋体" w:hAnsi="宋体" w:eastAsia="宋体" w:cs="宋体"/>
          <w:kern w:val="1"/>
          <w:sz w:val="24"/>
        </w:rPr>
        <w:t>：</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u w:val="single"/>
        </w:rPr>
        <w:t>（投标人名称）</w:t>
      </w:r>
      <w:r>
        <w:rPr>
          <w:rFonts w:hint="eastAsia" w:ascii="宋体" w:hAnsi="宋体" w:eastAsia="宋体" w:cs="宋体"/>
          <w:sz w:val="24"/>
        </w:rPr>
        <w:t>系中华人民共和国合法企业，经营地址</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的法定代表人，我方愿意参加贵方组织的</w:t>
      </w:r>
      <w:r>
        <w:rPr>
          <w:rFonts w:hint="eastAsia" w:ascii="宋体" w:hAnsi="宋体" w:eastAsia="宋体" w:cs="宋体"/>
          <w:sz w:val="24"/>
          <w:u w:val="single"/>
        </w:rPr>
        <w:t>（招标项目名称）（编号为   ）</w:t>
      </w:r>
      <w:r>
        <w:rPr>
          <w:rFonts w:hint="eastAsia" w:ascii="宋体" w:hAnsi="宋体" w:eastAsia="宋体" w:cs="宋体"/>
          <w:sz w:val="24"/>
        </w:rPr>
        <w:t>的投标，为此，我方就本次投标有关事项郑重声明如下：</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1.投标方已详细审查全部招标文件，同意招标文件的各项要求。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3.若中标，我方将按招标文件规定履行合同责任和义务。</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5.投标书自开标日起有效期为</w:t>
      </w:r>
      <w:r>
        <w:rPr>
          <w:rFonts w:hint="eastAsia" w:ascii="宋体" w:hAnsi="宋体" w:eastAsia="宋体" w:cs="宋体"/>
          <w:sz w:val="24"/>
          <w:u w:val="single"/>
        </w:rPr>
        <w:t xml:space="preserve">     </w:t>
      </w:r>
      <w:r>
        <w:rPr>
          <w:rFonts w:hint="eastAsia" w:ascii="宋体" w:hAnsi="宋体" w:eastAsia="宋体" w:cs="宋体"/>
          <w:sz w:val="24"/>
        </w:rPr>
        <w:t>个日历日。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6.以上事项如有虚假或隐瞒，我方愿意承担一切后果，并不再寻求任何旨在减轻或免除法律责任的辩解。</w:t>
      </w:r>
    </w:p>
    <w:p>
      <w:pPr>
        <w:pStyle w:val="14"/>
        <w:tabs>
          <w:tab w:val="left" w:pos="939"/>
        </w:tabs>
        <w:snapToGrid w:val="0"/>
        <w:spacing w:line="360" w:lineRule="auto"/>
        <w:ind w:left="480" w:leftChars="0" w:hanging="480"/>
        <w:rPr>
          <w:rFonts w:hint="eastAsia" w:ascii="宋体" w:hAnsi="宋体" w:eastAsia="宋体" w:cs="宋体"/>
          <w:sz w:val="24"/>
        </w:rPr>
      </w:pPr>
    </w:p>
    <w:p>
      <w:pPr>
        <w:pStyle w:val="14"/>
        <w:tabs>
          <w:tab w:val="left" w:pos="939"/>
        </w:tabs>
        <w:snapToGrid w:val="0"/>
        <w:spacing w:line="360" w:lineRule="auto"/>
        <w:ind w:left="480" w:leftChars="0" w:hanging="480"/>
        <w:rPr>
          <w:rFonts w:hint="eastAsia" w:ascii="宋体" w:hAnsi="宋体" w:eastAsia="宋体" w:cs="宋体"/>
          <w:sz w:val="24"/>
        </w:rPr>
      </w:pPr>
    </w:p>
    <w:p>
      <w:pPr>
        <w:snapToGrid w:val="0"/>
        <w:spacing w:line="360" w:lineRule="auto"/>
        <w:rPr>
          <w:rFonts w:hint="eastAsia" w:ascii="宋体" w:hAnsi="宋体" w:eastAsia="宋体" w:cs="宋体"/>
          <w:sz w:val="24"/>
          <w:u w:val="single"/>
        </w:rPr>
      </w:pPr>
      <w:r>
        <w:rPr>
          <w:rFonts w:hint="eastAsia" w:ascii="宋体" w:hAnsi="宋体" w:eastAsia="宋体" w:cs="宋体"/>
          <w:sz w:val="24"/>
        </w:rPr>
        <w:t>法定代表人签字：</w:t>
      </w:r>
      <w:r>
        <w:rPr>
          <w:rFonts w:hint="eastAsia" w:ascii="宋体" w:hAnsi="宋体" w:eastAsia="宋体" w:cs="宋体"/>
          <w:sz w:val="24"/>
          <w:u w:val="single"/>
        </w:rPr>
        <w:t xml:space="preserve">              </w:t>
      </w:r>
      <w:r>
        <w:rPr>
          <w:rFonts w:hint="eastAsia" w:ascii="宋体" w:hAnsi="宋体" w:eastAsia="宋体" w:cs="宋体"/>
          <w:sz w:val="24"/>
        </w:rPr>
        <w:t xml:space="preserve">          日 期：</w:t>
      </w:r>
      <w:r>
        <w:rPr>
          <w:rFonts w:hint="eastAsia" w:ascii="宋体" w:hAnsi="宋体" w:eastAsia="宋体" w:cs="宋体"/>
          <w:sz w:val="24"/>
          <w:u w:val="single"/>
        </w:rPr>
        <w:t xml:space="preserve">          </w:t>
      </w:r>
    </w:p>
    <w:p>
      <w:pPr>
        <w:snapToGrid w:val="0"/>
        <w:spacing w:line="360" w:lineRule="auto"/>
        <w:ind w:firstLine="200"/>
        <w:rPr>
          <w:rFonts w:hint="eastAsia" w:ascii="宋体" w:hAnsi="宋体" w:eastAsia="宋体" w:cs="宋体"/>
          <w:sz w:val="24"/>
          <w:u w:val="single"/>
        </w:rPr>
      </w:pPr>
    </w:p>
    <w:p>
      <w:pPr>
        <w:snapToGrid w:val="0"/>
        <w:spacing w:line="360" w:lineRule="auto"/>
        <w:ind w:firstLine="120" w:firstLineChars="50"/>
        <w:rPr>
          <w:rFonts w:hint="eastAsia" w:ascii="宋体" w:hAnsi="宋体" w:eastAsia="宋体" w:cs="宋体"/>
          <w:sz w:val="24"/>
        </w:rPr>
      </w:pPr>
      <w:r>
        <w:rPr>
          <w:rFonts w:hint="eastAsia" w:ascii="宋体" w:hAnsi="宋体" w:eastAsia="宋体" w:cs="宋体"/>
          <w:sz w:val="24"/>
        </w:rPr>
        <w:t>单位全称（公章）：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tabs>
          <w:tab w:val="left" w:pos="606"/>
        </w:tabs>
        <w:spacing w:line="360" w:lineRule="auto"/>
        <w:rPr>
          <w:rFonts w:hint="eastAsia" w:ascii="宋体" w:hAnsi="宋体" w:eastAsia="宋体" w:cs="宋体"/>
          <w:sz w:val="24"/>
        </w:rPr>
      </w:pPr>
    </w:p>
    <w:p>
      <w:pPr>
        <w:tabs>
          <w:tab w:val="left" w:pos="606"/>
        </w:tabs>
        <w:spacing w:line="360" w:lineRule="auto"/>
        <w:rPr>
          <w:rFonts w:hint="eastAsia" w:ascii="宋体" w:hAnsi="宋体" w:eastAsia="宋体" w:cs="宋体"/>
          <w:sz w:val="24"/>
        </w:rPr>
      </w:pPr>
    </w:p>
    <w:p>
      <w:pPr>
        <w:snapToGrid w:val="0"/>
        <w:spacing w:before="50" w:afterLines="50" w:line="360" w:lineRule="auto"/>
        <w:ind w:firstLine="480" w:firstLineChars="200"/>
        <w:jc w:val="left"/>
        <w:rPr>
          <w:rFonts w:hint="eastAsia" w:ascii="宋体" w:hAnsi="宋体" w:eastAsia="宋体" w:cs="宋体"/>
          <w:b/>
          <w:bCs/>
          <w:sz w:val="24"/>
        </w:rPr>
      </w:pPr>
    </w:p>
    <w:p>
      <w:pPr>
        <w:snapToGrid w:val="0"/>
        <w:spacing w:before="50" w:afterLines="50" w:line="360" w:lineRule="auto"/>
        <w:ind w:firstLine="480" w:firstLineChars="200"/>
        <w:jc w:val="left"/>
        <w:rPr>
          <w:rFonts w:hint="eastAsia" w:ascii="宋体" w:hAnsi="宋体" w:eastAsia="宋体" w:cs="宋体"/>
          <w:b/>
          <w:bCs/>
          <w:sz w:val="24"/>
        </w:rPr>
      </w:pPr>
    </w:p>
    <w:p>
      <w:pPr>
        <w:snapToGrid w:val="0"/>
        <w:spacing w:before="50" w:afterLines="50" w:line="360" w:lineRule="auto"/>
        <w:ind w:firstLine="480" w:firstLineChars="200"/>
        <w:jc w:val="left"/>
        <w:rPr>
          <w:rFonts w:hint="eastAsia" w:ascii="宋体" w:hAnsi="宋体" w:eastAsia="宋体" w:cs="宋体"/>
          <w:b/>
          <w:bCs/>
          <w:sz w:val="24"/>
        </w:rPr>
      </w:pPr>
    </w:p>
    <w:p>
      <w:pPr>
        <w:snapToGrid w:val="0"/>
        <w:spacing w:before="50" w:afterLines="50" w:line="360" w:lineRule="auto"/>
        <w:ind w:firstLine="480" w:firstLineChars="200"/>
        <w:jc w:val="left"/>
        <w:rPr>
          <w:rFonts w:hint="eastAsia" w:ascii="宋体" w:hAnsi="宋体" w:eastAsia="宋体" w:cs="宋体"/>
          <w:b/>
          <w:bCs/>
          <w:sz w:val="24"/>
        </w:rPr>
      </w:pPr>
    </w:p>
    <w:p>
      <w:pPr>
        <w:snapToGrid w:val="0"/>
        <w:spacing w:before="50" w:afterLines="50" w:line="360" w:lineRule="auto"/>
        <w:ind w:firstLine="480" w:firstLineChars="200"/>
        <w:jc w:val="left"/>
        <w:rPr>
          <w:rFonts w:hint="eastAsia" w:ascii="宋体" w:hAnsi="宋体" w:eastAsia="宋体" w:cs="宋体"/>
          <w:b/>
          <w:bCs/>
          <w:color w:val="000000"/>
          <w:sz w:val="24"/>
        </w:rPr>
      </w:pPr>
    </w:p>
    <w:p>
      <w:pPr>
        <w:snapToGrid w:val="0"/>
        <w:spacing w:before="50" w:afterLines="50" w:line="360" w:lineRule="auto"/>
        <w:jc w:val="left"/>
        <w:rPr>
          <w:rFonts w:hint="eastAsia" w:ascii="宋体" w:hAnsi="宋体" w:eastAsia="宋体" w:cs="宋体"/>
          <w:b/>
          <w:bCs/>
          <w:color w:val="000000"/>
          <w:sz w:val="24"/>
        </w:rPr>
      </w:pPr>
    </w:p>
    <w:p>
      <w:pPr>
        <w:snapToGrid w:val="0"/>
        <w:spacing w:line="360" w:lineRule="auto"/>
        <w:jc w:val="left"/>
        <w:rPr>
          <w:rFonts w:hint="eastAsia" w:ascii="宋体" w:hAnsi="宋体" w:eastAsia="宋体" w:cs="宋体"/>
          <w:b/>
          <w:bCs/>
          <w:color w:val="000000"/>
          <w:sz w:val="24"/>
        </w:rPr>
      </w:pPr>
    </w:p>
    <w:p>
      <w:pPr>
        <w:snapToGrid w:val="0"/>
        <w:spacing w:line="360" w:lineRule="auto"/>
        <w:jc w:val="center"/>
        <w:rPr>
          <w:rFonts w:hint="eastAsia" w:ascii="宋体" w:hAnsi="宋体" w:eastAsia="宋体" w:cs="宋体"/>
          <w:color w:val="000000"/>
          <w:sz w:val="24"/>
        </w:rPr>
      </w:pPr>
    </w:p>
    <w:p>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法定代表人授权委托书</w:t>
      </w:r>
    </w:p>
    <w:p>
      <w:pPr>
        <w:snapToGrid w:val="0"/>
        <w:spacing w:line="360" w:lineRule="auto"/>
        <w:rPr>
          <w:rFonts w:hint="eastAsia" w:ascii="宋体" w:hAnsi="宋体" w:eastAsia="宋体" w:cs="宋体"/>
          <w:b/>
          <w:bCs/>
          <w:color w:val="000000"/>
          <w:sz w:val="24"/>
        </w:rPr>
      </w:pPr>
      <w:r>
        <w:rPr>
          <w:rFonts w:hint="eastAsia" w:ascii="宋体" w:hAnsi="宋体" w:eastAsia="宋体" w:cs="宋体"/>
          <w:bCs/>
          <w:color w:val="000000"/>
          <w:sz w:val="24"/>
        </w:rPr>
        <w:t>致：</w:t>
      </w:r>
      <w:r>
        <w:rPr>
          <w:rFonts w:hint="eastAsia" w:ascii="宋体" w:hAnsi="宋体" w:eastAsia="宋体" w:cs="宋体"/>
          <w:bCs/>
          <w:color w:val="000000"/>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 xml:space="preserve"> </w:t>
      </w:r>
      <w:r>
        <w:rPr>
          <w:rFonts w:hint="eastAsia" w:ascii="宋体" w:hAnsi="宋体" w:eastAsia="宋体" w:cs="宋体"/>
          <w:color w:val="000000"/>
          <w:sz w:val="24"/>
        </w:rPr>
        <w:t>：</w:t>
      </w:r>
    </w:p>
    <w:p>
      <w:pPr>
        <w:snapToGrid w:val="0"/>
        <w:spacing w:line="360" w:lineRule="auto"/>
        <w:ind w:firstLine="720" w:firstLineChars="300"/>
        <w:rPr>
          <w:rFonts w:hint="eastAsia" w:ascii="宋体" w:hAnsi="宋体" w:eastAsia="宋体" w:cs="宋体"/>
          <w:color w:val="000000"/>
          <w:sz w:val="24"/>
          <w:u w:val="single"/>
        </w:rPr>
      </w:pPr>
      <w:r>
        <w:rPr>
          <w:rFonts w:hint="eastAsia" w:ascii="宋体" w:hAnsi="宋体" w:eastAsia="宋体" w:cs="宋体"/>
          <w:color w:val="000000"/>
          <w:sz w:val="24"/>
        </w:rPr>
        <w:t>我</w:t>
      </w:r>
      <w:r>
        <w:rPr>
          <w:rFonts w:hint="eastAsia" w:ascii="宋体" w:hAnsi="宋体" w:eastAsia="宋体" w:cs="宋体"/>
          <w:bCs/>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bCs/>
          <w:color w:val="000000"/>
          <w:sz w:val="24"/>
          <w:u w:val="single"/>
        </w:rPr>
        <w:t xml:space="preserve">                   </w:t>
      </w:r>
      <w:r>
        <w:rPr>
          <w:rFonts w:hint="eastAsia" w:ascii="宋体" w:hAnsi="宋体" w:eastAsia="宋体" w:cs="宋体"/>
          <w:color w:val="000000"/>
          <w:sz w:val="24"/>
        </w:rPr>
        <w:t xml:space="preserve">（投标人名称）的法定代表人，现授权委托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（姓名）以我方的名义参加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项目的投标活动，并代表我方全权办理针对上述项目的投标、开标、评标、签约等具体事务和签署相关文件。</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我方对被授权人的签名事项负全部责任。</w:t>
      </w:r>
    </w:p>
    <w:p>
      <w:pPr>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u w:val="single"/>
        </w:rPr>
        <w:t>在撤销授权的书面通知以前，本授权书一直有效。</w:t>
      </w:r>
      <w:r>
        <w:rPr>
          <w:rFonts w:hint="eastAsia" w:ascii="宋体" w:hAnsi="宋体" w:eastAsia="宋体" w:cs="宋体"/>
          <w:color w:val="000000"/>
          <w:sz w:val="24"/>
        </w:rPr>
        <w:t>被授权人在授权书有效期内签署的所有文件不因授权的撤销而失效。</w:t>
      </w:r>
    </w:p>
    <w:p>
      <w:pPr>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被授权人无转委托权，特此委托。</w:t>
      </w:r>
    </w:p>
    <w:p>
      <w:pPr>
        <w:snapToGrid w:val="0"/>
        <w:spacing w:line="360" w:lineRule="auto"/>
        <w:rPr>
          <w:rFonts w:hint="eastAsia" w:ascii="宋体" w:hAnsi="宋体" w:eastAsia="宋体" w:cs="宋体"/>
          <w:color w:val="000000"/>
          <w:sz w:val="24"/>
        </w:rPr>
      </w:pPr>
    </w:p>
    <w:p>
      <w:pPr>
        <w:snapToGrid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被授权人签名：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法定代表人签名：</w:t>
      </w:r>
      <w:r>
        <w:rPr>
          <w:rFonts w:hint="eastAsia" w:ascii="宋体" w:hAnsi="宋体" w:eastAsia="宋体" w:cs="宋体"/>
          <w:color w:val="000000"/>
          <w:sz w:val="24"/>
          <w:u w:val="single"/>
        </w:rPr>
        <w:t xml:space="preserve">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 xml:space="preserve">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被授权人身份证号码：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（附被授权人身份证正反双面复印件）</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投标人公章：</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p>
    <w:p>
      <w:pPr>
        <w:pStyle w:val="4"/>
        <w:tabs>
          <w:tab w:val="left" w:pos="358"/>
          <w:tab w:val="clear" w:pos="432"/>
        </w:tabs>
        <w:spacing w:before="0" w:after="0" w:line="360" w:lineRule="auto"/>
        <w:outlineLvl w:val="9"/>
        <w:rPr>
          <w:rFonts w:hint="eastAsia" w:ascii="宋体" w:hAnsi="宋体" w:eastAsia="宋体" w:cs="宋体"/>
          <w:color w:val="000000"/>
          <w:sz w:val="24"/>
          <w:szCs w:val="24"/>
          <w:lang w:val="en-US" w:eastAsia="zh-CN"/>
        </w:rPr>
      </w:pPr>
      <w:bookmarkStart w:id="420" w:name="_Toc226337798"/>
      <w:bookmarkStart w:id="421" w:name="_Toc248065076"/>
      <w:bookmarkStart w:id="422" w:name="_Toc180555956"/>
      <w:bookmarkStart w:id="423" w:name="_Toc445480432"/>
      <w:bookmarkStart w:id="424" w:name="_Toc173507483"/>
    </w:p>
    <w:p>
      <w:pPr>
        <w:pStyle w:val="4"/>
        <w:tabs>
          <w:tab w:val="left" w:pos="358"/>
          <w:tab w:val="clear" w:pos="432"/>
        </w:tabs>
        <w:spacing w:before="0" w:after="0" w:line="360" w:lineRule="auto"/>
        <w:outlineLvl w:val="9"/>
        <w:rPr>
          <w:rFonts w:hint="eastAsia" w:ascii="宋体" w:hAnsi="宋体" w:eastAsia="宋体" w:cs="宋体"/>
          <w:color w:val="000000"/>
          <w:sz w:val="24"/>
          <w:szCs w:val="24"/>
          <w:lang w:val="en-US" w:eastAsia="zh-CN"/>
        </w:rPr>
      </w:pPr>
    </w:p>
    <w:p>
      <w:pPr>
        <w:pStyle w:val="4"/>
        <w:tabs>
          <w:tab w:val="left" w:pos="358"/>
          <w:tab w:val="clear" w:pos="432"/>
        </w:tabs>
        <w:spacing w:before="0" w:after="0" w:line="360" w:lineRule="auto"/>
        <w:outlineLvl w:val="9"/>
        <w:rPr>
          <w:rFonts w:hint="eastAsia" w:ascii="宋体" w:hAnsi="宋体" w:eastAsia="宋体" w:cs="宋体"/>
          <w:color w:val="000000"/>
          <w:sz w:val="24"/>
          <w:szCs w:val="24"/>
          <w:lang w:val="en-US" w:eastAsia="zh-CN"/>
        </w:rPr>
      </w:pPr>
    </w:p>
    <w:p>
      <w:pPr>
        <w:pStyle w:val="4"/>
        <w:tabs>
          <w:tab w:val="left" w:pos="358"/>
          <w:tab w:val="clear" w:pos="432"/>
        </w:tabs>
        <w:spacing w:before="0" w:after="0" w:line="360" w:lineRule="auto"/>
        <w:outlineLvl w:val="9"/>
        <w:rPr>
          <w:rFonts w:hint="eastAsia" w:ascii="宋体" w:hAnsi="宋体" w:eastAsia="宋体" w:cs="宋体"/>
          <w:color w:val="000000"/>
          <w:sz w:val="24"/>
          <w:szCs w:val="24"/>
          <w:lang w:val="en-US" w:eastAsia="zh-CN"/>
        </w:rPr>
      </w:pPr>
    </w:p>
    <w:p>
      <w:pPr>
        <w:pStyle w:val="11"/>
        <w:ind w:firstLine="240"/>
        <w:rPr>
          <w:rFonts w:hint="eastAsia" w:ascii="宋体" w:hAnsi="宋体" w:eastAsia="宋体" w:cs="宋体"/>
          <w:color w:val="000000"/>
          <w:sz w:val="24"/>
          <w:szCs w:val="24"/>
          <w:lang w:val="en-US" w:eastAsia="zh-CN"/>
        </w:rPr>
      </w:pPr>
    </w:p>
    <w:p>
      <w:pPr>
        <w:pStyle w:val="11"/>
        <w:ind w:firstLine="240"/>
        <w:rPr>
          <w:rFonts w:hint="eastAsia" w:ascii="宋体" w:hAnsi="宋体" w:eastAsia="宋体" w:cs="宋体"/>
          <w:color w:val="000000"/>
          <w:sz w:val="24"/>
          <w:szCs w:val="24"/>
          <w:lang w:val="en-US" w:eastAsia="zh-CN"/>
        </w:rPr>
      </w:pPr>
    </w:p>
    <w:p>
      <w:pPr>
        <w:pStyle w:val="11"/>
        <w:ind w:firstLine="240"/>
        <w:rPr>
          <w:rFonts w:hint="eastAsia" w:ascii="宋体" w:hAnsi="宋体" w:eastAsia="宋体" w:cs="宋体"/>
          <w:color w:val="000000"/>
          <w:sz w:val="24"/>
          <w:szCs w:val="24"/>
          <w:lang w:val="en-US" w:eastAsia="zh-CN"/>
        </w:rPr>
      </w:pPr>
    </w:p>
    <w:p>
      <w:pPr>
        <w:rPr>
          <w:rFonts w:hint="eastAsia" w:ascii="宋体" w:hAnsi="宋体" w:eastAsia="宋体" w:cs="宋体"/>
          <w:b/>
          <w:color w:val="auto"/>
          <w:sz w:val="30"/>
          <w:szCs w:val="30"/>
          <w:highlight w:val="none"/>
          <w:lang w:val="en-GB"/>
        </w:rPr>
      </w:pPr>
      <w:r>
        <w:rPr>
          <w:rFonts w:hint="eastAsia" w:ascii="宋体" w:hAnsi="宋体" w:eastAsia="宋体" w:cs="宋体"/>
          <w:b/>
          <w:color w:val="auto"/>
          <w:sz w:val="30"/>
          <w:szCs w:val="30"/>
          <w:highlight w:val="none"/>
          <w:lang w:val="en-GB"/>
        </w:rPr>
        <w:br w:type="page"/>
      </w:r>
    </w:p>
    <w:p>
      <w:pPr>
        <w:pStyle w:val="43"/>
        <w:snapToGrid w:val="0"/>
        <w:ind w:right="0" w:firstLine="0" w:firstLineChars="0"/>
        <w:jc w:val="center"/>
        <w:rPr>
          <w:rFonts w:hint="eastAsia" w:ascii="宋体" w:hAnsi="宋体" w:eastAsia="宋体" w:cs="宋体"/>
          <w:b/>
          <w:color w:val="auto"/>
          <w:sz w:val="24"/>
          <w:szCs w:val="24"/>
          <w:highlight w:val="none"/>
          <w:lang w:val="en-GB"/>
        </w:rPr>
      </w:pPr>
      <w:r>
        <w:rPr>
          <w:rFonts w:hint="eastAsia" w:ascii="宋体" w:hAnsi="宋体" w:eastAsia="宋体" w:cs="宋体"/>
          <w:b/>
          <w:color w:val="auto"/>
          <w:sz w:val="30"/>
          <w:szCs w:val="30"/>
          <w:highlight w:val="none"/>
          <w:lang w:val="en-GB"/>
        </w:rPr>
        <w:t>投标人基本情况表</w:t>
      </w:r>
    </w:p>
    <w:tbl>
      <w:tblPr>
        <w:tblStyle w:val="27"/>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pPr>
              <w:snapToGrid w:val="0"/>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7775" w:type="dxa"/>
            <w:gridSpan w:val="5"/>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2358"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    否□</w:t>
            </w:r>
          </w:p>
        </w:tc>
        <w:tc>
          <w:tcPr>
            <w:tcW w:w="1957"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联合体成员单位</w:t>
            </w:r>
          </w:p>
        </w:tc>
        <w:tc>
          <w:tcPr>
            <w:tcW w:w="3460"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性质</w:t>
            </w:r>
          </w:p>
        </w:tc>
        <w:tc>
          <w:tcPr>
            <w:tcW w:w="7775" w:type="dxa"/>
            <w:gridSpan w:val="5"/>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国有□     国有控股□     私营□     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3123"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c>
          <w:tcPr>
            <w:tcW w:w="1735"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917"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3123"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c>
          <w:tcPr>
            <w:tcW w:w="1735"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917"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3123"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c>
          <w:tcPr>
            <w:tcW w:w="1735"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917"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公司电话</w:t>
            </w:r>
          </w:p>
        </w:tc>
        <w:tc>
          <w:tcPr>
            <w:tcW w:w="3123"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c>
          <w:tcPr>
            <w:tcW w:w="1735"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917"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公司网址</w:t>
            </w:r>
          </w:p>
        </w:tc>
        <w:tc>
          <w:tcPr>
            <w:tcW w:w="3123"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c>
          <w:tcPr>
            <w:tcW w:w="1735"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917"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pPr>
              <w:snapToGrid w:val="0"/>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开户银行及账号</w:t>
            </w:r>
          </w:p>
        </w:tc>
        <w:tc>
          <w:tcPr>
            <w:tcW w:w="7775" w:type="dxa"/>
            <w:gridSpan w:val="5"/>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人员情况</w:t>
            </w:r>
          </w:p>
        </w:tc>
        <w:tc>
          <w:tcPr>
            <w:tcW w:w="7775" w:type="dxa"/>
            <w:gridSpan w:val="5"/>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pPr>
              <w:snapToGrid w:val="0"/>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w:t>
            </w:r>
          </w:p>
        </w:tc>
        <w:tc>
          <w:tcPr>
            <w:tcW w:w="7775" w:type="dxa"/>
            <w:gridSpan w:val="5"/>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hint="eastAsia" w:ascii="宋体" w:hAnsi="宋体" w:eastAsia="宋体" w:cs="宋体"/>
                <w:b/>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pPr>
              <w:snapToGrid w:val="0"/>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企业认证</w:t>
            </w:r>
          </w:p>
        </w:tc>
        <w:tc>
          <w:tcPr>
            <w:tcW w:w="7775" w:type="dxa"/>
            <w:gridSpan w:val="5"/>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hint="eastAsia" w:ascii="宋体" w:hAnsi="宋体" w:eastAsia="宋体" w:cs="宋体"/>
                <w:b/>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pPr>
              <w:snapToGrid w:val="0"/>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企业获奖（如有）</w:t>
            </w:r>
          </w:p>
        </w:tc>
        <w:tc>
          <w:tcPr>
            <w:tcW w:w="7775" w:type="dxa"/>
            <w:gridSpan w:val="5"/>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775" w:type="dxa"/>
            <w:gridSpan w:val="5"/>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9517" w:type="dxa"/>
            <w:gridSpan w:val="6"/>
            <w:noWrap w:val="0"/>
            <w:vAlign w:val="center"/>
          </w:tcPr>
          <w:p>
            <w:pPr>
              <w:snapToGrid w:val="0"/>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123"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c>
          <w:tcPr>
            <w:tcW w:w="1735"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移动电话</w:t>
            </w:r>
          </w:p>
        </w:tc>
        <w:tc>
          <w:tcPr>
            <w:tcW w:w="2917"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3123"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c>
          <w:tcPr>
            <w:tcW w:w="1735" w:type="dxa"/>
            <w:gridSpan w:val="2"/>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917" w:type="dxa"/>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pPr>
              <w:snapToGrid w:val="0"/>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企业简介：（可另附页或企业对外宣传手册，如有附后）</w:t>
            </w:r>
          </w:p>
        </w:tc>
      </w:tr>
    </w:tbl>
    <w:p>
      <w:pPr>
        <w:adjustRightInd w:val="0"/>
        <w:snapToGrid w:val="0"/>
        <w:spacing w:line="360" w:lineRule="auto"/>
        <w:ind w:firstLine="482"/>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（后附上与评标相关的投标人证书荣誉等相关证书复印件加盖公章）</w:t>
      </w:r>
    </w:p>
    <w:p>
      <w:pPr>
        <w:adjustRightInd w:val="0"/>
        <w:snapToGrid w:val="0"/>
        <w:spacing w:line="360" w:lineRule="auto"/>
        <w:ind w:firstLine="4080" w:firstLineChars="1700"/>
        <w:textAlignment w:val="baseline"/>
        <w:rPr>
          <w:rFonts w:hint="eastAsia" w:ascii="宋体" w:hAnsi="宋体" w:eastAsia="宋体" w:cs="宋体"/>
          <w:color w:val="auto"/>
          <w:sz w:val="24"/>
          <w:szCs w:val="24"/>
          <w:highlight w:val="none"/>
        </w:rPr>
      </w:pPr>
    </w:p>
    <w:p>
      <w:pPr>
        <w:adjustRightInd w:val="0"/>
        <w:snapToGrid w:val="0"/>
        <w:spacing w:line="360" w:lineRule="auto"/>
        <w:ind w:firstLine="4080" w:firstLineChars="17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4080" w:firstLineChars="17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法定代表人或授权代理人（签字或盖章）：</w:t>
      </w:r>
      <w:r>
        <w:rPr>
          <w:rFonts w:hint="eastAsia" w:ascii="宋体" w:hAnsi="宋体" w:eastAsia="宋体" w:cs="宋体"/>
          <w:color w:val="auto"/>
          <w:sz w:val="24"/>
          <w:szCs w:val="24"/>
          <w:highlight w:val="none"/>
          <w:u w:val="single"/>
        </w:rPr>
        <w:t xml:space="preserve">                  </w:t>
      </w:r>
    </w:p>
    <w:p>
      <w:pPr>
        <w:widowControl/>
        <w:adjustRightInd w:val="0"/>
        <w:snapToGrid w:val="0"/>
        <w:spacing w:line="360" w:lineRule="auto"/>
        <w:ind w:firstLine="4080" w:firstLineChars="17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日期：2022年   月   日</w:t>
      </w:r>
    </w:p>
    <w:p>
      <w:pPr>
        <w:widowControl/>
        <w:autoSpaceDE w:val="0"/>
        <w:autoSpaceDN w:val="0"/>
        <w:spacing w:before="240" w:line="360" w:lineRule="atLeast"/>
        <w:textAlignment w:val="bottom"/>
        <w:rPr>
          <w:rFonts w:hint="eastAsia" w:ascii="宋体" w:hAnsi="宋体" w:eastAsia="宋体" w:cs="宋体"/>
          <w:sz w:val="24"/>
          <w:szCs w:val="24"/>
        </w:rPr>
      </w:pPr>
    </w:p>
    <w:p>
      <w:pPr>
        <w:pStyle w:val="22"/>
        <w:snapToGrid w:val="0"/>
        <w:spacing w:line="360" w:lineRule="auto"/>
        <w:ind w:left="0" w:firstLine="0" w:firstLineChars="0"/>
        <w:jc w:val="center"/>
        <w:rPr>
          <w:rFonts w:hint="eastAsia" w:ascii="宋体" w:hAnsi="宋体" w:eastAsia="宋体" w:cs="宋体"/>
          <w:b/>
          <w:color w:val="auto"/>
          <w:sz w:val="30"/>
          <w:szCs w:val="30"/>
          <w:highlight w:val="none"/>
          <w:lang w:val="en-GB"/>
        </w:rPr>
      </w:pPr>
      <w:r>
        <w:rPr>
          <w:rFonts w:hint="eastAsia" w:ascii="宋体" w:hAnsi="宋体" w:eastAsia="宋体" w:cs="宋体"/>
          <w:b/>
          <w:color w:val="auto"/>
          <w:sz w:val="30"/>
          <w:szCs w:val="30"/>
          <w:highlight w:val="none"/>
          <w:lang w:val="en-GB"/>
        </w:rPr>
        <w:t>类似项目业绩一览表</w:t>
      </w:r>
    </w:p>
    <w:p>
      <w:pPr>
        <w:pStyle w:val="22"/>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单位全称（公章）：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2"/>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7"/>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93"/>
        <w:gridCol w:w="1332"/>
        <w:gridCol w:w="1332"/>
        <w:gridCol w:w="1334"/>
        <w:gridCol w:w="1809"/>
        <w:gridCol w:w="97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5" w:type="dxa"/>
            <w:tcBorders>
              <w:top w:val="thinThickSmallGap" w:color="auto" w:sz="12" w:space="0"/>
            </w:tcBorders>
            <w:noWrap/>
            <w:vAlign w:val="center"/>
          </w:tcPr>
          <w:p>
            <w:pPr>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093" w:type="dxa"/>
            <w:tcBorders>
              <w:top w:val="thinThickSmallGap" w:color="auto" w:sz="12" w:space="0"/>
            </w:tcBorders>
            <w:noWrap/>
            <w:vAlign w:val="center"/>
          </w:tcPr>
          <w:p>
            <w:pPr>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1332" w:type="dxa"/>
            <w:tcBorders>
              <w:top w:val="thinThickSmallGap" w:color="auto" w:sz="12" w:space="0"/>
            </w:tcBorders>
            <w:noWrap/>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32" w:type="dxa"/>
            <w:tcBorders>
              <w:top w:val="thinThickSmallGap" w:color="auto" w:sz="12" w:space="0"/>
            </w:tcBorders>
            <w:noWrap/>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334" w:type="dxa"/>
            <w:tcBorders>
              <w:top w:val="thinThickSmallGap" w:color="auto" w:sz="12" w:space="0"/>
            </w:tcBorders>
            <w:noWrap/>
            <w:vAlign w:val="center"/>
          </w:tcPr>
          <w:p>
            <w:pPr>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p>
            <w:pPr>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（万元）</w:t>
            </w:r>
          </w:p>
        </w:tc>
        <w:tc>
          <w:tcPr>
            <w:tcW w:w="1809" w:type="dxa"/>
            <w:tcBorders>
              <w:top w:val="thinThickSmallGap" w:color="auto" w:sz="12" w:space="0"/>
            </w:tcBorders>
            <w:noWrap/>
            <w:vAlign w:val="center"/>
          </w:tcPr>
          <w:p>
            <w:pPr>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项目单位、联系人及电话</w:t>
            </w:r>
          </w:p>
        </w:tc>
        <w:tc>
          <w:tcPr>
            <w:tcW w:w="970" w:type="dxa"/>
            <w:tcBorders>
              <w:top w:val="thinThickSmallGap" w:color="auto" w:sz="12" w:space="0"/>
            </w:tcBorders>
            <w:noWrap/>
            <w:vAlign w:val="center"/>
          </w:tcPr>
          <w:p>
            <w:pPr>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4"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809"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970"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4"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809"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970"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4"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809"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970"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4"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809"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970"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4"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809"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970" w:type="dxa"/>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tcBorders>
              <w:bottom w:val="thinThickSmallGap" w:color="auto" w:sz="12" w:space="0"/>
            </w:tcBorders>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93" w:type="dxa"/>
            <w:tcBorders>
              <w:bottom w:val="thinThickSmallGap" w:color="auto" w:sz="12" w:space="0"/>
            </w:tcBorders>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tcBorders>
              <w:bottom w:val="thinThickSmallGap" w:color="auto" w:sz="12" w:space="0"/>
            </w:tcBorders>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2" w:type="dxa"/>
            <w:tcBorders>
              <w:bottom w:val="thinThickSmallGap" w:color="auto" w:sz="12" w:space="0"/>
            </w:tcBorders>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334" w:type="dxa"/>
            <w:tcBorders>
              <w:bottom w:val="thinThickSmallGap" w:color="auto" w:sz="12" w:space="0"/>
            </w:tcBorders>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1809" w:type="dxa"/>
            <w:tcBorders>
              <w:bottom w:val="thinThickSmallGap" w:color="auto" w:sz="12" w:space="0"/>
            </w:tcBorders>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c>
          <w:tcPr>
            <w:tcW w:w="970" w:type="dxa"/>
            <w:tcBorders>
              <w:bottom w:val="thinThickSmallGap" w:color="auto" w:sz="12" w:space="0"/>
            </w:tcBorders>
            <w:noWrap/>
            <w:vAlign w:val="center"/>
          </w:tcPr>
          <w:p>
            <w:pPr>
              <w:autoSpaceDE w:val="0"/>
              <w:autoSpaceDN w:val="0"/>
              <w:adjustRightInd w:val="0"/>
              <w:snapToGrid w:val="0"/>
              <w:ind w:firstLine="0" w:firstLineChars="0"/>
              <w:jc w:val="center"/>
              <w:rPr>
                <w:rFonts w:hint="eastAsia" w:ascii="宋体" w:hAnsi="宋体" w:eastAsia="宋体" w:cs="宋体"/>
                <w:color w:val="auto"/>
                <w:sz w:val="24"/>
                <w:szCs w:val="24"/>
                <w:highlight w:val="none"/>
                <w:lang w:val="zh-CN"/>
              </w:rPr>
            </w:pPr>
          </w:p>
        </w:tc>
      </w:tr>
    </w:tbl>
    <w:p>
      <w:pPr>
        <w:adjustRightInd w:val="0"/>
        <w:snapToGrid w:val="0"/>
        <w:spacing w:before="163" w:beforeLines="5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1.同类项目业绩出具相关证明文件复印件</w:t>
      </w:r>
      <w:r>
        <w:rPr>
          <w:rFonts w:hint="eastAsia" w:ascii="宋体" w:hAnsi="宋体" w:eastAsia="宋体" w:cs="宋体"/>
          <w:color w:val="auto"/>
          <w:sz w:val="24"/>
          <w:szCs w:val="24"/>
          <w:highlight w:val="none"/>
          <w:lang w:val="zh-CN"/>
        </w:rPr>
        <w:t>附后</w:t>
      </w:r>
      <w:r>
        <w:rPr>
          <w:rFonts w:hint="eastAsia" w:ascii="宋体" w:hAnsi="宋体" w:eastAsia="宋体" w:cs="宋体"/>
          <w:color w:val="auto"/>
          <w:sz w:val="24"/>
          <w:szCs w:val="24"/>
          <w:highlight w:val="none"/>
        </w:rPr>
        <w:t>；</w:t>
      </w:r>
    </w:p>
    <w:p>
      <w:pPr>
        <w:tabs>
          <w:tab w:val="left" w:pos="0"/>
        </w:tabs>
        <w:snapToGrid w:val="0"/>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此表不够可自行添加。</w:t>
      </w:r>
    </w:p>
    <w:p>
      <w:pPr>
        <w:pStyle w:val="22"/>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p>
    <w:p>
      <w:pPr>
        <w:ind w:firstLine="480"/>
        <w:jc w:val="right"/>
        <w:rPr>
          <w:rFonts w:hint="eastAsia" w:ascii="宋体" w:hAnsi="宋体" w:eastAsia="宋体" w:cs="宋体"/>
          <w:color w:val="auto"/>
          <w:sz w:val="24"/>
          <w:szCs w:val="24"/>
          <w:highlight w:val="none"/>
        </w:rPr>
      </w:pPr>
    </w:p>
    <w:p>
      <w:pPr>
        <w:ind w:firstLine="480"/>
        <w:jc w:val="right"/>
        <w:rPr>
          <w:rFonts w:hint="eastAsia" w:ascii="宋体" w:hAnsi="宋体" w:eastAsia="宋体" w:cs="宋体"/>
          <w:color w:val="auto"/>
          <w:sz w:val="24"/>
          <w:szCs w:val="24"/>
          <w:highlight w:val="none"/>
        </w:rPr>
      </w:pPr>
    </w:p>
    <w:p>
      <w:pPr>
        <w:ind w:firstLine="480"/>
        <w:jc w:val="right"/>
        <w:rPr>
          <w:rFonts w:hint="eastAsia" w:ascii="宋体" w:hAnsi="宋体" w:eastAsia="宋体" w:cs="宋体"/>
          <w:color w:val="auto"/>
          <w:sz w:val="24"/>
          <w:szCs w:val="24"/>
          <w:highlight w:val="none"/>
        </w:rPr>
      </w:pPr>
    </w:p>
    <w:p>
      <w:pPr>
        <w:ind w:firstLine="480"/>
        <w:jc w:val="right"/>
        <w:rPr>
          <w:rFonts w:hint="eastAsia" w:ascii="宋体" w:hAnsi="宋体" w:eastAsia="宋体" w:cs="宋体"/>
          <w:color w:val="auto"/>
          <w:sz w:val="24"/>
          <w:szCs w:val="24"/>
          <w:highlight w:val="none"/>
        </w:rPr>
      </w:pPr>
    </w:p>
    <w:p>
      <w:pPr>
        <w:spacing w:line="360" w:lineRule="auto"/>
        <w:ind w:firstLine="4039" w:firstLineChars="16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投标人名称（盖章）:                   </w:t>
      </w:r>
    </w:p>
    <w:p>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法定代表人或授权代理人（签字或盖章）:                   </w:t>
      </w:r>
    </w:p>
    <w:p>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期：2022年   月   日</w:t>
      </w:r>
    </w:p>
    <w:p>
      <w:pPr>
        <w:widowControl/>
        <w:spacing w:line="440" w:lineRule="atLeast"/>
        <w:ind w:firstLine="300"/>
        <w:rPr>
          <w:rFonts w:hint="eastAsia" w:ascii="宋体" w:hAnsi="宋体" w:eastAsia="宋体" w:cs="宋体"/>
          <w:b/>
          <w:bCs/>
          <w:kern w:val="0"/>
        </w:rPr>
      </w:pPr>
    </w:p>
    <w:p>
      <w:pPr>
        <w:widowControl/>
        <w:spacing w:line="440" w:lineRule="atLeast"/>
        <w:ind w:firstLine="300"/>
        <w:rPr>
          <w:rFonts w:hint="eastAsia" w:ascii="宋体" w:hAnsi="宋体" w:eastAsia="宋体" w:cs="宋体"/>
          <w:b/>
          <w:bCs/>
          <w:kern w:val="0"/>
        </w:rPr>
      </w:pPr>
    </w:p>
    <w:p>
      <w:pPr>
        <w:widowControl/>
        <w:spacing w:line="440" w:lineRule="atLeast"/>
        <w:ind w:firstLine="300"/>
        <w:rPr>
          <w:rFonts w:hint="eastAsia" w:ascii="宋体" w:hAnsi="宋体" w:eastAsia="宋体" w:cs="宋体"/>
          <w:b/>
          <w:bCs/>
          <w:kern w:val="0"/>
        </w:rPr>
      </w:pPr>
    </w:p>
    <w:p>
      <w:pPr>
        <w:widowControl/>
        <w:spacing w:line="440" w:lineRule="atLeast"/>
        <w:ind w:firstLine="300"/>
        <w:rPr>
          <w:rFonts w:hint="eastAsia" w:ascii="宋体" w:hAnsi="宋体" w:eastAsia="宋体" w:cs="宋体"/>
          <w:b/>
          <w:bCs/>
          <w:kern w:val="0"/>
        </w:rPr>
      </w:pPr>
    </w:p>
    <w:p>
      <w:pPr>
        <w:widowControl/>
        <w:spacing w:line="440" w:lineRule="atLeast"/>
        <w:ind w:firstLine="300"/>
        <w:rPr>
          <w:rFonts w:hint="eastAsia" w:ascii="宋体" w:hAnsi="宋体" w:eastAsia="宋体" w:cs="宋体"/>
          <w:b/>
          <w:bCs/>
          <w:kern w:val="0"/>
        </w:rPr>
      </w:pPr>
    </w:p>
    <w:p>
      <w:pPr>
        <w:rPr>
          <w:rFonts w:hint="eastAsia" w:ascii="宋体" w:hAnsi="宋体" w:eastAsia="宋体" w:cs="宋体"/>
          <w:b/>
          <w:bCs/>
          <w:kern w:val="0"/>
        </w:rPr>
      </w:pPr>
      <w:r>
        <w:rPr>
          <w:rFonts w:hint="eastAsia" w:ascii="宋体" w:hAnsi="宋体" w:eastAsia="宋体" w:cs="宋体"/>
          <w:b/>
          <w:bCs/>
          <w:kern w:val="0"/>
        </w:rPr>
        <w:br w:type="page"/>
      </w:r>
    </w:p>
    <w:p>
      <w:pPr>
        <w:pStyle w:val="5"/>
        <w:keepNext/>
        <w:keepLines/>
        <w:pageBreakBefore w:val="0"/>
        <w:widowControl w:val="0"/>
        <w:tabs>
          <w:tab w:val="clear" w:pos="720"/>
        </w:tabs>
        <w:kinsoku/>
        <w:wordWrap/>
        <w:overflowPunct/>
        <w:topLinePunct w:val="0"/>
        <w:autoSpaceDE/>
        <w:autoSpaceDN/>
        <w:bidi w:val="0"/>
        <w:adjustRightInd w:val="0"/>
        <w:snapToGrid/>
        <w:spacing w:before="0" w:after="0" w:line="360" w:lineRule="auto"/>
        <w:ind w:left="0" w:leftChars="0" w:firstLine="0"/>
        <w:jc w:val="center"/>
        <w:textAlignment w:val="auto"/>
        <w:rPr>
          <w:rFonts w:hint="eastAsia" w:ascii="宋体" w:hAnsi="宋体" w:eastAsia="宋体" w:cs="宋体"/>
          <w:color w:val="000000"/>
          <w:sz w:val="36"/>
        </w:rPr>
      </w:pPr>
      <w:bookmarkStart w:id="425" w:name="_Toc19615"/>
      <w:r>
        <w:rPr>
          <w:rFonts w:hint="eastAsia" w:ascii="宋体" w:hAnsi="宋体" w:eastAsia="宋体" w:cs="宋体"/>
          <w:color w:val="000000"/>
          <w:sz w:val="24"/>
          <w:szCs w:val="24"/>
        </w:rPr>
        <w:t>商务</w:t>
      </w:r>
      <w:r>
        <w:rPr>
          <w:rFonts w:hint="eastAsia" w:ascii="宋体" w:hAnsi="宋体" w:eastAsia="宋体" w:cs="宋体"/>
          <w:color w:val="000000"/>
          <w:sz w:val="24"/>
          <w:szCs w:val="24"/>
          <w:lang w:eastAsia="zh-CN"/>
        </w:rPr>
        <w:t>技术</w:t>
      </w:r>
      <w:r>
        <w:rPr>
          <w:rFonts w:hint="eastAsia" w:ascii="宋体" w:hAnsi="宋体" w:eastAsia="宋体" w:cs="宋体"/>
          <w:color w:val="000000"/>
          <w:sz w:val="24"/>
          <w:szCs w:val="24"/>
        </w:rPr>
        <w:t>条款偏离表</w:t>
      </w:r>
      <w:bookmarkEnd w:id="425"/>
    </w:p>
    <w:tbl>
      <w:tblPr>
        <w:tblStyle w:val="27"/>
        <w:tblW w:w="0" w:type="auto"/>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7"/>
        <w:gridCol w:w="3100"/>
        <w:gridCol w:w="2983"/>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pacing w:val="-4"/>
                <w:sz w:val="24"/>
                <w:szCs w:val="24"/>
              </w:rPr>
              <w:t>序号</w:t>
            </w:r>
          </w:p>
        </w:tc>
        <w:tc>
          <w:tcPr>
            <w:tcW w:w="3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pacing w:val="-4"/>
                <w:sz w:val="24"/>
                <w:szCs w:val="24"/>
              </w:rPr>
              <w:t>招标文件内容</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投标文件内容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pacing w:val="-4"/>
                <w:sz w:val="24"/>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2983"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2983"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2983"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13"/>
              <w:spacing w:line="240" w:lineRule="auto"/>
              <w:ind w:left="537" w:leftChars="256" w:firstLine="480"/>
              <w:rPr>
                <w:rFonts w:hint="eastAsia" w:ascii="宋体" w:hAnsi="宋体" w:eastAsia="宋体" w:cs="宋体"/>
                <w:color w:val="000000"/>
                <w:sz w:val="24"/>
                <w:szCs w:val="24"/>
                <w:lang w:val="en-US" w:eastAsia="zh-CN"/>
              </w:rPr>
            </w:pPr>
          </w:p>
        </w:tc>
      </w:tr>
    </w:tbl>
    <w:p>
      <w:pPr>
        <w:tabs>
          <w:tab w:val="left" w:pos="2310"/>
        </w:tabs>
        <w:spacing w:line="360" w:lineRule="auto"/>
        <w:ind w:firstLine="120" w:firstLineChars="50"/>
        <w:rPr>
          <w:rFonts w:hint="eastAsia" w:ascii="宋体" w:hAnsi="宋体" w:eastAsia="宋体" w:cs="宋体"/>
          <w:color w:val="000000"/>
          <w:sz w:val="24"/>
        </w:rPr>
      </w:pPr>
      <w:r>
        <w:rPr>
          <w:rFonts w:hint="eastAsia" w:ascii="宋体" w:hAnsi="宋体" w:eastAsia="宋体" w:cs="宋体"/>
          <w:color w:val="000000"/>
          <w:sz w:val="24"/>
        </w:rPr>
        <w:t>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1.用数量来表示的需求，必须用确切的数字、单位来响应。</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2.没有填写在偏离表中的其它所有技术条款都默认为完全响应采购文件要求。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3.重点条款必须按要求提供佐证材料，未提供按负偏离处理。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4.此表仅提供了表格形式，投标人应根据需要准备足够数量的表格来填写。</w:t>
      </w:r>
    </w:p>
    <w:p>
      <w:pPr>
        <w:tabs>
          <w:tab w:val="left" w:pos="2310"/>
        </w:tabs>
        <w:spacing w:line="360" w:lineRule="auto"/>
        <w:ind w:firstLine="600" w:firstLineChars="250"/>
        <w:rPr>
          <w:rFonts w:hint="eastAsia" w:ascii="宋体" w:hAnsi="宋体" w:eastAsia="宋体" w:cs="宋体"/>
          <w:color w:val="000000"/>
          <w:sz w:val="24"/>
        </w:rPr>
      </w:pPr>
    </w:p>
    <w:p>
      <w:pPr>
        <w:tabs>
          <w:tab w:val="left" w:pos="2310"/>
        </w:tabs>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投标人</w:t>
      </w:r>
      <w:r>
        <w:rPr>
          <w:rFonts w:hint="eastAsia" w:ascii="宋体" w:hAnsi="宋体" w:cs="宋体"/>
          <w:color w:val="000000"/>
          <w:sz w:val="24"/>
          <w:lang w:eastAsia="zh-CN"/>
        </w:rPr>
        <w:t>：</w:t>
      </w:r>
      <w:r>
        <w:rPr>
          <w:rFonts w:hint="eastAsia" w:ascii="宋体" w:hAnsi="宋体" w:eastAsia="宋体" w:cs="宋体"/>
          <w:color w:val="000000"/>
          <w:sz w:val="24"/>
        </w:rPr>
        <w:t>（盖章）</w:t>
      </w:r>
    </w:p>
    <w:p>
      <w:pPr>
        <w:tabs>
          <w:tab w:val="left" w:pos="5580"/>
        </w:tabs>
        <w:spacing w:line="360" w:lineRule="auto"/>
        <w:ind w:firstLine="600" w:firstLineChars="250"/>
        <w:rPr>
          <w:rFonts w:hint="eastAsia" w:ascii="宋体" w:hAnsi="宋体" w:eastAsia="宋体" w:cs="宋体"/>
          <w:color w:val="000000"/>
          <w:sz w:val="24"/>
        </w:rPr>
      </w:pPr>
    </w:p>
    <w:p>
      <w:pPr>
        <w:tabs>
          <w:tab w:val="left" w:pos="5580"/>
        </w:tabs>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法人或授权委托人：（签字）</w:t>
      </w:r>
    </w:p>
    <w:p>
      <w:pPr>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rPr>
        <w:t xml:space="preserve">     日  期</w:t>
      </w:r>
      <w:r>
        <w:rPr>
          <w:rFonts w:hint="eastAsia" w:ascii="宋体" w:hAnsi="宋体" w:cs="宋体"/>
          <w:color w:val="000000"/>
          <w:sz w:val="24"/>
          <w:lang w:eastAsia="zh-CN"/>
        </w:rPr>
        <w:t>：</w:t>
      </w:r>
    </w:p>
    <w:p>
      <w:pPr>
        <w:pStyle w:val="13"/>
        <w:spacing w:line="240" w:lineRule="auto"/>
        <w:ind w:left="537" w:leftChars="256" w:firstLine="480"/>
        <w:rPr>
          <w:rFonts w:hint="eastAsia" w:ascii="宋体" w:hAnsi="宋体" w:eastAsia="宋体" w:cs="宋体"/>
          <w:color w:val="000000"/>
          <w:sz w:val="24"/>
        </w:rPr>
      </w:pPr>
    </w:p>
    <w:p>
      <w:pPr>
        <w:pStyle w:val="13"/>
        <w:spacing w:line="240" w:lineRule="auto"/>
        <w:ind w:left="537" w:leftChars="256" w:firstLine="480"/>
        <w:rPr>
          <w:rFonts w:hint="eastAsia" w:ascii="宋体" w:hAnsi="宋体" w:eastAsia="宋体" w:cs="宋体"/>
          <w:color w:val="000000"/>
        </w:rPr>
      </w:pPr>
    </w:p>
    <w:bookmarkEnd w:id="420"/>
    <w:bookmarkEnd w:id="421"/>
    <w:bookmarkEnd w:id="422"/>
    <w:bookmarkEnd w:id="423"/>
    <w:bookmarkEnd w:id="424"/>
    <w:p>
      <w:pPr>
        <w:spacing w:line="360" w:lineRule="auto"/>
        <w:rPr>
          <w:rFonts w:hint="eastAsia" w:ascii="宋体" w:hAnsi="宋体" w:eastAsia="宋体" w:cs="宋体"/>
          <w:sz w:val="24"/>
        </w:rPr>
      </w:pPr>
    </w:p>
    <w:p>
      <w:pPr>
        <w:snapToGrid w:val="0"/>
        <w:spacing w:line="300" w:lineRule="auto"/>
        <w:rPr>
          <w:rFonts w:hint="eastAsia" w:ascii="宋体" w:hAnsi="宋体" w:eastAsia="宋体" w:cs="宋体"/>
          <w:bCs/>
          <w:sz w:val="24"/>
        </w:rPr>
      </w:pPr>
    </w:p>
    <w:p>
      <w:pPr>
        <w:snapToGrid w:val="0"/>
        <w:spacing w:line="300" w:lineRule="auto"/>
        <w:rPr>
          <w:rFonts w:hint="eastAsia" w:ascii="宋体" w:hAnsi="宋体" w:eastAsia="宋体" w:cs="宋体"/>
          <w:bCs/>
          <w:sz w:val="24"/>
        </w:rPr>
      </w:pPr>
    </w:p>
    <w:p>
      <w:pPr>
        <w:snapToGrid w:val="0"/>
        <w:spacing w:line="300" w:lineRule="auto"/>
        <w:rPr>
          <w:rFonts w:hint="eastAsia" w:ascii="宋体" w:hAnsi="宋体" w:eastAsia="宋体" w:cs="宋体"/>
          <w:bCs/>
          <w:sz w:val="24"/>
        </w:rPr>
      </w:pPr>
    </w:p>
    <w:p>
      <w:pPr>
        <w:snapToGrid w:val="0"/>
        <w:spacing w:line="300" w:lineRule="auto"/>
        <w:rPr>
          <w:rFonts w:hint="eastAsia" w:ascii="宋体" w:hAnsi="宋体" w:eastAsia="宋体" w:cs="宋体"/>
          <w:bCs/>
          <w:sz w:val="24"/>
        </w:rPr>
      </w:pPr>
    </w:p>
    <w:p>
      <w:pPr>
        <w:snapToGrid w:val="0"/>
        <w:spacing w:line="300" w:lineRule="auto"/>
        <w:rPr>
          <w:rFonts w:hint="eastAsia" w:ascii="宋体" w:hAnsi="宋体" w:eastAsia="宋体" w:cs="宋体"/>
          <w:bCs/>
          <w:sz w:val="24"/>
        </w:rPr>
      </w:pPr>
    </w:p>
    <w:p>
      <w:pPr>
        <w:pStyle w:val="9"/>
        <w:rPr>
          <w:rFonts w:hint="eastAsia"/>
        </w:rPr>
      </w:pPr>
    </w:p>
    <w:p>
      <w:pPr>
        <w:snapToGrid w:val="0"/>
        <w:spacing w:line="300" w:lineRule="auto"/>
        <w:rPr>
          <w:rFonts w:hint="eastAsia" w:ascii="宋体" w:hAnsi="宋体" w:eastAsia="宋体" w:cs="宋体"/>
          <w:bCs/>
          <w:sz w:val="24"/>
        </w:rPr>
      </w:pPr>
    </w:p>
    <w:p>
      <w:pPr>
        <w:spacing w:line="360" w:lineRule="auto"/>
        <w:ind w:firstLine="723"/>
        <w:jc w:val="center"/>
        <w:rPr>
          <w:rFonts w:hint="eastAsia" w:ascii="宋体" w:hAnsi="宋体" w:eastAsia="宋体" w:cs="宋体"/>
          <w:b/>
          <w:color w:val="auto"/>
          <w:sz w:val="36"/>
          <w:szCs w:val="36"/>
          <w:highlight w:val="none"/>
        </w:rPr>
      </w:pPr>
      <w:bookmarkStart w:id="426" w:name="_Toc278123615"/>
    </w:p>
    <w:p>
      <w:pPr>
        <w:spacing w:line="360" w:lineRule="auto"/>
        <w:ind w:firstLine="723"/>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项目负责人情况表</w:t>
      </w:r>
      <w:bookmarkEnd w:id="426"/>
    </w:p>
    <w:p>
      <w:pPr>
        <w:tabs>
          <w:tab w:val="left" w:pos="5903"/>
        </w:tabs>
        <w:ind w:left="232"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采购项目：  </w:t>
      </w:r>
      <w:r>
        <w:rPr>
          <w:rFonts w:hint="eastAsia" w:ascii="宋体" w:hAnsi="宋体" w:eastAsia="宋体" w:cs="宋体"/>
          <w:color w:val="auto"/>
          <w:w w:val="95"/>
          <w:sz w:val="24"/>
          <w:szCs w:val="24"/>
          <w:highlight w:val="none"/>
        </w:rPr>
        <w:t xml:space="preserve">                          </w:t>
      </w:r>
      <w:r>
        <w:rPr>
          <w:rFonts w:hint="eastAsia" w:ascii="宋体" w:hAnsi="宋体" w:eastAsia="宋体" w:cs="宋体"/>
          <w:color w:val="auto"/>
          <w:sz w:val="24"/>
          <w:szCs w:val="24"/>
          <w:highlight w:val="none"/>
        </w:rPr>
        <w:t>采购编号：</w:t>
      </w:r>
    </w:p>
    <w:p>
      <w:pPr>
        <w:spacing w:before="17" w:line="240" w:lineRule="auto"/>
        <w:ind w:firstLine="180"/>
        <w:rPr>
          <w:rFonts w:hint="eastAsia" w:ascii="宋体" w:hAnsi="宋体" w:eastAsia="宋体" w:cs="宋体"/>
          <w:color w:val="auto"/>
          <w:sz w:val="9"/>
          <w:szCs w:val="9"/>
          <w:highlight w:val="none"/>
        </w:rPr>
      </w:pPr>
    </w:p>
    <w:tbl>
      <w:tblPr>
        <w:tblStyle w:val="27"/>
        <w:tblW w:w="0" w:type="auto"/>
        <w:tblInd w:w="113" w:type="dxa"/>
        <w:tblLayout w:type="fixed"/>
        <w:tblCellMar>
          <w:top w:w="0" w:type="dxa"/>
          <w:left w:w="0" w:type="dxa"/>
          <w:bottom w:w="0" w:type="dxa"/>
          <w:right w:w="0" w:type="dxa"/>
        </w:tblCellMar>
      </w:tblPr>
      <w:tblGrid>
        <w:gridCol w:w="1974"/>
        <w:gridCol w:w="2967"/>
        <w:gridCol w:w="4377"/>
      </w:tblGrid>
      <w:tr>
        <w:tblPrEx>
          <w:tblCellMar>
            <w:top w:w="0" w:type="dxa"/>
            <w:left w:w="0" w:type="dxa"/>
            <w:bottom w:w="0" w:type="dxa"/>
            <w:right w:w="0" w:type="dxa"/>
          </w:tblCellMar>
        </w:tblPrEx>
        <w:trPr>
          <w:trHeight w:val="883" w:hRule="exact"/>
        </w:trPr>
        <w:tc>
          <w:tcPr>
            <w:tcW w:w="1974" w:type="dxa"/>
            <w:tcBorders>
              <w:top w:val="single" w:color="000000" w:sz="12" w:space="0"/>
              <w:left w:val="single" w:color="000000" w:sz="12" w:space="0"/>
              <w:bottom w:val="single" w:color="000000" w:sz="4" w:space="0"/>
              <w:right w:val="single" w:color="000000" w:sz="4" w:space="0"/>
            </w:tcBorders>
            <w:noWrap w:val="0"/>
            <w:vAlign w:val="center"/>
          </w:tcPr>
          <w:p>
            <w:pPr>
              <w:pStyle w:val="39"/>
              <w:spacing w:before="118" w:line="240" w:lineRule="auto"/>
              <w:ind w:right="1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姓名</w:t>
            </w:r>
          </w:p>
        </w:tc>
        <w:tc>
          <w:tcPr>
            <w:tcW w:w="2967" w:type="dxa"/>
            <w:tcBorders>
              <w:top w:val="single" w:color="000000" w:sz="12"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4377" w:type="dxa"/>
            <w:tcBorders>
              <w:top w:val="single" w:color="000000" w:sz="12" w:space="0"/>
              <w:left w:val="single" w:color="000000" w:sz="4" w:space="0"/>
              <w:bottom w:val="single" w:color="000000" w:sz="4" w:space="0"/>
              <w:right w:val="single" w:color="000000" w:sz="12" w:space="0"/>
            </w:tcBorders>
            <w:noWrap w:val="0"/>
            <w:vAlign w:val="center"/>
          </w:tcPr>
          <w:p>
            <w:pPr>
              <w:pStyle w:val="39"/>
              <w:spacing w:before="118"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近年来主要工作业绩</w:t>
            </w: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39"/>
              <w:spacing w:before="118" w:line="240" w:lineRule="auto"/>
              <w:ind w:right="1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性别</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4377" w:type="dxa"/>
            <w:vMerge w:val="restart"/>
            <w:tcBorders>
              <w:top w:val="single" w:color="000000" w:sz="4" w:space="0"/>
              <w:left w:val="single" w:color="000000" w:sz="4" w:space="0"/>
              <w:right w:val="single" w:color="000000" w:sz="12" w:space="0"/>
            </w:tcBorders>
            <w:noWrap w:val="0"/>
            <w:vAlign w:val="top"/>
          </w:tcPr>
          <w:p>
            <w:pPr>
              <w:pStyle w:val="39"/>
              <w:spacing w:line="240" w:lineRule="auto"/>
              <w:ind w:firstLine="480"/>
              <w:jc w:val="left"/>
              <w:rPr>
                <w:rFonts w:hint="eastAsia" w:ascii="宋体" w:hAnsi="宋体" w:eastAsia="宋体" w:cs="宋体"/>
                <w:color w:val="auto"/>
                <w:sz w:val="24"/>
                <w:highlight w:val="none"/>
              </w:rPr>
            </w:pPr>
          </w:p>
          <w:p>
            <w:pPr>
              <w:pStyle w:val="39"/>
              <w:spacing w:line="240" w:lineRule="auto"/>
              <w:ind w:firstLine="480"/>
              <w:jc w:val="left"/>
              <w:rPr>
                <w:rFonts w:hint="eastAsia" w:ascii="宋体" w:hAnsi="宋体" w:eastAsia="宋体" w:cs="宋体"/>
                <w:color w:val="auto"/>
                <w:sz w:val="24"/>
                <w:highlight w:val="none"/>
              </w:rPr>
            </w:pPr>
          </w:p>
          <w:p>
            <w:pPr>
              <w:pStyle w:val="39"/>
              <w:spacing w:line="240" w:lineRule="auto"/>
              <w:ind w:firstLine="480"/>
              <w:jc w:val="left"/>
              <w:rPr>
                <w:rFonts w:hint="eastAsia" w:ascii="宋体" w:hAnsi="宋体" w:eastAsia="宋体" w:cs="宋体"/>
                <w:color w:val="auto"/>
                <w:sz w:val="24"/>
                <w:highlight w:val="none"/>
              </w:rPr>
            </w:pPr>
          </w:p>
          <w:p>
            <w:pPr>
              <w:pStyle w:val="39"/>
              <w:spacing w:line="240" w:lineRule="auto"/>
              <w:ind w:firstLine="480"/>
              <w:jc w:val="left"/>
              <w:rPr>
                <w:rFonts w:hint="eastAsia" w:ascii="宋体" w:hAnsi="宋体" w:eastAsia="宋体" w:cs="宋体"/>
                <w:color w:val="auto"/>
                <w:sz w:val="24"/>
                <w:highlight w:val="none"/>
              </w:rPr>
            </w:pPr>
          </w:p>
          <w:p>
            <w:pPr>
              <w:pStyle w:val="39"/>
              <w:spacing w:line="240" w:lineRule="auto"/>
              <w:ind w:firstLine="480"/>
              <w:jc w:val="left"/>
              <w:rPr>
                <w:rFonts w:hint="eastAsia" w:ascii="宋体" w:hAnsi="宋体" w:eastAsia="宋体" w:cs="宋体"/>
                <w:color w:val="auto"/>
                <w:sz w:val="24"/>
                <w:highlight w:val="none"/>
              </w:rPr>
            </w:pPr>
          </w:p>
          <w:p>
            <w:pPr>
              <w:pStyle w:val="39"/>
              <w:spacing w:line="240" w:lineRule="auto"/>
              <w:ind w:firstLine="480"/>
              <w:jc w:val="left"/>
              <w:rPr>
                <w:rFonts w:hint="eastAsia" w:ascii="宋体" w:hAnsi="宋体" w:eastAsia="宋体" w:cs="宋体"/>
                <w:color w:val="auto"/>
                <w:sz w:val="24"/>
                <w:highlight w:val="none"/>
              </w:rPr>
            </w:pPr>
          </w:p>
          <w:p>
            <w:pPr>
              <w:pStyle w:val="39"/>
              <w:spacing w:before="15" w:line="240" w:lineRule="auto"/>
              <w:ind w:firstLine="480"/>
              <w:jc w:val="left"/>
              <w:rPr>
                <w:rFonts w:hint="eastAsia" w:ascii="宋体" w:hAnsi="宋体" w:eastAsia="宋体" w:cs="宋体"/>
                <w:color w:val="auto"/>
                <w:sz w:val="24"/>
                <w:highlight w:val="none"/>
              </w:rPr>
            </w:pPr>
          </w:p>
          <w:p>
            <w:pPr>
              <w:pStyle w:val="39"/>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注：业绩证明应提供旁证材料</w:t>
            </w:r>
          </w:p>
          <w:p>
            <w:pPr>
              <w:pStyle w:val="39"/>
              <w:spacing w:before="177"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（合同或中标通知书）。</w:t>
            </w: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39"/>
              <w:spacing w:before="118" w:line="240" w:lineRule="auto"/>
              <w:ind w:right="1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年龄</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ind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39"/>
              <w:spacing w:before="116" w:line="240" w:lineRule="auto"/>
              <w:ind w:right="1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职称</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ind w:firstLine="480"/>
              <w:rPr>
                <w:rFonts w:hint="eastAsia" w:ascii="宋体" w:hAnsi="宋体" w:eastAsia="宋体" w:cs="宋体"/>
                <w:color w:val="auto"/>
                <w:highlight w:val="none"/>
              </w:rPr>
            </w:pPr>
          </w:p>
        </w:tc>
      </w:tr>
      <w:tr>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39"/>
              <w:spacing w:before="117"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毕业时间</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ind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39"/>
              <w:spacing w:before="118"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学校专业</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ind w:firstLine="480"/>
              <w:rPr>
                <w:rFonts w:hint="eastAsia" w:ascii="宋体" w:hAnsi="宋体" w:eastAsia="宋体" w:cs="宋体"/>
                <w:color w:val="auto"/>
                <w:highlight w:val="none"/>
              </w:rPr>
            </w:pPr>
          </w:p>
        </w:tc>
      </w:tr>
      <w:tr>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39"/>
              <w:spacing w:before="118"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联系电话</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ind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39"/>
              <w:spacing w:before="116"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最近一年工作状况</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4377" w:type="dxa"/>
            <w:vMerge w:val="continue"/>
            <w:tcBorders>
              <w:left w:val="single" w:color="000000" w:sz="4" w:space="0"/>
              <w:bottom w:val="single" w:color="000000" w:sz="4" w:space="0"/>
              <w:right w:val="single" w:color="000000" w:sz="12" w:space="0"/>
            </w:tcBorders>
            <w:noWrap w:val="0"/>
            <w:vAlign w:val="top"/>
          </w:tcPr>
          <w:p>
            <w:pPr>
              <w:ind w:firstLine="480"/>
              <w:rPr>
                <w:rFonts w:hint="eastAsia" w:ascii="宋体" w:hAnsi="宋体" w:eastAsia="宋体" w:cs="宋体"/>
                <w:color w:val="auto"/>
                <w:highlight w:val="none"/>
              </w:rPr>
            </w:pPr>
          </w:p>
        </w:tc>
      </w:tr>
      <w:tr>
        <w:trPr>
          <w:trHeight w:val="1101" w:hRule="exact"/>
        </w:trPr>
        <w:tc>
          <w:tcPr>
            <w:tcW w:w="1974" w:type="dxa"/>
            <w:tcBorders>
              <w:top w:val="single" w:color="000000" w:sz="4" w:space="0"/>
              <w:left w:val="single" w:color="000000" w:sz="12" w:space="0"/>
              <w:bottom w:val="single" w:color="000000" w:sz="12" w:space="0"/>
              <w:right w:val="single" w:color="000000" w:sz="4" w:space="0"/>
            </w:tcBorders>
            <w:noWrap w:val="0"/>
            <w:vAlign w:val="center"/>
          </w:tcPr>
          <w:p>
            <w:pPr>
              <w:pStyle w:val="39"/>
              <w:spacing w:line="319" w:lineRule="exact"/>
              <w:ind w:right="7"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拟在本项目中担任</w:t>
            </w:r>
          </w:p>
          <w:p>
            <w:pPr>
              <w:pStyle w:val="39"/>
              <w:spacing w:before="177" w:line="240" w:lineRule="auto"/>
              <w:ind w:right="7"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主要工作</w:t>
            </w:r>
          </w:p>
        </w:tc>
        <w:tc>
          <w:tcPr>
            <w:tcW w:w="7344" w:type="dxa"/>
            <w:gridSpan w:val="2"/>
            <w:tcBorders>
              <w:top w:val="single" w:color="000000" w:sz="4" w:space="0"/>
              <w:left w:val="single" w:color="000000" w:sz="4" w:space="0"/>
              <w:bottom w:val="single" w:color="000000" w:sz="12" w:space="0"/>
              <w:right w:val="single" w:color="000000" w:sz="12" w:space="0"/>
            </w:tcBorders>
            <w:noWrap w:val="0"/>
            <w:vAlign w:val="top"/>
          </w:tcPr>
          <w:p>
            <w:pPr>
              <w:ind w:firstLine="480"/>
              <w:rPr>
                <w:rFonts w:hint="eastAsia" w:ascii="宋体" w:hAnsi="宋体" w:eastAsia="宋体" w:cs="宋体"/>
                <w:color w:val="auto"/>
                <w:highlight w:val="none"/>
              </w:rPr>
            </w:pPr>
          </w:p>
        </w:tc>
      </w:tr>
    </w:tbl>
    <w:p>
      <w:pPr>
        <w:spacing w:before="11" w:line="240" w:lineRule="auto"/>
        <w:ind w:firstLine="120"/>
        <w:rPr>
          <w:rFonts w:hint="eastAsia" w:ascii="宋体" w:hAnsi="宋体" w:eastAsia="宋体" w:cs="宋体"/>
          <w:color w:val="auto"/>
          <w:sz w:val="6"/>
          <w:szCs w:val="6"/>
          <w:highlight w:val="none"/>
        </w:rPr>
      </w:pPr>
    </w:p>
    <w:p>
      <w:pPr>
        <w:pStyle w:val="10"/>
        <w:spacing w:line="355" w:lineRule="exact"/>
        <w:ind w:firstLine="1200" w:firstLineChars="500"/>
        <w:rPr>
          <w:rFonts w:hint="eastAsia" w:ascii="宋体" w:hAnsi="宋体" w:eastAsia="宋体" w:cs="宋体"/>
          <w:color w:val="auto"/>
          <w:highlight w:val="none"/>
        </w:rPr>
      </w:pPr>
      <w:r>
        <w:rPr>
          <w:rFonts w:hint="eastAsia" w:ascii="宋体" w:hAnsi="宋体" w:eastAsia="宋体" w:cs="宋体"/>
          <w:color w:val="auto"/>
          <w:highlight w:val="none"/>
        </w:rPr>
        <w:t>投标人名称（盖公章）：</w:t>
      </w:r>
    </w:p>
    <w:p>
      <w:pPr>
        <w:pStyle w:val="10"/>
        <w:tabs>
          <w:tab w:val="left" w:pos="1869"/>
        </w:tabs>
        <w:spacing w:before="209" w:line="362" w:lineRule="auto"/>
        <w:ind w:left="1241" w:leftChars="477" w:right="5105" w:hanging="240" w:hangingChars="1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法定代表人或代理人（签字或盖章）： </w:t>
      </w:r>
    </w:p>
    <w:p>
      <w:pPr>
        <w:pStyle w:val="10"/>
        <w:tabs>
          <w:tab w:val="left" w:pos="1869"/>
        </w:tabs>
        <w:spacing w:before="209" w:line="362" w:lineRule="auto"/>
        <w:ind w:left="669" w:right="5105" w:firstLine="1200" w:firstLineChars="500"/>
        <w:rPr>
          <w:rFonts w:hint="eastAsia" w:ascii="宋体" w:hAnsi="宋体" w:eastAsia="宋体" w:cs="宋体"/>
          <w:color w:val="auto"/>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p>
    <w:p>
      <w:pPr>
        <w:tabs>
          <w:tab w:val="left" w:pos="720"/>
          <w:tab w:val="left" w:pos="1140"/>
        </w:tabs>
        <w:autoSpaceDE w:val="0"/>
        <w:autoSpaceDN w:val="0"/>
        <w:adjustRightInd w:val="0"/>
        <w:spacing w:line="360" w:lineRule="auto"/>
        <w:ind w:firstLine="0" w:firstLineChars="0"/>
        <w:rPr>
          <w:rFonts w:hint="eastAsia" w:ascii="宋体" w:hAnsi="宋体" w:eastAsia="宋体" w:cs="宋体"/>
          <w:b/>
          <w:bCs/>
          <w:color w:val="auto"/>
          <w:sz w:val="28"/>
          <w:szCs w:val="28"/>
          <w:highlight w:val="none"/>
          <w:lang w:val="zh-CN"/>
        </w:rPr>
      </w:pPr>
    </w:p>
    <w:p>
      <w:pPr>
        <w:pStyle w:val="44"/>
        <w:rPr>
          <w:rFonts w:hint="eastAsia" w:ascii="宋体" w:hAnsi="宋体" w:eastAsia="宋体" w:cs="宋体"/>
          <w:color w:val="auto"/>
          <w:highlight w:val="none"/>
        </w:rPr>
      </w:pPr>
    </w:p>
    <w:p>
      <w:pPr>
        <w:spacing w:line="360" w:lineRule="auto"/>
        <w:ind w:firstLine="0" w:firstLineChars="0"/>
        <w:jc w:val="center"/>
        <w:rPr>
          <w:rFonts w:hint="eastAsia" w:ascii="宋体" w:hAnsi="宋体" w:eastAsia="宋体" w:cs="宋体"/>
          <w:b/>
          <w:color w:val="auto"/>
          <w:sz w:val="36"/>
          <w:szCs w:val="36"/>
          <w:highlight w:val="none"/>
        </w:rPr>
      </w:pPr>
    </w:p>
    <w:p>
      <w:pPr>
        <w:spacing w:line="360" w:lineRule="auto"/>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项目实施人员一览表</w:t>
      </w:r>
    </w:p>
    <w:tbl>
      <w:tblPr>
        <w:tblStyle w:val="27"/>
        <w:tblW w:w="0" w:type="auto"/>
        <w:tblInd w:w="-185" w:type="dxa"/>
        <w:tblLayout w:type="fixed"/>
        <w:tblCellMar>
          <w:top w:w="0" w:type="dxa"/>
          <w:left w:w="0" w:type="dxa"/>
          <w:bottom w:w="0" w:type="dxa"/>
          <w:right w:w="0" w:type="dxa"/>
        </w:tblCellMar>
      </w:tblPr>
      <w:tblGrid>
        <w:gridCol w:w="690"/>
        <w:gridCol w:w="1530"/>
        <w:gridCol w:w="660"/>
        <w:gridCol w:w="810"/>
        <w:gridCol w:w="1545"/>
        <w:gridCol w:w="1215"/>
        <w:gridCol w:w="1305"/>
        <w:gridCol w:w="1929"/>
      </w:tblGrid>
      <w:tr>
        <w:tblPrEx>
          <w:tblCellMar>
            <w:top w:w="0" w:type="dxa"/>
            <w:left w:w="0" w:type="dxa"/>
            <w:bottom w:w="0" w:type="dxa"/>
            <w:right w:w="0" w:type="dxa"/>
          </w:tblCellMar>
        </w:tblPrEx>
        <w:trPr>
          <w:trHeight w:val="1451" w:hRule="exac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57"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57"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姓名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职务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职责</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57"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专业技术资格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证书编号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57"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参加本单位工作时间</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劳动合同编号</w:t>
            </w:r>
          </w:p>
        </w:tc>
      </w:tr>
      <w:tr>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r>
      <w:tr>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r>
      <w:tr>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r>
      <w:tr>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eastAsia="宋体" w:cs="宋体"/>
                <w:color w:val="auto"/>
                <w:highlight w:val="none"/>
              </w:rPr>
            </w:pPr>
          </w:p>
        </w:tc>
      </w:tr>
    </w:tbl>
    <w:p>
      <w:pPr>
        <w:spacing w:before="7" w:line="240" w:lineRule="auto"/>
        <w:ind w:firstLine="140"/>
        <w:rPr>
          <w:rFonts w:hint="eastAsia" w:ascii="宋体" w:hAnsi="宋体" w:eastAsia="宋体" w:cs="宋体"/>
          <w:color w:val="auto"/>
          <w:sz w:val="7"/>
          <w:szCs w:val="7"/>
          <w:highlight w:val="none"/>
        </w:rPr>
      </w:pPr>
    </w:p>
    <w:p>
      <w:pPr>
        <w:spacing w:line="323" w:lineRule="exact"/>
        <w:ind w:left="212" w:right="345" w:firstLine="482"/>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p>
    <w:p>
      <w:pPr>
        <w:ind w:left="651" w:right="345" w:firstLine="482"/>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在填写时，如本表格不适合投标人的实际情况，可根据本表格式自行划表填写。</w:t>
      </w:r>
    </w:p>
    <w:p>
      <w:pPr>
        <w:ind w:left="637" w:right="345"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2.附人员证书及社保证明复印件；</w:t>
      </w:r>
    </w:p>
    <w:p>
      <w:pPr>
        <w:pStyle w:val="10"/>
        <w:tabs>
          <w:tab w:val="left" w:pos="1839"/>
        </w:tabs>
        <w:spacing w:line="363" w:lineRule="auto"/>
        <w:ind w:firstLine="5280" w:firstLineChars="2200"/>
        <w:rPr>
          <w:rFonts w:hint="eastAsia" w:ascii="宋体" w:hAnsi="宋体" w:eastAsia="宋体" w:cs="宋体"/>
          <w:color w:val="auto"/>
          <w:sz w:val="24"/>
          <w:szCs w:val="24"/>
          <w:highlight w:val="none"/>
        </w:rPr>
      </w:pPr>
    </w:p>
    <w:p>
      <w:pPr>
        <w:pStyle w:val="10"/>
        <w:tabs>
          <w:tab w:val="left" w:pos="1839"/>
        </w:tabs>
        <w:spacing w:line="363"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投标人名称（盖公章）： </w:t>
      </w:r>
    </w:p>
    <w:p>
      <w:pPr>
        <w:pStyle w:val="10"/>
        <w:tabs>
          <w:tab w:val="left" w:pos="1839"/>
        </w:tabs>
        <w:spacing w:line="363" w:lineRule="auto"/>
        <w:ind w:left="640"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法定代表人或代理人（签字或盖章）：</w:t>
      </w:r>
    </w:p>
    <w:p>
      <w:pPr>
        <w:pStyle w:val="10"/>
        <w:tabs>
          <w:tab w:val="left" w:pos="1839"/>
        </w:tabs>
        <w:spacing w:line="363" w:lineRule="auto"/>
        <w:ind w:left="640"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期：</w:t>
      </w:r>
    </w:p>
    <w:p>
      <w:pPr>
        <w:tabs>
          <w:tab w:val="left" w:pos="720"/>
          <w:tab w:val="left" w:pos="1140"/>
        </w:tabs>
        <w:autoSpaceDE w:val="0"/>
        <w:autoSpaceDN w:val="0"/>
        <w:adjustRightInd w:val="0"/>
        <w:spacing w:line="360" w:lineRule="auto"/>
        <w:ind w:firstLine="0" w:firstLineChars="0"/>
        <w:rPr>
          <w:rFonts w:hint="eastAsia" w:ascii="宋体" w:hAnsi="宋体" w:eastAsia="宋体" w:cs="宋体"/>
          <w:b/>
          <w:bCs/>
          <w:color w:val="auto"/>
          <w:sz w:val="28"/>
          <w:szCs w:val="28"/>
          <w:highlight w:val="none"/>
          <w:lang w:val="zh-CN"/>
        </w:rPr>
      </w:pPr>
    </w:p>
    <w:p>
      <w:pPr>
        <w:tabs>
          <w:tab w:val="left" w:pos="720"/>
          <w:tab w:val="left" w:pos="1140"/>
        </w:tabs>
        <w:autoSpaceDE w:val="0"/>
        <w:autoSpaceDN w:val="0"/>
        <w:adjustRightInd w:val="0"/>
        <w:spacing w:line="360" w:lineRule="auto"/>
        <w:ind w:firstLine="0" w:firstLineChars="0"/>
        <w:rPr>
          <w:rFonts w:hint="eastAsia" w:ascii="宋体" w:hAnsi="宋体" w:eastAsia="宋体" w:cs="宋体"/>
          <w:b/>
          <w:bCs/>
          <w:color w:val="auto"/>
          <w:sz w:val="28"/>
          <w:szCs w:val="28"/>
          <w:highlight w:val="none"/>
          <w:lang w:val="zh-CN"/>
        </w:rPr>
      </w:pPr>
    </w:p>
    <w:p>
      <w:pPr>
        <w:tabs>
          <w:tab w:val="left" w:pos="720"/>
          <w:tab w:val="left" w:pos="1140"/>
        </w:tabs>
        <w:autoSpaceDE w:val="0"/>
        <w:autoSpaceDN w:val="0"/>
        <w:adjustRightInd w:val="0"/>
        <w:spacing w:line="360" w:lineRule="auto"/>
        <w:ind w:firstLine="0" w:firstLineChars="0"/>
        <w:rPr>
          <w:rFonts w:hint="eastAsia" w:ascii="宋体" w:hAnsi="宋体" w:eastAsia="宋体" w:cs="宋体"/>
          <w:b/>
          <w:bCs/>
          <w:color w:val="auto"/>
          <w:sz w:val="28"/>
          <w:szCs w:val="28"/>
          <w:highlight w:val="none"/>
          <w:lang w:val="zh-CN"/>
        </w:rPr>
      </w:pPr>
    </w:p>
    <w:p>
      <w:pPr>
        <w:pStyle w:val="13"/>
        <w:rPr>
          <w:rFonts w:hint="eastAsia" w:ascii="宋体" w:hAnsi="宋体" w:eastAsia="宋体" w:cs="宋体"/>
          <w:b/>
          <w:bCs/>
          <w:color w:val="auto"/>
          <w:sz w:val="28"/>
          <w:szCs w:val="28"/>
          <w:highlight w:val="none"/>
          <w:lang w:val="zh-CN"/>
        </w:rPr>
      </w:pPr>
    </w:p>
    <w:p>
      <w:pPr>
        <w:pStyle w:val="26"/>
        <w:rPr>
          <w:rFonts w:hint="eastAsia" w:ascii="宋体" w:hAnsi="宋体" w:eastAsia="宋体" w:cs="宋体"/>
          <w:b/>
          <w:bCs/>
          <w:color w:val="auto"/>
          <w:sz w:val="28"/>
          <w:szCs w:val="28"/>
          <w:highlight w:val="none"/>
          <w:lang w:val="zh-CN"/>
        </w:rPr>
      </w:pPr>
    </w:p>
    <w:p>
      <w:pPr>
        <w:pStyle w:val="26"/>
        <w:rPr>
          <w:rFonts w:hint="eastAsia" w:ascii="宋体" w:hAnsi="宋体" w:eastAsia="宋体" w:cs="宋体"/>
          <w:b/>
          <w:bCs/>
          <w:color w:val="auto"/>
          <w:sz w:val="28"/>
          <w:szCs w:val="28"/>
          <w:highlight w:val="none"/>
          <w:lang w:val="zh-CN"/>
        </w:rPr>
      </w:pPr>
    </w:p>
    <w:p>
      <w:pPr>
        <w:pStyle w:val="17"/>
        <w:snapToGrid w:val="0"/>
        <w:spacing w:line="360" w:lineRule="auto"/>
        <w:ind w:left="0" w:leftChars="0"/>
        <w:jc w:val="left"/>
        <w:rPr>
          <w:rFonts w:hint="eastAsia" w:ascii="宋体" w:hAnsi="宋体" w:eastAsia="宋体" w:cs="宋体"/>
          <w:b/>
          <w:sz w:val="24"/>
          <w:lang w:val="en-US" w:eastAsia="zh-CN"/>
        </w:rPr>
      </w:pPr>
    </w:p>
    <w:p>
      <w:pPr>
        <w:pStyle w:val="17"/>
        <w:snapToGrid w:val="0"/>
        <w:spacing w:line="360" w:lineRule="auto"/>
        <w:ind w:left="0" w:leftChars="0"/>
        <w:jc w:val="left"/>
        <w:rPr>
          <w:rFonts w:hint="eastAsia" w:ascii="宋体" w:hAnsi="宋体" w:eastAsia="宋体" w:cs="宋体"/>
          <w:sz w:val="24"/>
        </w:rPr>
      </w:pPr>
      <w:r>
        <w:rPr>
          <w:rFonts w:hint="eastAsia" w:ascii="宋体" w:hAnsi="宋体" w:eastAsia="宋体" w:cs="宋体"/>
          <w:b/>
          <w:sz w:val="24"/>
        </w:rPr>
        <w:t>报价文件目录</w:t>
      </w:r>
    </w:p>
    <w:p>
      <w:pPr>
        <w:tabs>
          <w:tab w:val="left" w:pos="4018"/>
        </w:tabs>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（1）投标函（格式附后）；</w:t>
      </w:r>
    </w:p>
    <w:p>
      <w:pPr>
        <w:tabs>
          <w:tab w:val="left" w:pos="4018"/>
        </w:tabs>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（2）开标一览表（格式附后）；</w:t>
      </w:r>
    </w:p>
    <w:p>
      <w:pPr>
        <w:tabs>
          <w:tab w:val="left" w:pos="4018"/>
        </w:tabs>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（3）投标报价明细表（格式附后）；</w:t>
      </w:r>
    </w:p>
    <w:p>
      <w:pPr>
        <w:tabs>
          <w:tab w:val="left" w:pos="4018"/>
        </w:tabs>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（4）投标人针对报价需要说明的其他文件和说明（格式自拟）。</w:t>
      </w:r>
    </w:p>
    <w:p>
      <w:pPr>
        <w:pStyle w:val="15"/>
        <w:snapToGrid w:val="0"/>
        <w:spacing w:before="0" w:after="120" w:line="240" w:lineRule="auto"/>
        <w:rPr>
          <w:rFonts w:hint="eastAsia" w:ascii="宋体" w:hAnsi="宋体" w:eastAsia="宋体" w:cs="宋体"/>
          <w:sz w:val="32"/>
          <w:szCs w:val="32"/>
        </w:rPr>
      </w:pPr>
    </w:p>
    <w:p>
      <w:pPr>
        <w:pStyle w:val="15"/>
        <w:snapToGrid w:val="0"/>
        <w:spacing w:before="0" w:after="120" w:line="240" w:lineRule="auto"/>
        <w:rPr>
          <w:rFonts w:hint="eastAsia" w:ascii="宋体" w:hAnsi="宋体" w:eastAsia="宋体" w:cs="宋体"/>
          <w:sz w:val="32"/>
          <w:szCs w:val="32"/>
        </w:rPr>
      </w:pPr>
    </w:p>
    <w:p>
      <w:pPr>
        <w:pStyle w:val="15"/>
        <w:snapToGrid w:val="0"/>
        <w:spacing w:before="0" w:after="120" w:line="240" w:lineRule="auto"/>
        <w:rPr>
          <w:rFonts w:hint="eastAsia" w:ascii="宋体" w:hAnsi="宋体" w:eastAsia="宋体" w:cs="宋体"/>
          <w:sz w:val="32"/>
          <w:szCs w:val="32"/>
        </w:rPr>
      </w:pPr>
    </w:p>
    <w:p>
      <w:pPr>
        <w:pStyle w:val="15"/>
        <w:snapToGrid w:val="0"/>
        <w:spacing w:before="0" w:after="120" w:line="240" w:lineRule="auto"/>
        <w:rPr>
          <w:rFonts w:hint="eastAsia" w:ascii="宋体" w:hAnsi="宋体" w:eastAsia="宋体" w:cs="宋体"/>
          <w:sz w:val="32"/>
          <w:szCs w:val="32"/>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rPr>
          <w:rFonts w:hint="eastAsia" w:ascii="宋体" w:hAnsi="宋体" w:eastAsia="宋体" w:cs="宋体"/>
          <w:b/>
          <w:color w:val="000000"/>
          <w:sz w:val="24"/>
        </w:rPr>
      </w:pPr>
      <w:r>
        <w:rPr>
          <w:rFonts w:hint="eastAsia" w:ascii="宋体" w:hAnsi="宋体" w:eastAsia="宋体" w:cs="宋体"/>
          <w:b/>
          <w:color w:val="000000"/>
          <w:sz w:val="24"/>
        </w:rPr>
        <w:br w:type="page"/>
      </w:r>
    </w:p>
    <w:p>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投 标 函</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根据贵方为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项目的招标公告/投标邀请书</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），签字代表</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（全名）经正式授权并代表投标人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（投标人名称）提交资格证明文件、商务技术文件、报价文件正本各一份、副本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份。</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据此函，签字代表宣布同意如下：</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投标人已详细审查全部“招标文件”，包括修改、澄清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3.本投标有效期自开标日起 ______个日历日。</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5.投标人同意按照贵方要求提供与投标有关的一切数据或资料。</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6.与本投标有关的一切正式往来信函请寄：</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邮编：__________   电话：______________</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传真：______________投标人代表姓名 ___________  职务：_____________</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投标人名称(公章)</w:t>
      </w:r>
      <w:r>
        <w:rPr>
          <w:rFonts w:hint="eastAsia" w:ascii="宋体" w:hAnsi="宋体" w:cs="宋体"/>
          <w:color w:val="000000"/>
          <w:sz w:val="24"/>
          <w:lang w:eastAsia="zh-CN"/>
        </w:rPr>
        <w:t>：</w:t>
      </w:r>
      <w:r>
        <w:rPr>
          <w:rFonts w:hint="eastAsia" w:ascii="宋体" w:hAnsi="宋体" w:eastAsia="宋体" w:cs="宋体"/>
          <w:color w:val="000000"/>
          <w:sz w:val="24"/>
        </w:rPr>
        <w:t>___________________</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银行帐号：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法定代表人或授权委托人签字</w:t>
      </w:r>
      <w:r>
        <w:rPr>
          <w:rFonts w:hint="eastAsia" w:ascii="宋体" w:hAnsi="宋体" w:cs="宋体"/>
          <w:color w:val="000000"/>
          <w:sz w:val="24"/>
          <w:lang w:eastAsia="zh-CN"/>
        </w:rPr>
        <w:t>：</w:t>
      </w:r>
      <w:r>
        <w:rPr>
          <w:rFonts w:hint="eastAsia" w:ascii="宋体" w:hAnsi="宋体" w:eastAsia="宋体" w:cs="宋体"/>
          <w:color w:val="000000"/>
          <w:sz w:val="24"/>
        </w:rPr>
        <w:t xml:space="preserve">___________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日期</w:t>
      </w:r>
      <w:r>
        <w:rPr>
          <w:rFonts w:hint="eastAsia" w:ascii="宋体" w:hAnsi="宋体" w:cs="宋体"/>
          <w:color w:val="000000"/>
          <w:sz w:val="24"/>
          <w:lang w:eastAsia="zh-CN"/>
        </w:rPr>
        <w:t>：</w:t>
      </w:r>
      <w:r>
        <w:rPr>
          <w:rFonts w:hint="eastAsia" w:ascii="宋体" w:hAnsi="宋体" w:eastAsia="宋体" w:cs="宋体"/>
          <w:color w:val="000000"/>
          <w:sz w:val="24"/>
        </w:rPr>
        <w:t>_____年___月___日</w:t>
      </w: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240" w:lineRule="auto"/>
        <w:rPr>
          <w:rFonts w:hint="eastAsia" w:ascii="宋体" w:hAnsi="宋体" w:eastAsia="宋体" w:cs="宋体"/>
          <w:sz w:val="30"/>
          <w:szCs w:val="30"/>
        </w:rPr>
      </w:pPr>
    </w:p>
    <w:p>
      <w:pPr>
        <w:pStyle w:val="15"/>
        <w:snapToGrid w:val="0"/>
        <w:spacing w:before="0" w:after="120" w:line="440" w:lineRule="exact"/>
        <w:rPr>
          <w:rFonts w:hint="eastAsia" w:ascii="宋体" w:hAnsi="宋体" w:eastAsia="宋体" w:cs="宋体"/>
          <w:b/>
          <w:sz w:val="32"/>
          <w:szCs w:val="32"/>
        </w:rPr>
      </w:pPr>
    </w:p>
    <w:p>
      <w:pPr>
        <w:pStyle w:val="15"/>
        <w:snapToGrid w:val="0"/>
        <w:spacing w:before="0" w:after="120" w:line="440" w:lineRule="exact"/>
        <w:rPr>
          <w:rFonts w:hint="eastAsia" w:ascii="宋体" w:hAnsi="宋体" w:eastAsia="宋体" w:cs="宋体"/>
          <w:b/>
          <w:sz w:val="32"/>
          <w:szCs w:val="32"/>
        </w:rPr>
      </w:pPr>
    </w:p>
    <w:p>
      <w:pPr>
        <w:spacing w:line="360" w:lineRule="auto"/>
        <w:rPr>
          <w:rFonts w:hint="eastAsia" w:ascii="宋体" w:hAnsi="宋体" w:eastAsia="宋体" w:cs="宋体"/>
          <w:b/>
          <w:sz w:val="32"/>
          <w:szCs w:val="32"/>
        </w:rPr>
      </w:pPr>
    </w:p>
    <w:p>
      <w:pPr>
        <w:pStyle w:val="13"/>
        <w:rPr>
          <w:rFonts w:hint="eastAsia"/>
        </w:rPr>
      </w:pPr>
    </w:p>
    <w:p>
      <w:pPr>
        <w:spacing w:line="360" w:lineRule="auto"/>
        <w:jc w:val="center"/>
        <w:rPr>
          <w:rFonts w:hint="eastAsia" w:ascii="宋体" w:hAnsi="宋体" w:eastAsia="宋体" w:cs="宋体"/>
          <w:b/>
          <w:sz w:val="24"/>
        </w:rPr>
      </w:pPr>
      <w:r>
        <w:rPr>
          <w:rFonts w:hint="eastAsia" w:ascii="宋体" w:hAnsi="宋体" w:eastAsia="宋体" w:cs="宋体"/>
          <w:b/>
          <w:sz w:val="24"/>
        </w:rPr>
        <w:t>开标一览表</w:t>
      </w:r>
    </w:p>
    <w:p>
      <w:pPr>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项目编号：</w:t>
      </w:r>
      <w:r>
        <w:rPr>
          <w:rFonts w:hint="eastAsia" w:ascii="宋体" w:hAnsi="宋体" w:cs="宋体"/>
          <w:sz w:val="24"/>
          <w:u w:val="single"/>
          <w:lang w:val="en-US" w:eastAsia="zh-CN"/>
        </w:rPr>
        <w:t xml:space="preserve">               </w:t>
      </w:r>
      <w:r>
        <w:rPr>
          <w:rFonts w:hint="eastAsia" w:ascii="宋体" w:hAnsi="宋体" w:eastAsia="宋体" w:cs="宋体"/>
          <w:sz w:val="24"/>
        </w:rPr>
        <w:t xml:space="preserve">         </w:t>
      </w:r>
    </w:p>
    <w:p>
      <w:pPr>
        <w:spacing w:line="360" w:lineRule="exact"/>
        <w:rPr>
          <w:rFonts w:hint="eastAsia" w:ascii="宋体" w:hAnsi="宋体" w:eastAsia="宋体" w:cs="宋体"/>
          <w:sz w:val="24"/>
        </w:rPr>
      </w:pPr>
      <w:r>
        <w:rPr>
          <w:rFonts w:hint="eastAsia" w:ascii="宋体" w:hAnsi="宋体" w:eastAsia="宋体" w:cs="宋体"/>
          <w:sz w:val="24"/>
        </w:rPr>
        <w:t xml:space="preserve">                                                     单位：元</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8"/>
        <w:gridCol w:w="3968"/>
        <w:gridCol w:w="850"/>
        <w:gridCol w:w="1134"/>
        <w:gridCol w:w="2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39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单位</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hint="eastAsia" w:ascii="宋体" w:hAnsi="宋体" w:eastAsia="宋体" w:cs="宋体"/>
                <w:bCs/>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000000"/>
                <w:sz w:val="24"/>
              </w:rPr>
            </w:pPr>
          </w:p>
        </w:tc>
        <w:tc>
          <w:tcPr>
            <w:tcW w:w="2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79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eastAsia="宋体" w:cs="宋体"/>
                <w:color w:val="000000"/>
                <w:sz w:val="24"/>
              </w:rPr>
            </w:pPr>
            <w:r>
              <w:rPr>
                <w:rFonts w:hint="eastAsia" w:ascii="宋体" w:hAnsi="宋体" w:eastAsia="宋体" w:cs="宋体"/>
                <w:color w:val="000000"/>
                <w:spacing w:val="20"/>
                <w:sz w:val="24"/>
              </w:rPr>
              <w:t>投标总价（元）：</w:t>
            </w:r>
          </w:p>
        </w:tc>
      </w:tr>
    </w:tbl>
    <w:p>
      <w:pPr>
        <w:spacing w:line="360" w:lineRule="auto"/>
        <w:rPr>
          <w:rFonts w:hint="eastAsia" w:ascii="宋体" w:hAnsi="宋体" w:eastAsia="宋体" w:cs="宋体"/>
          <w:sz w:val="24"/>
        </w:rPr>
      </w:pP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 xml:space="preserve">注:  </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1.报价一经涂改，应在涂改处加盖单位公章或者由法定代表人或授权委托人签字或盖章，否则其投标作无效标处理。</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2.报价文件应包括开标一览表。</w:t>
      </w:r>
    </w:p>
    <w:p>
      <w:pPr>
        <w:tabs>
          <w:tab w:val="left" w:pos="9180"/>
        </w:tabs>
        <w:spacing w:line="360" w:lineRule="auto"/>
        <w:ind w:firstLine="480" w:firstLineChars="200"/>
        <w:rPr>
          <w:rFonts w:hint="eastAsia" w:ascii="宋体" w:hAnsi="宋体" w:eastAsia="宋体" w:cs="宋体"/>
          <w:sz w:val="24"/>
        </w:rPr>
      </w:pPr>
      <w:r>
        <w:rPr>
          <w:rFonts w:hint="eastAsia" w:ascii="宋体" w:hAnsi="宋体" w:eastAsia="宋体" w:cs="宋体"/>
          <w:b/>
          <w:sz w:val="24"/>
        </w:rPr>
        <w:t>3.</w:t>
      </w:r>
      <w:r>
        <w:rPr>
          <w:rFonts w:hint="eastAsia" w:ascii="宋体" w:hAnsi="宋体" w:eastAsia="宋体" w:cs="宋体"/>
          <w:b/>
          <w:sz w:val="24"/>
          <w:u w:val="single"/>
        </w:rPr>
        <w:t>特别提醒：本表的商务报价内容不能出现在商务技术文件正副本中</w:t>
      </w:r>
      <w:r>
        <w:rPr>
          <w:rFonts w:hint="eastAsia" w:ascii="宋体" w:hAnsi="宋体" w:eastAsia="宋体" w:cs="宋体"/>
          <w:b/>
          <w:sz w:val="24"/>
        </w:rPr>
        <w:t>。</w:t>
      </w:r>
    </w:p>
    <w:p>
      <w:pPr>
        <w:snapToGrid w:val="0"/>
        <w:spacing w:line="360" w:lineRule="auto"/>
        <w:rPr>
          <w:rFonts w:hint="eastAsia" w:ascii="宋体" w:hAnsi="宋体" w:eastAsia="宋体" w:cs="宋体"/>
          <w:sz w:val="24"/>
        </w:rPr>
      </w:pPr>
    </w:p>
    <w:p>
      <w:pPr>
        <w:tabs>
          <w:tab w:val="left" w:pos="2310"/>
        </w:tabs>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投标人</w:t>
      </w:r>
      <w:r>
        <w:rPr>
          <w:rFonts w:hint="eastAsia" w:ascii="宋体" w:hAnsi="宋体" w:cs="宋体"/>
          <w:color w:val="000000"/>
          <w:sz w:val="24"/>
          <w:lang w:eastAsia="zh-CN"/>
        </w:rPr>
        <w:t>：</w:t>
      </w:r>
      <w:r>
        <w:rPr>
          <w:rFonts w:hint="eastAsia" w:ascii="宋体" w:hAnsi="宋体" w:eastAsia="宋体" w:cs="宋体"/>
          <w:color w:val="000000"/>
          <w:sz w:val="24"/>
        </w:rPr>
        <w:t>（盖章）</w:t>
      </w:r>
    </w:p>
    <w:p>
      <w:pPr>
        <w:tabs>
          <w:tab w:val="left" w:pos="5580"/>
        </w:tabs>
        <w:spacing w:line="360" w:lineRule="auto"/>
        <w:ind w:firstLine="600" w:firstLineChars="250"/>
        <w:rPr>
          <w:rFonts w:hint="eastAsia" w:ascii="宋体" w:hAnsi="宋体" w:eastAsia="宋体" w:cs="宋体"/>
          <w:color w:val="000000"/>
          <w:sz w:val="24"/>
        </w:rPr>
      </w:pPr>
    </w:p>
    <w:p>
      <w:pPr>
        <w:tabs>
          <w:tab w:val="left" w:pos="5580"/>
        </w:tabs>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法人或授权委托人：（签字）</w:t>
      </w:r>
    </w:p>
    <w:p>
      <w:pPr>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rPr>
        <w:t xml:space="preserve">     日  期</w:t>
      </w:r>
      <w:r>
        <w:rPr>
          <w:rFonts w:hint="eastAsia" w:ascii="宋体" w:hAnsi="宋体" w:cs="宋体"/>
          <w:color w:val="000000"/>
          <w:sz w:val="24"/>
          <w:lang w:eastAsia="zh-CN"/>
        </w:rPr>
        <w:t>：</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pStyle w:val="13"/>
        <w:rPr>
          <w:rFonts w:hint="eastAsia" w:ascii="宋体" w:hAnsi="宋体" w:eastAsia="宋体" w:cs="宋体"/>
        </w:rPr>
      </w:pPr>
    </w:p>
    <w:p>
      <w:pPr>
        <w:pStyle w:val="26"/>
        <w:rPr>
          <w:rFonts w:hint="eastAsia" w:ascii="宋体" w:hAnsi="宋体" w:eastAsia="宋体" w:cs="宋体"/>
        </w:rPr>
      </w:pPr>
    </w:p>
    <w:p>
      <w:pPr>
        <w:pStyle w:val="26"/>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06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9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153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制造商名称</w:t>
            </w:r>
          </w:p>
        </w:tc>
        <w:tc>
          <w:tcPr>
            <w:tcW w:w="111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从业人员</w:t>
            </w:r>
            <w:r>
              <w:rPr>
                <w:rFonts w:hint="eastAsia" w:ascii="宋体" w:hAnsi="宋体" w:eastAsia="宋体" w:cs="宋体"/>
                <w:sz w:val="24"/>
                <w:szCs w:val="24"/>
                <w:lang w:eastAsia="zh-CN"/>
              </w:rPr>
              <w:t>数量</w:t>
            </w:r>
          </w:p>
        </w:tc>
        <w:tc>
          <w:tcPr>
            <w:tcW w:w="126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营业收入</w:t>
            </w:r>
            <w:r>
              <w:rPr>
                <w:rFonts w:hint="eastAsia" w:ascii="宋体" w:hAnsi="宋体" w:eastAsia="宋体" w:cs="宋体"/>
                <w:sz w:val="24"/>
                <w:szCs w:val="24"/>
                <w:lang w:eastAsia="zh-CN"/>
              </w:rPr>
              <w:t>（万元）</w:t>
            </w:r>
          </w:p>
        </w:tc>
        <w:tc>
          <w:tcPr>
            <w:tcW w:w="123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资产总额</w:t>
            </w:r>
            <w:r>
              <w:rPr>
                <w:rFonts w:hint="eastAsia" w:ascii="宋体" w:hAnsi="宋体" w:eastAsia="宋体" w:cs="宋体"/>
                <w:sz w:val="24"/>
                <w:szCs w:val="24"/>
                <w:lang w:eastAsia="zh-CN"/>
              </w:rPr>
              <w:t>（万元）</w:t>
            </w:r>
          </w:p>
        </w:tc>
        <w:tc>
          <w:tcPr>
            <w:tcW w:w="1739"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65" w:type="dxa"/>
            <w:vAlign w:val="center"/>
          </w:tcPr>
          <w:p>
            <w:pPr>
              <w:spacing w:line="360" w:lineRule="auto"/>
              <w:jc w:val="center"/>
              <w:rPr>
                <w:rFonts w:hint="eastAsia" w:ascii="宋体" w:hAnsi="宋体" w:eastAsia="宋体" w:cs="宋体"/>
                <w:sz w:val="24"/>
                <w:szCs w:val="24"/>
                <w:vertAlign w:val="baseline"/>
              </w:rPr>
            </w:pPr>
          </w:p>
        </w:tc>
        <w:tc>
          <w:tcPr>
            <w:tcW w:w="900" w:type="dxa"/>
            <w:vAlign w:val="center"/>
          </w:tcPr>
          <w:p>
            <w:pPr>
              <w:spacing w:line="360" w:lineRule="auto"/>
              <w:jc w:val="center"/>
              <w:rPr>
                <w:rFonts w:hint="eastAsia" w:ascii="宋体" w:hAnsi="宋体" w:eastAsia="宋体" w:cs="宋体"/>
                <w:sz w:val="24"/>
                <w:szCs w:val="24"/>
                <w:vertAlign w:val="baseline"/>
              </w:rPr>
            </w:pPr>
          </w:p>
        </w:tc>
        <w:tc>
          <w:tcPr>
            <w:tcW w:w="1530" w:type="dxa"/>
            <w:vAlign w:val="center"/>
          </w:tcPr>
          <w:p>
            <w:pPr>
              <w:spacing w:line="360" w:lineRule="auto"/>
              <w:jc w:val="center"/>
              <w:rPr>
                <w:rFonts w:hint="eastAsia" w:ascii="宋体" w:hAnsi="宋体" w:eastAsia="宋体" w:cs="宋体"/>
                <w:sz w:val="24"/>
                <w:szCs w:val="24"/>
                <w:vertAlign w:val="baseline"/>
              </w:rPr>
            </w:pPr>
          </w:p>
        </w:tc>
        <w:tc>
          <w:tcPr>
            <w:tcW w:w="1110" w:type="dxa"/>
            <w:vAlign w:val="center"/>
          </w:tcPr>
          <w:p>
            <w:pPr>
              <w:spacing w:line="360" w:lineRule="auto"/>
              <w:jc w:val="center"/>
              <w:rPr>
                <w:rFonts w:hint="eastAsia" w:ascii="宋体" w:hAnsi="宋体" w:eastAsia="宋体" w:cs="宋体"/>
                <w:sz w:val="24"/>
                <w:szCs w:val="24"/>
                <w:vertAlign w:val="baseline"/>
              </w:rPr>
            </w:pPr>
          </w:p>
        </w:tc>
        <w:tc>
          <w:tcPr>
            <w:tcW w:w="1260" w:type="dxa"/>
            <w:vAlign w:val="center"/>
          </w:tcPr>
          <w:p>
            <w:pPr>
              <w:spacing w:line="360" w:lineRule="auto"/>
              <w:jc w:val="center"/>
              <w:rPr>
                <w:rFonts w:hint="eastAsia" w:ascii="宋体" w:hAnsi="宋体" w:eastAsia="宋体" w:cs="宋体"/>
                <w:sz w:val="24"/>
                <w:szCs w:val="24"/>
                <w:vertAlign w:val="baseline"/>
              </w:rPr>
            </w:pPr>
          </w:p>
        </w:tc>
        <w:tc>
          <w:tcPr>
            <w:tcW w:w="1230" w:type="dxa"/>
            <w:vAlign w:val="center"/>
          </w:tcPr>
          <w:p>
            <w:pPr>
              <w:spacing w:line="360" w:lineRule="auto"/>
              <w:jc w:val="center"/>
              <w:rPr>
                <w:rFonts w:hint="eastAsia" w:ascii="宋体" w:hAnsi="宋体" w:eastAsia="宋体" w:cs="宋体"/>
                <w:sz w:val="24"/>
                <w:szCs w:val="24"/>
                <w:vertAlign w:val="baseline"/>
              </w:rPr>
            </w:pPr>
          </w:p>
        </w:tc>
        <w:tc>
          <w:tcPr>
            <w:tcW w:w="1739"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sym w:font="Wingdings" w:char="00A8"/>
            </w:r>
            <w:r>
              <w:rPr>
                <w:rFonts w:hint="eastAsia" w:ascii="宋体" w:hAnsi="宋体" w:eastAsia="宋体" w:cs="宋体"/>
                <w:sz w:val="24"/>
                <w:szCs w:val="24"/>
                <w:vertAlign w:val="baseline"/>
              </w:rPr>
              <w:t>中型企业</w:t>
            </w:r>
          </w:p>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sym w:font="Wingdings" w:char="00A8"/>
            </w:r>
            <w:r>
              <w:rPr>
                <w:rFonts w:hint="eastAsia" w:ascii="宋体" w:hAnsi="宋体" w:eastAsia="宋体" w:cs="宋体"/>
                <w:sz w:val="24"/>
                <w:szCs w:val="24"/>
                <w:vertAlign w:val="baseline"/>
              </w:rPr>
              <w:t>小型企业</w:t>
            </w:r>
          </w:p>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sym w:font="Wingdings" w:char="00A8"/>
            </w:r>
            <w:r>
              <w:rPr>
                <w:rFonts w:hint="eastAsia" w:ascii="宋体" w:hAnsi="宋体" w:eastAsia="宋体" w:cs="宋体"/>
                <w:sz w:val="24"/>
                <w:szCs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65" w:type="dxa"/>
            <w:vAlign w:val="center"/>
          </w:tcPr>
          <w:p>
            <w:pPr>
              <w:spacing w:line="360" w:lineRule="auto"/>
              <w:jc w:val="center"/>
              <w:rPr>
                <w:rFonts w:hint="eastAsia" w:ascii="宋体" w:hAnsi="宋体" w:eastAsia="宋体" w:cs="宋体"/>
                <w:sz w:val="24"/>
                <w:szCs w:val="24"/>
                <w:vertAlign w:val="baseline"/>
              </w:rPr>
            </w:pPr>
          </w:p>
        </w:tc>
        <w:tc>
          <w:tcPr>
            <w:tcW w:w="900" w:type="dxa"/>
            <w:vAlign w:val="center"/>
          </w:tcPr>
          <w:p>
            <w:pPr>
              <w:spacing w:line="360" w:lineRule="auto"/>
              <w:jc w:val="center"/>
              <w:rPr>
                <w:rFonts w:hint="eastAsia" w:ascii="宋体" w:hAnsi="宋体" w:eastAsia="宋体" w:cs="宋体"/>
                <w:sz w:val="24"/>
                <w:szCs w:val="24"/>
                <w:vertAlign w:val="baseline"/>
              </w:rPr>
            </w:pPr>
          </w:p>
        </w:tc>
        <w:tc>
          <w:tcPr>
            <w:tcW w:w="1530" w:type="dxa"/>
            <w:vAlign w:val="center"/>
          </w:tcPr>
          <w:p>
            <w:pPr>
              <w:spacing w:line="360" w:lineRule="auto"/>
              <w:jc w:val="center"/>
              <w:rPr>
                <w:rFonts w:hint="eastAsia" w:ascii="宋体" w:hAnsi="宋体" w:eastAsia="宋体" w:cs="宋体"/>
                <w:sz w:val="24"/>
                <w:szCs w:val="24"/>
                <w:vertAlign w:val="baseline"/>
              </w:rPr>
            </w:pPr>
          </w:p>
        </w:tc>
        <w:tc>
          <w:tcPr>
            <w:tcW w:w="1110" w:type="dxa"/>
            <w:vAlign w:val="center"/>
          </w:tcPr>
          <w:p>
            <w:pPr>
              <w:spacing w:line="360" w:lineRule="auto"/>
              <w:jc w:val="center"/>
              <w:rPr>
                <w:rFonts w:hint="eastAsia" w:ascii="宋体" w:hAnsi="宋体" w:eastAsia="宋体" w:cs="宋体"/>
                <w:sz w:val="24"/>
                <w:szCs w:val="24"/>
                <w:vertAlign w:val="baseline"/>
              </w:rPr>
            </w:pPr>
          </w:p>
        </w:tc>
        <w:tc>
          <w:tcPr>
            <w:tcW w:w="1260" w:type="dxa"/>
            <w:vAlign w:val="center"/>
          </w:tcPr>
          <w:p>
            <w:pPr>
              <w:spacing w:line="360" w:lineRule="auto"/>
              <w:jc w:val="center"/>
              <w:rPr>
                <w:rFonts w:hint="eastAsia" w:ascii="宋体" w:hAnsi="宋体" w:eastAsia="宋体" w:cs="宋体"/>
                <w:sz w:val="24"/>
                <w:szCs w:val="24"/>
                <w:vertAlign w:val="baseline"/>
              </w:rPr>
            </w:pPr>
          </w:p>
        </w:tc>
        <w:tc>
          <w:tcPr>
            <w:tcW w:w="1230" w:type="dxa"/>
            <w:vAlign w:val="center"/>
          </w:tcPr>
          <w:p>
            <w:pPr>
              <w:spacing w:line="360" w:lineRule="auto"/>
              <w:jc w:val="center"/>
              <w:rPr>
                <w:rFonts w:hint="eastAsia" w:ascii="宋体" w:hAnsi="宋体" w:eastAsia="宋体" w:cs="宋体"/>
                <w:sz w:val="24"/>
                <w:szCs w:val="24"/>
                <w:vertAlign w:val="baseline"/>
              </w:rPr>
            </w:pPr>
          </w:p>
        </w:tc>
        <w:tc>
          <w:tcPr>
            <w:tcW w:w="1739" w:type="dxa"/>
            <w:vAlign w:val="center"/>
          </w:tcPr>
          <w:p>
            <w:pPr>
              <w:spacing w:line="360" w:lineRule="auto"/>
              <w:jc w:val="center"/>
              <w:rPr>
                <w:rFonts w:hint="eastAsia" w:ascii="宋体" w:hAnsi="宋体" w:eastAsia="宋体" w:cs="宋体"/>
                <w:sz w:val="24"/>
                <w:szCs w:val="24"/>
                <w:vertAlign w:val="baseline"/>
              </w:rPr>
            </w:pP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投标人名称(电子签名)：</w:t>
      </w: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both"/>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06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9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153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承建（承接）企业</w:t>
            </w:r>
            <w:r>
              <w:rPr>
                <w:rFonts w:hint="eastAsia" w:ascii="宋体" w:hAnsi="宋体" w:eastAsia="宋体" w:cs="宋体"/>
                <w:sz w:val="24"/>
                <w:szCs w:val="24"/>
                <w:lang w:eastAsia="zh-CN"/>
              </w:rPr>
              <w:t>名称</w:t>
            </w:r>
          </w:p>
        </w:tc>
        <w:tc>
          <w:tcPr>
            <w:tcW w:w="111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从业人员</w:t>
            </w:r>
            <w:r>
              <w:rPr>
                <w:rFonts w:hint="eastAsia" w:ascii="宋体" w:hAnsi="宋体" w:eastAsia="宋体" w:cs="宋体"/>
                <w:sz w:val="24"/>
                <w:szCs w:val="24"/>
                <w:lang w:eastAsia="zh-CN"/>
              </w:rPr>
              <w:t>数量</w:t>
            </w:r>
          </w:p>
        </w:tc>
        <w:tc>
          <w:tcPr>
            <w:tcW w:w="126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营业收入</w:t>
            </w:r>
            <w:r>
              <w:rPr>
                <w:rFonts w:hint="eastAsia" w:ascii="宋体" w:hAnsi="宋体" w:eastAsia="宋体" w:cs="宋体"/>
                <w:sz w:val="24"/>
                <w:szCs w:val="24"/>
                <w:lang w:eastAsia="zh-CN"/>
              </w:rPr>
              <w:t>（万元）</w:t>
            </w:r>
          </w:p>
        </w:tc>
        <w:tc>
          <w:tcPr>
            <w:tcW w:w="123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资产总额</w:t>
            </w:r>
            <w:r>
              <w:rPr>
                <w:rFonts w:hint="eastAsia" w:ascii="宋体" w:hAnsi="宋体" w:eastAsia="宋体" w:cs="宋体"/>
                <w:sz w:val="24"/>
                <w:szCs w:val="24"/>
                <w:lang w:eastAsia="zh-CN"/>
              </w:rPr>
              <w:t>（万元）</w:t>
            </w:r>
          </w:p>
        </w:tc>
        <w:tc>
          <w:tcPr>
            <w:tcW w:w="1403"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65" w:type="dxa"/>
            <w:vAlign w:val="center"/>
          </w:tcPr>
          <w:p>
            <w:pPr>
              <w:spacing w:line="360" w:lineRule="auto"/>
              <w:jc w:val="center"/>
              <w:rPr>
                <w:rFonts w:hint="eastAsia" w:ascii="宋体" w:hAnsi="宋体" w:eastAsia="宋体" w:cs="宋体"/>
                <w:sz w:val="24"/>
                <w:szCs w:val="24"/>
                <w:vertAlign w:val="baseline"/>
              </w:rPr>
            </w:pPr>
          </w:p>
        </w:tc>
        <w:tc>
          <w:tcPr>
            <w:tcW w:w="900" w:type="dxa"/>
            <w:vAlign w:val="center"/>
          </w:tcPr>
          <w:p>
            <w:pPr>
              <w:spacing w:line="360" w:lineRule="auto"/>
              <w:jc w:val="center"/>
              <w:rPr>
                <w:rFonts w:hint="eastAsia" w:ascii="宋体" w:hAnsi="宋体" w:eastAsia="宋体" w:cs="宋体"/>
                <w:sz w:val="24"/>
                <w:szCs w:val="24"/>
                <w:vertAlign w:val="baseline"/>
              </w:rPr>
            </w:pPr>
          </w:p>
        </w:tc>
        <w:tc>
          <w:tcPr>
            <w:tcW w:w="1530" w:type="dxa"/>
            <w:vAlign w:val="center"/>
          </w:tcPr>
          <w:p>
            <w:pPr>
              <w:spacing w:line="360" w:lineRule="auto"/>
              <w:jc w:val="center"/>
              <w:rPr>
                <w:rFonts w:hint="eastAsia" w:ascii="宋体" w:hAnsi="宋体" w:eastAsia="宋体" w:cs="宋体"/>
                <w:sz w:val="24"/>
                <w:szCs w:val="24"/>
                <w:vertAlign w:val="baseline"/>
              </w:rPr>
            </w:pPr>
          </w:p>
        </w:tc>
        <w:tc>
          <w:tcPr>
            <w:tcW w:w="1110" w:type="dxa"/>
            <w:vAlign w:val="center"/>
          </w:tcPr>
          <w:p>
            <w:pPr>
              <w:spacing w:line="360" w:lineRule="auto"/>
              <w:jc w:val="center"/>
              <w:rPr>
                <w:rFonts w:hint="eastAsia" w:ascii="宋体" w:hAnsi="宋体" w:eastAsia="宋体" w:cs="宋体"/>
                <w:sz w:val="24"/>
                <w:szCs w:val="24"/>
                <w:vertAlign w:val="baseline"/>
              </w:rPr>
            </w:pPr>
          </w:p>
        </w:tc>
        <w:tc>
          <w:tcPr>
            <w:tcW w:w="1260" w:type="dxa"/>
            <w:vAlign w:val="center"/>
          </w:tcPr>
          <w:p>
            <w:pPr>
              <w:spacing w:line="360" w:lineRule="auto"/>
              <w:jc w:val="center"/>
              <w:rPr>
                <w:rFonts w:hint="eastAsia" w:ascii="宋体" w:hAnsi="宋体" w:eastAsia="宋体" w:cs="宋体"/>
                <w:sz w:val="24"/>
                <w:szCs w:val="24"/>
                <w:vertAlign w:val="baseline"/>
              </w:rPr>
            </w:pPr>
          </w:p>
        </w:tc>
        <w:tc>
          <w:tcPr>
            <w:tcW w:w="1230" w:type="dxa"/>
            <w:vAlign w:val="center"/>
          </w:tcPr>
          <w:p>
            <w:pPr>
              <w:spacing w:line="360" w:lineRule="auto"/>
              <w:jc w:val="center"/>
              <w:rPr>
                <w:rFonts w:hint="eastAsia" w:ascii="宋体" w:hAnsi="宋体" w:eastAsia="宋体" w:cs="宋体"/>
                <w:sz w:val="24"/>
                <w:szCs w:val="24"/>
                <w:vertAlign w:val="baseline"/>
              </w:rPr>
            </w:pPr>
          </w:p>
        </w:tc>
        <w:tc>
          <w:tcPr>
            <w:tcW w:w="1403"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sym w:font="Wingdings" w:char="00A8"/>
            </w:r>
            <w:r>
              <w:rPr>
                <w:rFonts w:hint="eastAsia" w:ascii="宋体" w:hAnsi="宋体" w:eastAsia="宋体" w:cs="宋体"/>
                <w:sz w:val="24"/>
                <w:szCs w:val="24"/>
                <w:vertAlign w:val="baseline"/>
              </w:rPr>
              <w:t>中型企业</w:t>
            </w:r>
          </w:p>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sym w:font="Wingdings" w:char="00A8"/>
            </w:r>
            <w:r>
              <w:rPr>
                <w:rFonts w:hint="eastAsia" w:ascii="宋体" w:hAnsi="宋体" w:eastAsia="宋体" w:cs="宋体"/>
                <w:sz w:val="24"/>
                <w:szCs w:val="24"/>
                <w:vertAlign w:val="baseline"/>
              </w:rPr>
              <w:t>小型企业</w:t>
            </w:r>
          </w:p>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sym w:font="Wingdings" w:char="00A8"/>
            </w:r>
            <w:r>
              <w:rPr>
                <w:rFonts w:hint="eastAsia" w:ascii="宋体" w:hAnsi="宋体" w:eastAsia="宋体" w:cs="宋体"/>
                <w:sz w:val="24"/>
                <w:szCs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65" w:type="dxa"/>
            <w:vAlign w:val="center"/>
          </w:tcPr>
          <w:p>
            <w:pPr>
              <w:spacing w:line="360" w:lineRule="auto"/>
              <w:jc w:val="center"/>
              <w:rPr>
                <w:rFonts w:hint="eastAsia" w:ascii="宋体" w:hAnsi="宋体" w:eastAsia="宋体" w:cs="宋体"/>
                <w:sz w:val="24"/>
                <w:szCs w:val="24"/>
                <w:vertAlign w:val="baseline"/>
              </w:rPr>
            </w:pPr>
          </w:p>
        </w:tc>
        <w:tc>
          <w:tcPr>
            <w:tcW w:w="900" w:type="dxa"/>
            <w:vAlign w:val="center"/>
          </w:tcPr>
          <w:p>
            <w:pPr>
              <w:spacing w:line="360" w:lineRule="auto"/>
              <w:jc w:val="center"/>
              <w:rPr>
                <w:rFonts w:hint="eastAsia" w:ascii="宋体" w:hAnsi="宋体" w:eastAsia="宋体" w:cs="宋体"/>
                <w:sz w:val="24"/>
                <w:szCs w:val="24"/>
                <w:vertAlign w:val="baseline"/>
              </w:rPr>
            </w:pPr>
          </w:p>
        </w:tc>
        <w:tc>
          <w:tcPr>
            <w:tcW w:w="1530" w:type="dxa"/>
            <w:vAlign w:val="center"/>
          </w:tcPr>
          <w:p>
            <w:pPr>
              <w:spacing w:line="360" w:lineRule="auto"/>
              <w:jc w:val="center"/>
              <w:rPr>
                <w:rFonts w:hint="eastAsia" w:ascii="宋体" w:hAnsi="宋体" w:eastAsia="宋体" w:cs="宋体"/>
                <w:sz w:val="24"/>
                <w:szCs w:val="24"/>
                <w:vertAlign w:val="baseline"/>
              </w:rPr>
            </w:pPr>
          </w:p>
        </w:tc>
        <w:tc>
          <w:tcPr>
            <w:tcW w:w="1110" w:type="dxa"/>
            <w:vAlign w:val="center"/>
          </w:tcPr>
          <w:p>
            <w:pPr>
              <w:spacing w:line="360" w:lineRule="auto"/>
              <w:jc w:val="center"/>
              <w:rPr>
                <w:rFonts w:hint="eastAsia" w:ascii="宋体" w:hAnsi="宋体" w:eastAsia="宋体" w:cs="宋体"/>
                <w:sz w:val="24"/>
                <w:szCs w:val="24"/>
                <w:vertAlign w:val="baseline"/>
              </w:rPr>
            </w:pPr>
          </w:p>
        </w:tc>
        <w:tc>
          <w:tcPr>
            <w:tcW w:w="1260" w:type="dxa"/>
            <w:vAlign w:val="center"/>
          </w:tcPr>
          <w:p>
            <w:pPr>
              <w:spacing w:line="360" w:lineRule="auto"/>
              <w:jc w:val="center"/>
              <w:rPr>
                <w:rFonts w:hint="eastAsia" w:ascii="宋体" w:hAnsi="宋体" w:eastAsia="宋体" w:cs="宋体"/>
                <w:sz w:val="24"/>
                <w:szCs w:val="24"/>
                <w:vertAlign w:val="baseline"/>
              </w:rPr>
            </w:pPr>
          </w:p>
        </w:tc>
        <w:tc>
          <w:tcPr>
            <w:tcW w:w="1230" w:type="dxa"/>
            <w:vAlign w:val="center"/>
          </w:tcPr>
          <w:p>
            <w:pPr>
              <w:spacing w:line="360" w:lineRule="auto"/>
              <w:jc w:val="center"/>
              <w:rPr>
                <w:rFonts w:hint="eastAsia" w:ascii="宋体" w:hAnsi="宋体" w:eastAsia="宋体" w:cs="宋体"/>
                <w:sz w:val="24"/>
                <w:szCs w:val="24"/>
                <w:vertAlign w:val="baseline"/>
              </w:rPr>
            </w:pPr>
          </w:p>
        </w:tc>
        <w:tc>
          <w:tcPr>
            <w:tcW w:w="1403" w:type="dxa"/>
            <w:vAlign w:val="center"/>
          </w:tcPr>
          <w:p>
            <w:pPr>
              <w:spacing w:line="360" w:lineRule="auto"/>
              <w:jc w:val="center"/>
              <w:rPr>
                <w:rFonts w:hint="eastAsia" w:ascii="宋体" w:hAnsi="宋体" w:eastAsia="宋体" w:cs="宋体"/>
                <w:sz w:val="24"/>
                <w:szCs w:val="24"/>
                <w:vertAlign w:val="baseline"/>
              </w:rPr>
            </w:pPr>
          </w:p>
        </w:tc>
      </w:tr>
    </w:tbl>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ind w:right="1760"/>
        <w:jc w:val="right"/>
        <w:rPr>
          <w:rFonts w:hint="eastAsia" w:ascii="宋体" w:hAnsi="宋体" w:eastAsia="宋体" w:cs="宋体"/>
          <w:sz w:val="24"/>
          <w:szCs w:val="24"/>
        </w:rPr>
      </w:pPr>
      <w:r>
        <w:rPr>
          <w:rFonts w:hint="eastAsia" w:ascii="宋体" w:hAnsi="宋体" w:eastAsia="宋体" w:cs="宋体"/>
          <w:sz w:val="24"/>
          <w:szCs w:val="24"/>
        </w:rPr>
        <w:t>投标人名称（电子签名）：</w:t>
      </w:r>
    </w:p>
    <w:p>
      <w:pPr>
        <w:spacing w:line="360" w:lineRule="auto"/>
        <w:ind w:right="1120" w:firstLine="4680" w:firstLineChars="1950"/>
        <w:rPr>
          <w:rFonts w:hint="eastAsia" w:ascii="宋体" w:hAnsi="宋体" w:eastAsia="宋体" w:cs="宋体"/>
          <w:sz w:val="24"/>
          <w:szCs w:val="24"/>
        </w:rPr>
      </w:pPr>
      <w:r>
        <w:rPr>
          <w:rFonts w:hint="eastAsia" w:ascii="宋体" w:hAnsi="宋体" w:eastAsia="宋体" w:cs="宋体"/>
          <w:sz w:val="24"/>
          <w:szCs w:val="24"/>
        </w:rPr>
        <w:t>日 期：</w:t>
      </w:r>
    </w:p>
    <w:p>
      <w:pPr>
        <w:spacing w:line="360" w:lineRule="auto"/>
        <w:ind w:firstLine="352" w:firstLineChars="147"/>
        <w:jc w:val="left"/>
        <w:rPr>
          <w:rFonts w:hint="eastAsia" w:ascii="宋体" w:hAnsi="宋体" w:eastAsia="宋体" w:cs="宋体"/>
          <w:b/>
          <w:sz w:val="24"/>
          <w:szCs w:val="24"/>
        </w:rPr>
      </w:pPr>
      <w:r>
        <w:rPr>
          <w:rFonts w:hint="eastAsia" w:ascii="宋体" w:hAnsi="宋体" w:eastAsia="宋体" w:cs="宋体"/>
          <w:b/>
          <w:sz w:val="24"/>
          <w:szCs w:val="24"/>
        </w:rPr>
        <w:t>从业人员、营业收入、资产总额填报上一年度数据，无上一年度数据的新成立企业可不填报。</w:t>
      </w:r>
    </w:p>
    <w:p>
      <w:pPr>
        <w:spacing w:line="360" w:lineRule="auto"/>
        <w:ind w:right="420"/>
        <w:rPr>
          <w:rFonts w:hint="eastAsia" w:ascii="宋体" w:hAnsi="宋体" w:eastAsia="宋体" w:cs="宋体"/>
          <w:sz w:val="24"/>
          <w:szCs w:val="24"/>
        </w:rPr>
      </w:pPr>
    </w:p>
    <w:p>
      <w:pPr>
        <w:spacing w:line="360" w:lineRule="auto"/>
        <w:ind w:right="420"/>
        <w:rPr>
          <w:rFonts w:hint="eastAsia" w:ascii="宋体" w:hAnsi="宋体" w:eastAsia="宋体" w:cs="宋体"/>
          <w:sz w:val="24"/>
          <w:szCs w:val="24"/>
        </w:rPr>
      </w:pPr>
      <w:r>
        <w:rPr>
          <w:rFonts w:hint="eastAsia" w:ascii="宋体" w:hAnsi="宋体" w:eastAsia="宋体" w:cs="宋体"/>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widowControl/>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注：</w:t>
      </w:r>
    </w:p>
    <w:p>
      <w:pPr>
        <w:widowControl/>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投标人提供的中小企业声明函与实际情况不符的，视为投标人提供虚假材料投标，投标无效。</w:t>
      </w:r>
    </w:p>
    <w:p>
      <w:pPr>
        <w:widowControl/>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符合《关于促进残疾人就业政府采购政策的通知》（财库〔2017〕141号）规定的条件并提供《残疾人福利性单位声明函》（附件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①中标供应商为残疾人福利性单位的，其《残疾人福利性单位声明函》随中标结果同时公告，接受社会监督。</w:t>
      </w:r>
    </w:p>
    <w:p>
      <w:pPr>
        <w:spacing w:line="360" w:lineRule="auto"/>
        <w:jc w:val="left"/>
        <w:rPr>
          <w:rFonts w:hint="eastAsia" w:ascii="宋体" w:hAnsi="宋体" w:eastAsia="宋体" w:cs="宋体"/>
          <w:b/>
          <w:color w:val="000000"/>
          <w:spacing w:val="6"/>
          <w:sz w:val="24"/>
          <w:szCs w:val="24"/>
        </w:rPr>
      </w:pPr>
      <w:r>
        <w:rPr>
          <w:rFonts w:hint="eastAsia" w:ascii="宋体" w:hAnsi="宋体" w:eastAsia="宋体" w:cs="宋体"/>
          <w:color w:val="000000"/>
          <w:sz w:val="24"/>
          <w:szCs w:val="24"/>
        </w:rPr>
        <w:t>②供应商提供的《残疾人福利性单位声明函》与事实不符的，依照《政府采购法》第七十七条第一款的规定追究法律责任。</w:t>
      </w:r>
    </w:p>
    <w:p>
      <w:r>
        <w:br w:type="page"/>
      </w:r>
    </w:p>
    <w:p>
      <w:pPr>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残疾人福利性单位声明函（如是）</w:t>
      </w:r>
    </w:p>
    <w:p>
      <w:pPr>
        <w:spacing w:line="360" w:lineRule="auto"/>
        <w:ind w:firstLine="667"/>
        <w:jc w:val="center"/>
        <w:rPr>
          <w:rFonts w:ascii="仿宋_GB2312" w:eastAsia="仿宋_GB2312"/>
          <w:b/>
          <w:color w:val="auto"/>
          <w:spacing w:val="6"/>
          <w:sz w:val="32"/>
          <w:szCs w:val="32"/>
          <w:highlight w:val="none"/>
        </w:rPr>
      </w:pPr>
    </w:p>
    <w:p>
      <w:pPr>
        <w:spacing w:line="360" w:lineRule="auto"/>
        <w:ind w:firstLine="504"/>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〔2017〕141</w:t>
      </w:r>
      <w:r>
        <w:rPr>
          <w:rFonts w:hint="eastAsia" w:ascii="宋体" w:hAnsi="宋体" w:cs="宋体"/>
          <w:color w:val="auto"/>
          <w:spacing w:val="6"/>
          <w:sz w:val="24"/>
          <w:szCs w:val="24"/>
          <w:highlight w:val="none"/>
        </w:rPr>
        <w:t>号）的规定，本单位为符合条件的残疾人福利性单位，且本单位参加</w:t>
      </w:r>
      <w:r>
        <w:rPr>
          <w:rFonts w:hint="eastAsia" w:ascii="宋体" w:hAnsi="宋体" w:eastAsia="宋体" w:cs="宋体"/>
          <w:sz w:val="24"/>
          <w:szCs w:val="24"/>
        </w:rPr>
        <w:t>______单位的______项目</w:t>
      </w:r>
      <w:r>
        <w:rPr>
          <w:rFonts w:hint="eastAsia" w:ascii="宋体" w:hAnsi="宋体" w:cs="宋体"/>
          <w:color w:val="auto"/>
          <w:spacing w:val="6"/>
          <w:sz w:val="24"/>
          <w:szCs w:val="24"/>
          <w:highlight w:val="none"/>
        </w:rPr>
        <w:t>的采购活动提供本单位制造的货物（由本单位承担工程/提供服务），或者提供其他残疾人福利性单位制造的货物（不包括使用非残疾人福利性单位注册商标的货物）。</w:t>
      </w:r>
    </w:p>
    <w:p>
      <w:pPr>
        <w:spacing w:line="360" w:lineRule="auto"/>
        <w:ind w:firstLine="504"/>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360" w:lineRule="auto"/>
        <w:ind w:firstLine="504"/>
        <w:rPr>
          <w:rFonts w:hint="eastAsia" w:ascii="宋体" w:hAnsi="宋体" w:cs="宋体"/>
          <w:color w:val="auto"/>
          <w:spacing w:val="6"/>
          <w:sz w:val="24"/>
          <w:szCs w:val="24"/>
          <w:highlight w:val="none"/>
        </w:rPr>
      </w:pPr>
    </w:p>
    <w:p>
      <w:pPr>
        <w:spacing w:line="360" w:lineRule="auto"/>
        <w:ind w:firstLine="504"/>
        <w:rPr>
          <w:rFonts w:hint="eastAsia" w:ascii="宋体" w:hAnsi="宋体" w:cs="宋体"/>
          <w:color w:val="auto"/>
          <w:spacing w:val="6"/>
          <w:sz w:val="24"/>
          <w:szCs w:val="24"/>
          <w:highlight w:val="none"/>
        </w:rPr>
      </w:pPr>
    </w:p>
    <w:p>
      <w:pPr>
        <w:tabs>
          <w:tab w:val="left" w:pos="4860"/>
        </w:tabs>
        <w:spacing w:line="360" w:lineRule="auto"/>
        <w:ind w:right="1560" w:firstLine="504"/>
        <w:jc w:val="left"/>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单位名称（盖章）：</w:t>
      </w:r>
      <w:r>
        <w:rPr>
          <w:rFonts w:hint="eastAsia" w:ascii="宋体" w:hAnsi="宋体" w:cs="宋体"/>
          <w:color w:val="auto"/>
          <w:w w:val="90"/>
          <w:kern w:val="0"/>
          <w:sz w:val="24"/>
          <w:szCs w:val="24"/>
          <w:highlight w:val="none"/>
        </w:rPr>
        <w:t>__________________________________</w:t>
      </w:r>
    </w:p>
    <w:p>
      <w:pPr>
        <w:tabs>
          <w:tab w:val="left" w:pos="4860"/>
        </w:tabs>
        <w:spacing w:line="360" w:lineRule="auto"/>
        <w:ind w:right="1560" w:firstLine="504"/>
        <w:jc w:val="left"/>
        <w:rPr>
          <w:rFonts w:hint="eastAsia" w:ascii="宋体" w:hAnsi="宋体" w:cs="宋体"/>
          <w:color w:val="auto"/>
          <w:spacing w:val="6"/>
          <w:sz w:val="24"/>
          <w:szCs w:val="24"/>
          <w:highlight w:val="none"/>
        </w:rPr>
      </w:pPr>
    </w:p>
    <w:p>
      <w:pPr>
        <w:spacing w:line="360" w:lineRule="auto"/>
        <w:ind w:firstLine="504"/>
        <w:rPr>
          <w:rFonts w:hint="eastAsia" w:ascii="宋体" w:hAnsi="宋体" w:cs="宋体"/>
          <w:color w:val="auto"/>
          <w:w w:val="90"/>
          <w:kern w:val="0"/>
          <w:sz w:val="24"/>
          <w:szCs w:val="24"/>
          <w:highlight w:val="none"/>
        </w:rPr>
      </w:pPr>
      <w:r>
        <w:rPr>
          <w:rFonts w:hint="eastAsia" w:ascii="宋体" w:hAnsi="宋体" w:cs="宋体"/>
          <w:color w:val="auto"/>
          <w:spacing w:val="6"/>
          <w:sz w:val="24"/>
          <w:szCs w:val="24"/>
          <w:highlight w:val="none"/>
        </w:rPr>
        <w:t>日  期：</w:t>
      </w:r>
      <w:r>
        <w:rPr>
          <w:rFonts w:hint="eastAsia" w:ascii="宋体" w:hAnsi="宋体" w:cs="宋体"/>
          <w:color w:val="auto"/>
          <w:w w:val="90"/>
          <w:kern w:val="0"/>
          <w:sz w:val="24"/>
          <w:szCs w:val="24"/>
          <w:highlight w:val="none"/>
        </w:rPr>
        <w:t>____________________________________________</w:t>
      </w:r>
    </w:p>
    <w:p>
      <w:pPr>
        <w:pStyle w:val="3"/>
        <w:tabs>
          <w:tab w:val="left" w:pos="480"/>
          <w:tab w:val="clear" w:pos="432"/>
        </w:tabs>
        <w:spacing w:before="326" w:after="326"/>
        <w:jc w:val="both"/>
        <w:outlineLvl w:val="9"/>
        <w:rPr>
          <w:color w:val="auto"/>
          <w:highlight w:val="none"/>
        </w:rPr>
      </w:pPr>
    </w:p>
    <w:p>
      <w:pPr>
        <w:ind w:firstLine="480"/>
        <w:rPr>
          <w:color w:val="auto"/>
          <w:highlight w:val="none"/>
        </w:rPr>
      </w:pPr>
    </w:p>
    <w:p>
      <w:pPr>
        <w:pStyle w:val="11"/>
        <w:ind w:firstLine="240"/>
        <w:rPr>
          <w:color w:val="auto"/>
          <w:highlight w:val="none"/>
        </w:rPr>
      </w:pPr>
    </w:p>
    <w:p>
      <w:pPr>
        <w:pStyle w:val="11"/>
        <w:ind w:firstLine="240"/>
        <w:rPr>
          <w:color w:val="auto"/>
          <w:highlight w:val="none"/>
        </w:rPr>
      </w:pPr>
    </w:p>
    <w:p>
      <w:pPr>
        <w:pStyle w:val="11"/>
        <w:ind w:firstLine="240"/>
        <w:rPr>
          <w:color w:val="auto"/>
          <w:highlight w:val="none"/>
        </w:rPr>
      </w:pPr>
    </w:p>
    <w:p>
      <w:pPr>
        <w:pStyle w:val="11"/>
        <w:ind w:firstLine="240"/>
        <w:rPr>
          <w:color w:val="auto"/>
          <w:highlight w:val="none"/>
        </w:rPr>
      </w:pPr>
    </w:p>
    <w:p>
      <w:pPr>
        <w:pStyle w:val="11"/>
        <w:ind w:firstLine="240"/>
        <w:rPr>
          <w:color w:val="auto"/>
          <w:highlight w:val="none"/>
        </w:rPr>
      </w:pPr>
    </w:p>
    <w:p>
      <w:pPr>
        <w:pStyle w:val="11"/>
        <w:ind w:firstLine="240"/>
        <w:rPr>
          <w:color w:val="auto"/>
          <w:highlight w:val="none"/>
        </w:rPr>
      </w:pPr>
    </w:p>
    <w:p>
      <w:pPr>
        <w:pStyle w:val="11"/>
        <w:ind w:firstLine="240"/>
        <w:rPr>
          <w:color w:val="auto"/>
          <w:highlight w:val="none"/>
        </w:rPr>
      </w:pPr>
    </w:p>
    <w:p>
      <w:pPr>
        <w:pStyle w:val="11"/>
        <w:ind w:firstLine="240"/>
        <w:rPr>
          <w:color w:val="auto"/>
          <w:highlight w:val="none"/>
        </w:rPr>
      </w:pPr>
    </w:p>
    <w:p>
      <w:pPr>
        <w:pStyle w:val="11"/>
        <w:ind w:firstLine="240"/>
        <w:rPr>
          <w:color w:val="auto"/>
          <w:highlight w:val="none"/>
        </w:rPr>
      </w:pPr>
    </w:p>
    <w:p>
      <w:pPr>
        <w:pStyle w:val="11"/>
        <w:ind w:firstLine="240"/>
        <w:rPr>
          <w:color w:val="auto"/>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监狱企业证明文件（如是）</w:t>
      </w:r>
    </w:p>
    <w:p>
      <w:pPr>
        <w:pStyle w:val="4"/>
        <w:spacing w:before="163" w:after="163"/>
        <w:outlineLvl w:val="9"/>
        <w:rPr>
          <w:rFonts w:hint="eastAsia" w:ascii="仿宋" w:hAnsi="仿宋" w:eastAsia="仿宋" w:cs="仿宋"/>
          <w:color w:val="auto"/>
          <w:highlight w:val="none"/>
        </w:rPr>
      </w:pP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本公司郑重声明，根据《关于政府采购支持监狱企业发展有关问题的通知》（财库〔2014〕68号）的规定，本公司为监狱企业。</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1.本公司为监狱企业的证明材料如下：</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（1）附件：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（2）附件：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2.本公司参加</w:t>
      </w:r>
      <w:r>
        <w:rPr>
          <w:rFonts w:hint="eastAsia" w:ascii="宋体" w:hAnsi="宋体" w:cs="宋体"/>
          <w:color w:val="auto"/>
          <w:sz w:val="24"/>
          <w:szCs w:val="24"/>
          <w:highlight w:val="none"/>
          <w:u w:val="single"/>
        </w:rPr>
        <w:t>_（项目名称）（项目编号）</w:t>
      </w:r>
      <w:r>
        <w:rPr>
          <w:rFonts w:hint="eastAsia" w:ascii="宋体" w:hAnsi="宋体" w:cs="宋体"/>
          <w:color w:val="auto"/>
          <w:sz w:val="24"/>
          <w:szCs w:val="24"/>
          <w:highlight w:val="none"/>
        </w:rPr>
        <w:t>的采购活动。本公司对上述声明的真实性负责。如有虚假，将依法承担相应责任。</w:t>
      </w:r>
    </w:p>
    <w:p>
      <w:pPr>
        <w:snapToGrid w:val="0"/>
        <w:spacing w:line="360" w:lineRule="auto"/>
        <w:ind w:firstLine="482"/>
        <w:rPr>
          <w:rFonts w:hint="eastAsia" w:ascii="宋体" w:hAnsi="宋体" w:cs="宋体"/>
          <w:color w:val="auto"/>
          <w:sz w:val="24"/>
          <w:szCs w:val="24"/>
          <w:highlight w:val="none"/>
        </w:rPr>
      </w:pPr>
      <w:r>
        <w:rPr>
          <w:rFonts w:hint="eastAsia" w:ascii="宋体" w:hAnsi="宋体" w:cs="宋体"/>
          <w:b/>
          <w:color w:val="auto"/>
          <w:kern w:val="0"/>
          <w:sz w:val="24"/>
          <w:szCs w:val="24"/>
          <w:highlight w:val="none"/>
          <w:lang w:val="zh-CN"/>
        </w:rPr>
        <w:t>注：1）本声明函为监狱企业填写。</w:t>
      </w:r>
    </w:p>
    <w:p>
      <w:pPr>
        <w:snapToGrid w:val="0"/>
        <w:spacing w:line="360" w:lineRule="auto"/>
        <w:ind w:firstLine="950" w:firstLineChars="396"/>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2）后附相关部门认定盖章认定证明文件</w:t>
      </w:r>
      <w:r>
        <w:rPr>
          <w:rFonts w:hint="eastAsia" w:ascii="宋体" w:hAnsi="宋体" w:cs="宋体"/>
          <w:b/>
          <w:color w:val="auto"/>
          <w:sz w:val="24"/>
          <w:szCs w:val="24"/>
          <w:highlight w:val="none"/>
        </w:rPr>
        <w:t>且有效期内</w:t>
      </w:r>
      <w:r>
        <w:rPr>
          <w:rFonts w:hint="eastAsia" w:ascii="宋体" w:hAnsi="宋体" w:cs="宋体"/>
          <w:b/>
          <w:color w:val="auto"/>
          <w:kern w:val="0"/>
          <w:sz w:val="24"/>
          <w:szCs w:val="24"/>
          <w:highlight w:val="none"/>
          <w:lang w:val="zh-CN"/>
        </w:rPr>
        <w:t>。</w:t>
      </w:r>
    </w:p>
    <w:p>
      <w:pPr>
        <w:snapToGrid w:val="0"/>
        <w:spacing w:line="360" w:lineRule="auto"/>
        <w:ind w:firstLine="480"/>
        <w:rPr>
          <w:rFonts w:hint="eastAsia" w:ascii="宋体" w:hAnsi="宋体" w:cs="宋体"/>
          <w:color w:val="auto"/>
          <w:kern w:val="0"/>
          <w:sz w:val="24"/>
          <w:szCs w:val="24"/>
          <w:highlight w:val="none"/>
          <w:lang w:val="zh-CN"/>
        </w:rPr>
      </w:pPr>
    </w:p>
    <w:p>
      <w:pPr>
        <w:snapToGrid w:val="0"/>
        <w:spacing w:line="360" w:lineRule="auto"/>
        <w:ind w:firstLine="5280" w:firstLineChars="2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单位名称(公章)：</w:t>
      </w:r>
    </w:p>
    <w:p>
      <w:pPr>
        <w:snapToGrid w:val="0"/>
        <w:spacing w:line="360" w:lineRule="auto"/>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 xml:space="preserve">                                       法定代表人或其授权代表(签字)：</w:t>
      </w:r>
    </w:p>
    <w:p>
      <w:pPr>
        <w:snapToGrid w:val="0"/>
        <w:spacing w:line="360" w:lineRule="auto"/>
        <w:ind w:firstLine="5160" w:firstLineChars="2150"/>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rPr>
        <w:t>日期：  年  月   日</w:t>
      </w:r>
    </w:p>
    <w:p>
      <w:pPr>
        <w:pStyle w:val="3"/>
        <w:tabs>
          <w:tab w:val="left" w:pos="480"/>
          <w:tab w:val="clear" w:pos="432"/>
        </w:tabs>
        <w:spacing w:before="326" w:after="326"/>
        <w:outlineLvl w:val="9"/>
        <w:rPr>
          <w:color w:val="auto"/>
          <w:highlight w:val="none"/>
        </w:rPr>
      </w:pPr>
    </w:p>
    <w:p>
      <w:pPr>
        <w:rPr>
          <w:color w:val="auto"/>
          <w:highlight w:val="none"/>
        </w:rPr>
      </w:pPr>
    </w:p>
    <w:p>
      <w:pPr>
        <w:pStyle w:val="13"/>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ind w:left="0" w:leftChars="0" w:firstLine="0" w:firstLineChars="0"/>
        <w:rPr>
          <w:color w:val="auto"/>
          <w:highlight w:val="none"/>
        </w:rPr>
        <w:sectPr>
          <w:footerReference r:id="rId8" w:type="first"/>
          <w:footerReference r:id="rId7" w:type="default"/>
          <w:pgSz w:w="11906" w:h="16838"/>
          <w:pgMar w:top="1304" w:right="1020" w:bottom="1304" w:left="1247" w:header="720" w:footer="720" w:gutter="0"/>
          <w:pgNumType w:fmt="decimal"/>
          <w:cols w:space="720" w:num="1"/>
          <w:titlePg/>
          <w:docGrid w:type="linesAndChars" w:linePitch="326" w:charSpace="0"/>
        </w:sectPr>
      </w:pPr>
    </w:p>
    <w:p>
      <w:pPr>
        <w:pStyle w:val="41"/>
        <w:ind w:left="0" w:leftChars="0" w:firstLine="0" w:firstLineChars="0"/>
        <w:rPr>
          <w:color w:val="auto"/>
          <w:highlight w:val="none"/>
        </w:rPr>
      </w:pPr>
    </w:p>
    <w:tbl>
      <w:tblPr>
        <w:tblStyle w:val="27"/>
        <w:tblW w:w="15077" w:type="dxa"/>
        <w:tblInd w:w="-176" w:type="dxa"/>
        <w:tblLayout w:type="fixed"/>
        <w:tblCellMar>
          <w:top w:w="0" w:type="dxa"/>
          <w:left w:w="108" w:type="dxa"/>
          <w:bottom w:w="0" w:type="dxa"/>
          <w:right w:w="108" w:type="dxa"/>
        </w:tblCellMar>
      </w:tblPr>
      <w:tblGrid>
        <w:gridCol w:w="2003"/>
        <w:gridCol w:w="1512"/>
        <w:gridCol w:w="1779"/>
        <w:gridCol w:w="1826"/>
        <w:gridCol w:w="1320"/>
        <w:gridCol w:w="1590"/>
        <w:gridCol w:w="1530"/>
        <w:gridCol w:w="990"/>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b/>
                <w:bCs/>
                <w:kern w:val="0"/>
                <w:sz w:val="24"/>
              </w:rPr>
            </w:pPr>
            <w:r>
              <w:rPr>
                <w:rFonts w:hint="eastAsia" w:ascii="宋体" w:hAnsi="宋体" w:cs="宋体"/>
                <w:b/>
                <w:bCs/>
                <w:kern w:val="0"/>
                <w:sz w:val="24"/>
              </w:rPr>
              <w:t>行业</w:t>
            </w:r>
          </w:p>
        </w:tc>
        <w:tc>
          <w:tcPr>
            <w:tcW w:w="5117"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b/>
                <w:bCs/>
                <w:kern w:val="0"/>
                <w:sz w:val="24"/>
              </w:rPr>
            </w:pPr>
            <w:r>
              <w:rPr>
                <w:rFonts w:hint="eastAsia" w:ascii="宋体" w:hAnsi="宋体" w:cs="宋体"/>
                <w:b/>
                <w:bCs/>
                <w:kern w:val="0"/>
                <w:sz w:val="24"/>
              </w:rPr>
              <w:t>中型企业</w:t>
            </w:r>
          </w:p>
        </w:tc>
        <w:tc>
          <w:tcPr>
            <w:tcW w:w="4440"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b/>
                <w:bCs/>
                <w:color w:val="FF0000"/>
                <w:kern w:val="0"/>
                <w:sz w:val="24"/>
              </w:rPr>
            </w:pPr>
            <w:r>
              <w:rPr>
                <w:rFonts w:hint="eastAsia" w:ascii="宋体" w:hAnsi="宋体" w:cs="宋体"/>
                <w:b/>
                <w:bCs/>
                <w:color w:val="FF0000"/>
                <w:kern w:val="0"/>
                <w:sz w:val="24"/>
              </w:rPr>
              <w:t>小型企业</w:t>
            </w:r>
          </w:p>
        </w:tc>
        <w:tc>
          <w:tcPr>
            <w:tcW w:w="3511"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b/>
                <w:bCs/>
                <w:color w:val="FF0000"/>
                <w:kern w:val="0"/>
                <w:sz w:val="24"/>
              </w:rPr>
            </w:pPr>
            <w:r>
              <w:rPr>
                <w:rFonts w:hint="eastAsia" w:ascii="宋体" w:hAnsi="宋体" w:cs="宋体"/>
                <w:b/>
                <w:bCs/>
                <w:color w:val="FF0000"/>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（万元）</w:t>
            </w:r>
          </w:p>
        </w:tc>
        <w:tc>
          <w:tcPr>
            <w:tcW w:w="182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（万元）</w:t>
            </w:r>
          </w:p>
        </w:tc>
        <w:tc>
          <w:tcPr>
            <w:tcW w:w="132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5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（万元）</w:t>
            </w:r>
          </w:p>
        </w:tc>
        <w:tc>
          <w:tcPr>
            <w:tcW w:w="153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（万元）</w:t>
            </w:r>
          </w:p>
        </w:tc>
        <w:tc>
          <w:tcPr>
            <w:tcW w:w="9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w:t>
            </w:r>
            <w:r>
              <w:rPr>
                <w:rFonts w:hint="eastAsia" w:ascii="宋体" w:hAnsi="宋体" w:cs="宋体"/>
                <w:kern w:val="0"/>
                <w:sz w:val="20"/>
                <w:lang w:val="en-US" w:eastAsia="zh-CN"/>
              </w:rPr>
              <w:t>.</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w:t>
            </w:r>
            <w:r>
              <w:rPr>
                <w:rFonts w:hint="eastAsia" w:ascii="宋体" w:hAnsi="宋体" w:cs="宋体"/>
                <w:kern w:val="0"/>
                <w:sz w:val="20"/>
                <w:lang w:val="en-US" w:eastAsia="zh-CN"/>
              </w:rPr>
              <w:t>.</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w:t>
            </w:r>
            <w:r>
              <w:rPr>
                <w:rFonts w:hint="eastAsia" w:ascii="宋体" w:hAnsi="宋体" w:cs="宋体"/>
                <w:kern w:val="0"/>
                <w:sz w:val="20"/>
                <w:lang w:val="en-US" w:eastAsia="zh-CN"/>
              </w:rPr>
              <w:t>.</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4</w:t>
            </w:r>
            <w:r>
              <w:rPr>
                <w:rFonts w:hint="eastAsia" w:ascii="宋体" w:hAnsi="宋体" w:cs="宋体"/>
                <w:kern w:val="0"/>
                <w:sz w:val="20"/>
                <w:lang w:val="en-US" w:eastAsia="zh-CN"/>
              </w:rPr>
              <w:t>.</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w:t>
            </w:r>
            <w:r>
              <w:rPr>
                <w:rFonts w:hint="eastAsia" w:ascii="宋体" w:hAnsi="宋体" w:cs="宋体"/>
                <w:kern w:val="0"/>
                <w:sz w:val="20"/>
                <w:lang w:val="en-US" w:eastAsia="zh-CN"/>
              </w:rPr>
              <w:t>.</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6</w:t>
            </w:r>
            <w:r>
              <w:rPr>
                <w:rFonts w:hint="eastAsia" w:ascii="宋体" w:hAnsi="宋体" w:cs="宋体"/>
                <w:kern w:val="0"/>
                <w:sz w:val="20"/>
                <w:lang w:val="en-US" w:eastAsia="zh-CN"/>
              </w:rPr>
              <w:t>.</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7</w:t>
            </w:r>
            <w:r>
              <w:rPr>
                <w:rFonts w:hint="eastAsia" w:ascii="宋体" w:hAnsi="宋体" w:cs="宋体"/>
                <w:kern w:val="0"/>
                <w:sz w:val="20"/>
                <w:lang w:val="en-US" w:eastAsia="zh-CN"/>
              </w:rPr>
              <w:t>.</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8</w:t>
            </w:r>
            <w:r>
              <w:rPr>
                <w:rFonts w:hint="eastAsia" w:ascii="宋体" w:hAnsi="宋体" w:cs="宋体"/>
                <w:kern w:val="0"/>
                <w:sz w:val="20"/>
                <w:lang w:val="en-US" w:eastAsia="zh-CN"/>
              </w:rPr>
              <w:t>.</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9</w:t>
            </w:r>
            <w:r>
              <w:rPr>
                <w:rFonts w:hint="eastAsia" w:ascii="宋体" w:hAnsi="宋体" w:cs="宋体"/>
                <w:kern w:val="0"/>
                <w:sz w:val="20"/>
                <w:lang w:val="en-US" w:eastAsia="zh-CN"/>
              </w:rPr>
              <w:t>.</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w:t>
            </w:r>
            <w:r>
              <w:rPr>
                <w:rFonts w:hint="eastAsia" w:ascii="宋体" w:hAnsi="宋体" w:cs="宋体"/>
                <w:kern w:val="0"/>
                <w:sz w:val="20"/>
                <w:lang w:val="en-US" w:eastAsia="zh-CN"/>
              </w:rPr>
              <w:t>.</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11</w:t>
            </w:r>
            <w:r>
              <w:rPr>
                <w:rFonts w:hint="eastAsia" w:ascii="宋体" w:hAnsi="宋体" w:cs="宋体"/>
                <w:kern w:val="0"/>
                <w:sz w:val="20"/>
                <w:lang w:val="en-US" w:eastAsia="zh-CN"/>
              </w:rPr>
              <w:t>.</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12</w:t>
            </w:r>
            <w:r>
              <w:rPr>
                <w:rFonts w:hint="eastAsia" w:ascii="宋体" w:hAnsi="宋体" w:cs="宋体"/>
                <w:kern w:val="0"/>
                <w:sz w:val="20"/>
                <w:lang w:val="en-US" w:eastAsia="zh-CN"/>
              </w:rPr>
              <w:t>.</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13</w:t>
            </w:r>
            <w:r>
              <w:rPr>
                <w:rFonts w:hint="eastAsia" w:ascii="宋体" w:hAnsi="宋体" w:cs="宋体"/>
                <w:kern w:val="0"/>
                <w:sz w:val="20"/>
                <w:lang w:val="en-US" w:eastAsia="zh-CN"/>
              </w:rPr>
              <w:t>.</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14</w:t>
            </w:r>
            <w:r>
              <w:rPr>
                <w:rFonts w:hint="eastAsia" w:ascii="宋体" w:hAnsi="宋体" w:cs="宋体"/>
                <w:kern w:val="0"/>
                <w:sz w:val="20"/>
                <w:lang w:val="en-US" w:eastAsia="zh-CN"/>
              </w:rPr>
              <w:t>.</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15</w:t>
            </w:r>
            <w:r>
              <w:rPr>
                <w:rFonts w:hint="eastAsia" w:ascii="宋体" w:hAnsi="宋体" w:cs="宋体"/>
                <w:kern w:val="0"/>
                <w:sz w:val="20"/>
                <w:lang w:val="en-US" w:eastAsia="zh-CN"/>
              </w:rPr>
              <w:t>.</w:t>
            </w:r>
            <w:r>
              <w:rPr>
                <w:rFonts w:hint="eastAsia" w:ascii="宋体" w:hAnsi="宋体" w:cs="宋体"/>
                <w:kern w:val="0"/>
                <w:sz w:val="20"/>
              </w:rPr>
              <w:t>租赁和商务服业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16</w:t>
            </w:r>
            <w:r>
              <w:rPr>
                <w:rFonts w:hint="eastAsia" w:ascii="宋体" w:hAnsi="宋体" w:cs="宋体"/>
                <w:kern w:val="0"/>
                <w:sz w:val="20"/>
                <w:lang w:val="en-US" w:eastAsia="zh-CN"/>
              </w:rPr>
              <w:t>.</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p>
        </w:tc>
        <w:tc>
          <w:tcPr>
            <w:tcW w:w="182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32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59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5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99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0"/>
            <w:vAlign w:val="bottom"/>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lang w:val="en-US" w:eastAsia="zh-CN"/>
              </w:rPr>
              <w:t>.</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lang w:val="en-US" w:eastAsia="zh-CN"/>
              </w:rPr>
              <w:t>.</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lang w:val="en-US" w:eastAsia="zh-CN"/>
              </w:rPr>
              <w:t>.</w:t>
            </w:r>
            <w:r>
              <w:rPr>
                <w:rFonts w:hint="eastAsia" w:ascii="宋体" w:hAnsi="宋体" w:cs="宋体"/>
                <w:kern w:val="0"/>
                <w:sz w:val="20"/>
              </w:rPr>
              <w:t>本规定的中型企业标准上限即为大型企业标准的下限。</w:t>
            </w:r>
          </w:p>
        </w:tc>
      </w:tr>
    </w:tbl>
    <w:p>
      <w:pPr>
        <w:pStyle w:val="41"/>
        <w:rPr>
          <w:color w:val="auto"/>
          <w:highlight w:val="none"/>
        </w:rPr>
      </w:pPr>
    </w:p>
    <w:p>
      <w:pPr>
        <w:pStyle w:val="41"/>
        <w:rPr>
          <w:color w:val="auto"/>
          <w:highlight w:val="none"/>
        </w:rPr>
        <w:sectPr>
          <w:footerReference r:id="rId10" w:type="first"/>
          <w:footerReference r:id="rId9" w:type="default"/>
          <w:pgSz w:w="16838" w:h="11906" w:orient="landscape"/>
          <w:pgMar w:top="1247" w:right="1304" w:bottom="1020" w:left="1304" w:header="720" w:footer="720" w:gutter="0"/>
          <w:pgNumType w:fmt="decimal"/>
          <w:cols w:space="720" w:num="1"/>
          <w:titlePg/>
          <w:rtlGutter w:val="0"/>
          <w:docGrid w:type="linesAndChars" w:linePitch="332" w:charSpace="0"/>
        </w:sectPr>
      </w:pPr>
    </w:p>
    <w:p>
      <w:pPr>
        <w:pStyle w:val="11"/>
        <w:ind w:firstLine="360"/>
        <w:jc w:val="center"/>
        <w:rPr>
          <w:rFonts w:ascii="宋体" w:hAnsi="宋体" w:cs="宋体"/>
          <w:color w:val="auto"/>
          <w:sz w:val="20"/>
          <w:szCs w:val="20"/>
          <w:highlight w:val="none"/>
        </w:rPr>
      </w:pPr>
      <w:r>
        <w:rPr>
          <w:rFonts w:ascii="黑体" w:hAnsi="黑体" w:eastAsia="黑体" w:cs="黑体"/>
          <w:color w:val="auto"/>
          <w:sz w:val="36"/>
          <w:szCs w:val="36"/>
          <w:highlight w:val="none"/>
        </w:rPr>
        <w:t>政府采购活动现场确认声明书</w:t>
      </w:r>
    </w:p>
    <w:p>
      <w:pPr>
        <w:pStyle w:val="45"/>
        <w:widowControl w:val="0"/>
        <w:snapToGrid w:val="0"/>
        <w:spacing w:before="326" w:beforeLines="100" w:line="400" w:lineRule="exact"/>
        <w:rPr>
          <w:rFonts w:hAnsi="宋体" w:cs="宋体"/>
          <w:b/>
          <w:color w:val="auto"/>
          <w:sz w:val="24"/>
          <w:szCs w:val="24"/>
          <w:highlight w:val="none"/>
        </w:rPr>
      </w:pPr>
      <w:r>
        <w:rPr>
          <w:rFonts w:hAnsi="宋体" w:cs="宋体"/>
          <w:color w:val="auto"/>
          <w:kern w:val="0"/>
          <w:sz w:val="24"/>
          <w:szCs w:val="24"/>
          <w:highlight w:val="none"/>
          <w:u w:val="single"/>
        </w:rPr>
        <w:t xml:space="preserve"> </w:t>
      </w:r>
      <w:r>
        <w:rPr>
          <w:rFonts w:hint="eastAsia" w:hAnsi="宋体" w:cs="宋体"/>
          <w:color w:val="auto"/>
          <w:kern w:val="0"/>
          <w:sz w:val="24"/>
          <w:highlight w:val="none"/>
          <w:u w:val="single"/>
          <w:lang w:val="en-US" w:eastAsia="zh-CN"/>
        </w:rPr>
        <w:t xml:space="preserve"> 东方经纬工程项目管理有限公司</w:t>
      </w:r>
      <w:r>
        <w:rPr>
          <w:rFonts w:hAnsi="宋体" w:cs="宋体"/>
          <w:color w:val="auto"/>
          <w:kern w:val="0"/>
          <w:sz w:val="24"/>
          <w:highlight w:val="none"/>
          <w:u w:val="single"/>
        </w:rPr>
        <w:t>：</w:t>
      </w:r>
      <w:r>
        <w:rPr>
          <w:rFonts w:hAnsi="宋体" w:cs="宋体"/>
          <w:color w:val="auto"/>
          <w:kern w:val="0"/>
          <w:sz w:val="24"/>
          <w:szCs w:val="24"/>
          <w:highlight w:val="none"/>
        </w:rPr>
        <w:t>（采购组织机构名称）：</w:t>
      </w:r>
    </w:p>
    <w:p>
      <w:pPr>
        <w:tabs>
          <w:tab w:val="left" w:pos="9640"/>
        </w:tabs>
        <w:spacing w:line="440" w:lineRule="exact"/>
        <w:ind w:firstLine="504"/>
        <w:jc w:val="left"/>
        <w:rPr>
          <w:rFonts w:hint="eastAsia" w:ascii="宋体" w:hAnsi="宋体" w:cs="宋体"/>
          <w:color w:val="auto"/>
          <w:spacing w:val="6"/>
          <w:sz w:val="24"/>
          <w:szCs w:val="24"/>
          <w:highlight w:val="none"/>
        </w:rPr>
      </w:pPr>
      <w:r>
        <w:rPr>
          <w:rFonts w:hint="eastAsia" w:ascii="宋体" w:hAnsi="宋体" w:cs="宋体"/>
          <w:color w:val="auto"/>
          <w:spacing w:val="6"/>
          <w:highlight w:val="none"/>
        </w:rPr>
        <w:t xml:space="preserve">  </w:t>
      </w:r>
      <w:r>
        <w:rPr>
          <w:rFonts w:hint="eastAsia" w:ascii="宋体" w:hAnsi="宋体" w:cs="宋体"/>
          <w:color w:val="auto"/>
          <w:spacing w:val="6"/>
          <w:sz w:val="24"/>
          <w:szCs w:val="24"/>
          <w:highlight w:val="none"/>
        </w:rPr>
        <w:t xml:space="preserve">  本人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（授权代表姓名）经由</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（单位)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（法定代表人姓名）合法授权参加</w:t>
      </w:r>
      <w:r>
        <w:rPr>
          <w:rFonts w:hint="eastAsia" w:cs="宋体"/>
          <w:color w:val="auto"/>
          <w:kern w:val="0"/>
          <w:sz w:val="24"/>
          <w:szCs w:val="24"/>
          <w:highlight w:val="none"/>
          <w:u w:val="single"/>
        </w:rPr>
        <w:t xml:space="preserve">                  项目</w:t>
      </w:r>
      <w:r>
        <w:rPr>
          <w:rFonts w:hint="eastAsia" w:ascii="宋体" w:hAnsi="宋体" w:cs="宋体"/>
          <w:color w:val="auto"/>
          <w:spacing w:val="6"/>
          <w:sz w:val="24"/>
          <w:szCs w:val="24"/>
          <w:highlight w:val="none"/>
        </w:rPr>
        <w:t>（编号：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）采购活动，经与本单位法人代表（负责人）联系确认，现就有关公平竞争事项郑重声明如下： </w:t>
      </w:r>
    </w:p>
    <w:p>
      <w:pPr>
        <w:pStyle w:val="46"/>
        <w:widowControl/>
        <w:numPr>
          <w:ilvl w:val="0"/>
          <w:numId w:val="9"/>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kern w:val="0"/>
          <w:sz w:val="24"/>
          <w:szCs w:val="24"/>
          <w:highlight w:val="none"/>
        </w:rPr>
        <w:t>本单位与采购人之间 □不存在利害关系 □存在下列利害关系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pPr>
        <w:pStyle w:val="46"/>
        <w:widowControl/>
        <w:snapToGrid w:val="0"/>
        <w:spacing w:line="40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A.投资关系    B.行政隶属关系    C.业务指导关系</w:t>
      </w:r>
    </w:p>
    <w:p>
      <w:pPr>
        <w:pStyle w:val="46"/>
        <w:widowControl/>
        <w:snapToGrid w:val="0"/>
        <w:spacing w:line="40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D.其他可能</w:t>
      </w:r>
      <w:r>
        <w:rPr>
          <w:rFonts w:ascii="宋体" w:hAnsi="宋体" w:cs="宋体"/>
          <w:color w:val="auto"/>
          <w:sz w:val="24"/>
          <w:szCs w:val="24"/>
          <w:highlight w:val="none"/>
        </w:rPr>
        <w:t>影响采购公正的</w:t>
      </w:r>
      <w:r>
        <w:rPr>
          <w:rFonts w:ascii="宋体" w:hAnsi="宋体" w:cs="宋体"/>
          <w:color w:val="auto"/>
          <w:kern w:val="0"/>
          <w:sz w:val="24"/>
          <w:szCs w:val="24"/>
          <w:highlight w:val="none"/>
        </w:rPr>
        <w:t>利害关系</w:t>
      </w:r>
      <w:r>
        <w:rPr>
          <w:rFonts w:ascii="宋体" w:hAnsi="宋体" w:cs="宋体"/>
          <w:color w:val="auto"/>
          <w:kern w:val="0"/>
          <w:sz w:val="24"/>
          <w:szCs w:val="24"/>
          <w:highlight w:val="none"/>
          <w:u w:val="single"/>
        </w:rPr>
        <w:t>（如有，请如实说明）</w:t>
      </w:r>
      <w:r>
        <w:rPr>
          <w:rFonts w:ascii="宋体" w:hAnsi="宋体" w:cs="宋体"/>
          <w:color w:val="auto"/>
          <w:kern w:val="0"/>
          <w:sz w:val="24"/>
          <w:szCs w:val="24"/>
          <w:highlight w:val="none"/>
        </w:rPr>
        <w:t>。</w:t>
      </w:r>
    </w:p>
    <w:p>
      <w:pPr>
        <w:pStyle w:val="46"/>
        <w:widowControl/>
        <w:snapToGrid w:val="0"/>
        <w:spacing w:line="400" w:lineRule="exact"/>
        <w:rPr>
          <w:rFonts w:ascii="宋体" w:hAnsi="宋体" w:cs="宋体"/>
          <w:color w:val="auto"/>
          <w:kern w:val="0"/>
          <w:sz w:val="24"/>
          <w:szCs w:val="24"/>
          <w:highlight w:val="none"/>
        </w:rPr>
      </w:pPr>
      <w:r>
        <w:rPr>
          <w:rFonts w:ascii="宋体" w:hAnsi="宋体" w:cs="宋体"/>
          <w:color w:val="auto"/>
          <w:spacing w:val="6"/>
          <w:sz w:val="24"/>
          <w:szCs w:val="24"/>
          <w:highlight w:val="none"/>
        </w:rPr>
        <w:t xml:space="preserve">    二、</w:t>
      </w:r>
      <w:r>
        <w:rPr>
          <w:rFonts w:ascii="宋体" w:hAnsi="宋体" w:cs="宋体"/>
          <w:color w:val="auto"/>
          <w:kern w:val="0"/>
          <w:sz w:val="24"/>
          <w:szCs w:val="24"/>
          <w:highlight w:val="none"/>
        </w:rPr>
        <w:t>现已清楚知道参加本项目采购活动的其他所有供应商名称，本单位□与其他所有供应商之间均不存在利害关系 □与</w:t>
      </w:r>
      <w:r>
        <w:rPr>
          <w:rFonts w:ascii="宋体" w:hAnsi="宋体" w:cs="宋体"/>
          <w:color w:val="auto"/>
          <w:kern w:val="0"/>
          <w:sz w:val="24"/>
          <w:szCs w:val="24"/>
          <w:highlight w:val="none"/>
          <w:u w:val="single"/>
        </w:rPr>
        <w:t xml:space="preserve">                        （供应商名称) </w:t>
      </w:r>
      <w:r>
        <w:rPr>
          <w:rFonts w:ascii="宋体" w:hAnsi="宋体" w:cs="宋体"/>
          <w:color w:val="auto"/>
          <w:kern w:val="0"/>
          <w:sz w:val="24"/>
          <w:szCs w:val="24"/>
          <w:highlight w:val="none"/>
        </w:rPr>
        <w:t>之间存在下列利害关系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pPr>
        <w:pStyle w:val="45"/>
        <w:widowControl w:val="0"/>
        <w:snapToGrid w:val="0"/>
        <w:spacing w:line="40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A.法定代表人或负责人或实际控制人是同一人</w:t>
      </w:r>
    </w:p>
    <w:p>
      <w:pPr>
        <w:pStyle w:val="45"/>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B.法定代表人或负责人或实际控制人是夫妻关系</w:t>
      </w:r>
    </w:p>
    <w:p>
      <w:pPr>
        <w:pStyle w:val="45"/>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C.法定代表人或负责人或实际控制人是直系血亲关系</w:t>
      </w:r>
    </w:p>
    <w:p>
      <w:pPr>
        <w:pStyle w:val="45"/>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D.法定代表人或负责人或实际控制人存在三代以内旁系血亲关系</w:t>
      </w:r>
    </w:p>
    <w:p>
      <w:pPr>
        <w:pStyle w:val="45"/>
        <w:widowControl w:val="0"/>
        <w:snapToGrid w:val="0"/>
        <w:spacing w:line="400" w:lineRule="exact"/>
        <w:ind w:firstLine="480" w:firstLineChars="200"/>
        <w:jc w:val="both"/>
        <w:rPr>
          <w:rFonts w:hAnsi="宋体" w:cs="宋体"/>
          <w:color w:val="auto"/>
          <w:kern w:val="0"/>
          <w:sz w:val="24"/>
          <w:szCs w:val="24"/>
          <w:highlight w:val="none"/>
        </w:rPr>
      </w:pPr>
      <w:r>
        <w:rPr>
          <w:rFonts w:hAnsi="宋体" w:cs="宋体"/>
          <w:color w:val="auto"/>
          <w:kern w:val="0"/>
          <w:sz w:val="24"/>
          <w:szCs w:val="24"/>
          <w:highlight w:val="none"/>
        </w:rPr>
        <w:t>E.法定代表人或负责人或实际控制人存在近姻亲关系</w:t>
      </w:r>
    </w:p>
    <w:p>
      <w:pPr>
        <w:pStyle w:val="45"/>
        <w:widowControl w:val="0"/>
        <w:snapToGrid w:val="0"/>
        <w:spacing w:line="40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F.法定代表人或负责人或实际控制人存在股份控制或实际控制关系</w:t>
      </w:r>
    </w:p>
    <w:p>
      <w:pPr>
        <w:pStyle w:val="45"/>
        <w:widowControl w:val="0"/>
        <w:snapToGrid w:val="0"/>
        <w:spacing w:line="400" w:lineRule="exact"/>
        <w:jc w:val="both"/>
        <w:outlineLvl w:val="0"/>
        <w:rPr>
          <w:rFonts w:hAnsi="宋体" w:cs="宋体"/>
          <w:color w:val="auto"/>
          <w:kern w:val="0"/>
          <w:sz w:val="24"/>
          <w:szCs w:val="24"/>
          <w:highlight w:val="none"/>
        </w:rPr>
      </w:pPr>
      <w:r>
        <w:rPr>
          <w:rFonts w:hAnsi="宋体" w:cs="宋体"/>
          <w:color w:val="auto"/>
          <w:kern w:val="0"/>
          <w:sz w:val="24"/>
          <w:szCs w:val="24"/>
          <w:highlight w:val="none"/>
        </w:rPr>
        <w:t xml:space="preserve">    </w:t>
      </w:r>
      <w:bookmarkStart w:id="427" w:name="_Toc17171"/>
      <w:r>
        <w:rPr>
          <w:rFonts w:hAnsi="宋体" w:cs="宋体"/>
          <w:color w:val="auto"/>
          <w:kern w:val="0"/>
          <w:sz w:val="24"/>
          <w:szCs w:val="24"/>
          <w:highlight w:val="none"/>
        </w:rPr>
        <w:t>G.存在共同直接或间接投资设立子公司、联营企业和合营企业情况</w:t>
      </w:r>
      <w:bookmarkEnd w:id="427"/>
    </w:p>
    <w:p>
      <w:pPr>
        <w:pStyle w:val="45"/>
        <w:widowControl w:val="0"/>
        <w:snapToGrid w:val="0"/>
        <w:spacing w:line="400" w:lineRule="exact"/>
        <w:jc w:val="both"/>
        <w:rPr>
          <w:rFonts w:hAnsi="宋体" w:cs="宋体"/>
          <w:color w:val="auto"/>
          <w:sz w:val="24"/>
          <w:szCs w:val="24"/>
          <w:highlight w:val="none"/>
        </w:rPr>
      </w:pPr>
      <w:r>
        <w:rPr>
          <w:rFonts w:hAnsi="宋体" w:cs="宋体"/>
          <w:color w:val="auto"/>
          <w:kern w:val="0"/>
          <w:sz w:val="24"/>
          <w:szCs w:val="24"/>
          <w:highlight w:val="none"/>
        </w:rPr>
        <w:t xml:space="preserve">    H.存在分级代理或代销关系、同一生产制造商关系、</w:t>
      </w:r>
      <w:r>
        <w:rPr>
          <w:rFonts w:hAnsi="宋体" w:cs="宋体"/>
          <w:color w:val="auto"/>
          <w:sz w:val="24"/>
          <w:szCs w:val="24"/>
          <w:highlight w:val="none"/>
        </w:rPr>
        <w:t>管理关系、重要业务（占主营业务收入50%以上）或重要财务往来关系（如融资）等其他实质性控制关系</w:t>
      </w:r>
    </w:p>
    <w:p>
      <w:pPr>
        <w:pStyle w:val="45"/>
        <w:widowControl w:val="0"/>
        <w:snapToGrid w:val="0"/>
        <w:spacing w:line="400" w:lineRule="exact"/>
        <w:jc w:val="both"/>
        <w:rPr>
          <w:rFonts w:hAnsi="宋体" w:cs="宋体"/>
          <w:color w:val="auto"/>
          <w:spacing w:val="6"/>
          <w:sz w:val="24"/>
          <w:szCs w:val="24"/>
          <w:highlight w:val="none"/>
        </w:rPr>
      </w:pPr>
      <w:r>
        <w:rPr>
          <w:rFonts w:hAnsi="宋体" w:cs="宋体"/>
          <w:color w:val="auto"/>
          <w:sz w:val="24"/>
          <w:szCs w:val="24"/>
          <w:highlight w:val="none"/>
        </w:rPr>
        <w:t xml:space="preserve">    I</w:t>
      </w:r>
      <w:r>
        <w:rPr>
          <w:rFonts w:hAnsi="宋体" w:cs="宋体"/>
          <w:color w:val="auto"/>
          <w:kern w:val="0"/>
          <w:sz w:val="24"/>
          <w:szCs w:val="24"/>
          <w:highlight w:val="none"/>
        </w:rPr>
        <w:t>.</w:t>
      </w:r>
      <w:r>
        <w:rPr>
          <w:rFonts w:hAnsi="宋体" w:cs="宋体"/>
          <w:color w:val="auto"/>
          <w:sz w:val="24"/>
          <w:szCs w:val="24"/>
          <w:highlight w:val="none"/>
        </w:rPr>
        <w:t>其他利害关系情况</w:t>
      </w:r>
      <w:r>
        <w:rPr>
          <w:rFonts w:hAnsi="宋体" w:cs="宋体"/>
          <w:color w:val="auto"/>
          <w:sz w:val="24"/>
          <w:szCs w:val="24"/>
          <w:highlight w:val="none"/>
          <w:u w:val="single"/>
        </w:rPr>
        <w:t xml:space="preserve">                              </w:t>
      </w:r>
      <w:r>
        <w:rPr>
          <w:rFonts w:hAnsi="宋体" w:cs="宋体"/>
          <w:color w:val="auto"/>
          <w:kern w:val="0"/>
          <w:sz w:val="24"/>
          <w:szCs w:val="24"/>
          <w:highlight w:val="none"/>
        </w:rPr>
        <w:t>。</w:t>
      </w:r>
    </w:p>
    <w:p>
      <w:pPr>
        <w:pStyle w:val="46"/>
        <w:widowControl/>
        <w:numPr>
          <w:ilvl w:val="0"/>
          <w:numId w:val="10"/>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sz w:val="24"/>
          <w:szCs w:val="24"/>
          <w:highlight w:val="none"/>
        </w:rPr>
        <w:t>现已清楚知道并</w:t>
      </w:r>
      <w:r>
        <w:rPr>
          <w:rFonts w:ascii="宋体" w:hAnsi="宋体" w:cs="宋体"/>
          <w:color w:val="auto"/>
          <w:kern w:val="0"/>
          <w:sz w:val="24"/>
          <w:szCs w:val="24"/>
          <w:highlight w:val="none"/>
        </w:rPr>
        <w:t>严格遵守政府采购法律法规和现场纪律。</w:t>
      </w:r>
    </w:p>
    <w:p>
      <w:pPr>
        <w:pStyle w:val="46"/>
        <w:widowControl/>
        <w:numPr>
          <w:ilvl w:val="0"/>
          <w:numId w:val="10"/>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供应商之间存在或可能存在上述第二条第</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项利害关系。</w:t>
      </w:r>
    </w:p>
    <w:p>
      <w:pPr>
        <w:pStyle w:val="45"/>
        <w:widowControl w:val="0"/>
        <w:snapToGrid w:val="0"/>
        <w:spacing w:line="500" w:lineRule="exact"/>
        <w:ind w:firstLine="480" w:firstLineChars="200"/>
        <w:jc w:val="both"/>
        <w:rPr>
          <w:rFonts w:hAnsi="宋体" w:cs="宋体"/>
          <w:color w:val="auto"/>
          <w:sz w:val="24"/>
          <w:szCs w:val="24"/>
          <w:highlight w:val="none"/>
        </w:rPr>
      </w:pPr>
    </w:p>
    <w:p>
      <w:pPr>
        <w:pStyle w:val="45"/>
        <w:widowControl w:val="0"/>
        <w:snapToGrid w:val="0"/>
        <w:spacing w:line="500" w:lineRule="exact"/>
        <w:ind w:firstLine="480" w:firstLineChars="200"/>
        <w:jc w:val="both"/>
        <w:rPr>
          <w:rFonts w:hAnsi="宋体" w:cs="宋体"/>
          <w:color w:val="auto"/>
          <w:sz w:val="24"/>
          <w:szCs w:val="24"/>
          <w:highlight w:val="none"/>
        </w:rPr>
      </w:pPr>
      <w:r>
        <w:rPr>
          <w:rFonts w:hAnsi="宋体" w:cs="宋体"/>
          <w:color w:val="auto"/>
          <w:sz w:val="24"/>
          <w:szCs w:val="24"/>
          <w:highlight w:val="none"/>
        </w:rPr>
        <w:t xml:space="preserve">                                供应商代表签名：</w:t>
      </w:r>
    </w:p>
    <w:p>
      <w:pPr>
        <w:pStyle w:val="45"/>
        <w:widowControl w:val="0"/>
        <w:snapToGrid w:val="0"/>
        <w:spacing w:line="500" w:lineRule="exact"/>
        <w:ind w:firstLine="480" w:firstLineChars="200"/>
        <w:jc w:val="both"/>
        <w:rPr>
          <w:rFonts w:hAnsi="宋体" w:cs="宋体"/>
          <w:color w:val="auto"/>
          <w:sz w:val="24"/>
          <w:szCs w:val="24"/>
          <w:highlight w:val="none"/>
        </w:rPr>
      </w:pPr>
      <w:r>
        <w:rPr>
          <w:rFonts w:hAnsi="宋体" w:cs="宋体"/>
          <w:color w:val="auto"/>
          <w:sz w:val="24"/>
          <w:szCs w:val="24"/>
          <w:highlight w:val="none"/>
        </w:rPr>
        <w:t xml:space="preserve">                                    </w:t>
      </w:r>
    </w:p>
    <w:p>
      <w:pPr>
        <w:pStyle w:val="45"/>
        <w:widowControl w:val="0"/>
        <w:snapToGrid w:val="0"/>
        <w:spacing w:line="500" w:lineRule="exact"/>
        <w:ind w:firstLine="480" w:firstLineChars="200"/>
        <w:jc w:val="both"/>
        <w:rPr>
          <w:rFonts w:hAnsi="宋体" w:cs="宋体"/>
          <w:bCs/>
          <w:color w:val="auto"/>
          <w:sz w:val="24"/>
          <w:szCs w:val="24"/>
          <w:highlight w:val="none"/>
        </w:rPr>
      </w:pPr>
      <w:r>
        <w:rPr>
          <w:rFonts w:hAnsi="宋体" w:cs="宋体"/>
          <w:color w:val="auto"/>
          <w:sz w:val="24"/>
          <w:szCs w:val="24"/>
          <w:highlight w:val="none"/>
        </w:rPr>
        <w:t xml:space="preserve">                                 年    月    日</w:t>
      </w:r>
    </w:p>
    <w:p>
      <w:pPr>
        <w:pStyle w:val="11"/>
        <w:ind w:firstLine="240"/>
        <w:rPr>
          <w:color w:val="auto"/>
          <w:highlight w:val="none"/>
        </w:rPr>
      </w:pPr>
    </w:p>
    <w:p>
      <w:pPr>
        <w:pStyle w:val="26"/>
      </w:pPr>
    </w:p>
    <w:sectPr>
      <w:pgSz w:w="11906" w:h="16838"/>
      <w:pgMar w:top="1304" w:right="1020" w:bottom="1304" w:left="1247" w:header="720" w:footer="720" w:gutter="0"/>
      <w:pgNumType w:fmt="decimal"/>
      <w:cols w:space="720" w:num="1"/>
      <w:titlePg/>
      <w:rtlGutter w:val="0"/>
      <w:docGrid w:type="linesAndChars" w:linePitch="332"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firstLine="360"/>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jc w:val="left"/>
      <w:rPr>
        <w:rFonts w:hint="default" w:eastAsia="宋体"/>
        <w:lang w:val="en-US" w:eastAsia="zh-CN"/>
      </w:rPr>
    </w:pPr>
    <w:r>
      <w:rPr>
        <w:rFonts w:hint="eastAsia"/>
        <w:lang w:val="en-US" w:eastAsia="zh-CN"/>
      </w:rPr>
      <w:t>嵊州市气象局公开招标采购文件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left"/>
      <w:rPr>
        <w:rFonts w:hint="default" w:eastAsia="宋体"/>
        <w:lang w:val="en-US" w:eastAsia="zh-CN"/>
      </w:rPr>
    </w:pPr>
    <w:r>
      <w:rPr>
        <w:rFonts w:hint="eastAsia"/>
        <w:lang w:val="en-US" w:eastAsia="zh-CN"/>
      </w:rPr>
      <w:t>嵊州市气象局公开招标采购文件</w:t>
    </w:r>
  </w:p>
  <w:p>
    <w:pPr>
      <w:pStyle w:val="20"/>
      <w:pBdr>
        <w:bottom w:val="single" w:color="auto" w:sz="4" w:space="1"/>
      </w:pBd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157A8"/>
    <w:multiLevelType w:val="singleLevel"/>
    <w:tmpl w:val="B65157A8"/>
    <w:lvl w:ilvl="0" w:tentative="0">
      <w:start w:val="1"/>
      <w:numFmt w:val="decimal"/>
      <w:pStyle w:val="8"/>
      <w:lvlText w:val="%1."/>
      <w:lvlJc w:val="left"/>
      <w:pPr>
        <w:tabs>
          <w:tab w:val="left" w:pos="360"/>
        </w:tabs>
        <w:ind w:left="360" w:hanging="360"/>
      </w:pPr>
    </w:lvl>
  </w:abstractNum>
  <w:abstractNum w:abstractNumId="1">
    <w:nsid w:val="EEEFE13E"/>
    <w:multiLevelType w:val="singleLevel"/>
    <w:tmpl w:val="EEEFE13E"/>
    <w:lvl w:ilvl="0" w:tentative="0">
      <w:start w:val="3"/>
      <w:numFmt w:val="decimal"/>
      <w:lvlText w:val="%1."/>
      <w:lvlJc w:val="left"/>
      <w:pPr>
        <w:tabs>
          <w:tab w:val="left" w:pos="312"/>
        </w:tabs>
      </w:pPr>
    </w:lvl>
  </w:abstractNum>
  <w:abstractNum w:abstractNumId="2">
    <w:nsid w:val="04793D25"/>
    <w:multiLevelType w:val="singleLevel"/>
    <w:tmpl w:val="04793D25"/>
    <w:lvl w:ilvl="0" w:tentative="0">
      <w:start w:val="1"/>
      <w:numFmt w:val="decimal"/>
      <w:lvlText w:val="%1."/>
      <w:lvlJc w:val="left"/>
      <w:pPr>
        <w:tabs>
          <w:tab w:val="left" w:pos="312"/>
        </w:tabs>
      </w:pPr>
    </w:lvl>
  </w:abstractNum>
  <w:abstractNum w:abstractNumId="3">
    <w:nsid w:val="08AF3354"/>
    <w:multiLevelType w:val="singleLevel"/>
    <w:tmpl w:val="08AF3354"/>
    <w:lvl w:ilvl="0" w:tentative="0">
      <w:start w:val="1"/>
      <w:numFmt w:val="decimal"/>
      <w:suff w:val="nothing"/>
      <w:lvlText w:val="%1、"/>
      <w:lvlJc w:val="left"/>
    </w:lvl>
  </w:abstractNum>
  <w:abstractNum w:abstractNumId="4">
    <w:nsid w:val="1D8CA61A"/>
    <w:multiLevelType w:val="singleLevel"/>
    <w:tmpl w:val="1D8CA61A"/>
    <w:lvl w:ilvl="0" w:tentative="0">
      <w:start w:val="1"/>
      <w:numFmt w:val="decimal"/>
      <w:suff w:val="nothing"/>
      <w:lvlText w:val="%1、"/>
      <w:lvlJc w:val="left"/>
    </w:lvl>
  </w:abstractNum>
  <w:abstractNum w:abstractNumId="5">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3F8BB498"/>
    <w:multiLevelType w:val="singleLevel"/>
    <w:tmpl w:val="3F8BB498"/>
    <w:lvl w:ilvl="0" w:tentative="0">
      <w:start w:val="6"/>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E92E1E8"/>
    <w:multiLevelType w:val="singleLevel"/>
    <w:tmpl w:val="5E92E1E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ZTI5ZDM3ZTc3MzUzOWRkZDg1NzJmYWE4MGI5YjUifQ=="/>
    <w:docVar w:name="KSO_WPS_MARK_KEY" w:val="a98db366-f443-421e-8270-e61564907836"/>
  </w:docVars>
  <w:rsids>
    <w:rsidRoot w:val="08F84E81"/>
    <w:rsid w:val="02684286"/>
    <w:rsid w:val="038D16A3"/>
    <w:rsid w:val="08F84E81"/>
    <w:rsid w:val="093D6B1B"/>
    <w:rsid w:val="0BF83764"/>
    <w:rsid w:val="118B61E0"/>
    <w:rsid w:val="12483364"/>
    <w:rsid w:val="1CE343B6"/>
    <w:rsid w:val="1CFC5754"/>
    <w:rsid w:val="22806203"/>
    <w:rsid w:val="24C0322E"/>
    <w:rsid w:val="2A0A189D"/>
    <w:rsid w:val="3B07026A"/>
    <w:rsid w:val="3C3E4D0D"/>
    <w:rsid w:val="45BA5E39"/>
    <w:rsid w:val="47024B89"/>
    <w:rsid w:val="5FC5111D"/>
    <w:rsid w:val="664F0350"/>
    <w:rsid w:val="74E342B5"/>
    <w:rsid w:val="7E1C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paragraph" w:styleId="6">
    <w:name w:val="heading 4"/>
    <w:basedOn w:val="1"/>
    <w:next w:val="1"/>
    <w:qFormat/>
    <w:uiPriority w:val="99"/>
    <w:pPr>
      <w:tabs>
        <w:tab w:val="left" w:pos="2651"/>
      </w:tabs>
      <w:outlineLvl w:val="3"/>
    </w:pPr>
  </w:style>
  <w:style w:type="paragraph" w:styleId="7">
    <w:name w:val="heading 9"/>
    <w:basedOn w:val="1"/>
    <w:next w:val="1"/>
    <w:qFormat/>
    <w:uiPriority w:val="1"/>
    <w:pPr>
      <w:ind w:left="592"/>
      <w:outlineLvl w:val="8"/>
    </w:pPr>
    <w:rPr>
      <w:rFonts w:ascii="微软雅黑" w:hAnsi="微软雅黑" w:eastAsia="微软雅黑"/>
      <w:b/>
      <w:bCs/>
      <w:sz w:val="24"/>
      <w:szCs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List Number"/>
    <w:basedOn w:val="1"/>
    <w:qFormat/>
    <w:uiPriority w:val="0"/>
    <w:pPr>
      <w:numPr>
        <w:ilvl w:val="0"/>
        <w:numId w:val="1"/>
      </w:numPr>
    </w:pPr>
  </w:style>
  <w:style w:type="paragraph" w:styleId="9">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0">
    <w:name w:val="Body Text"/>
    <w:basedOn w:val="1"/>
    <w:next w:val="11"/>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qFormat/>
    <w:uiPriority w:val="99"/>
    <w:pPr>
      <w:ind w:firstLine="420" w:firstLineChars="100"/>
    </w:pPr>
  </w:style>
  <w:style w:type="paragraph" w:styleId="12">
    <w:name w:val="toc 6"/>
    <w:basedOn w:val="1"/>
    <w:next w:val="1"/>
    <w:qFormat/>
    <w:uiPriority w:val="39"/>
    <w:pPr>
      <w:ind w:left="2100" w:leftChars="1000"/>
    </w:pPr>
  </w:style>
  <w:style w:type="paragraph" w:styleId="13">
    <w:name w:val="Body Text Indent"/>
    <w:basedOn w:val="1"/>
    <w:next w:val="1"/>
    <w:qFormat/>
    <w:uiPriority w:val="0"/>
    <w:pPr>
      <w:spacing w:line="480" w:lineRule="exact"/>
      <w:ind w:firstLine="480" w:firstLineChars="200"/>
    </w:pPr>
    <w:rPr>
      <w:rFonts w:ascii="宋体" w:hAnsi="宋体"/>
      <w:sz w:val="24"/>
    </w:rPr>
  </w:style>
  <w:style w:type="paragraph" w:styleId="14">
    <w:name w:val="List 2"/>
    <w:basedOn w:val="1"/>
    <w:qFormat/>
    <w:uiPriority w:val="0"/>
    <w:pPr>
      <w:ind w:left="100" w:leftChars="200" w:hanging="200" w:hangingChars="200"/>
    </w:pPr>
    <w:rPr>
      <w:sz w:val="28"/>
    </w:rPr>
  </w:style>
  <w:style w:type="paragraph" w:styleId="15">
    <w:name w:val="Plain Text"/>
    <w:basedOn w:val="1"/>
    <w:next w:val="16"/>
    <w:qFormat/>
    <w:uiPriority w:val="0"/>
    <w:rPr>
      <w:rFonts w:ascii="宋体" w:hAnsi="Courier New" w:cs="Arial"/>
      <w:snapToGrid w:val="0"/>
      <w:szCs w:val="21"/>
    </w:rPr>
  </w:style>
  <w:style w:type="paragraph" w:styleId="16">
    <w:name w:val="toc 2"/>
    <w:basedOn w:val="1"/>
    <w:next w:val="1"/>
    <w:qFormat/>
    <w:uiPriority w:val="99"/>
    <w:pPr>
      <w:ind w:left="210"/>
      <w:jc w:val="left"/>
    </w:pPr>
    <w:rPr>
      <w:smallCaps/>
      <w:sz w:val="20"/>
      <w:szCs w:val="20"/>
    </w:rPr>
  </w:style>
  <w:style w:type="paragraph" w:styleId="17">
    <w:name w:val="Date"/>
    <w:basedOn w:val="1"/>
    <w:next w:val="1"/>
    <w:qFormat/>
    <w:uiPriority w:val="0"/>
    <w:pPr>
      <w:ind w:left="2500" w:leftChars="2500"/>
    </w:pPr>
    <w:rPr>
      <w:rFonts w:eastAsia="楷体_GB2312"/>
      <w:sz w:val="32"/>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4"/>
    <w:basedOn w:val="1"/>
    <w:next w:val="1"/>
    <w:qFormat/>
    <w:uiPriority w:val="0"/>
    <w:pPr>
      <w:ind w:left="1260" w:leftChars="600"/>
    </w:pPr>
  </w:style>
  <w:style w:type="paragraph" w:styleId="22">
    <w:name w:val="List"/>
    <w:basedOn w:val="1"/>
    <w:semiHidden/>
    <w:qFormat/>
    <w:uiPriority w:val="99"/>
    <w:pPr>
      <w:ind w:left="200" w:hanging="200" w:hangingChars="200"/>
      <w:contextualSpacing/>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kern w:val="0"/>
    </w:rPr>
  </w:style>
  <w:style w:type="paragraph" w:styleId="25">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6">
    <w:name w:val="Body Text First Indent 2"/>
    <w:basedOn w:val="13"/>
    <w:qFormat/>
    <w:uiPriority w:val="99"/>
    <w:pPr>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rPr>
      <w:rFonts w:ascii="Arial" w:hAnsi="Arial" w:eastAsia="黑体" w:cs="Arial"/>
      <w:snapToGrid w:val="0"/>
      <w:kern w:val="0"/>
      <w:szCs w:val="21"/>
    </w:rPr>
  </w:style>
  <w:style w:type="character" w:styleId="32">
    <w:name w:val="Hyperlink"/>
    <w:qFormat/>
    <w:uiPriority w:val="99"/>
    <w:rPr>
      <w:rFonts w:ascii="Arial" w:hAnsi="Arial" w:eastAsia="黑体" w:cs="Arial"/>
      <w:snapToGrid w:val="0"/>
      <w:color w:val="000000"/>
      <w:kern w:val="0"/>
      <w:sz w:val="18"/>
      <w:szCs w:val="18"/>
      <w:u w:val="none"/>
    </w:rPr>
  </w:style>
  <w:style w:type="paragraph" w:customStyle="1" w:styleId="33">
    <w:name w:val="正文2"/>
    <w:basedOn w:val="1"/>
    <w:qFormat/>
    <w:uiPriority w:val="0"/>
    <w:pPr>
      <w:spacing w:before="156" w:line="360" w:lineRule="auto"/>
      <w:ind w:firstLine="510" w:firstLineChars="200"/>
    </w:pPr>
    <w:rPr>
      <w:sz w:val="24"/>
      <w:szCs w:val="20"/>
    </w:rPr>
  </w:style>
  <w:style w:type="paragraph" w:customStyle="1" w:styleId="3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
    <w:name w:val="正文缩进1"/>
    <w:basedOn w:val="1"/>
    <w:next w:val="1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
    <w:name w:val="索引 11"/>
    <w:basedOn w:val="1"/>
    <w:next w:val="1"/>
    <w:qFormat/>
    <w:uiPriority w:val="99"/>
    <w:pPr>
      <w:adjustRightInd/>
      <w:spacing w:line="360" w:lineRule="auto"/>
    </w:pPr>
    <w:rPr>
      <w:rFonts w:ascii="仿宋_GB2312" w:eastAsia="仿宋_GB2312"/>
      <w:sz w:val="24"/>
      <w:szCs w:val="20"/>
    </w:rPr>
  </w:style>
  <w:style w:type="paragraph" w:customStyle="1" w:styleId="38">
    <w:name w:val="_Style 1"/>
    <w:qFormat/>
    <w:uiPriority w:val="99"/>
    <w:rPr>
      <w:rFonts w:ascii="Calibri" w:hAnsi="Calibri" w:eastAsia="宋体" w:cs="Times New Roman"/>
      <w:kern w:val="2"/>
      <w:sz w:val="28"/>
      <w:szCs w:val="22"/>
      <w:lang w:val="en-US" w:eastAsia="zh-CN" w:bidi="ar-SA"/>
    </w:rPr>
  </w:style>
  <w:style w:type="paragraph" w:customStyle="1" w:styleId="39">
    <w:name w:val="Table Paragraph"/>
    <w:basedOn w:val="1"/>
    <w:unhideWhenUsed/>
    <w:qFormat/>
    <w:uiPriority w:val="1"/>
    <w:rPr>
      <w:rFonts w:hint="eastAsia"/>
      <w:sz w:val="22"/>
    </w:rPr>
  </w:style>
  <w:style w:type="paragraph" w:customStyle="1" w:styleId="40">
    <w:name w:val="！正文"/>
    <w:basedOn w:val="1"/>
    <w:qFormat/>
    <w:uiPriority w:val="0"/>
    <w:pPr>
      <w:spacing w:after="156" w:afterLines="50"/>
      <w:ind w:firstLine="480" w:firstLineChars="200"/>
    </w:pPr>
    <w:rPr>
      <w:rFonts w:ascii="宋体" w:hAnsi="宋体"/>
      <w:bCs/>
      <w:kern w:val="0"/>
      <w:sz w:val="24"/>
      <w:szCs w:val="24"/>
    </w:rPr>
  </w:style>
  <w:style w:type="paragraph" w:customStyle="1" w:styleId="41">
    <w:name w:val="正文文本首行缩进 2"/>
    <w:basedOn w:val="13"/>
    <w:qFormat/>
    <w:uiPriority w:val="99"/>
    <w:pPr>
      <w:spacing w:line="200" w:lineRule="atLeast"/>
      <w:ind w:firstLine="420"/>
    </w:pPr>
    <w:rPr>
      <w:rFonts w:ascii="宋体" w:hAnsi="Courier New"/>
      <w:spacing w:val="-4"/>
      <w:sz w:val="18"/>
    </w:rPr>
  </w:style>
  <w:style w:type="paragraph" w:customStyle="1" w:styleId="4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3">
    <w:name w:val="DG正文"/>
    <w:basedOn w:val="1"/>
    <w:qFormat/>
    <w:uiPriority w:val="99"/>
    <w:pPr>
      <w:widowControl/>
      <w:spacing w:line="360" w:lineRule="auto"/>
      <w:ind w:right="142" w:firstLine="640"/>
      <w:jc w:val="left"/>
    </w:pPr>
    <w:rPr>
      <w:rFonts w:ascii="Calibri" w:hAnsi="Calibri" w:cs="Calibri"/>
    </w:rPr>
  </w:style>
  <w:style w:type="paragraph" w:customStyle="1" w:styleId="44">
    <w:name w:val="首行缩进"/>
    <w:basedOn w:val="1"/>
    <w:qFormat/>
    <w:uiPriority w:val="0"/>
    <w:pPr>
      <w:spacing w:line="360" w:lineRule="auto"/>
      <w:ind w:firstLine="480" w:firstLineChars="200"/>
    </w:pPr>
    <w:rPr>
      <w:sz w:val="24"/>
      <w:szCs w:val="22"/>
      <w:lang w:val="zh-CN"/>
    </w:rPr>
  </w:style>
  <w:style w:type="paragraph" w:customStyle="1" w:styleId="45">
    <w:name w:val="Plain Text"/>
    <w:basedOn w:val="46"/>
    <w:qFormat/>
    <w:uiPriority w:val="0"/>
    <w:pPr>
      <w:widowControl/>
      <w:jc w:val="left"/>
    </w:pPr>
    <w:rPr>
      <w:rFonts w:hint="eastAsia" w:ascii="宋体" w:hAnsi="Courier New"/>
    </w:rPr>
  </w:style>
  <w:style w:type="paragraph" w:customStyle="1" w:styleId="4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48">
    <w:name w:val="标题 1 Char"/>
    <w:link w:val="3"/>
    <w:qFormat/>
    <w:locked/>
    <w:uiPriority w:val="99"/>
    <w:rPr>
      <w:b/>
      <w:bCs/>
      <w:kern w:val="44"/>
      <w:sz w:val="44"/>
      <w:szCs w:val="44"/>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样式 列表编号 + 段后: 0.5 行"/>
    <w:basedOn w:val="8"/>
    <w:qFormat/>
    <w:uiPriority w:val="0"/>
    <w:pPr>
      <w:tabs>
        <w:tab w:val="left" w:pos="720"/>
        <w:tab w:val="left" w:pos="900"/>
      </w:tabs>
      <w:ind w:left="7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30522</Words>
  <Characters>32459</Characters>
  <Lines>0</Lines>
  <Paragraphs>0</Paragraphs>
  <TotalTime>30</TotalTime>
  <ScaleCrop>false</ScaleCrop>
  <LinksUpToDate>false</LinksUpToDate>
  <CharactersWithSpaces>34669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2022-10-24T02:58:00Z</dcterms:created>
  <dc:creator>yoyo</dc:creator>
  <cp:lastModifiedBy>misss</cp:lastModifiedBy>
  <cp:lastPrinted>2022-10-26T02:04:00Z</cp:lastPrinted>
  <dcterms:modified xsi:type="dcterms:W3CDTF">2023-03-20T04:50:40Z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2B5EC8667D0B4E249330823D809A444F</vt:lpwstr>
  </property>
</Properties>
</file>