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 w:hAnsi="仿宋" w:eastAsia="仿宋" w:cs="仿宋_GB2312"/>
          <w:b/>
          <w:color w:val="auto"/>
          <w:sz w:val="24"/>
        </w:rPr>
      </w:pPr>
    </w:p>
    <w:p>
      <w:pPr>
        <w:snapToGrid w:val="0"/>
        <w:spacing w:line="360" w:lineRule="auto"/>
        <w:rPr>
          <w:rFonts w:ascii="仿宋_GB2312" w:hAnsi="仿宋" w:eastAsia="仿宋_GB2312" w:cs="仿宋_GB2312"/>
          <w:b/>
          <w:color w:val="auto"/>
          <w:sz w:val="48"/>
          <w:szCs w:val="48"/>
        </w:rPr>
      </w:pPr>
    </w:p>
    <w:p>
      <w:pPr>
        <w:snapToGrid w:val="0"/>
        <w:spacing w:line="360" w:lineRule="auto"/>
        <w:jc w:val="center"/>
        <w:rPr>
          <w:rFonts w:ascii="仿宋" w:hAnsi="仿宋" w:eastAsia="仿宋" w:cs="仿宋_GB2312"/>
          <w:color w:val="auto"/>
          <w:sz w:val="48"/>
          <w:szCs w:val="48"/>
          <w:highlight w:val="yellow"/>
        </w:rPr>
      </w:pPr>
      <w:r>
        <w:rPr>
          <w:rFonts w:hint="eastAsia" w:ascii="仿宋" w:hAnsi="仿宋" w:eastAsia="仿宋" w:cs="仿宋_GB2312"/>
          <w:color w:val="auto"/>
          <w:sz w:val="48"/>
          <w:szCs w:val="48"/>
          <w:highlight w:val="none"/>
          <w:lang w:eastAsia="zh-CN"/>
        </w:rPr>
        <w:t>2022年杭州图书馆音像制品采购</w:t>
      </w:r>
      <w:r>
        <w:rPr>
          <w:rFonts w:hint="eastAsia" w:ascii="仿宋" w:hAnsi="仿宋" w:eastAsia="仿宋" w:cs="仿宋_GB2312"/>
          <w:color w:val="auto"/>
          <w:sz w:val="48"/>
          <w:szCs w:val="48"/>
          <w:highlight w:val="none"/>
        </w:rPr>
        <w:t>项目</w:t>
      </w:r>
    </w:p>
    <w:p>
      <w:pPr>
        <w:snapToGrid w:val="0"/>
        <w:spacing w:line="360" w:lineRule="auto"/>
        <w:jc w:val="center"/>
        <w:rPr>
          <w:rFonts w:ascii="仿宋" w:hAnsi="仿宋" w:eastAsia="仿宋" w:cs="仿宋_GB2312"/>
          <w:color w:val="auto"/>
          <w:sz w:val="48"/>
          <w:szCs w:val="48"/>
        </w:rPr>
      </w:pPr>
    </w:p>
    <w:p>
      <w:pPr>
        <w:snapToGrid w:val="0"/>
        <w:spacing w:line="360" w:lineRule="auto"/>
        <w:jc w:val="center"/>
        <w:rPr>
          <w:rFonts w:ascii="仿宋" w:hAnsi="仿宋" w:eastAsia="仿宋" w:cs="仿宋_GB2312"/>
          <w:color w:val="auto"/>
          <w:sz w:val="48"/>
          <w:szCs w:val="48"/>
        </w:rPr>
      </w:pPr>
      <w:r>
        <w:rPr>
          <w:rFonts w:hint="eastAsia" w:ascii="仿宋" w:hAnsi="仿宋" w:eastAsia="仿宋" w:cs="仿宋_GB2312"/>
          <w:color w:val="auto"/>
          <w:sz w:val="48"/>
          <w:szCs w:val="48"/>
        </w:rPr>
        <w:t>招标文件</w:t>
      </w:r>
    </w:p>
    <w:p>
      <w:pPr>
        <w:snapToGrid w:val="0"/>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pPr>
        <w:snapToGrid w:val="0"/>
        <w:spacing w:line="360" w:lineRule="auto"/>
        <w:jc w:val="center"/>
        <w:rPr>
          <w:rFonts w:hint="eastAsia" w:ascii="仿宋" w:hAnsi="仿宋" w:eastAsia="仿宋" w:cs="仿宋_GB2312"/>
          <w:color w:val="auto"/>
          <w:sz w:val="30"/>
          <w:szCs w:val="30"/>
          <w:lang w:eastAsia="zh-CN"/>
        </w:rPr>
      </w:pPr>
      <w:r>
        <w:rPr>
          <w:rFonts w:hint="eastAsia" w:ascii="仿宋" w:hAnsi="仿宋" w:eastAsia="仿宋" w:cs="仿宋_GB2312"/>
          <w:color w:val="auto"/>
          <w:sz w:val="30"/>
          <w:szCs w:val="30"/>
        </w:rPr>
        <w:t>编号</w:t>
      </w:r>
      <w:r>
        <w:rPr>
          <w:rFonts w:ascii="仿宋" w:hAnsi="仿宋" w:eastAsia="仿宋" w:cs="仿宋_GB2312"/>
          <w:color w:val="auto"/>
          <w:sz w:val="30"/>
          <w:szCs w:val="30"/>
        </w:rPr>
        <w:t>:</w:t>
      </w:r>
      <w:r>
        <w:rPr>
          <w:rFonts w:hint="eastAsia" w:ascii="仿宋" w:hAnsi="仿宋" w:eastAsia="仿宋" w:cs="仿宋_GB2312"/>
          <w:color w:val="auto"/>
          <w:sz w:val="30"/>
          <w:szCs w:val="30"/>
          <w:lang w:eastAsia="zh-CN"/>
        </w:rPr>
        <w:t>ZJJW2022-SC-008</w:t>
      </w:r>
    </w:p>
    <w:p>
      <w:pPr>
        <w:snapToGrid w:val="0"/>
        <w:spacing w:line="360" w:lineRule="auto"/>
        <w:rPr>
          <w:rFonts w:ascii="仿宋" w:hAnsi="仿宋" w:eastAsia="仿宋" w:cs="仿宋_GB2312"/>
          <w:color w:val="auto"/>
          <w:sz w:val="28"/>
          <w:szCs w:val="20"/>
        </w:rPr>
      </w:pPr>
    </w:p>
    <w:p>
      <w:pPr>
        <w:snapToGrid w:val="0"/>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snapToGrid w:val="0"/>
        <w:spacing w:line="360" w:lineRule="auto"/>
        <w:jc w:val="center"/>
        <w:rPr>
          <w:rFonts w:ascii="仿宋" w:hAnsi="仿宋" w:eastAsia="仿宋" w:cs="仿宋_GB2312"/>
          <w:b/>
          <w:color w:val="auto"/>
          <w:sz w:val="44"/>
          <w:szCs w:val="44"/>
        </w:rPr>
      </w:pPr>
    </w:p>
    <w:p>
      <w:pPr>
        <w:snapToGrid w:val="0"/>
        <w:spacing w:line="360" w:lineRule="auto"/>
        <w:jc w:val="center"/>
        <w:rPr>
          <w:rFonts w:ascii="仿宋" w:hAnsi="仿宋" w:eastAsia="仿宋" w:cs="仿宋_GB2312"/>
          <w:color w:val="auto"/>
          <w:sz w:val="24"/>
        </w:rPr>
      </w:pPr>
    </w:p>
    <w:p>
      <w:pPr>
        <w:snapToGrid w:val="0"/>
        <w:spacing w:line="360" w:lineRule="auto"/>
        <w:jc w:val="center"/>
        <w:rPr>
          <w:rFonts w:ascii="仿宋" w:hAnsi="仿宋" w:eastAsia="仿宋" w:cs="仿宋_GB2312"/>
          <w:color w:val="auto"/>
          <w:sz w:val="24"/>
        </w:rPr>
      </w:pPr>
    </w:p>
    <w:p>
      <w:pPr>
        <w:snapToGrid w:val="0"/>
        <w:spacing w:line="360" w:lineRule="auto"/>
        <w:rPr>
          <w:rFonts w:ascii="仿宋" w:hAnsi="仿宋" w:eastAsia="仿宋" w:cs="仿宋_GB2312"/>
          <w:color w:val="auto"/>
          <w:sz w:val="32"/>
          <w:szCs w:val="32"/>
        </w:rPr>
      </w:pPr>
    </w:p>
    <w:p>
      <w:pPr>
        <w:snapToGrid w:val="0"/>
        <w:spacing w:line="360" w:lineRule="auto"/>
        <w:jc w:val="center"/>
        <w:rPr>
          <w:rFonts w:ascii="仿宋" w:hAnsi="仿宋" w:eastAsia="仿宋" w:cs="仿宋_GB2312"/>
          <w:color w:val="auto"/>
          <w:sz w:val="32"/>
          <w:szCs w:val="32"/>
        </w:rPr>
      </w:pPr>
      <w:r>
        <w:rPr>
          <w:rFonts w:hint="eastAsia" w:ascii="仿宋" w:hAnsi="仿宋" w:eastAsia="仿宋" w:cs="仿宋_GB2312"/>
          <w:color w:val="auto"/>
          <w:sz w:val="32"/>
          <w:szCs w:val="32"/>
        </w:rPr>
        <w:t>杭州图书馆</w:t>
      </w:r>
    </w:p>
    <w:p>
      <w:pPr>
        <w:snapToGrid w:val="0"/>
        <w:spacing w:line="360" w:lineRule="auto"/>
        <w:jc w:val="center"/>
        <w:rPr>
          <w:rFonts w:hint="eastAsia" w:ascii="仿宋" w:hAnsi="仿宋" w:eastAsia="仿宋" w:cs="仿宋_GB2312"/>
          <w:bCs/>
          <w:color w:val="auto"/>
          <w:sz w:val="32"/>
          <w:szCs w:val="32"/>
          <w:lang w:eastAsia="zh-CN"/>
        </w:rPr>
      </w:pPr>
      <w:r>
        <w:rPr>
          <w:rFonts w:hint="eastAsia" w:ascii="仿宋" w:hAnsi="仿宋" w:eastAsia="仿宋" w:cs="仿宋_GB2312"/>
          <w:bCs/>
          <w:color w:val="auto"/>
          <w:sz w:val="32"/>
          <w:szCs w:val="32"/>
          <w:lang w:eastAsia="zh-CN"/>
        </w:rPr>
        <w:t>东方经纬项目管理有限公司</w:t>
      </w:r>
    </w:p>
    <w:p>
      <w:pPr>
        <w:snapToGrid w:val="0"/>
        <w:spacing w:line="360" w:lineRule="auto"/>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〇</w:t>
      </w:r>
      <w:r>
        <w:rPr>
          <w:rFonts w:hint="eastAsia" w:ascii="仿宋_GB2312" w:hAnsi="仿宋_GB2312" w:eastAsia="仿宋_GB2312" w:cs="仿宋_GB2312"/>
          <w:bCs/>
          <w:color w:val="auto"/>
          <w:sz w:val="32"/>
          <w:szCs w:val="32"/>
        </w:rPr>
        <w:t>二二年</w:t>
      </w:r>
      <w:r>
        <w:rPr>
          <w:rFonts w:hint="eastAsia" w:ascii="仿宋_GB2312" w:hAnsi="仿宋_GB2312" w:eastAsia="仿宋_GB2312" w:cs="仿宋_GB2312"/>
          <w:bCs/>
          <w:color w:val="auto"/>
          <w:sz w:val="32"/>
          <w:szCs w:val="32"/>
          <w:lang w:val="en-US" w:eastAsia="zh-CN"/>
        </w:rPr>
        <w:t>五</w:t>
      </w:r>
      <w:r>
        <w:rPr>
          <w:rFonts w:hint="eastAsia" w:ascii="仿宋_GB2312" w:hAnsi="仿宋_GB2312" w:eastAsia="仿宋_GB2312" w:cs="仿宋_GB2312"/>
          <w:bCs/>
          <w:color w:val="auto"/>
          <w:sz w:val="32"/>
          <w:szCs w:val="32"/>
        </w:rPr>
        <w:t>月</w:t>
      </w:r>
    </w:p>
    <w:p>
      <w:pPr>
        <w:snapToGrid w:val="0"/>
        <w:spacing w:line="360" w:lineRule="auto"/>
        <w:jc w:val="center"/>
        <w:rPr>
          <w:rFonts w:ascii="仿宋" w:hAnsi="仿宋" w:eastAsia="仿宋" w:cs="仿宋_GB2312"/>
          <w:color w:val="auto"/>
          <w:sz w:val="24"/>
        </w:rPr>
      </w:pPr>
      <w:r>
        <w:rPr>
          <w:rFonts w:ascii="仿宋" w:hAnsi="仿宋" w:eastAsia="仿宋" w:cs="仿宋_GB2312"/>
          <w:color w:val="auto"/>
          <w:sz w:val="24"/>
        </w:rPr>
        <w:br w:type="page"/>
      </w:r>
      <w:bookmarkStart w:id="0" w:name="_Hlt67893495"/>
      <w:bookmarkEnd w:id="0"/>
    </w:p>
    <w:p>
      <w:pPr>
        <w:snapToGrid w:val="0"/>
        <w:spacing w:line="360" w:lineRule="auto"/>
        <w:jc w:val="center"/>
        <w:rPr>
          <w:rFonts w:ascii="仿宋" w:hAnsi="仿宋" w:eastAsia="仿宋" w:cs="仿宋_GB2312"/>
          <w:color w:val="auto"/>
          <w:sz w:val="24"/>
        </w:rPr>
      </w:pPr>
    </w:p>
    <w:p>
      <w:pPr>
        <w:snapToGrid w:val="0"/>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napToGrid w:val="0"/>
        <w:spacing w:line="360" w:lineRule="auto"/>
        <w:rPr>
          <w:rFonts w:ascii="仿宋" w:hAnsi="仿宋" w:eastAsia="仿宋" w:cs="仿宋_GB2312"/>
          <w:color w:val="auto"/>
          <w:sz w:val="32"/>
          <w:szCs w:val="32"/>
        </w:rPr>
      </w:pPr>
    </w:p>
    <w:p>
      <w:pPr>
        <w:snapToGrid w:val="0"/>
        <w:spacing w:line="360" w:lineRule="auto"/>
        <w:rPr>
          <w:rFonts w:ascii="仿宋" w:hAnsi="仿宋" w:eastAsia="仿宋" w:cs="仿宋_GB2312"/>
          <w:color w:val="auto"/>
          <w:sz w:val="32"/>
          <w:szCs w:val="32"/>
        </w:rPr>
      </w:pPr>
    </w:p>
    <w:p>
      <w:pPr>
        <w:snapToGrid w:val="0"/>
        <w:spacing w:line="360" w:lineRule="auto"/>
        <w:ind w:firstLine="1920" w:firstLineChars="6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napToGrid w:val="0"/>
        <w:spacing w:line="360" w:lineRule="auto"/>
        <w:ind w:firstLine="1920" w:firstLineChars="6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napToGrid w:val="0"/>
        <w:spacing w:line="360" w:lineRule="auto"/>
        <w:ind w:firstLine="1920" w:firstLineChars="6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napToGrid w:val="0"/>
        <w:spacing w:line="360" w:lineRule="auto"/>
        <w:ind w:firstLine="1920" w:firstLineChars="6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napToGrid w:val="0"/>
        <w:spacing w:line="360" w:lineRule="auto"/>
        <w:ind w:firstLine="1920" w:firstLineChars="6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napToGrid w:val="0"/>
        <w:spacing w:line="360" w:lineRule="auto"/>
        <w:ind w:firstLine="1920" w:firstLineChars="6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napToGrid w:val="0"/>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pPr>
        <w:snapToGrid w:val="0"/>
        <w:spacing w:line="360" w:lineRule="auto"/>
        <w:ind w:firstLine="549" w:firstLineChars="229"/>
        <w:rPr>
          <w:rFonts w:ascii="仿宋" w:hAnsi="仿宋" w:eastAsia="仿宋" w:cs="仿宋_GB2312"/>
          <w:color w:val="auto"/>
          <w:sz w:val="24"/>
        </w:rPr>
      </w:pPr>
    </w:p>
    <w:p>
      <w:pPr>
        <w:snapToGrid w:val="0"/>
        <w:spacing w:line="360" w:lineRule="auto"/>
        <w:ind w:firstLine="549" w:firstLineChars="229"/>
        <w:rPr>
          <w:rFonts w:ascii="仿宋" w:hAnsi="仿宋" w:eastAsia="仿宋" w:cs="仿宋_GB2312"/>
          <w:color w:val="auto"/>
          <w:sz w:val="24"/>
        </w:rPr>
      </w:pPr>
    </w:p>
    <w:p>
      <w:pPr>
        <w:snapToGrid w:val="0"/>
        <w:spacing w:line="360" w:lineRule="auto"/>
        <w:ind w:firstLine="549" w:firstLineChars="229"/>
        <w:rPr>
          <w:rFonts w:ascii="仿宋" w:hAnsi="仿宋" w:eastAsia="仿宋" w:cs="仿宋_GB2312"/>
          <w:color w:val="auto"/>
          <w:sz w:val="24"/>
        </w:rPr>
      </w:pPr>
    </w:p>
    <w:p>
      <w:pPr>
        <w:snapToGrid w:val="0"/>
        <w:spacing w:line="360" w:lineRule="auto"/>
        <w:ind w:firstLine="549" w:firstLineChars="229"/>
        <w:rPr>
          <w:rFonts w:ascii="仿宋" w:hAnsi="仿宋" w:eastAsia="仿宋" w:cs="仿宋_GB2312"/>
          <w:color w:val="auto"/>
          <w:sz w:val="24"/>
        </w:rPr>
      </w:pPr>
    </w:p>
    <w:p>
      <w:pPr>
        <w:snapToGrid w:val="0"/>
        <w:spacing w:line="360" w:lineRule="auto"/>
        <w:ind w:firstLine="549" w:firstLineChars="229"/>
        <w:rPr>
          <w:rFonts w:ascii="仿宋" w:hAnsi="仿宋" w:eastAsia="仿宋" w:cs="仿宋_GB2312"/>
          <w:color w:val="auto"/>
          <w:sz w:val="24"/>
        </w:rPr>
      </w:pPr>
    </w:p>
    <w:p>
      <w:pPr>
        <w:snapToGrid w:val="0"/>
        <w:spacing w:line="360" w:lineRule="auto"/>
        <w:ind w:firstLine="549" w:firstLineChars="229"/>
        <w:rPr>
          <w:rFonts w:ascii="仿宋" w:hAnsi="仿宋" w:eastAsia="仿宋" w:cs="仿宋_GB2312"/>
          <w:color w:val="auto"/>
          <w:sz w:val="24"/>
        </w:rPr>
      </w:pPr>
    </w:p>
    <w:p>
      <w:pPr>
        <w:snapToGrid w:val="0"/>
        <w:spacing w:line="360" w:lineRule="auto"/>
        <w:ind w:firstLine="549" w:firstLineChars="229"/>
        <w:rPr>
          <w:rFonts w:ascii="仿宋" w:hAnsi="仿宋" w:eastAsia="仿宋" w:cs="仿宋_GB2312"/>
          <w:color w:val="auto"/>
          <w:sz w:val="24"/>
        </w:rPr>
      </w:pPr>
    </w:p>
    <w:p>
      <w:pPr>
        <w:snapToGrid w:val="0"/>
        <w:spacing w:line="360" w:lineRule="auto"/>
        <w:ind w:firstLine="549" w:firstLineChars="229"/>
        <w:rPr>
          <w:rFonts w:ascii="仿宋" w:hAnsi="仿宋" w:eastAsia="仿宋" w:cs="仿宋_GB2312"/>
          <w:color w:val="auto"/>
          <w:sz w:val="24"/>
        </w:rPr>
      </w:pPr>
    </w:p>
    <w:p>
      <w:pPr>
        <w:snapToGrid w:val="0"/>
        <w:spacing w:line="360" w:lineRule="auto"/>
        <w:ind w:firstLine="549" w:firstLineChars="229"/>
        <w:rPr>
          <w:rFonts w:ascii="仿宋" w:hAnsi="仿宋" w:eastAsia="仿宋" w:cs="仿宋_GB2312"/>
          <w:color w:val="auto"/>
          <w:sz w:val="24"/>
        </w:rPr>
      </w:pPr>
    </w:p>
    <w:p>
      <w:pPr>
        <w:snapToGrid w:val="0"/>
        <w:spacing w:line="360" w:lineRule="auto"/>
        <w:ind w:firstLine="549" w:firstLineChars="229"/>
        <w:rPr>
          <w:rFonts w:ascii="仿宋" w:hAnsi="仿宋" w:eastAsia="仿宋" w:cs="仿宋_GB2312"/>
          <w:color w:val="auto"/>
          <w:sz w:val="24"/>
        </w:rPr>
      </w:pPr>
    </w:p>
    <w:p>
      <w:pPr>
        <w:snapToGrid w:val="0"/>
        <w:spacing w:line="360" w:lineRule="auto"/>
        <w:ind w:firstLine="549" w:firstLineChars="229"/>
        <w:rPr>
          <w:rFonts w:ascii="仿宋" w:hAnsi="仿宋" w:eastAsia="仿宋" w:cs="仿宋_GB2312"/>
          <w:color w:val="auto"/>
          <w:sz w:val="24"/>
        </w:rPr>
      </w:pPr>
    </w:p>
    <w:p>
      <w:pPr>
        <w:snapToGrid w:val="0"/>
        <w:spacing w:line="360" w:lineRule="auto"/>
        <w:ind w:firstLine="549" w:firstLineChars="229"/>
        <w:rPr>
          <w:rFonts w:ascii="仿宋" w:hAnsi="仿宋" w:eastAsia="仿宋" w:cs="仿宋_GB2312"/>
          <w:color w:val="auto"/>
          <w:sz w:val="24"/>
        </w:rPr>
      </w:pPr>
    </w:p>
    <w:p>
      <w:pPr>
        <w:snapToGrid w:val="0"/>
        <w:spacing w:line="360" w:lineRule="auto"/>
        <w:rPr>
          <w:rFonts w:ascii="仿宋" w:hAnsi="仿宋" w:eastAsia="仿宋" w:cs="仿宋_GB2312"/>
          <w:color w:val="auto"/>
          <w:sz w:val="24"/>
        </w:rPr>
      </w:pPr>
    </w:p>
    <w:p>
      <w:pPr>
        <w:snapToGrid w:val="0"/>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_GB2312" w:hAnsi="仿宋" w:eastAsia="仿宋_GB2312"/>
          <w:color w:val="auto"/>
          <w:sz w:val="24"/>
          <w:u w:val="single"/>
        </w:rPr>
      </w:pPr>
      <w:r>
        <w:rPr>
          <w:rFonts w:hint="eastAsia" w:ascii="仿宋_GB2312" w:hAnsi="仿宋" w:eastAsia="仿宋_GB2312"/>
          <w:color w:val="auto"/>
          <w:sz w:val="24"/>
          <w:highlight w:val="none"/>
          <w:u w:val="single"/>
          <w:lang w:eastAsia="zh-CN"/>
        </w:rPr>
        <w:t>2022年杭州图书馆音像制品采购</w:t>
      </w:r>
      <w:r>
        <w:rPr>
          <w:rFonts w:hint="eastAsia" w:ascii="仿宋_GB2312" w:hAnsi="仿宋" w:eastAsia="仿宋_GB2312"/>
          <w:color w:val="auto"/>
          <w:sz w:val="24"/>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08</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napToGrid w:val="0"/>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p>
    <w:p>
      <w:pPr>
        <w:snapToGrid w:val="0"/>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hint="eastAsia" w:ascii="仿宋_GB2312" w:hAnsi="仿宋" w:eastAsia="仿宋_GB2312"/>
          <w:color w:val="auto"/>
          <w:sz w:val="24"/>
        </w:rPr>
        <w:t>项目编号：</w:t>
      </w:r>
      <w:r>
        <w:rPr>
          <w:rFonts w:hint="eastAsia" w:ascii="仿宋_GB2312" w:hAnsi="仿宋" w:eastAsia="仿宋_GB2312"/>
          <w:color w:val="auto"/>
          <w:sz w:val="24"/>
          <w:lang w:eastAsia="zh-CN"/>
        </w:rPr>
        <w:t>ZJJW2022-SC-008</w:t>
      </w:r>
    </w:p>
    <w:p>
      <w:pPr>
        <w:snapToGrid w:val="0"/>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项目名称：</w:t>
      </w:r>
      <w:r>
        <w:rPr>
          <w:rFonts w:hint="eastAsia" w:ascii="仿宋_GB2312" w:hAnsi="仿宋" w:eastAsia="仿宋_GB2312"/>
          <w:color w:val="auto"/>
          <w:sz w:val="24"/>
          <w:highlight w:val="none"/>
          <w:lang w:eastAsia="zh-CN"/>
        </w:rPr>
        <w:t>2022年杭州图书馆音像制品采购</w:t>
      </w:r>
    </w:p>
    <w:p>
      <w:pPr>
        <w:snapToGrid w:val="0"/>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预算金额（元）：</w:t>
      </w:r>
      <w:r>
        <w:rPr>
          <w:rFonts w:hint="eastAsia" w:ascii="仿宋_GB2312" w:hAnsi="仿宋" w:eastAsia="仿宋_GB2312"/>
          <w:color w:val="auto"/>
          <w:sz w:val="24"/>
          <w:highlight w:val="none"/>
          <w:lang w:val="en-US" w:eastAsia="zh-CN"/>
        </w:rPr>
        <w:t>1380000</w:t>
      </w:r>
    </w:p>
    <w:p>
      <w:pPr>
        <w:snapToGrid w:val="0"/>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最高限价（元）：</w:t>
      </w:r>
      <w:r>
        <w:rPr>
          <w:rFonts w:hint="eastAsia" w:ascii="仿宋_GB2312" w:hAnsi="仿宋" w:eastAsia="仿宋_GB2312"/>
          <w:color w:val="auto"/>
          <w:sz w:val="24"/>
          <w:highlight w:val="none"/>
          <w:lang w:val="en-US" w:eastAsia="zh-CN"/>
        </w:rPr>
        <w:t>580000，800000</w:t>
      </w:r>
    </w:p>
    <w:p>
      <w:pPr>
        <w:pStyle w:val="7"/>
        <w:spacing w:line="360" w:lineRule="auto"/>
        <w:ind w:firstLine="480"/>
        <w:rPr>
          <w:rFonts w:ascii="仿宋_GB2312" w:hAnsi="仿宋" w:eastAsia="仿宋_GB2312"/>
          <w:b/>
          <w:color w:val="auto"/>
          <w:sz w:val="24"/>
        </w:rPr>
      </w:pPr>
      <w:r>
        <w:rPr>
          <w:rFonts w:hint="eastAsia" w:ascii="仿宋_GB2312" w:hAnsi="仿宋" w:eastAsia="仿宋_GB2312"/>
          <w:color w:val="auto"/>
          <w:sz w:val="24"/>
        </w:rPr>
        <w:t>采购需求</w:t>
      </w:r>
      <w:r>
        <w:rPr>
          <w:rFonts w:hint="eastAsia" w:ascii="仿宋_GB2312" w:hAnsi="仿宋" w:eastAsia="仿宋_GB2312"/>
          <w:b w:val="0"/>
          <w:bCs/>
          <w:color w:val="auto"/>
          <w:sz w:val="24"/>
        </w:rPr>
        <w:t>：</w:t>
      </w:r>
    </w:p>
    <w:p>
      <w:pPr>
        <w:snapToGrid w:val="0"/>
        <w:spacing w:line="360" w:lineRule="auto"/>
        <w:ind w:firstLine="480"/>
        <w:rPr>
          <w:rFonts w:ascii="仿宋" w:hAnsi="仿宋" w:eastAsia="仿宋" w:cs="仿宋_GB2312"/>
          <w:snapToGrid w:val="0"/>
          <w:color w:val="auto"/>
          <w:kern w:val="28"/>
          <w:sz w:val="24"/>
          <w:szCs w:val="20"/>
        </w:rPr>
      </w:pPr>
    </w:p>
    <w:p>
      <w:pPr>
        <w:snapToGrid w:val="0"/>
        <w:spacing w:line="360" w:lineRule="auto"/>
        <w:ind w:firstLine="480"/>
        <w:rPr>
          <w:rFonts w:hint="eastAsia" w:ascii="仿宋" w:hAnsi="仿宋" w:eastAsia="仿宋" w:cs="仿宋_GB2312"/>
          <w:snapToGrid w:val="0"/>
          <w:color w:val="auto"/>
          <w:kern w:val="28"/>
          <w:sz w:val="24"/>
          <w:szCs w:val="20"/>
          <w:highlight w:val="none"/>
          <w:lang w:val="en-US" w:eastAsia="zh-CN"/>
        </w:rPr>
      </w:pPr>
      <w:r>
        <w:rPr>
          <w:rFonts w:hint="eastAsia" w:ascii="仿宋" w:hAnsi="仿宋" w:eastAsia="仿宋" w:cs="仿宋_GB2312"/>
          <w:snapToGrid w:val="0"/>
          <w:color w:val="auto"/>
          <w:kern w:val="28"/>
          <w:sz w:val="24"/>
          <w:szCs w:val="20"/>
          <w:highlight w:val="none"/>
          <w:lang w:val="en-US" w:eastAsia="zh-CN"/>
        </w:rPr>
        <w:t>标项一</w:t>
      </w:r>
    </w:p>
    <w:p>
      <w:pPr>
        <w:snapToGrid w:val="0"/>
        <w:spacing w:line="360" w:lineRule="auto"/>
        <w:ind w:firstLine="480"/>
        <w:rPr>
          <w:rFonts w:hint="eastAsia" w:ascii="仿宋" w:hAnsi="仿宋" w:eastAsia="仿宋" w:cs="仿宋_GB2312"/>
          <w:snapToGrid w:val="0"/>
          <w:color w:val="auto"/>
          <w:kern w:val="28"/>
          <w:sz w:val="24"/>
          <w:szCs w:val="20"/>
          <w:highlight w:val="none"/>
          <w:lang w:eastAsia="zh-CN"/>
        </w:rPr>
      </w:pPr>
      <w:r>
        <w:rPr>
          <w:rFonts w:hint="eastAsia" w:ascii="仿宋" w:hAnsi="仿宋" w:eastAsia="仿宋" w:cs="仿宋_GB2312"/>
          <w:snapToGrid w:val="0"/>
          <w:color w:val="auto"/>
          <w:kern w:val="28"/>
          <w:sz w:val="24"/>
          <w:szCs w:val="20"/>
          <w:highlight w:val="none"/>
        </w:rPr>
        <w:t>标项名称：中文音像制品</w:t>
      </w:r>
    </w:p>
    <w:p>
      <w:pPr>
        <w:snapToGrid w:val="0"/>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数量：1</w:t>
      </w:r>
    </w:p>
    <w:p>
      <w:pPr>
        <w:snapToGrid w:val="0"/>
        <w:spacing w:line="360" w:lineRule="auto"/>
        <w:ind w:firstLine="480"/>
        <w:rPr>
          <w:rFonts w:hint="default" w:ascii="仿宋" w:hAnsi="仿宋" w:eastAsia="仿宋" w:cs="仿宋_GB2312"/>
          <w:snapToGrid w:val="0"/>
          <w:color w:val="auto"/>
          <w:kern w:val="28"/>
          <w:sz w:val="24"/>
          <w:szCs w:val="20"/>
          <w:highlight w:val="none"/>
          <w:lang w:val="en-US" w:eastAsia="zh-CN"/>
        </w:rPr>
      </w:pPr>
      <w:r>
        <w:rPr>
          <w:rFonts w:hint="eastAsia" w:ascii="仿宋" w:hAnsi="仿宋" w:eastAsia="仿宋" w:cs="仿宋_GB2312"/>
          <w:snapToGrid w:val="0"/>
          <w:color w:val="auto"/>
          <w:kern w:val="28"/>
          <w:sz w:val="24"/>
          <w:szCs w:val="20"/>
          <w:highlight w:val="none"/>
        </w:rPr>
        <w:t>预算金额（元）：</w:t>
      </w:r>
      <w:r>
        <w:rPr>
          <w:rFonts w:hint="eastAsia" w:ascii="仿宋" w:hAnsi="仿宋" w:eastAsia="仿宋" w:cs="仿宋_GB2312"/>
          <w:snapToGrid w:val="0"/>
          <w:color w:val="auto"/>
          <w:kern w:val="28"/>
          <w:sz w:val="24"/>
          <w:szCs w:val="20"/>
          <w:highlight w:val="none"/>
          <w:lang w:val="en-US" w:eastAsia="zh-CN"/>
        </w:rPr>
        <w:t>580000</w:t>
      </w:r>
    </w:p>
    <w:p>
      <w:pPr>
        <w:snapToGrid w:val="0"/>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简要规格描述或项目基本概况介绍、用途：1、定时提供音像制品信息服务；2、收到采购人音像制品订单后应及时回复；3、按采购人订购的音像制品品种、数量及时供货；4、提供规范的机读编目数据；5、提供的征订数据必须以CNMARC/MARC21格式文件提供；6、提供到馆音像制品的全加工工作；7、接收捐赠文献的辅助加工工作；8、提供不少于</w:t>
      </w:r>
      <w:r>
        <w:rPr>
          <w:rFonts w:hint="eastAsia" w:ascii="仿宋" w:hAnsi="仿宋" w:eastAsia="仿宋" w:cs="仿宋_GB2312"/>
          <w:snapToGrid w:val="0"/>
          <w:color w:val="auto"/>
          <w:kern w:val="28"/>
          <w:sz w:val="24"/>
          <w:szCs w:val="20"/>
          <w:highlight w:val="none"/>
          <w:lang w:val="en-US" w:eastAsia="zh-CN"/>
        </w:rPr>
        <w:t>1</w:t>
      </w:r>
      <w:r>
        <w:rPr>
          <w:rFonts w:hint="eastAsia" w:ascii="仿宋" w:hAnsi="仿宋" w:eastAsia="仿宋" w:cs="仿宋_GB2312"/>
          <w:snapToGrid w:val="0"/>
          <w:color w:val="auto"/>
          <w:kern w:val="28"/>
          <w:sz w:val="24"/>
          <w:szCs w:val="20"/>
          <w:highlight w:val="none"/>
        </w:rPr>
        <w:t>名全加工人员到馆加工图书等相关工作。详见招标文件第三部分“采购需求”。</w:t>
      </w:r>
    </w:p>
    <w:p>
      <w:pPr>
        <w:snapToGrid w:val="0"/>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备注：</w:t>
      </w:r>
    </w:p>
    <w:p>
      <w:pPr>
        <w:snapToGrid w:val="0"/>
        <w:spacing w:line="360" w:lineRule="auto"/>
        <w:ind w:firstLine="480"/>
        <w:rPr>
          <w:rFonts w:hint="eastAsia" w:ascii="仿宋" w:hAnsi="仿宋" w:eastAsia="仿宋" w:cs="仿宋_GB2312"/>
          <w:snapToGrid w:val="0"/>
          <w:color w:val="auto"/>
          <w:kern w:val="28"/>
          <w:sz w:val="24"/>
          <w:szCs w:val="20"/>
          <w:lang w:val="en-US" w:eastAsia="zh-CN"/>
        </w:rPr>
      </w:pPr>
    </w:p>
    <w:p>
      <w:pPr>
        <w:snapToGrid w:val="0"/>
        <w:spacing w:line="360" w:lineRule="auto"/>
        <w:ind w:firstLine="480"/>
        <w:rPr>
          <w:rFonts w:hint="default" w:ascii="仿宋" w:hAnsi="仿宋" w:eastAsia="仿宋" w:cs="仿宋_GB2312"/>
          <w:snapToGrid w:val="0"/>
          <w:color w:val="auto"/>
          <w:kern w:val="28"/>
          <w:sz w:val="24"/>
          <w:szCs w:val="20"/>
          <w:highlight w:val="none"/>
          <w:lang w:val="en-US" w:eastAsia="zh-CN"/>
        </w:rPr>
      </w:pPr>
      <w:r>
        <w:rPr>
          <w:rFonts w:hint="eastAsia" w:ascii="仿宋" w:hAnsi="仿宋" w:eastAsia="仿宋" w:cs="仿宋_GB2312"/>
          <w:snapToGrid w:val="0"/>
          <w:color w:val="auto"/>
          <w:kern w:val="28"/>
          <w:sz w:val="24"/>
          <w:szCs w:val="20"/>
          <w:highlight w:val="none"/>
          <w:lang w:val="en-US" w:eastAsia="zh-CN"/>
        </w:rPr>
        <w:t>标项二</w:t>
      </w:r>
    </w:p>
    <w:p>
      <w:pPr>
        <w:snapToGrid w:val="0"/>
        <w:spacing w:line="360" w:lineRule="auto"/>
        <w:ind w:firstLine="480"/>
        <w:rPr>
          <w:rFonts w:hint="eastAsia" w:ascii="仿宋" w:hAnsi="仿宋" w:eastAsia="仿宋" w:cs="仿宋_GB2312"/>
          <w:snapToGrid w:val="0"/>
          <w:color w:val="auto"/>
          <w:kern w:val="28"/>
          <w:sz w:val="24"/>
          <w:szCs w:val="20"/>
          <w:highlight w:val="none"/>
          <w:lang w:eastAsia="zh-CN"/>
        </w:rPr>
      </w:pPr>
      <w:r>
        <w:rPr>
          <w:rFonts w:hint="eastAsia" w:ascii="仿宋" w:hAnsi="仿宋" w:eastAsia="仿宋" w:cs="仿宋_GB2312"/>
          <w:snapToGrid w:val="0"/>
          <w:color w:val="auto"/>
          <w:kern w:val="28"/>
          <w:sz w:val="24"/>
          <w:szCs w:val="20"/>
          <w:highlight w:val="none"/>
        </w:rPr>
        <w:t>标项名称：</w:t>
      </w:r>
      <w:r>
        <w:rPr>
          <w:rFonts w:hint="eastAsia" w:ascii="仿宋" w:hAnsi="仿宋" w:eastAsia="仿宋" w:cs="仿宋_GB2312"/>
          <w:snapToGrid w:val="0"/>
          <w:color w:val="auto"/>
          <w:kern w:val="28"/>
          <w:sz w:val="24"/>
          <w:szCs w:val="20"/>
          <w:highlight w:val="none"/>
          <w:lang w:val="en-US" w:eastAsia="zh-CN"/>
        </w:rPr>
        <w:t>外</w:t>
      </w:r>
      <w:r>
        <w:rPr>
          <w:rFonts w:hint="eastAsia" w:ascii="仿宋" w:hAnsi="仿宋" w:eastAsia="仿宋" w:cs="仿宋_GB2312"/>
          <w:snapToGrid w:val="0"/>
          <w:color w:val="auto"/>
          <w:kern w:val="28"/>
          <w:sz w:val="24"/>
          <w:szCs w:val="20"/>
          <w:highlight w:val="none"/>
        </w:rPr>
        <w:t>文音像制品</w:t>
      </w:r>
    </w:p>
    <w:p>
      <w:pPr>
        <w:snapToGrid w:val="0"/>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数量：1</w:t>
      </w:r>
    </w:p>
    <w:p>
      <w:pPr>
        <w:snapToGrid w:val="0"/>
        <w:spacing w:line="360" w:lineRule="auto"/>
        <w:ind w:firstLine="480"/>
        <w:rPr>
          <w:rFonts w:hint="default" w:ascii="仿宋" w:hAnsi="仿宋" w:eastAsia="仿宋" w:cs="仿宋_GB2312"/>
          <w:snapToGrid w:val="0"/>
          <w:color w:val="auto"/>
          <w:kern w:val="28"/>
          <w:sz w:val="24"/>
          <w:szCs w:val="20"/>
          <w:highlight w:val="none"/>
          <w:lang w:val="en-US" w:eastAsia="zh-CN"/>
        </w:rPr>
      </w:pPr>
      <w:r>
        <w:rPr>
          <w:rFonts w:hint="eastAsia" w:ascii="仿宋" w:hAnsi="仿宋" w:eastAsia="仿宋" w:cs="仿宋_GB2312"/>
          <w:snapToGrid w:val="0"/>
          <w:color w:val="auto"/>
          <w:kern w:val="28"/>
          <w:sz w:val="24"/>
          <w:szCs w:val="20"/>
          <w:highlight w:val="none"/>
        </w:rPr>
        <w:t>预算金额（元）：</w:t>
      </w:r>
      <w:r>
        <w:rPr>
          <w:rFonts w:hint="eastAsia" w:ascii="仿宋" w:hAnsi="仿宋" w:eastAsia="仿宋" w:cs="仿宋_GB2312"/>
          <w:snapToGrid w:val="0"/>
          <w:color w:val="auto"/>
          <w:kern w:val="28"/>
          <w:sz w:val="24"/>
          <w:szCs w:val="20"/>
          <w:highlight w:val="none"/>
          <w:lang w:val="en-US" w:eastAsia="zh-CN"/>
        </w:rPr>
        <w:t>800000</w:t>
      </w:r>
    </w:p>
    <w:p>
      <w:pPr>
        <w:snapToGrid w:val="0"/>
        <w:spacing w:line="360" w:lineRule="auto"/>
        <w:ind w:firstLine="480"/>
        <w:rPr>
          <w:rFonts w:hint="eastAsia"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简要规格描述或项目基本概况介绍、用途：1、定时提供音像制品信息服务；2、收到采购人音像制品订单后应及时回复；3、按采购人订购的音像制品品种、数量及时供货；4、提供规范的机读编目数据；5、提供的征订数据必须以CNMARC/MARC21格式文件提供；6、提供到馆音像制品的全加工工作；7、接收捐赠文献的辅助加工工作；8、提供不少于2名全加工人员到馆加工图书等相关工作。详见招标文件第三部分“采购需求”。</w:t>
      </w:r>
    </w:p>
    <w:p>
      <w:pPr>
        <w:snapToGrid w:val="0"/>
        <w:spacing w:line="360" w:lineRule="auto"/>
        <w:ind w:firstLine="480"/>
        <w:rPr>
          <w:rFonts w:hint="eastAsia" w:ascii="仿宋_GB2312" w:hAnsi="仿宋" w:eastAsia="仿宋_GB2312"/>
          <w:bCs/>
          <w:color w:val="auto"/>
          <w:highlight w:val="none"/>
        </w:rPr>
      </w:pPr>
      <w:r>
        <w:rPr>
          <w:rFonts w:hint="eastAsia" w:ascii="仿宋" w:hAnsi="仿宋" w:eastAsia="仿宋" w:cs="仿宋_GB2312"/>
          <w:snapToGrid w:val="0"/>
          <w:color w:val="auto"/>
          <w:kern w:val="28"/>
          <w:sz w:val="24"/>
          <w:szCs w:val="20"/>
          <w:highlight w:val="none"/>
        </w:rPr>
        <w:t>备注：</w:t>
      </w:r>
    </w:p>
    <w:p>
      <w:pPr>
        <w:pStyle w:val="25"/>
        <w:rPr>
          <w:rFonts w:hint="eastAsia"/>
        </w:rPr>
      </w:pPr>
    </w:p>
    <w:p>
      <w:pPr>
        <w:pStyle w:val="129"/>
        <w:snapToGrid w:val="0"/>
        <w:ind w:firstLine="480"/>
        <w:outlineLvl w:val="2"/>
        <w:rPr>
          <w:rFonts w:ascii="仿宋_GB2312" w:hAnsi="仿宋" w:eastAsia="仿宋_GB2312"/>
          <w:bCs/>
          <w:color w:val="auto"/>
          <w:highlight w:val="none"/>
        </w:rPr>
      </w:pPr>
      <w:r>
        <w:rPr>
          <w:rFonts w:hint="eastAsia" w:ascii="仿宋_GB2312" w:hAnsi="仿宋" w:eastAsia="仿宋_GB2312"/>
          <w:bCs/>
          <w:color w:val="auto"/>
          <w:highlight w:val="none"/>
        </w:rPr>
        <w:t>合同履约期限：标项1</w:t>
      </w:r>
      <w:r>
        <w:rPr>
          <w:rFonts w:hint="eastAsia" w:ascii="仿宋_GB2312" w:hAnsi="仿宋" w:eastAsia="仿宋_GB2312"/>
          <w:bCs/>
          <w:color w:val="auto"/>
          <w:highlight w:val="none"/>
          <w:lang w:eastAsia="zh-CN"/>
        </w:rPr>
        <w:t>、</w:t>
      </w:r>
      <w:r>
        <w:rPr>
          <w:rFonts w:hint="eastAsia" w:ascii="仿宋_GB2312" w:hAnsi="仿宋" w:eastAsia="仿宋_GB2312"/>
          <w:bCs/>
          <w:color w:val="auto"/>
          <w:highlight w:val="none"/>
          <w:lang w:val="en-US" w:eastAsia="zh-CN"/>
        </w:rPr>
        <w:t>2，签订之日起至2022年12月31日</w:t>
      </w:r>
    </w:p>
    <w:p>
      <w:pPr>
        <w:pStyle w:val="7"/>
        <w:spacing w:line="360" w:lineRule="auto"/>
        <w:ind w:firstLine="480"/>
        <w:rPr>
          <w:rFonts w:ascii="仿宋_GB2312" w:hAnsi="仿宋" w:eastAsia="仿宋_GB2312"/>
          <w:bCs/>
          <w:color w:val="auto"/>
          <w:sz w:val="24"/>
          <w:highlight w:val="none"/>
        </w:rPr>
      </w:pPr>
      <w:r>
        <w:rPr>
          <w:rFonts w:hint="eastAsia" w:ascii="仿宋_GB2312" w:hAnsi="仿宋" w:eastAsia="仿宋_GB2312"/>
          <w:bCs/>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color w:val="auto"/>
          <w:sz w:val="24"/>
          <w:highlight w:val="none"/>
        </w:rPr>
        <w:t>否</w:t>
      </w:r>
      <w:r>
        <w:rPr>
          <w:rFonts w:hint="eastAsia" w:cs="Arial" w:asciiTheme="minorEastAsia" w:hAnsiTheme="minorEastAsia" w:eastAsiaTheme="minorEastAsia"/>
          <w:bCs/>
          <w:color w:val="auto"/>
          <w:kern w:val="0"/>
          <w:sz w:val="24"/>
          <w:highlight w:val="none"/>
        </w:rPr>
        <w:t>。</w:t>
      </w:r>
    </w:p>
    <w:p>
      <w:pPr>
        <w:snapToGrid w:val="0"/>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napToGrid w:val="0"/>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rPr>
        <w:t xml:space="preserve">   </w:t>
      </w: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napToGrid w:val="0"/>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无；</w:t>
      </w:r>
    </w:p>
    <w:p>
      <w:pPr>
        <w:snapToGrid w:val="0"/>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napToGrid w:val="0"/>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货物全部由符合政策要求的中小企业制造，提供中小企业声明函；</w:t>
      </w:r>
    </w:p>
    <w:p>
      <w:pPr>
        <w:snapToGrid w:val="0"/>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货物全部由符合政策要求的小微企业制造，提供中小企业声明函；</w:t>
      </w:r>
    </w:p>
    <w:p>
      <w:pPr>
        <w:snapToGrid w:val="0"/>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服务全部由符合政策要求的中小企业承接，提供中小企业声明函；</w:t>
      </w:r>
    </w:p>
    <w:p>
      <w:pPr>
        <w:snapToGrid w:val="0"/>
        <w:spacing w:line="360" w:lineRule="auto"/>
        <w:ind w:firstLine="897" w:firstLineChars="374"/>
        <w:rPr>
          <w:sz w:val="22"/>
          <w:szCs w:val="22"/>
        </w:rPr>
      </w:pPr>
      <w:sdt>
        <w:sdtPr>
          <w:rPr>
            <w:rFonts w:hint="eastAsia" w:ascii="仿宋_GB2312" w:hAnsi="仿宋" w:eastAsia="仿宋_GB2312" w:cs="Arial"/>
            <w:color w:val="auto"/>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服务全部由符合政策要求的小微企业承接，提供中小企业声明函；</w:t>
      </w:r>
    </w:p>
    <w:p>
      <w:pPr>
        <w:snapToGrid w:val="0"/>
        <w:spacing w:line="360" w:lineRule="auto"/>
        <w:ind w:firstLine="480" w:firstLineChars="200"/>
        <w:rPr>
          <w:rFonts w:ascii="仿宋" w:hAnsi="仿宋" w:eastAsia="仿宋"/>
          <w:color w:val="auto"/>
          <w:sz w:val="24"/>
        </w:rPr>
      </w:pPr>
      <w:sdt>
        <w:sdtPr>
          <w:rPr>
            <w:rFonts w:hint="eastAsia" w:ascii="仿宋_GB2312" w:hAnsi="仿宋" w:eastAsia="仿宋_GB2312" w:cs="Arial"/>
            <w:color w:val="auto"/>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w:t>
      </w:r>
      <w:r>
        <w:rPr>
          <w:rFonts w:hint="eastAsia" w:ascii="仿宋" w:hAnsi="仿宋" w:eastAsia="仿宋" w:cs="宋体"/>
          <w:color w:val="auto"/>
          <w:spacing w:val="8"/>
          <w:kern w:val="0"/>
          <w:sz w:val="24"/>
          <w:highlight w:val="none"/>
        </w:rPr>
        <w:t>业分包，无需提供分包意向协议</w:t>
      </w:r>
      <w:r>
        <w:rPr>
          <w:rFonts w:hint="eastAsia" w:ascii="仿宋" w:hAnsi="仿宋" w:eastAsia="仿宋"/>
          <w:color w:val="auto"/>
          <w:sz w:val="24"/>
          <w:highlight w:val="none"/>
        </w:rPr>
        <w:t>；</w:t>
      </w:r>
    </w:p>
    <w:p>
      <w:pPr>
        <w:numPr>
          <w:ilvl w:val="0"/>
          <w:numId w:val="0"/>
        </w:numPr>
        <w:snapToGrid w:val="0"/>
        <w:spacing w:line="360" w:lineRule="auto"/>
        <w:ind w:firstLine="480" w:firstLineChars="20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本项目的特定资格要</w:t>
      </w:r>
      <w:r>
        <w:rPr>
          <w:rFonts w:hint="eastAsia" w:ascii="仿宋_GB2312" w:hAnsi="仿宋" w:eastAsia="仿宋_GB2312"/>
          <w:color w:val="auto"/>
          <w:sz w:val="24"/>
          <w:highlight w:val="none"/>
        </w:rPr>
        <w:t>求：</w:t>
      </w:r>
      <w:r>
        <w:rPr>
          <w:rFonts w:hint="eastAsia" w:ascii="仿宋_GB2312" w:hAnsi="仿宋" w:eastAsia="仿宋_GB2312"/>
          <w:color w:val="auto"/>
          <w:sz w:val="24"/>
          <w:highlight w:val="none"/>
          <w:lang w:val="en-US" w:eastAsia="zh-CN"/>
        </w:rPr>
        <w:t>标项一：具有</w:t>
      </w:r>
      <w:r>
        <w:rPr>
          <w:rFonts w:hint="eastAsia" w:ascii="仿宋_GB2312" w:hAnsi="仿宋" w:eastAsia="仿宋_GB2312"/>
          <w:color w:val="auto"/>
          <w:sz w:val="24"/>
          <w:highlight w:val="none"/>
        </w:rPr>
        <w:t>音像制品经营许可证</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标项二：具有</w:t>
      </w:r>
      <w:r>
        <w:rPr>
          <w:rFonts w:hint="eastAsia" w:ascii="仿宋_GB2312" w:hAnsi="仿宋" w:eastAsia="仿宋_GB2312"/>
          <w:color w:val="auto"/>
          <w:sz w:val="24"/>
          <w:highlight w:val="none"/>
        </w:rPr>
        <w:t>音像制品进口经营许可证</w:t>
      </w:r>
      <w:r>
        <w:rPr>
          <w:rFonts w:hint="eastAsia" w:ascii="仿宋_GB2312" w:hAnsi="仿宋" w:eastAsia="仿宋_GB2312"/>
          <w:color w:val="auto"/>
          <w:sz w:val="24"/>
          <w:highlight w:val="none"/>
          <w:lang w:eastAsia="zh-CN"/>
        </w:rPr>
        <w:t>；</w:t>
      </w:r>
    </w:p>
    <w:p>
      <w:pPr>
        <w:numPr>
          <w:ilvl w:val="0"/>
          <w:numId w:val="0"/>
        </w:numPr>
        <w:snapToGrid w:val="0"/>
        <w:spacing w:line="360" w:lineRule="auto"/>
        <w:ind w:firstLine="480" w:firstLineChars="200"/>
        <w:rPr>
          <w:rFonts w:hint="eastAsia" w:ascii="仿宋_GB2312" w:hAnsi="仿宋" w:eastAsia="仿宋_GB2312" w:cs="仿宋_GB2312"/>
          <w:color w:val="auto"/>
          <w:sz w:val="24"/>
          <w:highlight w:val="none"/>
          <w:lang w:eastAsia="zh-CN"/>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hint="eastAsia" w:ascii="仿宋_GB2312" w:hAnsi="仿宋" w:eastAsia="仿宋_GB2312"/>
          <w:color w:val="auto"/>
          <w:sz w:val="24"/>
          <w:highlight w:val="none"/>
          <w:lang w:eastAsia="zh-CN"/>
        </w:rPr>
        <w:t>；</w:t>
      </w:r>
      <w:r>
        <w:rPr>
          <w:rFonts w:ascii="仿宋_GB2312" w:hAnsi="仿宋" w:eastAsia="仿宋_GB2312" w:cs="仿宋_GB2312"/>
          <w:color w:val="auto"/>
          <w:sz w:val="24"/>
        </w:rPr>
        <w:t>为采购项目提供整体设计、规范编制或者项目管理、监理、检测等服务后再参加该采购项目的其他采购活动的</w:t>
      </w:r>
      <w:r>
        <w:rPr>
          <w:rFonts w:hint="eastAsia" w:ascii="仿宋_GB2312" w:hAnsi="仿宋" w:eastAsia="仿宋_GB2312" w:cs="仿宋_GB2312"/>
          <w:color w:val="auto"/>
          <w:sz w:val="24"/>
          <w:lang w:eastAsia="zh-CN"/>
        </w:rPr>
        <w:t>。</w:t>
      </w:r>
    </w:p>
    <w:p>
      <w:pPr>
        <w:snapToGrid w:val="0"/>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p>
    <w:p>
      <w:pPr>
        <w:snapToGrid w:val="0"/>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时间：</w:t>
      </w:r>
      <w:r>
        <w:rPr>
          <w:rFonts w:ascii="仿宋_GB2312" w:hAnsi="仿宋" w:eastAsia="仿宋_GB2312"/>
          <w:bCs/>
          <w:color w:val="auto"/>
          <w:sz w:val="24"/>
        </w:rPr>
        <w:t>/</w:t>
      </w:r>
      <w:r>
        <w:rPr>
          <w:rFonts w:ascii="仿宋_GB2312" w:hAnsi="仿宋" w:eastAsia="仿宋_GB2312"/>
          <w:bCs/>
          <w:color w:val="auto"/>
          <w:sz w:val="24"/>
          <w:highlight w:val="none"/>
        </w:rPr>
        <w:t>至</w:t>
      </w:r>
      <w:r>
        <w:rPr>
          <w:rFonts w:hint="eastAsia" w:ascii="仿宋_GB2312" w:hAnsi="仿宋" w:eastAsia="仿宋_GB2312"/>
          <w:bCs/>
          <w:color w:val="auto"/>
          <w:sz w:val="24"/>
          <w:highlight w:val="none"/>
          <w:u w:val="single"/>
        </w:rPr>
        <w:t>2022</w:t>
      </w:r>
      <w:r>
        <w:rPr>
          <w:rFonts w:ascii="仿宋_GB2312" w:hAnsi="仿宋" w:eastAsia="仿宋_GB2312"/>
          <w:bCs/>
          <w:color w:val="auto"/>
          <w:sz w:val="24"/>
          <w:highlight w:val="none"/>
          <w:u w:val="single"/>
        </w:rPr>
        <w:t>年</w:t>
      </w:r>
      <w:r>
        <w:rPr>
          <w:rFonts w:hint="eastAsia" w:ascii="仿宋_GB2312" w:hAnsi="仿宋" w:eastAsia="仿宋_GB2312"/>
          <w:bCs/>
          <w:color w:val="auto"/>
          <w:sz w:val="24"/>
          <w:highlight w:val="none"/>
          <w:u w:val="single"/>
        </w:rPr>
        <w:t>0</w:t>
      </w:r>
      <w:r>
        <w:rPr>
          <w:rFonts w:hint="eastAsia" w:ascii="仿宋_GB2312" w:hAnsi="仿宋" w:eastAsia="仿宋_GB2312"/>
          <w:bCs/>
          <w:color w:val="auto"/>
          <w:sz w:val="24"/>
          <w:highlight w:val="none"/>
          <w:u w:val="single"/>
          <w:lang w:val="en-US" w:eastAsia="zh-CN"/>
        </w:rPr>
        <w:t>6</w:t>
      </w:r>
      <w:r>
        <w:rPr>
          <w:rFonts w:ascii="仿宋_GB2312" w:hAnsi="仿宋" w:eastAsia="仿宋_GB2312"/>
          <w:bCs/>
          <w:color w:val="auto"/>
          <w:sz w:val="24"/>
          <w:highlight w:val="none"/>
          <w:u w:val="single"/>
        </w:rPr>
        <w:t>月</w:t>
      </w:r>
      <w:r>
        <w:rPr>
          <w:rFonts w:hint="eastAsia" w:ascii="仿宋_GB2312" w:hAnsi="仿宋" w:eastAsia="仿宋_GB2312"/>
          <w:bCs/>
          <w:color w:val="auto"/>
          <w:sz w:val="24"/>
          <w:highlight w:val="none"/>
          <w:u w:val="single"/>
          <w:lang w:val="en-US" w:eastAsia="zh-CN"/>
        </w:rPr>
        <w:t>08</w:t>
      </w:r>
      <w:r>
        <w:rPr>
          <w:rFonts w:ascii="仿宋_GB2312" w:hAnsi="仿宋" w:eastAsia="仿宋_GB2312"/>
          <w:bCs/>
          <w:color w:val="auto"/>
          <w:sz w:val="24"/>
          <w:highlight w:val="none"/>
          <w:u w:val="single"/>
        </w:rPr>
        <w:t>日</w:t>
      </w:r>
      <w:r>
        <w:rPr>
          <w:rFonts w:hint="eastAsia" w:ascii="仿宋_GB2312" w:hAnsi="仿宋" w:eastAsia="仿宋_GB2312"/>
          <w:bCs/>
          <w:color w:val="auto"/>
          <w:sz w:val="24"/>
        </w:rPr>
        <w:t>，每天上午</w:t>
      </w:r>
      <w:r>
        <w:rPr>
          <w:rFonts w:ascii="仿宋_GB2312" w:hAnsi="仿宋" w:eastAsia="仿宋_GB2312"/>
          <w:bCs/>
          <w:color w:val="auto"/>
          <w:sz w:val="24"/>
        </w:rPr>
        <w:t xml:space="preserve">00:00至12:00 </w:t>
      </w:r>
      <w:r>
        <w:rPr>
          <w:rFonts w:hint="eastAsia" w:ascii="仿宋_GB2312" w:hAnsi="仿宋" w:eastAsia="仿宋_GB2312"/>
          <w:bCs/>
          <w:color w:val="auto"/>
          <w:sz w:val="24"/>
        </w:rPr>
        <w:t>，下午</w:t>
      </w:r>
      <w:r>
        <w:rPr>
          <w:rFonts w:ascii="仿宋_GB2312" w:hAnsi="仿宋" w:eastAsia="仿宋_GB2312"/>
          <w:bCs/>
          <w:color w:val="auto"/>
          <w:sz w:val="24"/>
        </w:rPr>
        <w:t>12:00至23:59（北京时间，线上获取法定节假日均可，线下获取文件法定节假日除外）</w:t>
      </w:r>
    </w:p>
    <w:p>
      <w:pPr>
        <w:snapToGrid w:val="0"/>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地点（网址）：政采云平台（</w:t>
      </w:r>
      <w:r>
        <w:rPr>
          <w:rFonts w:ascii="仿宋_GB2312" w:hAnsi="仿宋" w:eastAsia="仿宋_GB2312"/>
          <w:bCs/>
          <w:color w:val="auto"/>
          <w:sz w:val="24"/>
        </w:rPr>
        <w:t>https://www.zcygov.cn/）</w:t>
      </w:r>
    </w:p>
    <w:p>
      <w:pPr>
        <w:snapToGrid w:val="0"/>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方式：供应商登录政采云平台</w:t>
      </w:r>
      <w:r>
        <w:rPr>
          <w:rFonts w:ascii="仿宋_GB2312" w:hAnsi="仿宋" w:eastAsia="仿宋_GB2312"/>
          <w:bCs/>
          <w:color w:val="auto"/>
          <w:sz w:val="24"/>
        </w:rPr>
        <w:t>https://www.zcygov.cn/在线申请获取采购文件（进入“项目采购”应用，在获取采购文件菜单中选择项目，申请获取采购文件）。</w:t>
      </w:r>
    </w:p>
    <w:p>
      <w:pPr>
        <w:snapToGrid w:val="0"/>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售价（元）：</w:t>
      </w:r>
      <w:r>
        <w:rPr>
          <w:rFonts w:ascii="仿宋_GB2312" w:hAnsi="仿宋" w:eastAsia="仿宋_GB2312"/>
          <w:bCs/>
          <w:color w:val="auto"/>
          <w:sz w:val="24"/>
        </w:rPr>
        <w:t>0</w:t>
      </w:r>
    </w:p>
    <w:p>
      <w:pPr>
        <w:snapToGrid w:val="0"/>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napToGrid w:val="0"/>
        <w:spacing w:line="360" w:lineRule="auto"/>
        <w:ind w:firstLine="480" w:firstLineChars="200"/>
        <w:rPr>
          <w:rFonts w:ascii="仿宋_GB2312" w:hAnsi="仿宋" w:eastAsia="仿宋_GB2312"/>
          <w:bCs/>
          <w:color w:val="auto"/>
          <w:sz w:val="24"/>
          <w:highlight w:val="yellow"/>
        </w:rPr>
      </w:pPr>
      <w:r>
        <w:rPr>
          <w:rFonts w:hint="eastAsia" w:ascii="仿宋_GB2312" w:hAnsi="仿宋" w:eastAsia="仿宋_GB2312"/>
          <w:bCs/>
          <w:color w:val="auto"/>
          <w:sz w:val="24"/>
        </w:rPr>
        <w:t>提交投标文件截止时间：</w:t>
      </w:r>
      <w:r>
        <w:rPr>
          <w:rFonts w:hint="eastAsia" w:ascii="仿宋_GB2312" w:hAnsi="仿宋" w:eastAsia="仿宋_GB2312"/>
          <w:bCs/>
          <w:color w:val="auto"/>
          <w:sz w:val="24"/>
          <w:highlight w:val="none"/>
          <w:u w:val="single"/>
        </w:rPr>
        <w:t>2022</w:t>
      </w:r>
      <w:r>
        <w:rPr>
          <w:rFonts w:ascii="仿宋_GB2312" w:hAnsi="仿宋" w:eastAsia="仿宋_GB2312"/>
          <w:bCs/>
          <w:color w:val="auto"/>
          <w:sz w:val="24"/>
          <w:highlight w:val="none"/>
          <w:u w:val="single"/>
        </w:rPr>
        <w:t>年</w:t>
      </w:r>
      <w:r>
        <w:rPr>
          <w:rFonts w:hint="eastAsia" w:ascii="仿宋_GB2312" w:hAnsi="仿宋" w:eastAsia="仿宋_GB2312"/>
          <w:bCs/>
          <w:color w:val="auto"/>
          <w:sz w:val="24"/>
          <w:highlight w:val="none"/>
          <w:u w:val="single"/>
        </w:rPr>
        <w:t>0</w:t>
      </w:r>
      <w:r>
        <w:rPr>
          <w:rFonts w:hint="eastAsia" w:ascii="仿宋_GB2312" w:hAnsi="仿宋" w:eastAsia="仿宋_GB2312"/>
          <w:bCs/>
          <w:color w:val="auto"/>
          <w:sz w:val="24"/>
          <w:highlight w:val="none"/>
          <w:u w:val="single"/>
          <w:lang w:val="en-US" w:eastAsia="zh-CN"/>
        </w:rPr>
        <w:t>6</w:t>
      </w:r>
      <w:r>
        <w:rPr>
          <w:rFonts w:hint="eastAsia" w:ascii="仿宋_GB2312" w:hAnsi="仿宋" w:eastAsia="仿宋_GB2312"/>
          <w:bCs/>
          <w:color w:val="auto"/>
          <w:sz w:val="24"/>
          <w:highlight w:val="none"/>
          <w:u w:val="single"/>
        </w:rPr>
        <w:t>月</w:t>
      </w:r>
      <w:r>
        <w:rPr>
          <w:rFonts w:hint="eastAsia" w:ascii="仿宋_GB2312" w:hAnsi="仿宋" w:eastAsia="仿宋_GB2312"/>
          <w:bCs/>
          <w:color w:val="auto"/>
          <w:sz w:val="24"/>
          <w:highlight w:val="none"/>
          <w:u w:val="single"/>
          <w:lang w:val="en-US" w:eastAsia="zh-CN"/>
        </w:rPr>
        <w:t>08</w:t>
      </w:r>
      <w:r>
        <w:rPr>
          <w:rFonts w:hint="eastAsia" w:ascii="仿宋_GB2312" w:hAnsi="仿宋" w:eastAsia="仿宋_GB2312"/>
          <w:bCs/>
          <w:color w:val="auto"/>
          <w:sz w:val="24"/>
          <w:highlight w:val="none"/>
          <w:u w:val="single"/>
        </w:rPr>
        <w:t>日</w:t>
      </w:r>
      <w:r>
        <w:rPr>
          <w:rFonts w:hint="eastAsia" w:ascii="仿宋_GB2312" w:hAnsi="仿宋" w:eastAsia="仿宋_GB2312"/>
          <w:bCs/>
          <w:color w:val="auto"/>
          <w:sz w:val="24"/>
          <w:highlight w:val="none"/>
          <w:u w:val="single"/>
          <w:lang w:val="en-US" w:eastAsia="zh-CN"/>
        </w:rPr>
        <w:t>09</w:t>
      </w:r>
      <w:r>
        <w:rPr>
          <w:rFonts w:hint="eastAsia" w:ascii="仿宋_GB2312" w:hAnsi="仿宋" w:eastAsia="仿宋_GB2312"/>
          <w:bCs/>
          <w:color w:val="auto"/>
          <w:sz w:val="24"/>
          <w:highlight w:val="none"/>
          <w:u w:val="single"/>
        </w:rPr>
        <w:t>点</w:t>
      </w:r>
      <w:r>
        <w:rPr>
          <w:rFonts w:hint="eastAsia" w:ascii="仿宋_GB2312" w:hAnsi="仿宋" w:eastAsia="仿宋_GB2312"/>
          <w:bCs/>
          <w:color w:val="auto"/>
          <w:sz w:val="24"/>
          <w:highlight w:val="none"/>
          <w:u w:val="single"/>
          <w:lang w:val="en-US" w:eastAsia="zh-CN"/>
        </w:rPr>
        <w:t>30</w:t>
      </w:r>
      <w:r>
        <w:rPr>
          <w:rFonts w:hint="eastAsia" w:ascii="仿宋_GB2312" w:hAnsi="仿宋" w:eastAsia="仿宋_GB2312"/>
          <w:bCs/>
          <w:color w:val="auto"/>
          <w:sz w:val="24"/>
          <w:highlight w:val="none"/>
          <w:u w:val="single"/>
        </w:rPr>
        <w:t>分</w:t>
      </w:r>
      <w:r>
        <w:rPr>
          <w:rFonts w:hint="eastAsia" w:ascii="仿宋_GB2312" w:hAnsi="仿宋" w:eastAsia="仿宋_GB2312"/>
          <w:bCs/>
          <w:color w:val="auto"/>
          <w:sz w:val="24"/>
          <w:highlight w:val="none"/>
          <w:u w:val="single"/>
          <w:lang w:val="en-US" w:eastAsia="zh-CN"/>
        </w:rPr>
        <w:t xml:space="preserve"> </w:t>
      </w:r>
      <w:r>
        <w:rPr>
          <w:rFonts w:hint="eastAsia" w:ascii="仿宋_GB2312" w:hAnsi="仿宋" w:eastAsia="仿宋_GB2312"/>
          <w:bCs/>
          <w:color w:val="auto"/>
          <w:sz w:val="24"/>
          <w:highlight w:val="none"/>
        </w:rPr>
        <w:t>（北京时间）</w:t>
      </w:r>
    </w:p>
    <w:p>
      <w:pPr>
        <w:snapToGrid w:val="0"/>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投标地点（网址）：政采云平台（</w:t>
      </w:r>
      <w:r>
        <w:rPr>
          <w:rFonts w:ascii="仿宋_GB2312" w:hAnsi="仿宋" w:eastAsia="仿宋_GB2312"/>
          <w:bCs/>
          <w:color w:val="auto"/>
          <w:sz w:val="24"/>
        </w:rPr>
        <w:t>https://www.zcygov.cn/）</w:t>
      </w:r>
    </w:p>
    <w:p>
      <w:pPr>
        <w:snapToGrid w:val="0"/>
        <w:spacing w:line="360" w:lineRule="auto"/>
        <w:ind w:firstLine="480" w:firstLineChars="200"/>
        <w:rPr>
          <w:rFonts w:ascii="仿宋_GB2312" w:hAnsi="仿宋" w:eastAsia="仿宋_GB2312"/>
          <w:bCs/>
          <w:color w:val="auto"/>
          <w:sz w:val="24"/>
          <w:highlight w:val="yellow"/>
          <w:u w:val="single"/>
        </w:rPr>
      </w:pPr>
      <w:r>
        <w:rPr>
          <w:rFonts w:hint="eastAsia" w:ascii="仿宋_GB2312" w:hAnsi="仿宋" w:eastAsia="仿宋_GB2312"/>
          <w:bCs/>
          <w:color w:val="auto"/>
          <w:sz w:val="24"/>
        </w:rPr>
        <w:t>开标时间：</w:t>
      </w:r>
      <w:r>
        <w:rPr>
          <w:rFonts w:hint="eastAsia" w:ascii="仿宋_GB2312" w:hAnsi="仿宋" w:eastAsia="仿宋_GB2312"/>
          <w:bCs/>
          <w:color w:val="auto"/>
          <w:sz w:val="24"/>
          <w:highlight w:val="none"/>
          <w:u w:val="single"/>
        </w:rPr>
        <w:t>2022</w:t>
      </w:r>
      <w:r>
        <w:rPr>
          <w:rFonts w:ascii="仿宋_GB2312" w:hAnsi="仿宋" w:eastAsia="仿宋_GB2312"/>
          <w:bCs/>
          <w:color w:val="auto"/>
          <w:sz w:val="24"/>
          <w:highlight w:val="none"/>
          <w:u w:val="single"/>
        </w:rPr>
        <w:t>年</w:t>
      </w:r>
      <w:r>
        <w:rPr>
          <w:rFonts w:hint="eastAsia" w:ascii="仿宋_GB2312" w:hAnsi="仿宋" w:eastAsia="仿宋_GB2312"/>
          <w:bCs/>
          <w:color w:val="auto"/>
          <w:sz w:val="24"/>
          <w:highlight w:val="none"/>
          <w:u w:val="single"/>
        </w:rPr>
        <w:t>0</w:t>
      </w:r>
      <w:r>
        <w:rPr>
          <w:rFonts w:hint="eastAsia" w:ascii="仿宋_GB2312" w:hAnsi="仿宋" w:eastAsia="仿宋_GB2312"/>
          <w:bCs/>
          <w:color w:val="auto"/>
          <w:sz w:val="24"/>
          <w:highlight w:val="none"/>
          <w:u w:val="single"/>
          <w:lang w:val="en-US" w:eastAsia="zh-CN"/>
        </w:rPr>
        <w:t>6</w:t>
      </w:r>
      <w:r>
        <w:rPr>
          <w:rFonts w:hint="eastAsia" w:ascii="仿宋_GB2312" w:hAnsi="仿宋" w:eastAsia="仿宋_GB2312"/>
          <w:bCs/>
          <w:color w:val="auto"/>
          <w:sz w:val="24"/>
          <w:highlight w:val="none"/>
          <w:u w:val="single"/>
        </w:rPr>
        <w:t>月</w:t>
      </w:r>
      <w:r>
        <w:rPr>
          <w:rFonts w:hint="eastAsia" w:ascii="仿宋_GB2312" w:hAnsi="仿宋" w:eastAsia="仿宋_GB2312"/>
          <w:bCs/>
          <w:color w:val="auto"/>
          <w:sz w:val="24"/>
          <w:highlight w:val="none"/>
          <w:u w:val="single"/>
          <w:lang w:val="en-US" w:eastAsia="zh-CN"/>
        </w:rPr>
        <w:t>08</w:t>
      </w:r>
      <w:r>
        <w:rPr>
          <w:rFonts w:hint="eastAsia" w:ascii="仿宋_GB2312" w:hAnsi="仿宋" w:eastAsia="仿宋_GB2312"/>
          <w:bCs/>
          <w:color w:val="auto"/>
          <w:sz w:val="24"/>
          <w:highlight w:val="none"/>
          <w:u w:val="single"/>
        </w:rPr>
        <w:t>日</w:t>
      </w:r>
      <w:r>
        <w:rPr>
          <w:rFonts w:hint="eastAsia" w:ascii="仿宋_GB2312" w:hAnsi="仿宋" w:eastAsia="仿宋_GB2312"/>
          <w:bCs/>
          <w:color w:val="auto"/>
          <w:sz w:val="24"/>
          <w:highlight w:val="none"/>
          <w:u w:val="single"/>
          <w:lang w:val="en-US" w:eastAsia="zh-CN"/>
        </w:rPr>
        <w:t>09</w:t>
      </w:r>
      <w:r>
        <w:rPr>
          <w:rFonts w:hint="eastAsia" w:ascii="仿宋_GB2312" w:hAnsi="仿宋" w:eastAsia="仿宋_GB2312"/>
          <w:bCs/>
          <w:color w:val="auto"/>
          <w:sz w:val="24"/>
          <w:highlight w:val="none"/>
          <w:u w:val="single"/>
        </w:rPr>
        <w:t>点</w:t>
      </w:r>
      <w:r>
        <w:rPr>
          <w:rFonts w:hint="eastAsia" w:ascii="仿宋_GB2312" w:hAnsi="仿宋" w:eastAsia="仿宋_GB2312"/>
          <w:bCs/>
          <w:color w:val="auto"/>
          <w:sz w:val="24"/>
          <w:highlight w:val="none"/>
          <w:u w:val="single"/>
          <w:lang w:val="en-US" w:eastAsia="zh-CN"/>
        </w:rPr>
        <w:t>30</w:t>
      </w:r>
      <w:r>
        <w:rPr>
          <w:rFonts w:hint="eastAsia" w:ascii="仿宋_GB2312" w:hAnsi="仿宋" w:eastAsia="仿宋_GB2312"/>
          <w:bCs/>
          <w:color w:val="auto"/>
          <w:sz w:val="24"/>
          <w:highlight w:val="none"/>
          <w:u w:val="single"/>
        </w:rPr>
        <w:t xml:space="preserve">分 </w:t>
      </w:r>
    </w:p>
    <w:p>
      <w:pPr>
        <w:snapToGrid w:val="0"/>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开标地点（网址）：</w:t>
      </w:r>
      <w:r>
        <w:rPr>
          <w:rFonts w:ascii="仿宋_GB2312" w:hAnsi="仿宋" w:eastAsia="仿宋_GB2312"/>
          <w:bCs/>
          <w:color w:val="auto"/>
          <w:sz w:val="24"/>
        </w:rPr>
        <w:t>政</w:t>
      </w:r>
      <w:r>
        <w:rPr>
          <w:rFonts w:hint="eastAsia" w:ascii="仿宋_GB2312" w:hAnsi="仿宋" w:eastAsia="仿宋_GB2312"/>
          <w:bCs/>
          <w:color w:val="auto"/>
          <w:sz w:val="24"/>
        </w:rPr>
        <w:t>采云平台（</w:t>
      </w:r>
      <w:r>
        <w:rPr>
          <w:rFonts w:ascii="仿宋_GB2312" w:hAnsi="仿宋" w:eastAsia="仿宋_GB2312"/>
          <w:bCs/>
          <w:color w:val="auto"/>
          <w:sz w:val="24"/>
        </w:rPr>
        <w:t>https://www.zcygov.cn/）</w:t>
      </w:r>
    </w:p>
    <w:p>
      <w:pPr>
        <w:snapToGrid w:val="0"/>
        <w:spacing w:line="360" w:lineRule="auto"/>
        <w:rPr>
          <w:rFonts w:ascii="仿宋_GB2312" w:hAnsi="仿宋" w:eastAsia="仿宋_GB2312"/>
          <w:b/>
          <w:color w:val="auto"/>
          <w:sz w:val="24"/>
        </w:rPr>
      </w:pPr>
      <w:r>
        <w:rPr>
          <w:rFonts w:hint="eastAsia" w:ascii="仿宋_GB2312" w:hAnsi="仿宋" w:eastAsia="仿宋_GB2312"/>
          <w:b/>
          <w:color w:val="auto"/>
          <w:sz w:val="24"/>
        </w:rPr>
        <w:t>五、采购意向公开链接</w:t>
      </w:r>
    </w:p>
    <w:p>
      <w:pPr>
        <w:snapToGrid w:val="0"/>
        <w:spacing w:line="360" w:lineRule="auto"/>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rPr>
        <w:t>https://zfcg.czt.zj.gov.cn/innerUsed_noticeDetails/index.html?noticeId=8536569&amp;utm=web-government-front.49399a16.0.0.1ce70e40cc2a11ec848d0b0052efe5cb</w:t>
      </w:r>
    </w:p>
    <w:p>
      <w:pPr>
        <w:snapToGrid w:val="0"/>
        <w:spacing w:line="360" w:lineRule="auto"/>
        <w:rPr>
          <w:rFonts w:ascii="仿宋_GB2312" w:hAnsi="仿宋" w:eastAsia="仿宋_GB2312"/>
          <w:color w:val="auto"/>
          <w:sz w:val="24"/>
        </w:rPr>
      </w:pPr>
      <w:r>
        <w:rPr>
          <w:rFonts w:hint="eastAsia" w:ascii="仿宋_GB2312" w:hAnsi="仿宋" w:eastAsia="仿宋_GB2312"/>
          <w:b/>
          <w:color w:val="auto"/>
          <w:sz w:val="24"/>
        </w:rPr>
        <w:t>六、公告期限</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napToGrid w:val="0"/>
        <w:spacing w:line="360" w:lineRule="auto"/>
        <w:rPr>
          <w:rFonts w:ascii="仿宋_GB2312" w:hAnsi="仿宋" w:eastAsia="仿宋_GB2312"/>
          <w:b/>
          <w:color w:val="auto"/>
          <w:sz w:val="24"/>
        </w:rPr>
      </w:pPr>
      <w:r>
        <w:rPr>
          <w:rFonts w:hint="eastAsia" w:ascii="仿宋_GB2312" w:hAnsi="仿宋" w:eastAsia="仿宋_GB2312"/>
          <w:b/>
          <w:color w:val="auto"/>
          <w:sz w:val="24"/>
        </w:rPr>
        <w:t>七、其他补充事宜</w:t>
      </w:r>
    </w:p>
    <w:p>
      <w:pPr>
        <w:snapToGrid w:val="0"/>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_GB2312" w:hAnsi="仿宋" w:eastAsia="仿宋_GB2312"/>
          <w:bCs/>
          <w:color w:val="auto"/>
          <w:sz w:val="24"/>
        </w:rPr>
        <w:br w:type="textWrapping"/>
      </w:r>
      <w:r>
        <w:rPr>
          <w:rFonts w:hint="eastAsia" w:ascii="仿宋_GB2312" w:hAnsi="仿宋" w:eastAsia="仿宋_GB2312"/>
          <w:bCs/>
          <w:color w:val="auto"/>
          <w:sz w:val="24"/>
        </w:rPr>
        <w:t>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为支持和促进中小企业发展，杭州市财政局出台了政府采购信用融资政策，供应商可凭中标合同申请贷款，利率一般在基准利率左右（不同银行略有差异）。具体可登录http://220.191.208.230/login.do 办理业务。</w:t>
      </w:r>
    </w:p>
    <w:p>
      <w:pPr>
        <w:snapToGrid w:val="0"/>
        <w:spacing w:line="360" w:lineRule="auto"/>
        <w:rPr>
          <w:rFonts w:ascii="仿宋_GB2312" w:hAnsi="仿宋" w:eastAsia="仿宋_GB2312"/>
          <w:b/>
          <w:color w:val="auto"/>
          <w:sz w:val="24"/>
        </w:rPr>
      </w:pPr>
      <w:r>
        <w:rPr>
          <w:rFonts w:hint="eastAsia" w:ascii="仿宋_GB2312" w:hAnsi="仿宋" w:eastAsia="仿宋_GB2312"/>
          <w:b/>
          <w:color w:val="auto"/>
          <w:sz w:val="24"/>
        </w:rPr>
        <w:t>八、对本次采购提出询问、质疑、投诉，请按以下方式联系</w:t>
      </w:r>
    </w:p>
    <w:p>
      <w:pPr>
        <w:snapToGrid w:val="0"/>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pPr>
        <w:snapToGrid w:val="0"/>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rPr>
        <w:t>杭州图书馆</w:t>
      </w:r>
    </w:p>
    <w:p>
      <w:pPr>
        <w:snapToGrid w:val="0"/>
        <w:spacing w:line="360" w:lineRule="auto"/>
        <w:rPr>
          <w:rFonts w:ascii="仿宋_GB2312" w:hAnsi="仿宋" w:eastAsia="仿宋_GB2312"/>
          <w:color w:val="auto"/>
          <w:sz w:val="24"/>
        </w:rPr>
      </w:pPr>
      <w:r>
        <w:rPr>
          <w:rFonts w:ascii="仿宋_GB2312" w:hAnsi="仿宋" w:eastAsia="仿宋_GB2312"/>
          <w:color w:val="auto"/>
          <w:sz w:val="24"/>
        </w:rPr>
        <w:t xml:space="preserve">    地   </w:t>
      </w:r>
      <w:r>
        <w:rPr>
          <w:rFonts w:hint="eastAsia" w:ascii="仿宋_GB2312" w:hAnsi="仿宋" w:eastAsia="仿宋_GB2312"/>
          <w:color w:val="auto"/>
          <w:sz w:val="24"/>
        </w:rPr>
        <w:t xml:space="preserve"> 址：</w:t>
      </w:r>
      <w:r>
        <w:rPr>
          <w:rFonts w:hint="eastAsia" w:ascii="仿宋" w:hAnsi="仿宋" w:eastAsia="仿宋" w:cs="仿宋"/>
          <w:color w:val="auto"/>
          <w:sz w:val="24"/>
        </w:rPr>
        <w:t>杭州市解放东路18号市民中心J楼杭州图书馆二号门</w:t>
      </w:r>
      <w:r>
        <w:rPr>
          <w:rFonts w:hint="eastAsia" w:ascii="仿宋_GB2312" w:hAnsi="仿宋" w:eastAsia="仿宋_GB2312"/>
          <w:color w:val="auto"/>
          <w:sz w:val="24"/>
        </w:rPr>
        <w:t xml:space="preserve"> </w:t>
      </w:r>
      <w:r>
        <w:rPr>
          <w:rFonts w:ascii="仿宋_GB2312" w:hAnsi="仿宋" w:eastAsia="仿宋_GB2312"/>
          <w:color w:val="auto"/>
          <w:sz w:val="24"/>
        </w:rPr>
        <w:t xml:space="preserve">      </w:t>
      </w:r>
    </w:p>
    <w:p>
      <w:pPr>
        <w:snapToGrid w:val="0"/>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pPr>
        <w:snapToGrid w:val="0"/>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吴苏芬</w:t>
      </w:r>
    </w:p>
    <w:p>
      <w:pPr>
        <w:snapToGrid w:val="0"/>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w:t>
      </w:r>
      <w:r>
        <w:rPr>
          <w:rFonts w:ascii="仿宋_GB2312" w:hAnsi="仿宋" w:eastAsia="仿宋_GB2312"/>
          <w:color w:val="auto"/>
          <w:sz w:val="24"/>
          <w:highlight w:val="none"/>
        </w:rPr>
        <w:t>571</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val="en-US" w:eastAsia="zh-CN"/>
        </w:rPr>
        <w:t>86535012</w:t>
      </w:r>
    </w:p>
    <w:p>
      <w:pPr>
        <w:snapToGrid w:val="0"/>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程旭</w:t>
      </w:r>
    </w:p>
    <w:p>
      <w:pPr>
        <w:snapToGrid w:val="0"/>
        <w:spacing w:line="360" w:lineRule="auto"/>
        <w:ind w:firstLine="480"/>
        <w:rPr>
          <w:rFonts w:hint="eastAsia" w:ascii="仿宋_GB2312" w:hAnsi="仿宋" w:eastAsia="仿宋_GB2312"/>
          <w:color w:val="auto"/>
          <w:sz w:val="24"/>
          <w:highlight w:val="none"/>
        </w:rPr>
      </w:pPr>
      <w:r>
        <w:rPr>
          <w:rFonts w:ascii="仿宋_GB2312" w:hAnsi="仿宋" w:eastAsia="仿宋_GB2312"/>
          <w:color w:val="auto"/>
          <w:sz w:val="24"/>
          <w:highlight w:val="none"/>
        </w:rPr>
        <w:t>质疑联系方式：</w:t>
      </w:r>
      <w:r>
        <w:rPr>
          <w:rFonts w:hint="eastAsia" w:ascii="仿宋_GB2312" w:hAnsi="仿宋" w:eastAsia="仿宋_GB2312"/>
          <w:color w:val="auto"/>
          <w:sz w:val="24"/>
          <w:highlight w:val="none"/>
        </w:rPr>
        <w:t>0571-86535085</w:t>
      </w:r>
    </w:p>
    <w:p>
      <w:pPr>
        <w:pStyle w:val="5"/>
        <w:rPr>
          <w:sz w:val="20"/>
          <w:szCs w:val="20"/>
        </w:rPr>
      </w:pPr>
    </w:p>
    <w:p>
      <w:pPr>
        <w:snapToGrid w:val="0"/>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 2.采购代理机构信息</w:t>
      </w:r>
    </w:p>
    <w:p>
      <w:pPr>
        <w:snapToGrid w:val="0"/>
        <w:spacing w:line="360" w:lineRule="auto"/>
        <w:ind w:firstLine="480"/>
        <w:rPr>
          <w:rFonts w:hint="eastAsia" w:ascii="仿宋_GB2312" w:hAnsi="仿宋" w:eastAsia="仿宋_GB2312"/>
          <w:color w:val="auto"/>
          <w:sz w:val="24"/>
          <w:lang w:eastAsia="zh-CN"/>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w:t>
      </w:r>
      <w:r>
        <w:rPr>
          <w:rFonts w:hint="eastAsia" w:ascii="仿宋_GB2312" w:hAnsi="仿宋" w:eastAsia="仿宋_GB2312"/>
          <w:color w:val="auto"/>
          <w:sz w:val="24"/>
          <w:lang w:eastAsia="zh-CN"/>
        </w:rPr>
        <w:t>东方经纬项目管理有限公司</w:t>
      </w:r>
    </w:p>
    <w:p>
      <w:pPr>
        <w:snapToGrid w:val="0"/>
        <w:spacing w:line="360" w:lineRule="auto"/>
        <w:ind w:firstLine="480"/>
        <w:rPr>
          <w:rFonts w:ascii="仿宋_GB2312" w:hAnsi="仿宋" w:eastAsia="仿宋"/>
          <w:color w:val="auto"/>
          <w:sz w:val="24"/>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址：杭州市上城区馆驿后2号泰地万新大厦1号楼9楼</w:t>
      </w:r>
    </w:p>
    <w:p>
      <w:pPr>
        <w:snapToGrid w:val="0"/>
        <w:spacing w:line="360" w:lineRule="auto"/>
        <w:rPr>
          <w:rFonts w:ascii="仿宋_GB2312" w:hAnsi="仿宋" w:eastAsia="仿宋_GB2312"/>
          <w:color w:val="auto"/>
          <w:sz w:val="24"/>
        </w:rPr>
      </w:pPr>
      <w:r>
        <w:rPr>
          <w:rFonts w:ascii="仿宋_GB2312" w:hAnsi="仿宋" w:eastAsia="仿宋_GB2312"/>
          <w:color w:val="auto"/>
          <w:sz w:val="24"/>
        </w:rPr>
        <w:t xml:space="preserve">    传    真：</w:t>
      </w:r>
      <w:r>
        <w:rPr>
          <w:rFonts w:hint="eastAsia" w:ascii="仿宋_GB2312" w:hAnsi="仿宋" w:eastAsia="仿宋_GB2312"/>
          <w:color w:val="auto"/>
          <w:sz w:val="24"/>
        </w:rPr>
        <w:t>0571-56783590</w:t>
      </w:r>
    </w:p>
    <w:p>
      <w:pPr>
        <w:snapToGrid w:val="0"/>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_GB2312" w:hAnsi="仿宋" w:eastAsia="仿宋_GB2312"/>
          <w:color w:val="auto"/>
          <w:sz w:val="24"/>
        </w:rPr>
        <w:t>韦工</w:t>
      </w:r>
    </w:p>
    <w:p>
      <w:pPr>
        <w:snapToGrid w:val="0"/>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_GB2312" w:hAnsi="仿宋" w:eastAsia="仿宋_GB2312"/>
          <w:color w:val="auto"/>
          <w:sz w:val="24"/>
        </w:rPr>
        <w:t>13588700794</w:t>
      </w:r>
    </w:p>
    <w:p>
      <w:pPr>
        <w:snapToGrid w:val="0"/>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rPr>
        <w:t>单晓超</w:t>
      </w:r>
    </w:p>
    <w:p>
      <w:pPr>
        <w:snapToGrid w:val="0"/>
        <w:spacing w:line="360" w:lineRule="auto"/>
        <w:ind w:firstLine="480"/>
        <w:rPr>
          <w:rFonts w:hint="eastAsia" w:ascii="仿宋_GB2312" w:hAnsi="仿宋" w:eastAsia="仿宋_GB2312"/>
          <w:color w:val="auto"/>
          <w:sz w:val="24"/>
        </w:rPr>
      </w:pPr>
      <w:r>
        <w:rPr>
          <w:rFonts w:ascii="仿宋_GB2312" w:hAnsi="仿宋" w:eastAsia="仿宋_GB2312"/>
          <w:color w:val="auto"/>
          <w:sz w:val="24"/>
        </w:rPr>
        <w:t>质疑联系方式：</w:t>
      </w:r>
      <w:r>
        <w:rPr>
          <w:rFonts w:hint="eastAsia" w:ascii="仿宋_GB2312" w:hAnsi="仿宋" w:eastAsia="仿宋_GB2312"/>
          <w:color w:val="auto"/>
          <w:sz w:val="24"/>
        </w:rPr>
        <w:t>0571-56783590</w:t>
      </w:r>
      <w:bookmarkStart w:id="401" w:name="_GoBack"/>
      <w:bookmarkEnd w:id="401"/>
    </w:p>
    <w:p>
      <w:pPr>
        <w:pStyle w:val="5"/>
        <w:rPr>
          <w:sz w:val="20"/>
          <w:szCs w:val="20"/>
        </w:rPr>
      </w:pPr>
    </w:p>
    <w:p>
      <w:pPr>
        <w:snapToGrid w:val="0"/>
        <w:spacing w:line="360" w:lineRule="auto"/>
        <w:rPr>
          <w:rFonts w:ascii="仿宋_GB2312" w:hAnsi="仿宋" w:eastAsia="仿宋_GB2312"/>
          <w:color w:val="auto"/>
          <w:sz w:val="24"/>
        </w:rPr>
      </w:pPr>
      <w:r>
        <w:rPr>
          <w:rFonts w:ascii="仿宋_GB2312" w:hAnsi="仿宋" w:eastAsia="仿宋_GB2312"/>
          <w:color w:val="auto"/>
          <w:sz w:val="24"/>
        </w:rPr>
        <w:t xml:space="preserve">    3.同级政府采购监督管理部门</w:t>
      </w:r>
    </w:p>
    <w:p>
      <w:pPr>
        <w:snapToGrid w:val="0"/>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color w:val="auto"/>
          <w:sz w:val="24"/>
        </w:rPr>
        <w:t>名    称：杭州市财政局政府采购监管处</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地    址：杭州市中河中路152号61</w:t>
      </w:r>
      <w:r>
        <w:rPr>
          <w:rFonts w:hint="eastAsia" w:ascii="仿宋_GB2312" w:hAnsi="仿宋" w:eastAsia="仿宋_GB2312"/>
          <w:color w:val="auto"/>
          <w:sz w:val="24"/>
          <w:lang w:val="en-US" w:eastAsia="zh-CN"/>
        </w:rPr>
        <w:t>4</w:t>
      </w:r>
      <w:r>
        <w:rPr>
          <w:rFonts w:hint="eastAsia" w:ascii="仿宋_GB2312" w:hAnsi="仿宋" w:eastAsia="仿宋_GB2312"/>
          <w:color w:val="auto"/>
          <w:sz w:val="24"/>
        </w:rPr>
        <w:t>办公室</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传    真：0571-87715093</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联系人 ：</w:t>
      </w:r>
      <w:r>
        <w:rPr>
          <w:rFonts w:hint="eastAsia" w:ascii="仿宋_GB2312" w:hAnsi="仿宋" w:eastAsia="仿宋_GB2312"/>
          <w:color w:val="auto"/>
          <w:sz w:val="24"/>
          <w:lang w:val="en-US" w:eastAsia="zh-CN"/>
        </w:rPr>
        <w:t>厉</w:t>
      </w:r>
      <w:r>
        <w:rPr>
          <w:rFonts w:hint="eastAsia" w:ascii="仿宋_GB2312" w:hAnsi="仿宋" w:eastAsia="仿宋_GB2312"/>
          <w:color w:val="auto"/>
          <w:sz w:val="24"/>
        </w:rPr>
        <w:t>先生</w:t>
      </w:r>
    </w:p>
    <w:p>
      <w:pPr>
        <w:snapToGrid w:val="0"/>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监督投诉电话：0571-87715093</w:t>
      </w:r>
    </w:p>
    <w:p>
      <w:pPr>
        <w:pStyle w:val="2"/>
        <w:ind w:left="0" w:leftChars="0" w:firstLine="0" w:firstLineChars="0"/>
      </w:pP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jc w:val="center"/>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91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3"/>
        <w:gridCol w:w="2520"/>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1" w:hRule="atLeast"/>
          <w:tblHeader/>
          <w:jc w:val="center"/>
        </w:trPr>
        <w:tc>
          <w:tcPr>
            <w:tcW w:w="6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25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9" w:hRule="atLeast"/>
          <w:tblHeader/>
          <w:jc w:val="center"/>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25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w:t>
            </w:r>
            <w:r>
              <w:rPr>
                <w:rFonts w:hint="eastAsia" w:ascii="仿宋_GB2312" w:hAnsi="仿宋" w:eastAsia="仿宋_GB2312" w:cs="仿宋_GB2312"/>
                <w:color w:val="auto"/>
                <w:kern w:val="0"/>
                <w:sz w:val="24"/>
                <w:lang w:val="en-US" w:eastAsia="zh-CN"/>
              </w:rPr>
              <w:t>折扣率</w:t>
            </w:r>
            <w:r>
              <w:rPr>
                <w:rFonts w:hint="eastAsia" w:ascii="仿宋_GB2312" w:hAnsi="仿宋" w:eastAsia="仿宋_GB2312" w:cs="仿宋_GB2312"/>
                <w:color w:val="auto"/>
                <w:kern w:val="0"/>
                <w:sz w:val="24"/>
                <w:lang w:val="zh-CN"/>
              </w:rPr>
              <w:t>）报价。招标文件未列明，而投标人认为必需的费用也需列入报价。</w:t>
            </w:r>
            <w:r>
              <w:rPr>
                <w:rFonts w:hint="eastAsia" w:ascii="仿宋_GB2312" w:hAnsi="仿宋" w:eastAsia="仿宋_GB2312" w:cs="仿宋_GB2312"/>
                <w:b/>
                <w:color w:val="auto"/>
                <w:kern w:val="0"/>
                <w:sz w:val="24"/>
                <w:lang w:val="zh-CN"/>
              </w:rPr>
              <w:t>提醒：验收时</w:t>
            </w:r>
            <w:r>
              <w:rPr>
                <w:rFonts w:hint="eastAsia" w:ascii="仿宋_GB2312" w:hAnsi="仿宋" w:eastAsia="仿宋_GB2312" w:cs="仿宋_GB2312"/>
                <w:b/>
                <w:color w:val="auto"/>
                <w:kern w:val="0"/>
                <w:sz w:val="24"/>
              </w:rPr>
              <w:t>如涉及</w:t>
            </w:r>
            <w:r>
              <w:rPr>
                <w:rFonts w:hint="eastAsia" w:ascii="仿宋_GB2312" w:hAnsi="仿宋" w:eastAsia="仿宋_GB2312" w:cs="仿宋_GB2312"/>
                <w:b/>
                <w:color w:val="auto"/>
                <w:kern w:val="0"/>
                <w:sz w:val="24"/>
                <w:lang w:val="zh-CN"/>
              </w:rPr>
              <w:t>检测费用由采购人承担，不包含在投标总价中。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482" w:firstLineChars="2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482" w:firstLineChars="2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napToGrid w:val="0"/>
              <w:spacing w:line="360" w:lineRule="auto"/>
              <w:ind w:firstLine="482" w:firstLineChars="2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3" w:hRule="atLeast"/>
          <w:tblHeader/>
          <w:jc w:val="center"/>
        </w:trPr>
        <w:tc>
          <w:tcPr>
            <w:tcW w:w="6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25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p>
          <w:p>
            <w:pPr>
              <w:snapToGrid w:val="0"/>
              <w:spacing w:line="360" w:lineRule="auto"/>
              <w:rPr>
                <w:rFonts w:ascii="仿宋_GB2312" w:hAnsi="仿宋" w:eastAsia="仿宋_GB2312" w:cs="仿宋_GB2312"/>
                <w:color w:val="auto"/>
                <w:sz w:val="24"/>
              </w:rPr>
            </w:pPr>
            <w:sdt>
              <w:sdtPr>
                <w:rPr>
                  <w:rFonts w:hint="eastAsia" w:ascii="仿宋_GB2312" w:hAnsi="仿宋" w:eastAsia="仿宋_GB2312" w:cs="Arial"/>
                  <w:color w:val="auto"/>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blHeader/>
          <w:jc w:val="center"/>
        </w:trPr>
        <w:tc>
          <w:tcPr>
            <w:tcW w:w="623"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252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5985"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napToGrid w:val="0"/>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6" w:hRule="atLeast"/>
          <w:tblHeader/>
          <w:jc w:val="center"/>
        </w:trPr>
        <w:tc>
          <w:tcPr>
            <w:tcW w:w="623"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p>
        </w:tc>
        <w:tc>
          <w:tcPr>
            <w:tcW w:w="252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5985"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0" w:hRule="atLeast"/>
          <w:tblHeader/>
          <w:jc w:val="center"/>
        </w:trPr>
        <w:tc>
          <w:tcPr>
            <w:tcW w:w="6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25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napToGrid w:val="0"/>
              <w:spacing w:line="360" w:lineRule="auto"/>
              <w:rPr>
                <w:rFonts w:ascii="仿宋_GB2312" w:hAnsi="仿宋" w:eastAsia="仿宋_GB2312"/>
                <w:color w:val="auto"/>
                <w:sz w:val="24"/>
                <w:szCs w:val="20"/>
              </w:rPr>
            </w:pPr>
            <w:sdt>
              <w:sdtPr>
                <w:rPr>
                  <w:rFonts w:hint="eastAsia" w:ascii="仿宋_GB2312" w:hAnsi="仿宋" w:eastAsia="仿宋_GB2312" w:cs="Arial"/>
                  <w:color w:val="auto"/>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61" w:hRule="atLeast"/>
          <w:tblHeader/>
          <w:jc w:val="center"/>
        </w:trPr>
        <w:tc>
          <w:tcPr>
            <w:tcW w:w="6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25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þ</w:t>
                </w:r>
              </w:sdtContent>
            </w:sdt>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napToGrid w:val="0"/>
              <w:spacing w:line="360" w:lineRule="auto"/>
              <w:rPr>
                <w:rFonts w:ascii="仿宋_GB2312" w:hAnsi="仿宋" w:eastAsia="仿宋_GB2312"/>
                <w:color w:val="auto"/>
                <w:kern w:val="0"/>
                <w:sz w:val="24"/>
              </w:rPr>
            </w:pPr>
            <w:sdt>
              <w:sdtPr>
                <w:rPr>
                  <w:rFonts w:hint="eastAsia" w:ascii="仿宋_GB2312" w:hAnsi="仿宋" w:eastAsia="仿宋_GB2312" w:cs="Arial"/>
                  <w:color w:val="auto"/>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napToGrid w:val="0"/>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napToGrid w:val="0"/>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98" w:hRule="atLeast"/>
          <w:tblHeader/>
          <w:jc w:val="center"/>
        </w:trPr>
        <w:tc>
          <w:tcPr>
            <w:tcW w:w="623"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2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napToGrid w:val="0"/>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yellow"/>
                </w:rPr>
                <w:id w:val="11740717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36" w:hRule="atLeast"/>
          <w:tblHeader/>
          <w:jc w:val="center"/>
        </w:trPr>
        <w:tc>
          <w:tcPr>
            <w:tcW w:w="623"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7</w:t>
            </w:r>
          </w:p>
        </w:tc>
        <w:tc>
          <w:tcPr>
            <w:tcW w:w="2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本项目</w:t>
            </w:r>
            <w:r>
              <w:rPr>
                <w:rFonts w:hint="eastAsia" w:ascii="仿宋_GB2312" w:hAnsi="仿宋" w:eastAsia="仿宋_GB2312" w:cs="Arial"/>
                <w:color w:val="auto"/>
                <w:kern w:val="0"/>
                <w:sz w:val="24"/>
                <w:highlight w:val="none"/>
                <w:lang w:val="en-US" w:eastAsia="zh-CN"/>
              </w:rPr>
              <w:t>标项一</w:t>
            </w:r>
            <w:r>
              <w:rPr>
                <w:rFonts w:hint="eastAsia" w:ascii="仿宋_GB2312" w:hAnsi="仿宋" w:eastAsia="仿宋_GB2312" w:cs="Arial"/>
                <w:color w:val="auto"/>
                <w:kern w:val="0"/>
                <w:sz w:val="24"/>
                <w:highlight w:val="none"/>
              </w:rPr>
              <w:t>不允许采购进口产品。</w:t>
            </w:r>
          </w:p>
          <w:p>
            <w:pPr>
              <w:snapToGrid w:val="0"/>
              <w:spacing w:line="360" w:lineRule="auto"/>
              <w:rPr>
                <w:color w:val="auto"/>
              </w:rPr>
            </w:pPr>
            <w:sdt>
              <w:sdtPr>
                <w:rPr>
                  <w:rFonts w:hint="eastAsia" w:ascii="仿宋_GB2312" w:hAnsi="仿宋" w:eastAsia="仿宋_GB2312" w:cs="Arial"/>
                  <w:color w:val="auto"/>
                  <w:kern w:val="0"/>
                  <w:sz w:val="24"/>
                  <w:highlight w:val="none"/>
                </w:rPr>
                <w:id w:val="-5285282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本项目</w:t>
            </w:r>
            <w:r>
              <w:rPr>
                <w:rFonts w:hint="eastAsia" w:ascii="仿宋_GB2312" w:hAnsi="仿宋" w:eastAsia="仿宋_GB2312" w:cs="Arial"/>
                <w:color w:val="auto"/>
                <w:kern w:val="0"/>
                <w:sz w:val="24"/>
                <w:highlight w:val="none"/>
                <w:lang w:val="en-US" w:eastAsia="zh-CN"/>
              </w:rPr>
              <w:t>标项二</w:t>
            </w:r>
            <w:r>
              <w:rPr>
                <w:rFonts w:hint="eastAsia" w:ascii="仿宋_GB2312" w:hAnsi="仿宋" w:eastAsia="仿宋_GB2312" w:cs="Arial"/>
                <w:color w:val="auto"/>
                <w:kern w:val="0"/>
                <w:sz w:val="24"/>
                <w:highlight w:val="none"/>
              </w:rPr>
              <w:t>可以采购进口产品，</w:t>
            </w:r>
            <w:r>
              <w:rPr>
                <w:rFonts w:hint="eastAsia" w:ascii="仿宋_GB2312" w:hAnsi="仿宋" w:eastAsia="仿宋_GB2312" w:cs="Arial"/>
                <w:color w:val="auto"/>
                <w:kern w:val="0"/>
                <w:sz w:val="24"/>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3" w:hRule="atLeast"/>
          <w:tblHeader/>
          <w:jc w:val="center"/>
        </w:trPr>
        <w:tc>
          <w:tcPr>
            <w:tcW w:w="623"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2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ascii="仿宋_GB2312" w:hAnsi="仿宋" w:eastAsia="仿宋_GB2312" w:cs="Arial"/>
                <w:color w:val="auto"/>
                <w:kern w:val="0"/>
                <w:sz w:val="24"/>
              </w:rPr>
              <w:t>A</w:t>
            </w:r>
            <w:r>
              <w:rPr>
                <w:rFonts w:hint="eastAsia" w:ascii="仿宋_GB2312" w:hAnsi="仿宋" w:eastAsia="仿宋_GB2312"/>
                <w:color w:val="auto"/>
                <w:sz w:val="24"/>
              </w:rPr>
              <w:t>货物类，</w:t>
            </w:r>
            <w:r>
              <w:rPr>
                <w:rFonts w:hint="eastAsia" w:ascii="仿宋_GB2312" w:hAnsi="仿宋" w:eastAsia="仿宋_GB2312"/>
                <w:color w:val="auto"/>
                <w:sz w:val="24"/>
                <w:highlight w:val="none"/>
              </w:rPr>
              <w:t>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napToGrid w:val="0"/>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47488555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3" w:hRule="atLeast"/>
          <w:tblHeader/>
          <w:jc w:val="center"/>
        </w:trPr>
        <w:tc>
          <w:tcPr>
            <w:tcW w:w="623"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2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lang w:val="en-US" w:eastAsia="zh-CN"/>
              </w:rPr>
              <w:t>音像制品采购</w:t>
            </w:r>
            <w:r>
              <w:rPr>
                <w:rFonts w:hint="eastAsia"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u w:val="single"/>
              </w:rPr>
              <w:t>属于</w:t>
            </w:r>
            <w:r>
              <w:rPr>
                <w:rFonts w:hint="eastAsia" w:ascii="仿宋_GB2312" w:hAnsi="仿宋" w:eastAsia="仿宋_GB2312" w:cs="Arial"/>
                <w:color w:val="auto"/>
                <w:kern w:val="0"/>
                <w:sz w:val="24"/>
                <w:highlight w:val="none"/>
                <w:u w:val="single"/>
                <w:lang w:val="en-US" w:eastAsia="zh-CN"/>
              </w:rPr>
              <w:t>批发业、零售业</w:t>
            </w:r>
            <w:r>
              <w:rPr>
                <w:rFonts w:hint="eastAsia" w:ascii="仿宋_GB2312" w:hAnsi="仿宋" w:eastAsia="仿宋_GB2312" w:cs="Arial"/>
                <w:color w:val="auto"/>
                <w:kern w:val="0"/>
                <w:sz w:val="24"/>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7" w:hRule="atLeast"/>
          <w:tblHeader/>
          <w:jc w:val="center"/>
        </w:trPr>
        <w:tc>
          <w:tcPr>
            <w:tcW w:w="623"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2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p>
            <w:pPr>
              <w:snapToGrid w:val="0"/>
              <w:spacing w:line="360" w:lineRule="auto"/>
              <w:jc w:val="center"/>
            </w:pPr>
            <w:r>
              <w:rPr>
                <w:rFonts w:hint="eastAsia" w:ascii="仿宋_GB2312" w:hAnsi="仿宋" w:eastAsia="仿宋_GB2312" w:cs="仿宋_GB2312"/>
                <w:b/>
                <w:color w:val="auto"/>
                <w:sz w:val="24"/>
              </w:rPr>
              <w:t>（本项目不适用）</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8" w:hRule="atLeast"/>
          <w:tblHeader/>
          <w:jc w:val="center"/>
        </w:trPr>
        <w:tc>
          <w:tcPr>
            <w:tcW w:w="623"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2520"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4" w:hRule="atLeast"/>
          <w:tblHeader/>
          <w:jc w:val="center"/>
        </w:trPr>
        <w:tc>
          <w:tcPr>
            <w:tcW w:w="623" w:type="dxa"/>
            <w:vMerge w:val="continue"/>
            <w:tcBorders>
              <w:left w:val="single" w:color="000000" w:sz="8" w:space="0"/>
              <w:right w:val="single" w:color="000000" w:sz="2" w:space="0"/>
            </w:tcBorders>
          </w:tcPr>
          <w:p>
            <w:pPr>
              <w:snapToGrid w:val="0"/>
              <w:spacing w:line="360" w:lineRule="auto"/>
              <w:ind w:firstLine="420" w:firstLineChars="200"/>
              <w:rPr>
                <w:color w:val="auto"/>
              </w:rPr>
            </w:pPr>
          </w:p>
        </w:tc>
        <w:tc>
          <w:tcPr>
            <w:tcW w:w="2520" w:type="dxa"/>
            <w:vMerge w:val="continue"/>
            <w:tcBorders>
              <w:left w:val="single" w:color="000000" w:sz="2" w:space="0"/>
              <w:right w:val="single" w:color="000000" w:sz="8" w:space="0"/>
            </w:tcBorders>
            <w:vAlign w:val="center"/>
          </w:tcPr>
          <w:p>
            <w:pPr>
              <w:snapToGrid w:val="0"/>
              <w:spacing w:line="360" w:lineRule="auto"/>
              <w:ind w:firstLine="420" w:firstLineChars="200"/>
              <w:rPr>
                <w:color w:val="auto"/>
              </w:rPr>
            </w:pP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7" w:hRule="atLeast"/>
          <w:tblHeader/>
          <w:jc w:val="center"/>
        </w:trPr>
        <w:tc>
          <w:tcPr>
            <w:tcW w:w="623"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2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5985" w:type="dxa"/>
            <w:tcBorders>
              <w:top w:val="single" w:color="000000" w:sz="8" w:space="0"/>
              <w:left w:val="single" w:color="000000" w:sz="2" w:space="0"/>
              <w:bottom w:val="single" w:color="000000" w:sz="8" w:space="0"/>
              <w:right w:val="single" w:color="000000" w:sz="8" w:space="0"/>
            </w:tcBorders>
            <w:vAlign w:val="center"/>
          </w:tcPr>
          <w:p>
            <w:pPr>
              <w:pStyle w:val="34"/>
              <w:snapToGrid w:val="0"/>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w:t>
            </w:r>
            <w:r>
              <w:rPr>
                <w:rFonts w:hint="eastAsia" w:ascii="仿宋_GB2312" w:hAnsi="仿宋" w:eastAsia="仿宋_GB2312"/>
                <w:color w:val="auto"/>
                <w:sz w:val="24"/>
                <w:u w:val="single"/>
              </w:rPr>
              <w:t>杭州市上城区馆驿后2号泰地万新大厦1号楼9楼</w:t>
            </w:r>
            <w:r>
              <w:rPr>
                <w:rFonts w:hint="eastAsia" w:ascii="仿宋_GB2312" w:hAnsi="仿宋" w:eastAsia="仿宋_GB2312" w:cs="Times New Roman"/>
                <w:color w:val="auto"/>
                <w:kern w:val="28"/>
                <w:sz w:val="24"/>
                <w:szCs w:val="24"/>
              </w:rPr>
              <w:t>；备份投标文件签收人员联系电话：</w:t>
            </w:r>
            <w:r>
              <w:rPr>
                <w:rFonts w:hint="eastAsia" w:ascii="仿宋_GB2312" w:hAnsi="仿宋" w:eastAsia="仿宋_GB2312"/>
                <w:color w:val="auto"/>
                <w:sz w:val="24"/>
                <w:u w:val="single"/>
              </w:rPr>
              <w:t>韦工 0571-56783590</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6" w:hRule="atLeast"/>
          <w:tblHeader/>
          <w:jc w:val="center"/>
        </w:trPr>
        <w:tc>
          <w:tcPr>
            <w:tcW w:w="623"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13</w:t>
            </w:r>
          </w:p>
        </w:tc>
        <w:tc>
          <w:tcPr>
            <w:tcW w:w="2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无</w:t>
            </w:r>
            <w:r>
              <w:rPr>
                <w:rFonts w:hint="eastAsia" w:ascii="仿宋_GB2312" w:hAnsi="仿宋" w:eastAsia="仿宋_GB2312" w:cs="宋体"/>
                <w:bCs/>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3"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14</w:t>
            </w:r>
          </w:p>
        </w:tc>
        <w:tc>
          <w:tcPr>
            <w:tcW w:w="2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采购代理服务费</w:t>
            </w:r>
          </w:p>
        </w:tc>
        <w:tc>
          <w:tcPr>
            <w:tcW w:w="59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default" w:ascii="仿宋_GB2312" w:hAnsi="仿宋" w:eastAsia="仿宋_GB2312"/>
                <w:snapToGrid w:val="0"/>
                <w:color w:val="auto"/>
                <w:kern w:val="28"/>
                <w:sz w:val="24"/>
                <w:lang w:val="en-US" w:eastAsia="zh-CN"/>
              </w:rPr>
            </w:pPr>
            <w:r>
              <w:rPr>
                <w:rFonts w:hint="eastAsia" w:ascii="仿宋_GB2312" w:hAnsi="仿宋" w:eastAsia="仿宋_GB2312"/>
                <w:snapToGrid w:val="0"/>
                <w:color w:val="auto"/>
                <w:kern w:val="28"/>
                <w:sz w:val="24"/>
              </w:rPr>
              <w:t>由中标人支付。代理服务费按照原国家计委关于印发《招标代理服务收费管理暂行办法》（计价格[2002]1980号）</w:t>
            </w:r>
            <w:r>
              <w:rPr>
                <w:rFonts w:hint="eastAsia" w:ascii="仿宋_GB2312" w:hAnsi="仿宋" w:eastAsia="仿宋_GB2312"/>
                <w:snapToGrid w:val="0"/>
                <w:color w:val="auto"/>
                <w:kern w:val="28"/>
                <w:sz w:val="24"/>
                <w:lang w:val="en-US" w:eastAsia="zh-CN"/>
              </w:rPr>
              <w:t>75</w:t>
            </w:r>
            <w:r>
              <w:rPr>
                <w:rFonts w:hint="eastAsia" w:ascii="仿宋_GB2312" w:hAnsi="仿宋" w:eastAsia="仿宋_GB2312"/>
                <w:snapToGrid w:val="0"/>
                <w:color w:val="auto"/>
                <w:kern w:val="28"/>
                <w:sz w:val="24"/>
              </w:rPr>
              <w:t>折收取</w:t>
            </w:r>
            <w:r>
              <w:rPr>
                <w:rFonts w:hint="eastAsia" w:ascii="仿宋_GB2312" w:hAnsi="仿宋" w:eastAsia="仿宋_GB2312"/>
                <w:snapToGrid w:val="0"/>
                <w:color w:val="auto"/>
                <w:kern w:val="28"/>
                <w:sz w:val="24"/>
                <w:lang w:val="en-US" w:eastAsia="zh-CN"/>
              </w:rPr>
              <w:t>,最低4500元，计算标准为各标项预算金额。</w:t>
            </w:r>
          </w:p>
          <w:p>
            <w:pPr>
              <w:snapToGrid w:val="0"/>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收款单位（户名）：</w:t>
            </w:r>
            <w:r>
              <w:rPr>
                <w:rFonts w:hint="eastAsia" w:ascii="仿宋_GB2312" w:hAnsi="仿宋" w:eastAsia="仿宋_GB2312"/>
                <w:snapToGrid w:val="0"/>
                <w:color w:val="auto"/>
                <w:kern w:val="28"/>
                <w:sz w:val="24"/>
                <w:lang w:val="en-US" w:eastAsia="zh-CN"/>
              </w:rPr>
              <w:t>东方</w:t>
            </w:r>
            <w:r>
              <w:rPr>
                <w:rFonts w:hint="eastAsia" w:ascii="仿宋_GB2312" w:hAnsi="仿宋" w:eastAsia="仿宋_GB2312"/>
                <w:snapToGrid w:val="0"/>
                <w:color w:val="auto"/>
                <w:kern w:val="28"/>
                <w:sz w:val="24"/>
              </w:rPr>
              <w:t>经纬项目管理有限公司</w:t>
            </w:r>
          </w:p>
          <w:p>
            <w:pPr>
              <w:snapToGrid w:val="0"/>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开户银行：中信银行庆春支行</w:t>
            </w:r>
          </w:p>
          <w:p>
            <w:pPr>
              <w:snapToGrid w:val="0"/>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银行账号：7332610182600025935</w:t>
            </w:r>
          </w:p>
          <w:p>
            <w:pPr>
              <w:snapToGrid w:val="0"/>
              <w:spacing w:line="360" w:lineRule="auto"/>
              <w:rPr>
                <w:color w:val="auto"/>
              </w:rPr>
            </w:pPr>
            <w:r>
              <w:rPr>
                <w:rFonts w:hint="eastAsia" w:ascii="仿宋_GB2312" w:hAnsi="仿宋" w:eastAsia="仿宋_GB2312"/>
                <w:b/>
                <w:bCs/>
                <w:snapToGrid w:val="0"/>
                <w:color w:val="auto"/>
                <w:kern w:val="28"/>
                <w:sz w:val="24"/>
              </w:rPr>
              <w:t>中标人应在领取中标通知书后七个工作日内缴清中标服务费，未按时缴纳或办理的参照《政府采购货物和服务招标投标管理办法》（财政部令第87号）第三十八条第三项的规定支付滞纳金，如需邮寄的均为到付。</w:t>
            </w:r>
          </w:p>
        </w:tc>
      </w:tr>
    </w:tbl>
    <w:p>
      <w:pPr>
        <w:snapToGrid w:val="0"/>
        <w:spacing w:line="360" w:lineRule="auto"/>
        <w:jc w:val="center"/>
        <w:rPr>
          <w:rFonts w:ascii="仿宋" w:hAnsi="仿宋" w:eastAsia="仿宋" w:cs="仿宋_GB2312"/>
          <w:b/>
          <w:color w:val="auto"/>
          <w:sz w:val="32"/>
          <w:szCs w:val="20"/>
        </w:rPr>
      </w:pPr>
    </w:p>
    <w:bookmarkEnd w:id="10"/>
    <w:p>
      <w:pPr>
        <w:snapToGrid w:val="0"/>
        <w:spacing w:line="360" w:lineRule="auto"/>
        <w:ind w:firstLine="3845" w:firstLineChars="1197"/>
        <w:outlineLvl w:val="0"/>
        <w:rPr>
          <w:rFonts w:ascii="仿宋_GB2312" w:hAnsi="仿宋" w:eastAsia="仿宋_GB2312" w:cs="仿宋_GB2312"/>
          <w:b/>
          <w:color w:val="auto"/>
          <w:sz w:val="32"/>
          <w:szCs w:val="20"/>
        </w:rPr>
      </w:pPr>
      <w:bookmarkStart w:id="11" w:name="第三部分"/>
      <w:bookmarkStart w:id="12" w:name="_Toc164416483"/>
      <w:r>
        <w:rPr>
          <w:rFonts w:hint="eastAsia" w:ascii="仿宋_GB2312" w:hAnsi="仿宋" w:eastAsia="仿宋_GB2312" w:cs="仿宋_GB2312"/>
          <w:b/>
          <w:color w:val="auto"/>
          <w:sz w:val="32"/>
          <w:szCs w:val="20"/>
        </w:rPr>
        <w:t>一、总则</w:t>
      </w:r>
    </w:p>
    <w:p>
      <w:pPr>
        <w:snapToGrid w:val="0"/>
        <w:spacing w:line="360" w:lineRule="auto"/>
        <w:jc w:val="left"/>
        <w:outlineLvl w:val="1"/>
        <w:rPr>
          <w:rFonts w:ascii="仿宋_GB2312" w:hAnsi="仿宋" w:eastAsia="仿宋_GB2312"/>
          <w:b/>
          <w:color w:val="auto"/>
          <w:sz w:val="24"/>
        </w:rPr>
      </w:pPr>
      <w:r>
        <w:rPr>
          <w:rFonts w:ascii="仿宋_GB2312" w:hAnsi="仿宋" w:eastAsia="仿宋_GB2312"/>
          <w:b/>
          <w:color w:val="auto"/>
          <w:sz w:val="24"/>
        </w:rPr>
        <w:t>1.</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snapToGrid w:val="0"/>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2.定义</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sdt>
        <w:sdtPr>
          <w:rPr>
            <w:rFonts w:hint="eastAsia" w:ascii="仿宋_GB2312" w:hAnsi="仿宋" w:eastAsia="仿宋_GB2312" w:cs="Arial"/>
            <w:color w:val="auto"/>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sdt>
        <w:sdtPr>
          <w:rPr>
            <w:rFonts w:hint="eastAsia" w:ascii="仿宋_GB2312" w:hAnsi="仿宋" w:eastAsia="仿宋_GB2312" w:cs="Arial"/>
            <w:color w:val="auto"/>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napToGrid w:val="0"/>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napToGrid w:val="0"/>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3.3支持中小企业发展</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napToGrid w:val="0"/>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napToGrid w:val="0"/>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napToGrid w:val="0"/>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napToGrid w:val="0"/>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napToGrid w:val="0"/>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napToGrid w:val="0"/>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napToGrid w:val="0"/>
        <w:spacing w:line="360" w:lineRule="auto"/>
        <w:ind w:firstLine="480" w:firstLineChars="2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napToGrid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4"/>
        <w:snapToGrid w:val="0"/>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4"/>
        <w:snapToGrid w:val="0"/>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4"/>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4"/>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4"/>
        <w:snapToGrid w:val="0"/>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4"/>
        <w:snapToGrid w:val="0"/>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4"/>
        <w:snapToGrid w:val="0"/>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4"/>
        <w:snapToGrid w:val="0"/>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4"/>
        <w:snapToGrid w:val="0"/>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4"/>
        <w:snapToGrid w:val="0"/>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4"/>
        <w:snapToGrid w:val="0"/>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质疑函范本及制作说明详见附件</w:t>
      </w:r>
      <w:r>
        <w:rPr>
          <w:rFonts w:ascii="仿宋_GB2312" w:hAnsi="仿宋" w:eastAsia="仿宋_GB2312"/>
          <w:color w:val="auto"/>
          <w:sz w:val="24"/>
        </w:rPr>
        <w:t>2。</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lang w:val="zh-CN"/>
        </w:rPr>
        <w:t>4.2</w:t>
      </w:r>
      <w:r>
        <w:rPr>
          <w:rFonts w:ascii="仿宋_GB2312" w:hAnsi="仿宋" w:eastAsia="仿宋_GB2312"/>
          <w:color w:val="auto"/>
          <w:sz w:val="24"/>
        </w:rPr>
        <w:t>.4</w:t>
      </w:r>
      <w:r>
        <w:rPr>
          <w:rFonts w:hint="eastAsia" w:ascii="仿宋_GB2312" w:hAnsi="仿宋" w:eastAsia="仿宋_GB2312"/>
          <w:color w:val="auto"/>
          <w:sz w:val="24"/>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sz w:val="24"/>
        </w:rPr>
        <w:t>2021〕17号）,</w:t>
      </w:r>
      <w:r>
        <w:rPr>
          <w:rFonts w:hint="eastAsia" w:ascii="仿宋_GB2312" w:hAnsi="仿宋" w:eastAsia="仿宋_GB2312"/>
          <w:color w:val="auto"/>
          <w:sz w:val="24"/>
        </w:rPr>
        <w:t>采购人或者采购机构在质疑回复后</w:t>
      </w:r>
      <w:r>
        <w:rPr>
          <w:rFonts w:ascii="仿宋_GB2312" w:hAnsi="仿宋" w:eastAsia="仿宋_GB2312"/>
          <w:color w:val="auto"/>
          <w:sz w:val="24"/>
        </w:rPr>
        <w:t>5个工作日内，在浙江政府采购网的“其他公告”栏目公开质疑答复，答复内容应当完整。质疑</w:t>
      </w:r>
      <w:r>
        <w:rPr>
          <w:rFonts w:hint="eastAsia" w:ascii="仿宋_GB2312" w:hAnsi="仿宋" w:eastAsia="仿宋_GB2312"/>
          <w:color w:val="auto"/>
          <w:sz w:val="24"/>
        </w:rPr>
        <w:t>函作为附件上传。</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lang w:val="zh-CN"/>
        </w:rPr>
        <w:t>4.2</w:t>
      </w:r>
      <w:r>
        <w:rPr>
          <w:rFonts w:ascii="仿宋_GB2312" w:hAnsi="仿宋" w:eastAsia="仿宋_GB2312"/>
          <w:color w:val="auto"/>
          <w:sz w:val="24"/>
        </w:rPr>
        <w:t>.5询问或者质疑事项可能影响采购结果的，采购人应当暂停签订合同，已经签订合同的，应当中止履行合同。</w:t>
      </w:r>
    </w:p>
    <w:p>
      <w:pPr>
        <w:snapToGrid w:val="0"/>
        <w:spacing w:line="360" w:lineRule="auto"/>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4.3供应商投诉</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4.3.1质疑供应商对采购人、采购机构的答复不满意或者采购人、采购机构未在规定的时间内</w:t>
      </w:r>
      <w:r>
        <w:rPr>
          <w:rFonts w:hint="eastAsia" w:ascii="仿宋_GB2312" w:hAnsi="仿宋" w:eastAsia="仿宋_GB2312"/>
          <w:color w:val="auto"/>
          <w:sz w:val="24"/>
        </w:rPr>
        <w:t>作出答复的，可以在答复期满后十五个工作日内向同级政府采购监督管理部门提出投诉。</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4.3.</w:t>
      </w:r>
      <w:r>
        <w:rPr>
          <w:rFonts w:ascii="仿宋_GB2312" w:hAnsi="仿宋" w:eastAsia="仿宋_GB2312"/>
          <w:color w:val="auto"/>
          <w:sz w:val="24"/>
          <w:lang w:val="zh-CN"/>
        </w:rPr>
        <w:t>2</w:t>
      </w:r>
      <w:r>
        <w:rPr>
          <w:rFonts w:hint="eastAsia" w:ascii="仿宋_GB2312" w:hAnsi="仿宋" w:eastAsia="仿宋_GB2312"/>
          <w:color w:val="auto"/>
          <w:sz w:val="24"/>
        </w:rPr>
        <w:t>供应商投诉的事项不得超出已质疑事项的范围，基于质疑答复内容提出的投诉事项除外。</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4.3.3供应</w:t>
      </w:r>
      <w:r>
        <w:rPr>
          <w:rFonts w:hint="eastAsia" w:ascii="仿宋_GB2312" w:hAnsi="仿宋" w:eastAsia="仿宋_GB2312"/>
          <w:color w:val="auto"/>
          <w:sz w:val="24"/>
        </w:rPr>
        <w:t>商投诉应当有明确的请求和必要的证明材料。</w:t>
      </w:r>
    </w:p>
    <w:p>
      <w:pPr>
        <w:snapToGrid w:val="0"/>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4.3.5 </w:t>
      </w:r>
      <w:r>
        <w:rPr>
          <w:rFonts w:hint="eastAsia" w:ascii="仿宋_GB2312" w:hAnsi="仿宋" w:eastAsia="仿宋_GB2312"/>
          <w:color w:val="auto"/>
          <w:sz w:val="24"/>
        </w:rPr>
        <w:t>以联合体形式参加政府采购活动的，其投诉应当由组成联合体的所有供应商共同提出。</w:t>
      </w:r>
    </w:p>
    <w:p>
      <w:pPr>
        <w:snapToGrid w:val="0"/>
        <w:spacing w:line="360" w:lineRule="auto"/>
        <w:ind w:firstLine="480" w:firstLineChars="200"/>
        <w:rPr>
          <w:rFonts w:ascii="仿宋_GB2312" w:hAnsi="仿宋" w:eastAsia="仿宋_GB2312"/>
          <w:color w:val="auto"/>
        </w:rPr>
      </w:pPr>
      <w:r>
        <w:rPr>
          <w:rFonts w:hint="eastAsia" w:ascii="仿宋_GB2312" w:hAnsi="仿宋" w:eastAsia="仿宋_GB2312"/>
          <w:color w:val="auto"/>
          <w:sz w:val="24"/>
        </w:rPr>
        <w:t>投诉书范本及制作说明详见附件</w:t>
      </w:r>
      <w:r>
        <w:rPr>
          <w:rFonts w:ascii="仿宋_GB2312" w:hAnsi="仿宋" w:eastAsia="仿宋_GB2312"/>
          <w:color w:val="auto"/>
          <w:sz w:val="24"/>
        </w:rPr>
        <w:t>3。</w:t>
      </w:r>
    </w:p>
    <w:p>
      <w:pPr>
        <w:pStyle w:val="129"/>
        <w:snapToGrid w:val="0"/>
        <w:spacing w:before="0"/>
        <w:ind w:firstLine="360"/>
        <w:rPr>
          <w:rFonts w:ascii="仿宋_GB2312" w:hAnsi="仿宋" w:eastAsia="仿宋_GB2312" w:cs="仿宋_GB2312"/>
          <w:color w:val="auto"/>
          <w:sz w:val="18"/>
          <w:szCs w:val="18"/>
        </w:rPr>
      </w:pPr>
    </w:p>
    <w:p>
      <w:pPr>
        <w:snapToGrid w:val="0"/>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4"/>
        <w:snapToGrid w:val="0"/>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4"/>
        <w:snapToGrid w:val="0"/>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4"/>
        <w:tabs>
          <w:tab w:val="left" w:pos="840"/>
        </w:tabs>
        <w:snapToGrid w:val="0"/>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4"/>
        <w:tabs>
          <w:tab w:val="left" w:pos="840"/>
        </w:tabs>
        <w:snapToGrid w:val="0"/>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4"/>
        <w:tabs>
          <w:tab w:val="left" w:pos="840"/>
        </w:tabs>
        <w:snapToGrid w:val="0"/>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4"/>
        <w:tabs>
          <w:tab w:val="left" w:pos="840"/>
        </w:tabs>
        <w:snapToGrid w:val="0"/>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4"/>
        <w:tabs>
          <w:tab w:val="left" w:pos="840"/>
        </w:tabs>
        <w:snapToGrid w:val="0"/>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4"/>
        <w:tabs>
          <w:tab w:val="left" w:pos="840"/>
        </w:tabs>
        <w:snapToGrid w:val="0"/>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4"/>
        <w:snapToGrid w:val="0"/>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129"/>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snapToGrid w:val="0"/>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snapToGrid w:val="0"/>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4"/>
        <w:snapToGrid w:val="0"/>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napToGrid w:val="0"/>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4"/>
        <w:numPr>
          <w:ilvl w:val="0"/>
          <w:numId w:val="1"/>
        </w:numPr>
        <w:snapToGrid w:val="0"/>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开标前答疑会或现场考察</w:t>
      </w:r>
    </w:p>
    <w:p>
      <w:pPr>
        <w:pStyle w:val="34"/>
        <w:snapToGrid w:val="0"/>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4"/>
        <w:numPr>
          <w:ilvl w:val="0"/>
          <w:numId w:val="1"/>
        </w:numPr>
        <w:snapToGrid w:val="0"/>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napToGrid w:val="0"/>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napToGrid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4"/>
        <w:snapToGrid w:val="0"/>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napToGrid w:val="0"/>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napToGrid w:val="0"/>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129"/>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napToGrid w:val="0"/>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napToGrid w:val="0"/>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napToGrid w:val="0"/>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numPr>
          <w:ilvl w:val="0"/>
          <w:numId w:val="2"/>
        </w:numPr>
        <w:snapToGrid w:val="0"/>
        <w:spacing w:line="360" w:lineRule="auto"/>
        <w:rPr>
          <w:rFonts w:ascii="仿宋_GB2312" w:hAnsi="仿宋" w:eastAsia="仿宋_GB2312"/>
          <w:b/>
          <w:color w:val="auto"/>
          <w:sz w:val="24"/>
        </w:rPr>
      </w:pPr>
      <w:r>
        <w:rPr>
          <w:rFonts w:ascii="仿宋_GB2312" w:hAnsi="仿宋" w:eastAsia="仿宋_GB2312"/>
          <w:b/>
          <w:color w:val="auto"/>
          <w:sz w:val="24"/>
        </w:rPr>
        <w:t>投标文件的签署、盖章</w:t>
      </w:r>
    </w:p>
    <w:p>
      <w:pPr>
        <w:pStyle w:val="129"/>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129"/>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129"/>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129"/>
        <w:snapToGrid w:val="0"/>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4"/>
        <w:snapToGrid w:val="0"/>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w:t>
      </w:r>
      <w:r>
        <w:rPr>
          <w:rFonts w:hint="eastAsia" w:ascii="仿宋_GB2312" w:hAnsi="仿宋" w:eastAsia="仿宋_GB2312" w:cs="仿宋_GB2312"/>
          <w:b/>
          <w:color w:val="auto"/>
          <w:sz w:val="24"/>
          <w:szCs w:val="24"/>
        </w:rPr>
        <w:t xml:space="preserve"> </w:t>
      </w:r>
      <w:r>
        <w:rPr>
          <w:rFonts w:ascii="仿宋_GB2312" w:hAnsi="仿宋" w:eastAsia="仿宋_GB2312" w:cs="仿宋_GB2312"/>
          <w:b/>
          <w:color w:val="auto"/>
          <w:sz w:val="24"/>
          <w:szCs w:val="24"/>
        </w:rPr>
        <w:t>备份投标文件</w:t>
      </w:r>
    </w:p>
    <w:p>
      <w:pPr>
        <w:pStyle w:val="34"/>
        <w:snapToGrid w:val="0"/>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4"/>
        <w:snapToGrid w:val="0"/>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4"/>
        <w:snapToGrid w:val="0"/>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4"/>
        <w:snapToGrid w:val="0"/>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rPr>
        <w:t>招标文件第二部分投标人须知前附表规定的备份投标文件送达地点；</w:t>
      </w:r>
      <w:r>
        <w:rPr>
          <w:rFonts w:hint="eastAsia" w:ascii="仿宋_GB2312" w:hAnsi="仿宋" w:eastAsia="仿宋_GB2312" w:cs="仿宋_GB2312"/>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napToGrid w:val="0"/>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129"/>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3"/>
        <w:snapToGrid w:val="0"/>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129"/>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napToGrid w:val="0"/>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129"/>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129"/>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napToGrid w:val="0"/>
        <w:spacing w:before="0"/>
        <w:ind w:firstLine="640"/>
        <w:rPr>
          <w:rFonts w:ascii="仿宋_GB2312" w:hAnsi="仿宋" w:eastAsia="仿宋_GB2312" w:cs="仿宋_GB2312"/>
          <w:b/>
          <w:color w:val="auto"/>
          <w:sz w:val="32"/>
        </w:rPr>
      </w:pPr>
    </w:p>
    <w:p>
      <w:pPr>
        <w:pStyle w:val="129"/>
        <w:snapToGrid w:val="0"/>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554"/>
        <w:snapToGrid w:val="0"/>
        <w:spacing w:before="0" w:line="360" w:lineRule="auto"/>
        <w:ind w:left="0" w:firstLine="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554"/>
        <w:snapToGrid w:val="0"/>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554"/>
        <w:snapToGrid w:val="0"/>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554"/>
        <w:snapToGrid w:val="0"/>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napToGrid w:val="0"/>
        <w:spacing w:before="100" w:beforeAutospacing="1" w:after="240" w:line="360" w:lineRule="auto"/>
        <w:jc w:val="left"/>
        <w:rPr>
          <w:rFonts w:ascii="仿宋_GB2312" w:hAnsi="仿宋" w:eastAsia="仿宋_GB2312" w:cs="仿宋_GB2312"/>
          <w:b/>
          <w:color w:val="auto"/>
          <w:sz w:val="24"/>
          <w:szCs w:val="20"/>
        </w:rPr>
      </w:pPr>
      <w:r>
        <w:rPr>
          <w:rFonts w:ascii="仿宋_GB2312" w:hAnsi="仿宋" w:eastAsia="仿宋_GB2312" w:cs="仿宋_GB2312"/>
          <w:b/>
          <w:color w:val="auto"/>
          <w:sz w:val="24"/>
          <w:szCs w:val="20"/>
        </w:rPr>
        <w:t>19、资格审查</w:t>
      </w:r>
    </w:p>
    <w:p>
      <w:pPr>
        <w:pStyle w:val="129"/>
        <w:snapToGrid w:val="0"/>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129"/>
        <w:snapToGrid w:val="0"/>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129"/>
        <w:snapToGrid w:val="0"/>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129"/>
        <w:snapToGrid w:val="0"/>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129"/>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129"/>
        <w:snapToGrid w:val="0"/>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129"/>
        <w:snapToGrid w:val="0"/>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129"/>
        <w:snapToGrid w:val="0"/>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9"/>
        <w:snapToGrid w:val="0"/>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129"/>
        <w:snapToGrid w:val="0"/>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napToGrid w:val="0"/>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napToGrid w:val="0"/>
        <w:spacing w:line="360" w:lineRule="auto"/>
        <w:rPr>
          <w:rFonts w:ascii="仿宋_GB2312" w:hAnsi="仿宋" w:eastAsia="仿宋_GB2312" w:cs="仿宋_GB2312"/>
          <w:b/>
          <w:color w:val="auto"/>
          <w:sz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3"/>
        <w:snapToGrid w:val="0"/>
        <w:spacing w:line="360" w:lineRule="auto"/>
        <w:ind w:left="478"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采购人将自收到评审报告之日起</w:t>
      </w: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个工作日</w:t>
      </w:r>
      <w:r>
        <w:rPr>
          <w:rFonts w:hint="eastAsia" w:ascii="仿宋_GB2312" w:hAnsi="仿宋" w:eastAsia="仿宋_GB2312" w:cs="仿宋_GB2312"/>
          <w:color w:val="auto"/>
          <w:sz w:val="24"/>
        </w:rPr>
        <w:t>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23.1自中标人确定之日起2个工作日内，采购机构通过电子交易平台向中标人发出中标通知书，同时编制发布采购结果公告。采购机构也可以以纸质形式进行中标通知。</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3"/>
        <w:snapToGrid w:val="0"/>
        <w:spacing w:line="360" w:lineRule="auto"/>
        <w:ind w:left="478"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3"/>
        <w:snapToGrid w:val="0"/>
        <w:spacing w:line="360" w:lineRule="auto"/>
        <w:ind w:left="478"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25.1 采购人与中标人应当通过电子交易平台在中标通知书发出之日起</w:t>
      </w:r>
      <w:r>
        <w:rPr>
          <w:rFonts w:hint="eastAsia" w:ascii="仿宋_GB2312" w:hAnsi="仿宋" w:eastAsia="仿宋_GB2312" w:cs="仿宋_GB2312"/>
          <w:color w:val="auto"/>
          <w:sz w:val="24"/>
          <w:highlight w:val="none"/>
          <w:lang w:val="en-US" w:eastAsia="zh-CN"/>
        </w:rPr>
        <w:t>十个工作日</w:t>
      </w:r>
      <w:r>
        <w:rPr>
          <w:rFonts w:hint="eastAsia" w:ascii="仿宋_GB2312" w:hAnsi="仿宋" w:eastAsia="仿宋_GB2312" w:cs="仿宋_GB2312"/>
          <w:color w:val="auto"/>
          <w:sz w:val="24"/>
          <w:highlight w:val="none"/>
        </w:rPr>
        <w:t>内</w:t>
      </w:r>
      <w:r>
        <w:rPr>
          <w:rFonts w:hint="eastAsia" w:ascii="仿宋_GB2312" w:hAnsi="仿宋" w:eastAsia="仿宋_GB2312" w:cs="仿宋_GB2312"/>
          <w:color w:val="auto"/>
          <w:sz w:val="24"/>
        </w:rPr>
        <w:t>，按照招标文件确定的事项签订政府采购合同，并在合同签订之日起2个工作日内依法发布合同公告。</w:t>
      </w:r>
    </w:p>
    <w:p>
      <w:pPr>
        <w:pStyle w:val="129"/>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3"/>
        <w:snapToGrid w:val="0"/>
        <w:spacing w:line="360" w:lineRule="auto"/>
        <w:ind w:left="478"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napToGrid w:val="0"/>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highlight w:val="none"/>
        </w:rPr>
        <w:t>2.</w:t>
      </w:r>
      <w:r>
        <w:rPr>
          <w:rFonts w:ascii="仿宋_GB2312" w:hAnsi="仿宋" w:eastAsia="仿宋_GB2312"/>
          <w:color w:val="auto"/>
          <w:sz w:val="24"/>
          <w:highlight w:val="none"/>
        </w:rPr>
        <w:t>5%</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napToGrid w:val="0"/>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auto"/>
          <w:sz w:val="24"/>
          <w:szCs w:val="20"/>
          <w:highlight w:val="none"/>
        </w:rPr>
        <w:t>2.5%</w:t>
      </w:r>
      <w:r>
        <w:rPr>
          <w:rFonts w:hint="eastAsia" w:ascii="仿宋_GB2312" w:hAnsi="仿宋" w:eastAsia="仿宋_GB2312" w:cs="仿宋_GB2312"/>
          <w:color w:val="auto"/>
          <w:sz w:val="24"/>
          <w:szCs w:val="20"/>
        </w:rPr>
        <w:t>。</w:t>
      </w:r>
    </w:p>
    <w:p>
      <w:pPr>
        <w:pStyle w:val="5"/>
        <w:adjustRightInd w:val="0"/>
        <w:snapToGrid w:val="0"/>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rPr>
      </w:pPr>
    </w:p>
    <w:p>
      <w:pPr>
        <w:snapToGrid w:val="0"/>
        <w:spacing w:line="360" w:lineRule="auto"/>
        <w:jc w:val="center"/>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129"/>
        <w:snapToGrid w:val="0"/>
        <w:spacing w:before="0"/>
        <w:ind w:firstLine="0" w:firstLineChars="0"/>
        <w:rPr>
          <w:rFonts w:ascii="仿宋_GB2312" w:hAnsi="仿宋" w:eastAsia="仿宋_GB2312" w:cs="仿宋_GB2312"/>
          <w:color w:val="auto"/>
        </w:rPr>
      </w:pPr>
      <w:r>
        <w:rPr>
          <w:rFonts w:ascii="仿宋_GB2312" w:hAnsi="仿宋" w:eastAsia="仿宋_GB2312" w:cs="仿宋_GB2312"/>
          <w:b/>
          <w:bCs/>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129"/>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129"/>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129"/>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129"/>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129"/>
        <w:snapToGrid w:val="0"/>
        <w:spacing w:before="0"/>
        <w:ind w:firstLine="0" w:firstLineChars="0"/>
        <w:rPr>
          <w:rFonts w:ascii="仿宋_GB2312" w:hAnsi="仿宋" w:eastAsia="仿宋_GB2312" w:cs="仿宋_GB2312"/>
          <w:color w:val="auto"/>
        </w:rPr>
      </w:pPr>
      <w:r>
        <w:rPr>
          <w:rFonts w:ascii="仿宋_GB2312" w:hAnsi="仿宋" w:eastAsia="仿宋_GB2312" w:cs="仿宋_GB2312"/>
          <w:b/>
          <w:bCs/>
          <w:color w:val="auto"/>
        </w:rPr>
        <w:t>28.</w:t>
      </w:r>
      <w:r>
        <w:rPr>
          <w:rFonts w:ascii="仿宋_GB2312" w:hAnsi="仿宋" w:eastAsia="仿宋_GB2312" w:cs="仿宋_GB2312"/>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napToGrid w:val="0"/>
        <w:spacing w:line="360" w:lineRule="auto"/>
        <w:ind w:firstLine="480"/>
        <w:rPr>
          <w:rFonts w:ascii="仿宋_GB2312" w:hAnsi="仿宋" w:eastAsia="仿宋_GB2312"/>
          <w:color w:val="auto"/>
          <w:sz w:val="24"/>
        </w:rPr>
      </w:pPr>
    </w:p>
    <w:p>
      <w:pPr>
        <w:snapToGrid w:val="0"/>
        <w:spacing w:line="360" w:lineRule="auto"/>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3"/>
        <w:snapToGrid w:val="0"/>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napToGrid w:val="0"/>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napToGrid w:val="0"/>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napToGrid w:val="0"/>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74707468"/>
      <w:bookmarkEnd w:id="15"/>
      <w:bookmarkStart w:id="16" w:name="_Hlt68072990"/>
      <w:bookmarkEnd w:id="16"/>
      <w:bookmarkStart w:id="17" w:name="_Hlt74729768"/>
      <w:bookmarkEnd w:id="17"/>
      <w:bookmarkStart w:id="18" w:name="_Hlt75236011"/>
      <w:bookmarkEnd w:id="18"/>
      <w:bookmarkStart w:id="19" w:name="_Hlt68072998"/>
      <w:bookmarkEnd w:id="19"/>
      <w:bookmarkStart w:id="20" w:name="_Hlt68057669"/>
      <w:bookmarkEnd w:id="20"/>
      <w:bookmarkStart w:id="21" w:name="_Hlt75236290"/>
      <w:bookmarkEnd w:id="21"/>
      <w:bookmarkStart w:id="22" w:name="_Hlt74714665"/>
      <w:bookmarkEnd w:id="22"/>
      <w:bookmarkStart w:id="23" w:name="_Hlt68073093"/>
      <w:bookmarkEnd w:id="23"/>
      <w:bookmarkStart w:id="24" w:name="_Hlt68403820"/>
      <w:bookmarkEnd w:id="24"/>
      <w:bookmarkStart w:id="25" w:name="_Hlt75236101"/>
      <w:bookmarkEnd w:id="25"/>
    </w:p>
    <w:bookmarkEnd w:id="11"/>
    <w:bookmarkEnd w:id="12"/>
    <w:p>
      <w:pPr>
        <w:snapToGrid w:val="0"/>
        <w:spacing w:line="360" w:lineRule="auto"/>
        <w:jc w:val="center"/>
        <w:outlineLvl w:val="0"/>
        <w:rPr>
          <w:rFonts w:ascii="仿宋" w:hAnsi="仿宋" w:eastAsia="仿宋" w:cs="仿宋_GB2312"/>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ottom"/>
        <w:rPr>
          <w:rFonts w:hint="eastAsia" w:ascii="仿宋" w:hAnsi="仿宋" w:eastAsia="仿宋" w:cs="仿宋"/>
          <w:b/>
          <w:kern w:val="0"/>
          <w:sz w:val="28"/>
          <w:szCs w:val="28"/>
        </w:rPr>
      </w:pPr>
      <w:r>
        <w:rPr>
          <w:rFonts w:hint="eastAsia" w:ascii="仿宋" w:hAnsi="仿宋" w:eastAsia="仿宋" w:cs="仿宋"/>
          <w:b/>
          <w:kern w:val="0"/>
          <w:sz w:val="28"/>
          <w:szCs w:val="28"/>
        </w:rPr>
        <w:t>标项一：中文音像制品</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一、项目采购内容及要求</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1、中标人定时提供音像制品信息服务，以订单形式发给采购人。订单内容分为综合类和主题类。信息服务提供时，优秀出版社及权威单位的作品优先。音像制品在发行一周内出现在采选信息中。</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2、中标人在收到采购人音像制品订单后应及时回复，确认是否收到订单，并按采购人提出的目录、加工及包装要求，将加工好的音像制品及时送交到采购人指定地点，为此所发生的费用全部由供应商承担。</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中标人必须按采购人订购的音像制品品种、数量及时供货，除推迟出版或发生影响协议履行的不可抗力事情外，若不能按时供货的音像制品种数或册数超过订单订购数的20%即可认定该供应商不具备供货条件。一旦采购人提出终止供货的要求，中标人必须接受，终止供货所造成的损失由中标人承担。为尽可能消除因中标人不能按协议规定要求供货所造成的影响，采购人有权采取相应的补救措施（如直接向出版商邮购图书或向其他供货商补订音像制品），由此给采购人造成的各项损失或增加的各项费用（如折扣损失、邮费、数据费、加工费）等均由违约的中标人承担。</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4、中标人在递交每一批音像制品时，同时免费提供加盖供应商公章的该批音像制品的清单一式三份，并提供规范的机读编目数据。</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5、中标人提供的征订数据必须以CNMARC格式文件提供。CNMARC格式的采访数据应包括如下项目：订购号（征订号）、ISBN（ISRC）号、书名、著者、出版社、出版时间、丛书名、单价、页码、尺寸、读者对象、内容提要和一级分类号等信息；提供的到馆音像编目数据必须以CNMARC格式文件提供。CNMARC格式的编目数据应规范、完整，包括如下项目：完整的头标区、010、016、100、101、102、115（录像）、126（录音）、135（计算机文档）、200、210、215、225、300、330、461、462、6--、7--等字段。6字段的分类、主题标引都应按中图法（5版）和分类主题词表（2版）详尽著录。其中，115,126,135根据不同的形式选择使用，即录像制品选择115字段，录音制品选择126字段，计算机文档选择135字段。</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6、中标人送交到采购人的音像制品不能有任何质量问题。若验收时发现有破损、污损、残缺、图像不清等不合格的音像制品，以及与订单不符的音像制品，一律予以退换，退换费用由中标人承担。</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7、凡交到采购人的音像制品，以音像制品定价作为计算款项的依据。</w:t>
      </w:r>
      <w:r>
        <w:rPr>
          <w:rFonts w:hint="eastAsia" w:ascii="仿宋" w:hAnsi="仿宋" w:eastAsia="仿宋" w:cs="仿宋"/>
          <w:sz w:val="24"/>
          <w:lang w:val="en-US" w:eastAsia="zh-CN"/>
        </w:rPr>
        <w:t>音像制品定价以音像制品</w:t>
      </w:r>
      <w:r>
        <w:rPr>
          <w:rFonts w:hint="eastAsia" w:ascii="仿宋" w:hAnsi="仿宋" w:eastAsia="仿宋" w:cs="仿宋"/>
          <w:sz w:val="24"/>
        </w:rPr>
        <w:t>标价或中标人进货单据为准。当采购人对价格有疑问时，中标人应提供有关资料供采购人查询。在</w:t>
      </w:r>
      <w:r>
        <w:rPr>
          <w:rFonts w:hint="eastAsia" w:ascii="仿宋" w:hAnsi="仿宋" w:eastAsia="仿宋" w:cs="仿宋"/>
          <w:sz w:val="24"/>
          <w:lang w:val="en-US" w:eastAsia="zh-CN"/>
        </w:rPr>
        <w:t>音像制品</w:t>
      </w:r>
      <w:r>
        <w:rPr>
          <w:rFonts w:hint="eastAsia" w:ascii="仿宋" w:hAnsi="仿宋" w:eastAsia="仿宋" w:cs="仿宋"/>
          <w:sz w:val="24"/>
        </w:rPr>
        <w:t>价格不合理的情况下，采购人可拒收货物。</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经验收发现款项与发货单不符的，采购人及时通知中标人派员到验收地核算，中标人接到通知之日不能及时派员核算的，以采购人验收的实际数额计算款项金额。</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、中标人提供到馆音像制品的全加工工作，内容包括：加贴条码、磁条、完整的书目记录、馆藏分配、加贴书标及相关标识、分类上架。由此所产生的劳务费用由供应商承担，加工进度和质量须按采购人要求。</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、中标人需承担采购人所接收捐赠文献的辅助加工工作（内容包括：加贴条码、磁条、加贴书标及相关标识、分类上架）。</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、中标人提供不少于1名全加工人员到馆加工音像制品，加工人员须接受采购人的培训、指导和管理。中标人派驻的到馆全加工人员一年内更换不得超过</w:t>
      </w:r>
      <w:r>
        <w:rPr>
          <w:rFonts w:hint="eastAsia" w:ascii="仿宋" w:hAnsi="仿宋" w:eastAsia="仿宋" w:cs="仿宋"/>
          <w:sz w:val="24"/>
          <w:lang w:val="en-US" w:eastAsia="zh-CN"/>
        </w:rPr>
        <w:t>3</w:t>
      </w:r>
      <w:r>
        <w:rPr>
          <w:rFonts w:hint="eastAsia" w:ascii="仿宋" w:hAnsi="仿宋" w:eastAsia="仿宋" w:cs="仿宋"/>
          <w:sz w:val="24"/>
        </w:rPr>
        <w:t>人次。</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中标人在收到采购人订单后，15个工作日把音像制品送达采购人，并在送达后的5个工作日内加工完毕。不能按时到货的音像制品，列出清单并说明原因向采购人反馈。采购人有权根据实际情况改换供应商或继续征订。</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、中标人应保证全年音像制品的到货率不低于97%。</w:t>
      </w:r>
    </w:p>
    <w:p>
      <w:pPr>
        <w:keepNext w:val="0"/>
        <w:keepLines w:val="0"/>
        <w:pageBreakBefore w:val="0"/>
        <w:numPr>
          <w:ilvl w:val="0"/>
          <w:numId w:val="0"/>
        </w:numPr>
        <w:kinsoku/>
        <w:wordWrap/>
        <w:overflowPunct/>
        <w:topLinePunct w:val="0"/>
        <w:bidi w:val="0"/>
        <w:adjustRightInd w:val="0"/>
        <w:snapToGrid w:val="0"/>
        <w:spacing w:line="360" w:lineRule="auto"/>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二、付款方式</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合同签订后，</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支付</w:t>
      </w:r>
      <w:r>
        <w:rPr>
          <w:rFonts w:hint="eastAsia" w:ascii="仿宋" w:hAnsi="仿宋" w:eastAsia="仿宋" w:cs="仿宋"/>
          <w:sz w:val="24"/>
          <w:highlight w:val="none"/>
          <w:lang w:val="en-US" w:eastAsia="zh-CN"/>
        </w:rPr>
        <w:t>中标人</w:t>
      </w:r>
      <w:r>
        <w:rPr>
          <w:rFonts w:hint="eastAsia" w:ascii="仿宋" w:hAnsi="仿宋" w:eastAsia="仿宋" w:cs="仿宋"/>
          <w:sz w:val="24"/>
          <w:highlight w:val="none"/>
        </w:rPr>
        <w:t>合同金额的</w:t>
      </w:r>
      <w:r>
        <w:rPr>
          <w:rFonts w:hint="eastAsia" w:ascii="仿宋" w:hAnsi="仿宋" w:eastAsia="仿宋" w:cs="仿宋"/>
          <w:sz w:val="24"/>
          <w:highlight w:val="none"/>
          <w:lang w:val="en-US" w:eastAsia="zh-CN"/>
        </w:rPr>
        <w:t>50</w:t>
      </w:r>
      <w:r>
        <w:rPr>
          <w:rFonts w:hint="eastAsia" w:ascii="仿宋" w:hAnsi="仿宋" w:eastAsia="仿宋" w:cs="仿宋"/>
          <w:sz w:val="24"/>
          <w:highlight w:val="none"/>
          <w:lang w:val="zh-CN"/>
        </w:rPr>
        <w:t>%</w:t>
      </w:r>
      <w:r>
        <w:rPr>
          <w:rFonts w:hint="eastAsia" w:ascii="仿宋" w:hAnsi="仿宋" w:eastAsia="仿宋" w:cs="仿宋"/>
          <w:sz w:val="24"/>
          <w:highlight w:val="none"/>
        </w:rPr>
        <w:t>作为预付款。音像验收无误后，</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根据政府采购相关规定，以音像定价为依据，以</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确认后的订单及金额付款，按照中标折扣率（   %）结算货款。合同款项于2022年12月31日前全部结清。</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供货期限</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合同签订之日起至202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年12月31日</w:t>
      </w:r>
      <w:r>
        <w:rPr>
          <w:rFonts w:hint="eastAsia" w:ascii="仿宋" w:hAnsi="仿宋" w:eastAsia="仿宋" w:cs="仿宋"/>
          <w:sz w:val="24"/>
          <w:szCs w:val="24"/>
          <w:highlight w:val="none"/>
          <w:lang w:eastAsia="zh-CN"/>
        </w:rPr>
        <w:t>。</w:t>
      </w:r>
    </w:p>
    <w:p>
      <w:pPr>
        <w:pStyle w:val="2"/>
        <w:keepNext w:val="0"/>
        <w:keepLines w:val="0"/>
        <w:pageBreakBefore w:val="0"/>
        <w:numPr>
          <w:ilvl w:val="0"/>
          <w:numId w:val="0"/>
        </w:numPr>
        <w:kinsoku/>
        <w:wordWrap/>
        <w:overflowPunct/>
        <w:topLinePunct w:val="0"/>
        <w:bidi w:val="0"/>
        <w:adjustRightInd w:val="0"/>
        <w:snapToGrid w:val="0"/>
        <w:spacing w:line="360" w:lineRule="auto"/>
        <w:ind w:left="482" w:leftChars="0" w:hanging="482" w:hangingChars="200"/>
        <w:rPr>
          <w:rFonts w:hint="eastAsia" w:ascii="仿宋" w:hAnsi="仿宋" w:eastAsia="仿宋" w:cs="仿宋"/>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团队人员</w:t>
      </w:r>
      <w:r>
        <w:rPr>
          <w:rFonts w:hint="eastAsia" w:ascii="仿宋" w:hAnsi="仿宋" w:eastAsia="仿宋" w:cs="仿宋"/>
          <w:sz w:val="24"/>
          <w:szCs w:val="24"/>
        </w:rPr>
        <w:br w:type="textWrapping"/>
      </w:r>
      <w:r>
        <w:rPr>
          <w:rFonts w:hint="eastAsia" w:ascii="仿宋" w:hAnsi="仿宋" w:eastAsia="仿宋" w:cs="仿宋"/>
          <w:sz w:val="24"/>
          <w:szCs w:val="24"/>
        </w:rPr>
        <w:t>项目负责人及项目团队人员专业素质强、技术能力满足项目需求。</w:t>
      </w:r>
    </w:p>
    <w:p>
      <w:pPr>
        <w:keepNext w:val="0"/>
        <w:keepLines w:val="0"/>
        <w:pageBreakBefore w:val="0"/>
        <w:numPr>
          <w:ilvl w:val="0"/>
          <w:numId w:val="0"/>
        </w:numPr>
        <w:kinsoku/>
        <w:wordWrap/>
        <w:overflowPunct/>
        <w:topLinePunct w:val="0"/>
        <w:bidi w:val="0"/>
        <w:adjustRightInd w:val="0"/>
        <w:snapToGrid w:val="0"/>
        <w:spacing w:line="360" w:lineRule="auto"/>
        <w:ind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五、验收依据及标准</w:t>
      </w:r>
    </w:p>
    <w:p>
      <w:pPr>
        <w:pStyle w:val="2"/>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根据《杭州市政府采购履约验收暂行办法》杭财采监〔2019〕</w:t>
      </w:r>
      <w:r>
        <w:rPr>
          <w:rFonts w:hint="eastAsia" w:ascii="仿宋" w:hAnsi="仿宋" w:eastAsia="仿宋" w:cs="仿宋"/>
          <w:sz w:val="24"/>
          <w:szCs w:val="24"/>
          <w:lang w:val="en-US" w:eastAsia="zh-CN"/>
        </w:rPr>
        <w:t>10</w:t>
      </w:r>
      <w:r>
        <w:rPr>
          <w:rFonts w:hint="eastAsia" w:ascii="仿宋" w:hAnsi="仿宋" w:eastAsia="仿宋" w:cs="仿宋"/>
          <w:sz w:val="24"/>
          <w:szCs w:val="24"/>
        </w:rPr>
        <w:t>号</w:t>
      </w:r>
      <w:r>
        <w:rPr>
          <w:rFonts w:hint="eastAsia" w:ascii="仿宋" w:hAnsi="仿宋" w:eastAsia="仿宋" w:cs="仿宋"/>
          <w:sz w:val="24"/>
          <w:szCs w:val="24"/>
          <w:lang w:val="en-US" w:eastAsia="zh-CN"/>
        </w:rPr>
        <w:t>文件</w:t>
      </w:r>
      <w:r>
        <w:rPr>
          <w:rFonts w:hint="eastAsia" w:ascii="仿宋" w:hAnsi="仿宋" w:eastAsia="仿宋" w:cs="仿宋"/>
          <w:sz w:val="24"/>
          <w:szCs w:val="24"/>
        </w:rPr>
        <w:t>进行履约验收</w:t>
      </w:r>
      <w:r>
        <w:rPr>
          <w:rFonts w:hint="eastAsia" w:ascii="仿宋" w:hAnsi="仿宋" w:eastAsia="仿宋" w:cs="仿宋"/>
          <w:sz w:val="24"/>
          <w:szCs w:val="24"/>
          <w:lang w:eastAsia="zh-CN"/>
        </w:rPr>
        <w:t>。</w:t>
      </w:r>
    </w:p>
    <w:p>
      <w:pPr>
        <w:pStyle w:val="2"/>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lang w:val="en-US" w:eastAsia="zh-CN"/>
        </w:rPr>
        <w:t>采购人对中标人送交的文献资源依据招标文件上的要求标准进行验收。送交到采购人的文献资源不能有任何质量问题。若验收时发现有破损、污损、残缺及其他不合格的文献资源，以及与订单不符的文献资源，一律予以退换，退换费用由中标人承担。</w:t>
      </w:r>
    </w:p>
    <w:p>
      <w:pPr>
        <w:rPr>
          <w:rFonts w:hint="eastAsia" w:ascii="仿宋" w:hAnsi="仿宋" w:eastAsia="仿宋" w:cs="仿宋"/>
          <w:b/>
          <w:kern w:val="0"/>
          <w:sz w:val="28"/>
          <w:szCs w:val="28"/>
        </w:rPr>
      </w:pPr>
    </w:p>
    <w:p>
      <w:pPr>
        <w:rPr>
          <w:rFonts w:hint="eastAsia" w:ascii="仿宋" w:hAnsi="仿宋" w:eastAsia="仿宋" w:cs="仿宋"/>
          <w:b/>
          <w:kern w:val="0"/>
          <w:sz w:val="28"/>
          <w:szCs w:val="28"/>
        </w:rPr>
      </w:pPr>
    </w:p>
    <w:p>
      <w:pPr>
        <w:rPr>
          <w:rFonts w:hint="eastAsia" w:ascii="仿宋" w:hAnsi="仿宋" w:eastAsia="仿宋" w:cs="仿宋"/>
          <w:b/>
          <w:kern w:val="0"/>
          <w:sz w:val="28"/>
          <w:szCs w:val="28"/>
        </w:rPr>
      </w:pPr>
      <w:r>
        <w:rPr>
          <w:rFonts w:hint="eastAsia" w:ascii="仿宋" w:hAnsi="仿宋" w:eastAsia="仿宋" w:cs="仿宋"/>
          <w:b/>
          <w:kern w:val="0"/>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标项二：</w:t>
      </w:r>
      <w:r>
        <w:rPr>
          <w:rFonts w:hint="eastAsia" w:ascii="仿宋" w:hAnsi="仿宋" w:eastAsia="仿宋" w:cs="仿宋"/>
          <w:b/>
          <w:kern w:val="0"/>
          <w:sz w:val="28"/>
          <w:szCs w:val="28"/>
          <w:lang w:val="en-US" w:eastAsia="zh-CN"/>
        </w:rPr>
        <w:t>外</w:t>
      </w:r>
      <w:r>
        <w:rPr>
          <w:rFonts w:hint="eastAsia" w:ascii="仿宋" w:hAnsi="仿宋" w:eastAsia="仿宋" w:cs="仿宋"/>
          <w:b/>
          <w:kern w:val="0"/>
          <w:sz w:val="28"/>
          <w:szCs w:val="28"/>
        </w:rPr>
        <w:t>文音像制品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一、项目采购内容及要求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根据采购人最新采访流程的设置，中标后的中标人必须按采购人的要求，同时提供EXCEL音像制品目录及相同的MARC数据；采购人要求中标人提供的必须是现货数据而非期货数据。对于采购人提出的目录、加工及包装要求，将加工好的音像制品及时送交到采购人指定地点，为此所发生的费用全部由中标人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中标人必须按采购人提供的音像制品订购单批次进行配送。中标人在收到采购人订单后，现货20天、期货60天还不能到货的音像制品，在本批次加工完成后报采购人，同时告知该批次能配送完成的确切时间，以确保采购人已订购音像制品的到馆率及完整性。采购人有权根据实际情况改换中标人或继续征订。除推迟出版或发生影响协议履行的不可抗力事情外，若不能按时供货的音像制品种数或册数超过订单订购数的20%即可认定该中标人不具备供货条件。一旦采购人提出终止供货的要求，该中标人必须接受终止供货所造成的损失由中标人承担。为尽可能消除因中标人不能按协议规定要求供货所造成的影响，采购人有权采取相应的补救措施（如直接向出版商邮购音像制品或向其他供货商补订音像制品），由此给采购人造成的各项损失或增加的各项费用（如折扣损失、邮费、数据费、加工费）等均由违约的中标人承担。</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3、中标人在配送音像制品前，音像制品内容须经国家新闻出版署相关规定审核通过，并将审核情况及时反馈给采购人。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、中标人在递交每一批音像制品时，同时免费提供加盖中标人公章的该批音像制品的清单一式二份，并提供规范的机读编目数据。图书分类法应采用现行《中图法》的最新版本。</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中标人提供的征订数据必须以MARC21格式文件提供。MARC21格式的采访数据应包括如下项目：订购号（征订号）、ISBN（ISRC）号、书名、著者、出版社、出版时间、丛书名、单价、页码、尺寸、读者对象、内容提要和一级分类号等信息；提供的到馆图书编目数据必须以MARC21格式文件提供。MARC21格式的编目数据应规范、完整，包括如下项目：完整的头标区、007、008、020、024、028、041、047、082、084（中图法类号）、100（或110）、245、246、250、254、260、300、306、490、500、511、520、6--、7--等字段。084的中图类号按中图法（最新版本）著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、中标人送交到采购人的音像制品不能有任何质量问题。若验收时发现有破损、污损、残缺、图像不清等不合格的音像制品，以及与订单不符的音像制品，一律予以退换，退换费用由中标人承担。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、凡交到采购人的音像制品，</w:t>
      </w:r>
      <w:r>
        <w:rPr>
          <w:rFonts w:hint="eastAsia" w:ascii="仿宋" w:hAnsi="仿宋" w:eastAsia="仿宋" w:cs="仿宋"/>
          <w:color w:val="auto"/>
          <w:sz w:val="24"/>
          <w:szCs w:val="24"/>
          <w:lang w:val="en-US" w:eastAsia="zh-CN"/>
        </w:rPr>
        <w:t>以音像制品的原币价作为计算书款的依据。音像制品的原币价以音像制品标价或中标人进货单据为准。当采购人对价格有疑问时，中标人应提供有关资料供采购人查询。在音像制品价格不合理的情况下，采购人可拒收货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经验收发现款项与发货单不符的，采购人及时通知中标人派员到验收地核算，中标人接到通知之日不能及时派员核算的，以采购人验收的实际数额计算款项金额。</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、中标人提供到馆音像制品的全加工工作，内容包括：加贴条码、磁条、完整的书目记录、馆藏分配、加贴书标及相关标识、分类上架。由此所产生的劳务费用由中标人承担，加工进度和质量须按采购人要求。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、中标人提供不少于</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名全加工人员到馆加工音像制品，加工人员须接受采购人的培训、指导和管理。中标人派驻的到馆全加工人员一年内更换不得超过三人次。</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中标人应确保招标人工作现场实体</w:t>
      </w:r>
      <w:r>
        <w:rPr>
          <w:rFonts w:hint="eastAsia" w:ascii="仿宋" w:hAnsi="仿宋" w:eastAsia="仿宋" w:cs="仿宋"/>
          <w:color w:val="auto"/>
          <w:sz w:val="24"/>
          <w:szCs w:val="24"/>
          <w:lang w:val="en-US" w:eastAsia="zh-CN"/>
        </w:rPr>
        <w:t>音像制品</w:t>
      </w:r>
      <w:r>
        <w:rPr>
          <w:rFonts w:hint="eastAsia" w:ascii="仿宋" w:hAnsi="仿宋" w:eastAsia="仿宋" w:cs="仿宋"/>
          <w:color w:val="auto"/>
          <w:sz w:val="24"/>
          <w:szCs w:val="24"/>
        </w:rPr>
        <w:t>与书目数据的安全。合同期内，因中标人原因造成招标人</w:t>
      </w:r>
      <w:r>
        <w:rPr>
          <w:rFonts w:hint="eastAsia" w:ascii="仿宋" w:hAnsi="仿宋" w:eastAsia="仿宋" w:cs="仿宋"/>
          <w:color w:val="auto"/>
          <w:sz w:val="24"/>
          <w:szCs w:val="24"/>
          <w:lang w:val="en-US" w:eastAsia="zh-CN"/>
        </w:rPr>
        <w:t>音像制品</w:t>
      </w:r>
      <w:r>
        <w:rPr>
          <w:rFonts w:hint="eastAsia" w:ascii="仿宋" w:hAnsi="仿宋" w:eastAsia="仿宋" w:cs="仿宋"/>
          <w:color w:val="auto"/>
          <w:sz w:val="24"/>
          <w:szCs w:val="24"/>
        </w:rPr>
        <w:t>损坏或遗失，招标人有权向中标人提出索赔。中标人需赔偿同版本</w:t>
      </w:r>
      <w:r>
        <w:rPr>
          <w:rFonts w:hint="eastAsia" w:ascii="仿宋" w:hAnsi="仿宋" w:eastAsia="仿宋" w:cs="仿宋"/>
          <w:color w:val="auto"/>
          <w:sz w:val="24"/>
          <w:szCs w:val="24"/>
          <w:lang w:val="en-US" w:eastAsia="zh-CN"/>
        </w:rPr>
        <w:t>音像制品</w:t>
      </w:r>
      <w:r>
        <w:rPr>
          <w:rFonts w:hint="eastAsia" w:ascii="仿宋" w:hAnsi="仿宋" w:eastAsia="仿宋" w:cs="仿宋"/>
          <w:color w:val="auto"/>
          <w:sz w:val="24"/>
          <w:szCs w:val="24"/>
        </w:rPr>
        <w:t>，无法赔偿原版</w:t>
      </w:r>
      <w:r>
        <w:rPr>
          <w:rFonts w:hint="eastAsia" w:ascii="仿宋" w:hAnsi="仿宋" w:eastAsia="仿宋" w:cs="仿宋"/>
          <w:color w:val="auto"/>
          <w:sz w:val="24"/>
          <w:szCs w:val="24"/>
          <w:lang w:val="en-US" w:eastAsia="zh-CN"/>
        </w:rPr>
        <w:t>音像制品</w:t>
      </w:r>
      <w:r>
        <w:rPr>
          <w:rFonts w:hint="eastAsia" w:ascii="仿宋" w:hAnsi="仿宋" w:eastAsia="仿宋" w:cs="仿宋"/>
          <w:color w:val="auto"/>
          <w:sz w:val="24"/>
          <w:szCs w:val="24"/>
        </w:rPr>
        <w:t>的按《</w:t>
      </w:r>
      <w:r>
        <w:rPr>
          <w:rFonts w:hint="eastAsia" w:ascii="仿宋" w:hAnsi="仿宋" w:eastAsia="仿宋" w:cs="仿宋"/>
          <w:color w:val="auto"/>
          <w:sz w:val="24"/>
          <w:szCs w:val="24"/>
          <w:lang w:val="en-US" w:eastAsia="zh-CN"/>
        </w:rPr>
        <w:t>杭州地区公共</w:t>
      </w:r>
      <w:r>
        <w:rPr>
          <w:rFonts w:hint="eastAsia" w:ascii="仿宋" w:hAnsi="仿宋" w:eastAsia="仿宋" w:cs="仿宋"/>
          <w:color w:val="auto"/>
          <w:sz w:val="24"/>
          <w:szCs w:val="24"/>
        </w:rPr>
        <w:t>图书馆外借文献</w:t>
      </w:r>
      <w:r>
        <w:rPr>
          <w:rFonts w:hint="eastAsia" w:ascii="仿宋" w:hAnsi="仿宋" w:eastAsia="仿宋" w:cs="仿宋"/>
          <w:color w:val="auto"/>
          <w:sz w:val="24"/>
          <w:szCs w:val="24"/>
          <w:lang w:val="en-US" w:eastAsia="zh-CN"/>
        </w:rPr>
        <w:t>污损、遗失赔偿规则</w:t>
      </w:r>
      <w:r>
        <w:rPr>
          <w:rFonts w:hint="eastAsia" w:ascii="仿宋" w:hAnsi="仿宋" w:eastAsia="仿宋" w:cs="仿宋"/>
          <w:color w:val="auto"/>
          <w:sz w:val="24"/>
          <w:szCs w:val="24"/>
        </w:rPr>
        <w:t>》赔偿。</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人在招标人业务系统中的操作，必须合乎要求与规范。合同期内，中标人套录、编制的书目数据版权归招标人所有。不经允许，中标人不得以任何名义泄露招标人的所有数据，不得以任何名义提供给招标人以外的第三方使用。如有违约，招标人有权追究中标人的法律责任。</w:t>
      </w:r>
    </w:p>
    <w:p>
      <w:pPr>
        <w:pStyle w:val="2"/>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中标人如委托有资质的第三方提供加工服务时，上述要求同时对其适用。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、中标人应保证全年的到货率不低于投标文件承诺的到货率。</w:t>
      </w:r>
    </w:p>
    <w:p>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jc w:val="left"/>
        <w:textAlignment w:val="auto"/>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中标人中标后，须按采购人支付合同总金额的5%作为履约保证金。如能在指定时间内完成采购人规定的各项加工任务的，合同期满时全额无息退款；如未能在指定时间内或未按采购人要求完成加工任务的，合同期满时以未完成的</w:t>
      </w:r>
      <w:r>
        <w:rPr>
          <w:rFonts w:hint="eastAsia" w:ascii="仿宋" w:hAnsi="仿宋" w:eastAsia="仿宋" w:cs="仿宋"/>
          <w:sz w:val="24"/>
          <w:szCs w:val="24"/>
          <w:lang w:val="en-US" w:eastAsia="zh-CN"/>
        </w:rPr>
        <w:t>件</w:t>
      </w:r>
      <w:r>
        <w:rPr>
          <w:rFonts w:hint="eastAsia" w:ascii="仿宋" w:hAnsi="仿宋" w:eastAsia="仿宋" w:cs="仿宋"/>
          <w:sz w:val="24"/>
          <w:szCs w:val="24"/>
        </w:rPr>
        <w:t>数或不合格</w:t>
      </w:r>
      <w:r>
        <w:rPr>
          <w:rFonts w:hint="eastAsia" w:ascii="仿宋" w:hAnsi="仿宋" w:eastAsia="仿宋" w:cs="仿宋"/>
          <w:sz w:val="24"/>
          <w:szCs w:val="24"/>
          <w:lang w:val="en-US" w:eastAsia="zh-CN"/>
        </w:rPr>
        <w:t>件</w:t>
      </w:r>
      <w:r>
        <w:rPr>
          <w:rFonts w:hint="eastAsia" w:ascii="仿宋" w:hAnsi="仿宋" w:eastAsia="仿宋" w:cs="仿宋"/>
          <w:sz w:val="24"/>
          <w:szCs w:val="24"/>
        </w:rPr>
        <w:t>数为单位计算在履约承诺金中扣除。</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二、付款方式</w:t>
      </w: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合同签订后，采购人支付中标人合同金额的50</w:t>
      </w:r>
      <w:r>
        <w:rPr>
          <w:rFonts w:hint="eastAsia" w:ascii="仿宋" w:hAnsi="仿宋" w:eastAsia="仿宋" w:cs="仿宋"/>
          <w:kern w:val="2"/>
          <w:sz w:val="24"/>
          <w:szCs w:val="24"/>
          <w:highlight w:val="none"/>
          <w:lang w:val="zh-CN" w:eastAsia="zh-CN" w:bidi="ar-SA"/>
        </w:rPr>
        <w:t>%</w:t>
      </w:r>
      <w:r>
        <w:rPr>
          <w:rFonts w:hint="eastAsia" w:ascii="仿宋" w:hAnsi="仿宋" w:eastAsia="仿宋" w:cs="仿宋"/>
          <w:kern w:val="2"/>
          <w:sz w:val="24"/>
          <w:szCs w:val="24"/>
          <w:highlight w:val="none"/>
          <w:lang w:val="en-US" w:eastAsia="zh-CN" w:bidi="ar-SA"/>
        </w:rPr>
        <w:t>作为预付款。音像验收无误后，采购人根据政府采购相关规定，以音像定价为依据，以采购人确认后的订单及金额付款，按照中标折扣率（   %）结算货款。合同款项于2022年12月31日前全部结清。</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供货期限</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合同签订之日起至202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年12月31日</w:t>
      </w:r>
      <w:r>
        <w:rPr>
          <w:rFonts w:hint="eastAsia" w:ascii="仿宋" w:hAnsi="仿宋" w:eastAsia="仿宋" w:cs="仿宋"/>
          <w:sz w:val="24"/>
          <w:szCs w:val="24"/>
          <w:highlight w:val="none"/>
          <w:lang w:eastAsia="zh-CN"/>
        </w:rPr>
        <w:t>。</w:t>
      </w: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left="482" w:leftChars="0" w:hanging="482" w:hanging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团队人员</w:t>
      </w:r>
      <w:r>
        <w:rPr>
          <w:rFonts w:hint="eastAsia" w:ascii="仿宋" w:hAnsi="仿宋" w:eastAsia="仿宋" w:cs="仿宋"/>
          <w:sz w:val="24"/>
          <w:szCs w:val="24"/>
        </w:rPr>
        <w:br w:type="textWrapping"/>
      </w:r>
      <w:r>
        <w:rPr>
          <w:rFonts w:hint="eastAsia" w:ascii="仿宋" w:hAnsi="仿宋" w:eastAsia="仿宋" w:cs="仿宋"/>
          <w:sz w:val="24"/>
          <w:szCs w:val="24"/>
        </w:rPr>
        <w:t>项目负责人及项目团队人员专业素质强、技术能力满足项目需求。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五、验收依据及标准</w:t>
      </w:r>
    </w:p>
    <w:p>
      <w:pPr>
        <w:pStyle w:val="2"/>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根据《杭州市政府采购履约验收暂行办法》杭财采监〔2019〕</w:t>
      </w:r>
      <w:r>
        <w:rPr>
          <w:rFonts w:hint="eastAsia" w:ascii="仿宋" w:hAnsi="仿宋" w:eastAsia="仿宋" w:cs="仿宋"/>
          <w:sz w:val="24"/>
          <w:szCs w:val="24"/>
          <w:lang w:val="en-US" w:eastAsia="zh-CN"/>
        </w:rPr>
        <w:t>10</w:t>
      </w:r>
      <w:r>
        <w:rPr>
          <w:rFonts w:hint="eastAsia" w:ascii="仿宋" w:hAnsi="仿宋" w:eastAsia="仿宋" w:cs="仿宋"/>
          <w:sz w:val="24"/>
          <w:szCs w:val="24"/>
        </w:rPr>
        <w:t>号</w:t>
      </w:r>
      <w:r>
        <w:rPr>
          <w:rFonts w:hint="eastAsia" w:ascii="仿宋" w:hAnsi="仿宋" w:eastAsia="仿宋" w:cs="仿宋"/>
          <w:sz w:val="24"/>
          <w:szCs w:val="24"/>
          <w:lang w:val="en-US" w:eastAsia="zh-CN"/>
        </w:rPr>
        <w:t>文件</w:t>
      </w:r>
      <w:r>
        <w:rPr>
          <w:rFonts w:hint="eastAsia" w:ascii="仿宋" w:hAnsi="仿宋" w:eastAsia="仿宋" w:cs="仿宋"/>
          <w:sz w:val="24"/>
          <w:szCs w:val="24"/>
        </w:rPr>
        <w:t>进行履约验收</w:t>
      </w:r>
      <w:r>
        <w:rPr>
          <w:rFonts w:hint="eastAsia" w:ascii="仿宋" w:hAnsi="仿宋" w:eastAsia="仿宋" w:cs="仿宋"/>
          <w:sz w:val="24"/>
          <w:szCs w:val="24"/>
          <w:lang w:eastAsia="zh-CN"/>
        </w:rPr>
        <w:t>。</w:t>
      </w:r>
    </w:p>
    <w:p>
      <w:pPr>
        <w:pStyle w:val="2"/>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lang w:val="en-US" w:eastAsia="zh-CN"/>
        </w:rPr>
        <w:t>采购人对中标人送交的文献资源依据招标文件上的要求标准进行验收。送交到采购人的文献资源不能有任何质量问题。若验收时发现有破损、污损、残缺及其他不合格的文献资源，以及与订单不符的文献资源，一律予以退换，退换费用由中标人承担。</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br w:type="page"/>
      </w:r>
    </w:p>
    <w:p>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7" w:name="_Toc184308050"/>
      <w:bookmarkEnd w:id="27"/>
      <w:bookmarkStart w:id="28" w:name="_Toc184314445"/>
      <w:bookmarkEnd w:id="28"/>
      <w:bookmarkStart w:id="29" w:name="_Toc184308051"/>
      <w:bookmarkEnd w:id="29"/>
      <w:bookmarkStart w:id="30" w:name="_Toc184313303"/>
      <w:bookmarkEnd w:id="30"/>
      <w:bookmarkStart w:id="31" w:name="_Toc184310331"/>
      <w:bookmarkEnd w:id="31"/>
      <w:bookmarkStart w:id="32" w:name="_Toc184310328"/>
      <w:bookmarkEnd w:id="32"/>
      <w:bookmarkStart w:id="33" w:name="_Toc184308087"/>
      <w:bookmarkEnd w:id="33"/>
      <w:bookmarkStart w:id="34" w:name="_Toc184308062"/>
      <w:bookmarkEnd w:id="34"/>
      <w:bookmarkStart w:id="35" w:name="_Toc184312079"/>
      <w:bookmarkEnd w:id="35"/>
      <w:bookmarkStart w:id="36" w:name="_Toc184313270"/>
      <w:bookmarkEnd w:id="36"/>
      <w:bookmarkStart w:id="37" w:name="_Toc184310324"/>
      <w:bookmarkEnd w:id="37"/>
      <w:bookmarkStart w:id="38" w:name="_Toc184308036"/>
      <w:bookmarkEnd w:id="38"/>
      <w:bookmarkStart w:id="39" w:name="_Toc184308064"/>
      <w:bookmarkEnd w:id="39"/>
      <w:bookmarkStart w:id="40" w:name="_Toc184313249"/>
      <w:bookmarkEnd w:id="40"/>
      <w:bookmarkStart w:id="41" w:name="_Toc184312094"/>
      <w:bookmarkEnd w:id="41"/>
      <w:bookmarkStart w:id="42" w:name="_Toc184313273"/>
      <w:bookmarkEnd w:id="42"/>
      <w:bookmarkStart w:id="43" w:name="_Toc184310334"/>
      <w:bookmarkEnd w:id="43"/>
      <w:bookmarkStart w:id="44" w:name="_Toc184308046"/>
      <w:bookmarkEnd w:id="44"/>
      <w:bookmarkStart w:id="45" w:name="_Toc184308043"/>
      <w:bookmarkEnd w:id="45"/>
      <w:bookmarkStart w:id="46" w:name="_Toc184314443"/>
      <w:bookmarkEnd w:id="46"/>
      <w:bookmarkStart w:id="47" w:name="_Toc184312110"/>
      <w:bookmarkEnd w:id="47"/>
      <w:bookmarkStart w:id="48" w:name="_Toc184312137"/>
      <w:bookmarkEnd w:id="48"/>
      <w:bookmarkStart w:id="49" w:name="_Toc184308058"/>
      <w:bookmarkEnd w:id="49"/>
      <w:bookmarkStart w:id="50" w:name="_Toc184312085"/>
      <w:bookmarkEnd w:id="50"/>
      <w:bookmarkStart w:id="51" w:name="_Toc184310321"/>
      <w:bookmarkEnd w:id="51"/>
      <w:bookmarkStart w:id="52" w:name="_Toc184308107"/>
      <w:bookmarkEnd w:id="52"/>
      <w:bookmarkStart w:id="53" w:name="_Toc184312117"/>
      <w:bookmarkEnd w:id="53"/>
      <w:bookmarkStart w:id="54" w:name="_Toc184308071"/>
      <w:bookmarkEnd w:id="54"/>
      <w:bookmarkStart w:id="55" w:name="_Toc184313297"/>
      <w:bookmarkEnd w:id="55"/>
      <w:bookmarkStart w:id="56" w:name="_Toc184312112"/>
      <w:bookmarkEnd w:id="56"/>
      <w:bookmarkStart w:id="57" w:name="_Toc184308080"/>
      <w:bookmarkEnd w:id="57"/>
      <w:bookmarkStart w:id="58" w:name="_Toc184313255"/>
      <w:bookmarkEnd w:id="58"/>
      <w:bookmarkStart w:id="59" w:name="_Toc184313287"/>
      <w:bookmarkEnd w:id="59"/>
      <w:bookmarkStart w:id="60" w:name="_Toc184313295"/>
      <w:bookmarkEnd w:id="60"/>
      <w:bookmarkStart w:id="61" w:name="_Toc184310299"/>
      <w:bookmarkEnd w:id="61"/>
      <w:bookmarkStart w:id="62" w:name="_Toc184310337"/>
      <w:bookmarkEnd w:id="62"/>
      <w:bookmarkStart w:id="63" w:name="_Toc184308077"/>
      <w:bookmarkEnd w:id="63"/>
      <w:bookmarkStart w:id="64" w:name="_Toc184312128"/>
      <w:bookmarkEnd w:id="64"/>
      <w:bookmarkStart w:id="65" w:name="_Toc184314448"/>
      <w:bookmarkEnd w:id="65"/>
      <w:bookmarkStart w:id="66" w:name="_Toc184314440"/>
      <w:bookmarkEnd w:id="66"/>
      <w:bookmarkStart w:id="67" w:name="_Toc184312093"/>
      <w:bookmarkEnd w:id="67"/>
      <w:bookmarkStart w:id="68" w:name="_Toc184314411"/>
      <w:bookmarkEnd w:id="68"/>
      <w:bookmarkStart w:id="69" w:name="_Toc184313300"/>
      <w:bookmarkEnd w:id="69"/>
      <w:bookmarkStart w:id="70" w:name="_Toc184310303"/>
      <w:bookmarkEnd w:id="70"/>
      <w:bookmarkStart w:id="71" w:name="_Toc184310273"/>
      <w:bookmarkEnd w:id="71"/>
      <w:bookmarkStart w:id="72" w:name="_Toc184314414"/>
      <w:bookmarkEnd w:id="72"/>
      <w:bookmarkStart w:id="73" w:name="_Toc184312108"/>
      <w:bookmarkEnd w:id="73"/>
      <w:bookmarkStart w:id="74" w:name="_Toc184312115"/>
      <w:bookmarkEnd w:id="74"/>
      <w:bookmarkStart w:id="75" w:name="_Toc184310335"/>
      <w:bookmarkEnd w:id="75"/>
      <w:bookmarkStart w:id="76" w:name="_Toc184314415"/>
      <w:bookmarkEnd w:id="76"/>
      <w:bookmarkStart w:id="77" w:name="_Toc184310332"/>
      <w:bookmarkEnd w:id="77"/>
      <w:bookmarkStart w:id="78" w:name="_Toc184312113"/>
      <w:bookmarkEnd w:id="78"/>
      <w:bookmarkStart w:id="79" w:name="_Toc184313292"/>
      <w:bookmarkEnd w:id="79"/>
      <w:bookmarkStart w:id="80" w:name="_Toc184312082"/>
      <w:bookmarkEnd w:id="80"/>
      <w:bookmarkStart w:id="81" w:name="_Toc184312086"/>
      <w:bookmarkEnd w:id="81"/>
      <w:bookmarkStart w:id="82" w:name="_Toc184312129"/>
      <w:bookmarkEnd w:id="82"/>
      <w:bookmarkStart w:id="83" w:name="_Toc184310278"/>
      <w:bookmarkEnd w:id="83"/>
      <w:bookmarkStart w:id="84" w:name="_Toc184312105"/>
      <w:bookmarkEnd w:id="84"/>
      <w:bookmarkStart w:id="85" w:name="_Toc184310323"/>
      <w:bookmarkEnd w:id="85"/>
      <w:bookmarkStart w:id="86" w:name="_Toc184308090"/>
      <w:bookmarkEnd w:id="86"/>
      <w:bookmarkStart w:id="87" w:name="_Toc184312101"/>
      <w:bookmarkEnd w:id="87"/>
      <w:bookmarkStart w:id="88" w:name="_Toc184312136"/>
      <w:bookmarkEnd w:id="88"/>
      <w:bookmarkStart w:id="89" w:name="_Toc184310305"/>
      <w:bookmarkEnd w:id="89"/>
      <w:bookmarkStart w:id="90" w:name="_Toc184314450"/>
      <w:bookmarkEnd w:id="90"/>
      <w:bookmarkStart w:id="91" w:name="_Toc184308057"/>
      <w:bookmarkEnd w:id="91"/>
      <w:bookmarkStart w:id="92" w:name="_Toc184308081"/>
      <w:bookmarkEnd w:id="92"/>
      <w:bookmarkStart w:id="93" w:name="_Toc184308067"/>
      <w:bookmarkEnd w:id="93"/>
      <w:bookmarkStart w:id="94" w:name="_Toc184312096"/>
      <w:bookmarkEnd w:id="94"/>
      <w:bookmarkStart w:id="95" w:name="_Toc184313247"/>
      <w:bookmarkEnd w:id="95"/>
      <w:bookmarkStart w:id="96" w:name="_Toc184313301"/>
      <w:bookmarkEnd w:id="96"/>
      <w:bookmarkStart w:id="97" w:name="_Toc184314476"/>
      <w:bookmarkEnd w:id="97"/>
      <w:bookmarkStart w:id="98" w:name="_Toc184312069"/>
      <w:bookmarkEnd w:id="98"/>
      <w:bookmarkStart w:id="99" w:name="_Toc184308045"/>
      <w:bookmarkEnd w:id="99"/>
      <w:bookmarkStart w:id="100" w:name="_Toc184310301"/>
      <w:bookmarkEnd w:id="100"/>
      <w:bookmarkStart w:id="101" w:name="_Toc184308083"/>
      <w:bookmarkEnd w:id="101"/>
      <w:bookmarkStart w:id="102" w:name="_Toc184314453"/>
      <w:bookmarkEnd w:id="102"/>
      <w:bookmarkStart w:id="103" w:name="_Toc184314468"/>
      <w:bookmarkEnd w:id="103"/>
      <w:bookmarkStart w:id="104" w:name="_Toc184312104"/>
      <w:bookmarkEnd w:id="104"/>
      <w:bookmarkStart w:id="105" w:name="_Toc184312125"/>
      <w:bookmarkEnd w:id="105"/>
      <w:bookmarkStart w:id="106" w:name="_Toc184312081"/>
      <w:bookmarkEnd w:id="106"/>
      <w:bookmarkStart w:id="107" w:name="_Toc184310284"/>
      <w:bookmarkEnd w:id="107"/>
      <w:bookmarkStart w:id="108" w:name="_Toc184314431"/>
      <w:bookmarkEnd w:id="108"/>
      <w:bookmarkStart w:id="109" w:name="_Toc184308040"/>
      <w:bookmarkEnd w:id="109"/>
      <w:bookmarkStart w:id="110" w:name="_Toc184313267"/>
      <w:bookmarkEnd w:id="110"/>
      <w:bookmarkStart w:id="111" w:name="_Toc184313282"/>
      <w:bookmarkEnd w:id="111"/>
      <w:bookmarkStart w:id="112" w:name="_Toc184308042"/>
      <w:bookmarkEnd w:id="112"/>
      <w:bookmarkStart w:id="113" w:name="_Toc184314441"/>
      <w:bookmarkEnd w:id="113"/>
      <w:bookmarkStart w:id="114" w:name="_Toc184312106"/>
      <w:bookmarkEnd w:id="114"/>
      <w:bookmarkStart w:id="115" w:name="_Toc184308076"/>
      <w:bookmarkEnd w:id="115"/>
      <w:bookmarkStart w:id="116" w:name="_Toc184313238"/>
      <w:bookmarkEnd w:id="116"/>
      <w:bookmarkStart w:id="117" w:name="_Toc184312121"/>
      <w:bookmarkEnd w:id="117"/>
      <w:bookmarkStart w:id="118" w:name="_Toc184312107"/>
      <w:bookmarkEnd w:id="118"/>
      <w:bookmarkStart w:id="119" w:name="_Toc184313307"/>
      <w:bookmarkEnd w:id="119"/>
      <w:bookmarkStart w:id="120" w:name="_Toc184314412"/>
      <w:bookmarkEnd w:id="120"/>
      <w:bookmarkStart w:id="121" w:name="_Toc184313276"/>
      <w:bookmarkEnd w:id="121"/>
      <w:bookmarkStart w:id="122" w:name="_Toc184314475"/>
      <w:bookmarkEnd w:id="122"/>
      <w:bookmarkStart w:id="123" w:name="_Toc184310296"/>
      <w:bookmarkEnd w:id="123"/>
      <w:bookmarkStart w:id="124" w:name="_Toc184312075"/>
      <w:bookmarkEnd w:id="124"/>
      <w:bookmarkStart w:id="125" w:name="_Toc184308101"/>
      <w:bookmarkEnd w:id="125"/>
      <w:bookmarkStart w:id="126" w:name="_Toc184310298"/>
      <w:bookmarkEnd w:id="126"/>
      <w:bookmarkStart w:id="127" w:name="_Toc184314457"/>
      <w:bookmarkEnd w:id="127"/>
      <w:bookmarkStart w:id="128" w:name="_Toc184308102"/>
      <w:bookmarkEnd w:id="128"/>
      <w:bookmarkStart w:id="129" w:name="_Toc184308070"/>
      <w:bookmarkEnd w:id="129"/>
      <w:bookmarkStart w:id="130" w:name="_Toc184312120"/>
      <w:bookmarkEnd w:id="130"/>
      <w:bookmarkStart w:id="131" w:name="_Toc184314470"/>
      <w:bookmarkEnd w:id="131"/>
      <w:bookmarkStart w:id="132" w:name="_Toc184314461"/>
      <w:bookmarkEnd w:id="132"/>
      <w:bookmarkStart w:id="133" w:name="_Toc184310325"/>
      <w:bookmarkEnd w:id="133"/>
      <w:bookmarkStart w:id="134" w:name="_Toc184313291"/>
      <w:bookmarkEnd w:id="134"/>
      <w:bookmarkStart w:id="135" w:name="_Toc184308096"/>
      <w:bookmarkEnd w:id="135"/>
      <w:bookmarkStart w:id="136" w:name="_Toc184312076"/>
      <w:bookmarkEnd w:id="136"/>
      <w:bookmarkStart w:id="137" w:name="_Toc184310279"/>
      <w:bookmarkEnd w:id="137"/>
      <w:bookmarkStart w:id="138" w:name="_Toc184314449"/>
      <w:bookmarkEnd w:id="138"/>
      <w:bookmarkStart w:id="139" w:name="_Toc184314455"/>
      <w:bookmarkEnd w:id="139"/>
      <w:bookmarkStart w:id="140" w:name="_Toc184313306"/>
      <w:bookmarkEnd w:id="140"/>
      <w:bookmarkStart w:id="141" w:name="_Toc184310338"/>
      <w:bookmarkEnd w:id="141"/>
      <w:bookmarkStart w:id="142" w:name="_Toc184312091"/>
      <w:bookmarkEnd w:id="142"/>
      <w:bookmarkStart w:id="143" w:name="_Toc184308049"/>
      <w:bookmarkEnd w:id="143"/>
      <w:bookmarkStart w:id="144" w:name="_Toc184314419"/>
      <w:bookmarkEnd w:id="144"/>
      <w:bookmarkStart w:id="145" w:name="_Toc184308086"/>
      <w:bookmarkEnd w:id="145"/>
      <w:bookmarkStart w:id="146" w:name="_Toc184313250"/>
      <w:bookmarkEnd w:id="146"/>
      <w:bookmarkStart w:id="147" w:name="_Toc184312116"/>
      <w:bookmarkEnd w:id="147"/>
      <w:bookmarkStart w:id="148" w:name="_Toc184310276"/>
      <w:bookmarkEnd w:id="148"/>
      <w:bookmarkStart w:id="149" w:name="_Toc184313275"/>
      <w:bookmarkEnd w:id="149"/>
      <w:bookmarkStart w:id="150" w:name="_Toc184308105"/>
      <w:bookmarkEnd w:id="150"/>
      <w:bookmarkStart w:id="151" w:name="_Toc184313299"/>
      <w:bookmarkEnd w:id="151"/>
      <w:bookmarkStart w:id="152" w:name="_Toc184312068"/>
      <w:bookmarkEnd w:id="152"/>
      <w:bookmarkStart w:id="153" w:name="_Toc184310293"/>
      <w:bookmarkEnd w:id="153"/>
      <w:bookmarkStart w:id="154" w:name="_Toc184312099"/>
      <w:bookmarkEnd w:id="154"/>
      <w:bookmarkStart w:id="155" w:name="_Toc184313254"/>
      <w:bookmarkEnd w:id="155"/>
      <w:bookmarkStart w:id="156" w:name="_Toc184308078"/>
      <w:bookmarkEnd w:id="156"/>
      <w:bookmarkStart w:id="157" w:name="_Toc184314459"/>
      <w:bookmarkEnd w:id="157"/>
      <w:bookmarkStart w:id="158" w:name="_Toc184314425"/>
      <w:bookmarkEnd w:id="158"/>
      <w:bookmarkStart w:id="159" w:name="_Toc184310289"/>
      <w:bookmarkEnd w:id="159"/>
      <w:bookmarkStart w:id="160" w:name="_Toc184308100"/>
      <w:bookmarkEnd w:id="160"/>
      <w:bookmarkStart w:id="161" w:name="_Toc184312078"/>
      <w:bookmarkEnd w:id="161"/>
      <w:bookmarkStart w:id="162" w:name="_Toc184308095"/>
      <w:bookmarkEnd w:id="162"/>
      <w:bookmarkStart w:id="163" w:name="_Toc184308072"/>
      <w:bookmarkEnd w:id="163"/>
      <w:bookmarkStart w:id="164" w:name="_Toc184313284"/>
      <w:bookmarkEnd w:id="164"/>
      <w:bookmarkStart w:id="165" w:name="_Toc184314479"/>
      <w:bookmarkEnd w:id="165"/>
      <w:bookmarkStart w:id="166" w:name="_Toc184313243"/>
      <w:bookmarkEnd w:id="166"/>
      <w:bookmarkStart w:id="167" w:name="_Toc184313278"/>
      <w:bookmarkEnd w:id="167"/>
      <w:bookmarkStart w:id="168" w:name="_Toc184310344"/>
      <w:bookmarkEnd w:id="168"/>
      <w:bookmarkStart w:id="169" w:name="_Toc184314434"/>
      <w:bookmarkEnd w:id="169"/>
      <w:bookmarkStart w:id="170" w:name="_Toc184313296"/>
      <w:bookmarkEnd w:id="170"/>
      <w:bookmarkStart w:id="171" w:name="_Toc184310317"/>
      <w:bookmarkEnd w:id="171"/>
      <w:bookmarkStart w:id="172" w:name="_Toc184310275"/>
      <w:bookmarkEnd w:id="172"/>
      <w:bookmarkStart w:id="173" w:name="_Toc184310316"/>
      <w:bookmarkEnd w:id="173"/>
      <w:bookmarkStart w:id="174" w:name="_Toc184310272"/>
      <w:bookmarkEnd w:id="174"/>
      <w:bookmarkStart w:id="175" w:name="_Toc184314472"/>
      <w:bookmarkEnd w:id="175"/>
      <w:bookmarkStart w:id="176" w:name="_Toc184313274"/>
      <w:bookmarkEnd w:id="176"/>
      <w:bookmarkStart w:id="177" w:name="_Toc184314432"/>
      <w:bookmarkEnd w:id="177"/>
      <w:bookmarkStart w:id="178" w:name="_Toc184313251"/>
      <w:bookmarkEnd w:id="178"/>
      <w:bookmarkStart w:id="179" w:name="_Toc184308039"/>
      <w:bookmarkEnd w:id="179"/>
      <w:bookmarkStart w:id="180" w:name="_Toc184308044"/>
      <w:bookmarkEnd w:id="180"/>
      <w:bookmarkStart w:id="181" w:name="_Toc184313268"/>
      <w:bookmarkEnd w:id="181"/>
      <w:bookmarkStart w:id="182" w:name="_Toc184314469"/>
      <w:bookmarkEnd w:id="182"/>
      <w:bookmarkStart w:id="183" w:name="_Toc184312070"/>
      <w:bookmarkEnd w:id="183"/>
      <w:bookmarkStart w:id="184" w:name="_Toc184312067"/>
      <w:bookmarkEnd w:id="184"/>
      <w:bookmarkStart w:id="185" w:name="_Toc184313272"/>
      <w:bookmarkEnd w:id="185"/>
      <w:bookmarkStart w:id="186" w:name="_Toc184310304"/>
      <w:bookmarkEnd w:id="186"/>
      <w:bookmarkStart w:id="187" w:name="_Toc184313244"/>
      <w:bookmarkEnd w:id="187"/>
      <w:bookmarkStart w:id="188" w:name="_Toc184310313"/>
      <w:bookmarkEnd w:id="188"/>
      <w:bookmarkStart w:id="189" w:name="_Toc184313304"/>
      <w:bookmarkEnd w:id="189"/>
      <w:bookmarkStart w:id="190" w:name="_Toc184308061"/>
      <w:bookmarkEnd w:id="190"/>
      <w:bookmarkStart w:id="191" w:name="_Toc184314426"/>
      <w:bookmarkEnd w:id="191"/>
      <w:bookmarkStart w:id="192" w:name="_Toc184310322"/>
      <w:bookmarkEnd w:id="192"/>
      <w:bookmarkStart w:id="193" w:name="_Toc184313266"/>
      <w:bookmarkEnd w:id="193"/>
      <w:bookmarkStart w:id="194" w:name="_Toc184314424"/>
      <w:bookmarkEnd w:id="194"/>
      <w:bookmarkStart w:id="195" w:name="_Toc184313285"/>
      <w:bookmarkEnd w:id="195"/>
      <w:bookmarkStart w:id="196" w:name="_Toc184312092"/>
      <w:bookmarkEnd w:id="196"/>
      <w:bookmarkStart w:id="197" w:name="_Toc184313256"/>
      <w:bookmarkEnd w:id="197"/>
      <w:bookmarkStart w:id="198" w:name="_Toc184308089"/>
      <w:bookmarkEnd w:id="198"/>
      <w:bookmarkStart w:id="199" w:name="_Toc184308108"/>
      <w:bookmarkEnd w:id="199"/>
      <w:bookmarkStart w:id="200" w:name="_Toc184310343"/>
      <w:bookmarkEnd w:id="200"/>
      <w:bookmarkStart w:id="201" w:name="_Toc184314439"/>
      <w:bookmarkEnd w:id="201"/>
      <w:bookmarkStart w:id="202" w:name="_Toc184312124"/>
      <w:bookmarkEnd w:id="202"/>
      <w:bookmarkStart w:id="203" w:name="_Toc184313289"/>
      <w:bookmarkEnd w:id="203"/>
      <w:bookmarkStart w:id="204" w:name="_Toc184314471"/>
      <w:bookmarkEnd w:id="204"/>
      <w:bookmarkStart w:id="205" w:name="_Toc184312100"/>
      <w:bookmarkEnd w:id="205"/>
      <w:bookmarkStart w:id="206" w:name="_Toc184313253"/>
      <w:bookmarkEnd w:id="206"/>
      <w:bookmarkStart w:id="207" w:name="_Toc184308048"/>
      <w:bookmarkEnd w:id="207"/>
      <w:bookmarkStart w:id="208" w:name="_Toc184312111"/>
      <w:bookmarkEnd w:id="208"/>
      <w:bookmarkStart w:id="209" w:name="_Toc184314413"/>
      <w:bookmarkEnd w:id="209"/>
      <w:bookmarkStart w:id="210" w:name="_Toc184312090"/>
      <w:bookmarkEnd w:id="210"/>
      <w:bookmarkStart w:id="211" w:name="_Toc184312139"/>
      <w:bookmarkEnd w:id="211"/>
      <w:bookmarkStart w:id="212" w:name="_Toc184310290"/>
      <w:bookmarkEnd w:id="212"/>
      <w:bookmarkStart w:id="213" w:name="_Toc184314444"/>
      <w:bookmarkEnd w:id="213"/>
      <w:bookmarkStart w:id="214" w:name="_Toc184312123"/>
      <w:bookmarkEnd w:id="214"/>
      <w:bookmarkStart w:id="215" w:name="_Toc184308079"/>
      <w:bookmarkEnd w:id="215"/>
      <w:bookmarkStart w:id="216" w:name="_Toc184313252"/>
      <w:bookmarkEnd w:id="216"/>
      <w:bookmarkStart w:id="217" w:name="_Toc184312134"/>
      <w:bookmarkEnd w:id="217"/>
      <w:bookmarkStart w:id="218" w:name="_Toc184313271"/>
      <w:bookmarkEnd w:id="218"/>
      <w:bookmarkStart w:id="219" w:name="_Toc184314427"/>
      <w:bookmarkEnd w:id="219"/>
      <w:bookmarkStart w:id="220" w:name="_Toc184314451"/>
      <w:bookmarkEnd w:id="220"/>
      <w:bookmarkStart w:id="221" w:name="_Toc184308055"/>
      <w:bookmarkEnd w:id="221"/>
      <w:bookmarkStart w:id="222" w:name="_Toc184312071"/>
      <w:bookmarkEnd w:id="222"/>
      <w:bookmarkStart w:id="223" w:name="_Toc184310319"/>
      <w:bookmarkEnd w:id="223"/>
      <w:bookmarkStart w:id="224" w:name="_Toc184314429"/>
      <w:bookmarkEnd w:id="224"/>
      <w:bookmarkStart w:id="225" w:name="_Toc184314435"/>
      <w:bookmarkEnd w:id="225"/>
      <w:bookmarkStart w:id="226" w:name="_Toc184314454"/>
      <w:bookmarkEnd w:id="226"/>
      <w:bookmarkStart w:id="227" w:name="_Toc184314410"/>
      <w:bookmarkEnd w:id="227"/>
      <w:bookmarkStart w:id="228" w:name="_Toc184308103"/>
      <w:bookmarkEnd w:id="228"/>
      <w:bookmarkStart w:id="229" w:name="_Toc184313283"/>
      <w:bookmarkEnd w:id="229"/>
      <w:bookmarkStart w:id="230" w:name="_Toc184310287"/>
      <w:bookmarkEnd w:id="230"/>
      <w:bookmarkStart w:id="231" w:name="_Toc184310281"/>
      <w:bookmarkEnd w:id="231"/>
      <w:bookmarkStart w:id="232" w:name="_Toc184310295"/>
      <w:bookmarkEnd w:id="232"/>
      <w:bookmarkStart w:id="233" w:name="_Toc184308093"/>
      <w:bookmarkEnd w:id="233"/>
      <w:bookmarkStart w:id="234" w:name="_Toc184310292"/>
      <w:bookmarkEnd w:id="234"/>
      <w:bookmarkStart w:id="235" w:name="_Toc184310312"/>
      <w:bookmarkEnd w:id="235"/>
      <w:bookmarkStart w:id="236" w:name="_Toc184310315"/>
      <w:bookmarkEnd w:id="236"/>
      <w:bookmarkStart w:id="237" w:name="_Toc184310333"/>
      <w:bookmarkEnd w:id="237"/>
      <w:bookmarkStart w:id="238" w:name="_Toc184312132"/>
      <w:bookmarkEnd w:id="238"/>
      <w:bookmarkStart w:id="239" w:name="_Toc184310306"/>
      <w:bookmarkEnd w:id="239"/>
      <w:bookmarkStart w:id="240" w:name="_Toc184314436"/>
      <w:bookmarkEnd w:id="240"/>
      <w:bookmarkStart w:id="241" w:name="_Toc184312109"/>
      <w:bookmarkEnd w:id="241"/>
      <w:bookmarkStart w:id="242" w:name="_Toc184310282"/>
      <w:bookmarkEnd w:id="242"/>
      <w:bookmarkStart w:id="243" w:name="_Toc184313310"/>
      <w:bookmarkEnd w:id="243"/>
      <w:bookmarkStart w:id="244" w:name="_Toc184310330"/>
      <w:bookmarkEnd w:id="244"/>
      <w:bookmarkStart w:id="245" w:name="_Toc184313288"/>
      <w:bookmarkEnd w:id="245"/>
      <w:bookmarkStart w:id="246" w:name="_Toc184313246"/>
      <w:bookmarkEnd w:id="246"/>
      <w:bookmarkStart w:id="247" w:name="_Toc184308082"/>
      <w:bookmarkEnd w:id="247"/>
      <w:bookmarkStart w:id="248" w:name="_Toc184313286"/>
      <w:bookmarkEnd w:id="248"/>
      <w:bookmarkStart w:id="249" w:name="_Toc184314466"/>
      <w:bookmarkEnd w:id="249"/>
      <w:bookmarkStart w:id="250" w:name="_Toc184310300"/>
      <w:bookmarkEnd w:id="250"/>
      <w:bookmarkStart w:id="251" w:name="_Toc184312098"/>
      <w:bookmarkEnd w:id="251"/>
      <w:bookmarkStart w:id="252" w:name="_Toc184312088"/>
      <w:bookmarkEnd w:id="252"/>
      <w:bookmarkStart w:id="253" w:name="_Toc184313248"/>
      <w:bookmarkEnd w:id="253"/>
      <w:bookmarkStart w:id="254" w:name="_Toc184312118"/>
      <w:bookmarkEnd w:id="254"/>
      <w:bookmarkStart w:id="255" w:name="_Toc184313240"/>
      <w:bookmarkEnd w:id="255"/>
      <w:bookmarkStart w:id="256" w:name="_Toc184308052"/>
      <w:bookmarkEnd w:id="256"/>
      <w:bookmarkStart w:id="257" w:name="_Toc184312077"/>
      <w:bookmarkEnd w:id="257"/>
      <w:bookmarkStart w:id="258" w:name="_Toc184313302"/>
      <w:bookmarkEnd w:id="258"/>
      <w:bookmarkStart w:id="259" w:name="_Toc184310329"/>
      <w:bookmarkEnd w:id="259"/>
      <w:bookmarkStart w:id="260" w:name="_Toc184308091"/>
      <w:bookmarkEnd w:id="260"/>
      <w:bookmarkStart w:id="261" w:name="_Toc184312084"/>
      <w:bookmarkEnd w:id="261"/>
      <w:bookmarkStart w:id="262" w:name="_Toc184314420"/>
      <w:bookmarkEnd w:id="262"/>
      <w:bookmarkStart w:id="263" w:name="_Toc184314482"/>
      <w:bookmarkEnd w:id="263"/>
      <w:bookmarkStart w:id="264" w:name="_Toc184310326"/>
      <w:bookmarkEnd w:id="264"/>
      <w:bookmarkStart w:id="265" w:name="_Toc184312073"/>
      <w:bookmarkEnd w:id="265"/>
      <w:bookmarkStart w:id="266" w:name="_Toc184308038"/>
      <w:bookmarkEnd w:id="266"/>
      <w:bookmarkStart w:id="267" w:name="_Toc184314417"/>
      <w:bookmarkEnd w:id="267"/>
      <w:bookmarkStart w:id="268" w:name="_Toc184313258"/>
      <w:bookmarkEnd w:id="268"/>
      <w:bookmarkStart w:id="269" w:name="_Toc184308037"/>
      <w:bookmarkEnd w:id="269"/>
      <w:bookmarkStart w:id="270" w:name="_Toc184310291"/>
      <w:bookmarkEnd w:id="270"/>
      <w:bookmarkStart w:id="271" w:name="_Toc184314463"/>
      <w:bookmarkEnd w:id="271"/>
      <w:bookmarkStart w:id="272" w:name="_Toc184310318"/>
      <w:bookmarkEnd w:id="272"/>
      <w:bookmarkStart w:id="273" w:name="_Toc184308074"/>
      <w:bookmarkEnd w:id="273"/>
      <w:bookmarkStart w:id="274" w:name="_Toc184313265"/>
      <w:bookmarkEnd w:id="274"/>
      <w:bookmarkStart w:id="275" w:name="_Toc184308104"/>
      <w:bookmarkEnd w:id="275"/>
      <w:bookmarkStart w:id="276" w:name="_Toc184314478"/>
      <w:bookmarkEnd w:id="276"/>
      <w:bookmarkStart w:id="277" w:name="_Toc184310280"/>
      <w:bookmarkEnd w:id="277"/>
      <w:bookmarkStart w:id="278" w:name="_Toc184314462"/>
      <w:bookmarkEnd w:id="278"/>
      <w:bookmarkStart w:id="279" w:name="_Toc184313241"/>
      <w:bookmarkEnd w:id="279"/>
      <w:bookmarkStart w:id="280" w:name="_Toc184310336"/>
      <w:bookmarkEnd w:id="280"/>
      <w:bookmarkStart w:id="281" w:name="_Toc184314458"/>
      <w:bookmarkEnd w:id="281"/>
      <w:bookmarkStart w:id="282" w:name="_Toc184312119"/>
      <w:bookmarkEnd w:id="282"/>
      <w:bookmarkStart w:id="283" w:name="_Toc184310285"/>
      <w:bookmarkEnd w:id="283"/>
      <w:bookmarkStart w:id="284" w:name="_Toc184310310"/>
      <w:bookmarkEnd w:id="284"/>
      <w:bookmarkStart w:id="285" w:name="_Toc184310342"/>
      <w:bookmarkEnd w:id="285"/>
      <w:bookmarkStart w:id="286" w:name="_Toc184314481"/>
      <w:bookmarkEnd w:id="286"/>
      <w:bookmarkStart w:id="287" w:name="_Toc184308084"/>
      <w:bookmarkEnd w:id="287"/>
      <w:bookmarkStart w:id="288" w:name="_Toc184312095"/>
      <w:bookmarkEnd w:id="288"/>
      <w:bookmarkStart w:id="289" w:name="_Toc184308053"/>
      <w:bookmarkEnd w:id="289"/>
      <w:bookmarkStart w:id="290" w:name="_Toc184313269"/>
      <w:bookmarkEnd w:id="290"/>
      <w:bookmarkStart w:id="291" w:name="_Toc184313298"/>
      <w:bookmarkEnd w:id="291"/>
      <w:bookmarkStart w:id="292" w:name="_Toc184308092"/>
      <w:bookmarkEnd w:id="292"/>
      <w:bookmarkStart w:id="293" w:name="_Toc184312126"/>
      <w:bookmarkEnd w:id="293"/>
      <w:bookmarkStart w:id="294" w:name="_Toc184313277"/>
      <w:bookmarkEnd w:id="294"/>
      <w:bookmarkStart w:id="295" w:name="_Toc184314423"/>
      <w:bookmarkEnd w:id="295"/>
      <w:bookmarkStart w:id="296" w:name="_Toc184308047"/>
      <w:bookmarkEnd w:id="296"/>
      <w:bookmarkStart w:id="297" w:name="_Toc184312135"/>
      <w:bookmarkEnd w:id="297"/>
      <w:bookmarkStart w:id="298" w:name="_Toc184310308"/>
      <w:bookmarkEnd w:id="298"/>
      <w:bookmarkStart w:id="299" w:name="_Toc184314438"/>
      <w:bookmarkEnd w:id="299"/>
      <w:bookmarkStart w:id="300" w:name="_Toc184314442"/>
      <w:bookmarkEnd w:id="300"/>
      <w:bookmarkStart w:id="301" w:name="_Toc184308069"/>
      <w:bookmarkEnd w:id="301"/>
      <w:bookmarkStart w:id="302" w:name="_Toc184308060"/>
      <w:bookmarkEnd w:id="302"/>
      <w:bookmarkStart w:id="303" w:name="_Toc184314456"/>
      <w:bookmarkEnd w:id="303"/>
      <w:bookmarkStart w:id="304" w:name="_Toc184310340"/>
      <w:bookmarkEnd w:id="304"/>
      <w:bookmarkStart w:id="305" w:name="_Toc184313261"/>
      <w:bookmarkEnd w:id="305"/>
      <w:bookmarkStart w:id="306" w:name="_Toc184312131"/>
      <w:bookmarkEnd w:id="306"/>
      <w:bookmarkStart w:id="307" w:name="_Toc184313242"/>
      <w:bookmarkEnd w:id="307"/>
      <w:bookmarkStart w:id="308" w:name="_Toc184308041"/>
      <w:bookmarkEnd w:id="308"/>
      <w:bookmarkStart w:id="309" w:name="_Toc184314430"/>
      <w:bookmarkEnd w:id="309"/>
      <w:bookmarkStart w:id="310" w:name="_Toc184310339"/>
      <w:bookmarkEnd w:id="310"/>
      <w:bookmarkStart w:id="311" w:name="_Toc184314433"/>
      <w:bookmarkEnd w:id="311"/>
      <w:bookmarkStart w:id="312" w:name="_Toc184312114"/>
      <w:bookmarkEnd w:id="312"/>
      <w:bookmarkStart w:id="313" w:name="_Toc184312127"/>
      <w:bookmarkEnd w:id="313"/>
      <w:bookmarkStart w:id="314" w:name="_Toc184308094"/>
      <w:bookmarkEnd w:id="314"/>
      <w:bookmarkStart w:id="315" w:name="_Toc184312133"/>
      <w:bookmarkEnd w:id="315"/>
      <w:bookmarkStart w:id="316" w:name="_Toc184314452"/>
      <w:bookmarkEnd w:id="316"/>
      <w:bookmarkStart w:id="317" w:name="_Toc184310314"/>
      <w:bookmarkEnd w:id="317"/>
      <w:bookmarkStart w:id="318" w:name="_Toc184313293"/>
      <w:bookmarkEnd w:id="318"/>
      <w:bookmarkStart w:id="319" w:name="_Toc184313262"/>
      <w:bookmarkEnd w:id="319"/>
      <w:bookmarkStart w:id="320" w:name="_Toc184310302"/>
      <w:bookmarkEnd w:id="320"/>
      <w:bookmarkStart w:id="321" w:name="_Toc184308068"/>
      <w:bookmarkEnd w:id="321"/>
      <w:bookmarkStart w:id="322" w:name="_Toc184310309"/>
      <w:bookmarkEnd w:id="322"/>
      <w:bookmarkStart w:id="323" w:name="_Toc184308088"/>
      <w:bookmarkEnd w:id="323"/>
      <w:bookmarkStart w:id="324" w:name="_Toc184313239"/>
      <w:bookmarkEnd w:id="324"/>
      <w:bookmarkStart w:id="325" w:name="_Toc184314465"/>
      <w:bookmarkEnd w:id="325"/>
      <w:bookmarkStart w:id="326" w:name="_Toc184308054"/>
      <w:bookmarkEnd w:id="326"/>
      <w:bookmarkStart w:id="327" w:name="_Toc184314416"/>
      <w:bookmarkEnd w:id="327"/>
      <w:bookmarkStart w:id="328" w:name="_Toc184312087"/>
      <w:bookmarkEnd w:id="328"/>
      <w:bookmarkStart w:id="329" w:name="_Toc184312130"/>
      <w:bookmarkEnd w:id="329"/>
      <w:bookmarkStart w:id="330" w:name="_Toc184313245"/>
      <w:bookmarkEnd w:id="330"/>
      <w:bookmarkStart w:id="331" w:name="_Toc184314421"/>
      <w:bookmarkEnd w:id="331"/>
      <w:bookmarkStart w:id="332" w:name="_Toc184314464"/>
      <w:bookmarkEnd w:id="332"/>
      <w:bookmarkStart w:id="333" w:name="_Toc184310286"/>
      <w:bookmarkEnd w:id="333"/>
      <w:bookmarkStart w:id="334" w:name="_Toc184313260"/>
      <w:bookmarkEnd w:id="334"/>
      <w:bookmarkStart w:id="335" w:name="_Toc184308065"/>
      <w:bookmarkEnd w:id="335"/>
      <w:bookmarkStart w:id="336" w:name="_Toc184313263"/>
      <w:bookmarkEnd w:id="336"/>
      <w:bookmarkStart w:id="337" w:name="_Toc184310341"/>
      <w:bookmarkEnd w:id="337"/>
      <w:bookmarkStart w:id="338" w:name="_Toc184308075"/>
      <w:bookmarkEnd w:id="338"/>
      <w:bookmarkStart w:id="339" w:name="_Toc184308106"/>
      <w:bookmarkEnd w:id="339"/>
      <w:bookmarkStart w:id="340" w:name="_Toc184310307"/>
      <w:bookmarkEnd w:id="340"/>
      <w:bookmarkStart w:id="341" w:name="_Toc184308056"/>
      <w:bookmarkEnd w:id="341"/>
      <w:bookmarkStart w:id="342" w:name="_Toc184313294"/>
      <w:bookmarkEnd w:id="342"/>
      <w:bookmarkStart w:id="343" w:name="_Toc184312083"/>
      <w:bookmarkEnd w:id="343"/>
      <w:bookmarkStart w:id="344" w:name="_Toc184314477"/>
      <w:bookmarkEnd w:id="344"/>
      <w:bookmarkStart w:id="345" w:name="_Toc184313281"/>
      <w:bookmarkEnd w:id="345"/>
      <w:bookmarkStart w:id="346" w:name="_Toc184314418"/>
      <w:bookmarkEnd w:id="346"/>
      <w:bookmarkStart w:id="347" w:name="_Toc184313259"/>
      <w:bookmarkEnd w:id="347"/>
      <w:bookmarkStart w:id="348" w:name="_Toc184308097"/>
      <w:bookmarkEnd w:id="348"/>
      <w:bookmarkStart w:id="349" w:name="_Toc184310327"/>
      <w:bookmarkEnd w:id="349"/>
      <w:bookmarkStart w:id="350" w:name="_Toc184308098"/>
      <w:bookmarkEnd w:id="350"/>
      <w:bookmarkStart w:id="351" w:name="_Toc184310277"/>
      <w:bookmarkEnd w:id="351"/>
      <w:bookmarkStart w:id="352" w:name="_Toc184314446"/>
      <w:bookmarkEnd w:id="352"/>
      <w:bookmarkStart w:id="353" w:name="_Toc184308073"/>
      <w:bookmarkEnd w:id="353"/>
      <w:bookmarkStart w:id="354" w:name="_Toc184312122"/>
      <w:bookmarkEnd w:id="354"/>
      <w:bookmarkStart w:id="355" w:name="_Toc184312072"/>
      <w:bookmarkEnd w:id="355"/>
      <w:bookmarkStart w:id="356" w:name="_Toc184310294"/>
      <w:bookmarkEnd w:id="356"/>
      <w:bookmarkStart w:id="357" w:name="_Toc184308085"/>
      <w:bookmarkEnd w:id="357"/>
      <w:bookmarkStart w:id="358" w:name="_Toc184314480"/>
      <w:bookmarkEnd w:id="358"/>
      <w:bookmarkStart w:id="359" w:name="_Toc184314474"/>
      <w:bookmarkEnd w:id="359"/>
      <w:bookmarkStart w:id="360" w:name="_Toc184313264"/>
      <w:bookmarkEnd w:id="360"/>
      <w:bookmarkStart w:id="361" w:name="_Toc184314437"/>
      <w:bookmarkEnd w:id="361"/>
      <w:bookmarkStart w:id="362" w:name="_Toc184313309"/>
      <w:bookmarkEnd w:id="362"/>
      <w:bookmarkStart w:id="363" w:name="_Toc184314428"/>
      <w:bookmarkEnd w:id="363"/>
      <w:bookmarkStart w:id="364" w:name="_Toc184313279"/>
      <w:bookmarkEnd w:id="364"/>
      <w:bookmarkStart w:id="365" w:name="_Toc184310274"/>
      <w:bookmarkEnd w:id="365"/>
      <w:bookmarkStart w:id="366" w:name="_Toc184308063"/>
      <w:bookmarkEnd w:id="366"/>
      <w:bookmarkStart w:id="367" w:name="_Toc184313280"/>
      <w:bookmarkEnd w:id="367"/>
      <w:bookmarkStart w:id="368" w:name="_Toc184313290"/>
      <w:bookmarkEnd w:id="368"/>
      <w:bookmarkStart w:id="369" w:name="_Toc184312074"/>
      <w:bookmarkEnd w:id="369"/>
      <w:bookmarkStart w:id="370" w:name="_Toc184314467"/>
      <w:bookmarkEnd w:id="370"/>
      <w:bookmarkStart w:id="371" w:name="_Toc184314447"/>
      <w:bookmarkEnd w:id="371"/>
      <w:bookmarkStart w:id="372" w:name="_Toc184308099"/>
      <w:bookmarkEnd w:id="372"/>
      <w:bookmarkStart w:id="373" w:name="_Toc184312103"/>
      <w:bookmarkEnd w:id="373"/>
      <w:bookmarkStart w:id="374" w:name="_Toc184312102"/>
      <w:bookmarkEnd w:id="374"/>
      <w:bookmarkStart w:id="375" w:name="_Toc184313257"/>
      <w:bookmarkEnd w:id="375"/>
      <w:bookmarkStart w:id="376" w:name="_Toc184312089"/>
      <w:bookmarkEnd w:id="376"/>
      <w:bookmarkStart w:id="377" w:name="_Toc184313305"/>
      <w:bookmarkEnd w:id="377"/>
      <w:bookmarkStart w:id="378" w:name="_Toc184310283"/>
      <w:bookmarkEnd w:id="378"/>
      <w:bookmarkStart w:id="379" w:name="_Toc184308066"/>
      <w:bookmarkEnd w:id="379"/>
      <w:bookmarkStart w:id="380" w:name="_Toc184310288"/>
      <w:bookmarkEnd w:id="380"/>
      <w:bookmarkStart w:id="381" w:name="_Toc184310311"/>
      <w:bookmarkEnd w:id="381"/>
      <w:bookmarkStart w:id="382" w:name="_Toc184308059"/>
      <w:bookmarkEnd w:id="382"/>
      <w:bookmarkStart w:id="383" w:name="_Toc184310297"/>
      <w:bookmarkEnd w:id="383"/>
      <w:bookmarkStart w:id="384" w:name="_Toc184310320"/>
      <w:bookmarkEnd w:id="384"/>
      <w:bookmarkStart w:id="385" w:name="_Toc184313308"/>
      <w:bookmarkEnd w:id="385"/>
      <w:bookmarkStart w:id="386" w:name="_Toc184314460"/>
      <w:bookmarkEnd w:id="386"/>
      <w:bookmarkStart w:id="387" w:name="_Toc184314473"/>
      <w:bookmarkEnd w:id="387"/>
      <w:bookmarkStart w:id="388" w:name="_Toc184312080"/>
      <w:bookmarkEnd w:id="388"/>
      <w:bookmarkStart w:id="389" w:name="_Toc184314422"/>
      <w:bookmarkEnd w:id="389"/>
      <w:bookmarkStart w:id="390" w:name="_Toc184312097"/>
      <w:bookmarkEnd w:id="390"/>
      <w:bookmarkStart w:id="391" w:name="_Toc184312138"/>
      <w:bookmarkEnd w:id="391"/>
      <w:r>
        <w:rPr>
          <w:rFonts w:hint="eastAsia" w:ascii="仿宋" w:hAnsi="仿宋" w:eastAsia="仿宋" w:cs="仿宋_GB2312"/>
          <w:b/>
          <w:color w:val="auto"/>
          <w:sz w:val="36"/>
          <w:szCs w:val="36"/>
        </w:rPr>
        <w:t>评标办法</w:t>
      </w:r>
    </w:p>
    <w:p>
      <w:pPr>
        <w:snapToGrid w:val="0"/>
        <w:spacing w:line="360" w:lineRule="auto"/>
        <w:jc w:val="center"/>
        <w:rPr>
          <w:rFonts w:hint="eastAsia" w:ascii="仿宋" w:hAnsi="仿宋" w:eastAsia="仿宋" w:cs="仿宋_GB2312"/>
          <w:b/>
          <w:color w:val="auto"/>
          <w:sz w:val="32"/>
          <w:szCs w:val="20"/>
          <w:highlight w:val="none"/>
          <w:lang w:eastAsia="zh-CN"/>
        </w:rPr>
      </w:pPr>
      <w:r>
        <w:rPr>
          <w:rFonts w:hint="eastAsia" w:ascii="仿宋" w:hAnsi="仿宋" w:eastAsia="仿宋" w:cs="仿宋_GB2312"/>
          <w:b/>
          <w:color w:val="auto"/>
          <w:sz w:val="32"/>
          <w:szCs w:val="20"/>
          <w:highlight w:val="none"/>
        </w:rPr>
        <w:t>评标办法前附表</w:t>
      </w:r>
      <w:r>
        <w:rPr>
          <w:rFonts w:hint="eastAsia" w:ascii="仿宋" w:hAnsi="仿宋" w:eastAsia="仿宋" w:cs="仿宋_GB2312"/>
          <w:b/>
          <w:color w:val="auto"/>
          <w:sz w:val="32"/>
          <w:szCs w:val="20"/>
          <w:highlight w:val="none"/>
          <w:lang w:eastAsia="zh-CN"/>
        </w:rPr>
        <w:t>（</w:t>
      </w:r>
      <w:r>
        <w:rPr>
          <w:rFonts w:hint="eastAsia" w:ascii="仿宋" w:hAnsi="仿宋" w:eastAsia="仿宋" w:cs="仿宋_GB2312"/>
          <w:b/>
          <w:color w:val="auto"/>
          <w:sz w:val="32"/>
          <w:szCs w:val="20"/>
          <w:highlight w:val="none"/>
          <w:lang w:val="en-US" w:eastAsia="zh-CN"/>
        </w:rPr>
        <w:t>标项一</w:t>
      </w:r>
      <w:r>
        <w:rPr>
          <w:rFonts w:hint="eastAsia" w:ascii="仿宋" w:hAnsi="仿宋" w:eastAsia="仿宋" w:cs="仿宋_GB2312"/>
          <w:b/>
          <w:color w:val="auto"/>
          <w:sz w:val="32"/>
          <w:szCs w:val="20"/>
          <w:highlight w:val="none"/>
          <w:lang w:eastAsia="zh-CN"/>
        </w:rPr>
        <w:t>）</w:t>
      </w:r>
    </w:p>
    <w:tbl>
      <w:tblPr>
        <w:tblStyle w:val="62"/>
        <w:tblpPr w:leftFromText="180" w:rightFromText="180" w:vertAnchor="text" w:horzAnchor="page" w:tblpXSpec="center" w:tblpY="126"/>
        <w:tblW w:w="6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20"/>
        <w:gridCol w:w="6105"/>
        <w:gridCol w:w="749"/>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12" w:type="pct"/>
            <w:vAlign w:val="center"/>
          </w:tcPr>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序号</w:t>
            </w:r>
          </w:p>
        </w:tc>
        <w:tc>
          <w:tcPr>
            <w:tcW w:w="715" w:type="pct"/>
            <w:vAlign w:val="center"/>
          </w:tcPr>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评分内容</w:t>
            </w:r>
          </w:p>
        </w:tc>
        <w:tc>
          <w:tcPr>
            <w:tcW w:w="2697" w:type="pct"/>
            <w:vAlign w:val="center"/>
          </w:tcPr>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评分细则</w:t>
            </w:r>
          </w:p>
        </w:tc>
        <w:tc>
          <w:tcPr>
            <w:tcW w:w="330" w:type="pct"/>
            <w:vAlign w:val="center"/>
          </w:tcPr>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权重</w:t>
            </w:r>
          </w:p>
        </w:tc>
        <w:tc>
          <w:tcPr>
            <w:tcW w:w="942" w:type="pct"/>
            <w:vAlign w:val="center"/>
          </w:tcPr>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投标文件中评标标准相应的商务技术资料目录</w:t>
            </w:r>
            <w:r>
              <w:rPr>
                <w:rFonts w:ascii="宋体" w:hAnsi="宋体" w:cs="宋体"/>
                <w:color w:val="auto"/>
                <w:sz w:val="24"/>
                <w:shd w:val="clear" w:color="auto" w:fill="FFFFFF"/>
              </w:rPr>
              <w:t> </w:t>
            </w:r>
            <w:r>
              <w:rPr>
                <w:rFonts w:ascii="仿宋" w:hAnsi="仿宋" w:eastAsia="仿宋" w:cs="Arial"/>
                <w:color w:val="auto"/>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12" w:type="pct"/>
            <w:vMerge w:val="restart"/>
            <w:vAlign w:val="center"/>
          </w:tcPr>
          <w:p>
            <w:pPr>
              <w:snapToGrid w:val="0"/>
              <w:spacing w:line="360" w:lineRule="auto"/>
              <w:jc w:val="center"/>
              <w:outlineLvl w:val="0"/>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715" w:type="pct"/>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组织实施方案</w:t>
            </w:r>
          </w:p>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2697" w:type="pct"/>
            <w:vAlign w:val="center"/>
          </w:tcPr>
          <w:p>
            <w:pPr>
              <w:ind w:left="34" w:leftChars="0"/>
              <w:contextualSpacing/>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投标人项目组织实施方案的科学性、合理性、规范性和可操作性。</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highlight w:val="none"/>
              </w:rPr>
            </w:pPr>
          </w:p>
        </w:tc>
        <w:tc>
          <w:tcPr>
            <w:tcW w:w="2697" w:type="pct"/>
            <w:vAlign w:val="center"/>
          </w:tcPr>
          <w:p>
            <w:pPr>
              <w:ind w:left="34" w:leftChars="0"/>
              <w:contextualSpacing/>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项目进度控制计划、工作时间进度表、工作程序和步骤、管理和协调方法、关键步骤的思路和要点等。</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12" w:type="pct"/>
            <w:vMerge w:val="restar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w:t>
            </w:r>
          </w:p>
        </w:tc>
        <w:tc>
          <w:tcPr>
            <w:tcW w:w="715" w:type="pct"/>
            <w:vMerge w:val="restart"/>
            <w:vAlign w:val="center"/>
          </w:tcPr>
          <w:p>
            <w:pPr>
              <w:spacing w:before="156" w:after="156"/>
              <w:jc w:val="center"/>
              <w:rPr>
                <w:rFonts w:hint="eastAsia" w:ascii="仿宋" w:hAnsi="仿宋" w:eastAsia="仿宋" w:cs="仿宋"/>
                <w:kern w:val="0"/>
                <w:sz w:val="24"/>
                <w:szCs w:val="24"/>
              </w:rPr>
            </w:pPr>
            <w:r>
              <w:rPr>
                <w:rFonts w:hint="eastAsia" w:ascii="仿宋" w:hAnsi="仿宋" w:eastAsia="仿宋" w:cs="仿宋"/>
                <w:kern w:val="0"/>
                <w:sz w:val="24"/>
                <w:szCs w:val="24"/>
              </w:rPr>
              <w:t>项目人员安排情况及资质证书</w:t>
            </w:r>
          </w:p>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sz w:val="24"/>
                <w:szCs w:val="24"/>
              </w:rPr>
              <w:t>（0—8分）</w:t>
            </w:r>
          </w:p>
        </w:tc>
        <w:tc>
          <w:tcPr>
            <w:tcW w:w="2697" w:type="pct"/>
            <w:vAlign w:val="center"/>
          </w:tcPr>
          <w:p>
            <w:pPr>
              <w:rPr>
                <w:rFonts w:hint="eastAsia" w:ascii="仿宋" w:hAnsi="仿宋" w:eastAsia="仿宋" w:cs="仿宋"/>
                <w:bCs/>
                <w:color w:val="auto"/>
                <w:sz w:val="24"/>
                <w:szCs w:val="24"/>
              </w:rPr>
            </w:pPr>
            <w:r>
              <w:rPr>
                <w:rFonts w:hint="eastAsia" w:ascii="仿宋" w:hAnsi="仿宋" w:eastAsia="仿宋" w:cs="仿宋"/>
                <w:sz w:val="24"/>
                <w:szCs w:val="24"/>
              </w:rPr>
              <w:t>项目负责人专业素质、技术能力、经验等情况。（以投标文件提供的证明文件及近三个月社保缴纳证明为准，不提供不得分。）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rPr>
            </w:pPr>
          </w:p>
        </w:tc>
        <w:tc>
          <w:tcPr>
            <w:tcW w:w="2697" w:type="pct"/>
            <w:vAlign w:val="center"/>
          </w:tcPr>
          <w:p>
            <w:pPr>
              <w:rPr>
                <w:rFonts w:hint="eastAsia" w:ascii="仿宋" w:hAnsi="仿宋" w:eastAsia="仿宋" w:cs="仿宋"/>
                <w:bCs/>
                <w:color w:val="auto"/>
                <w:sz w:val="24"/>
                <w:szCs w:val="24"/>
              </w:rPr>
            </w:pPr>
            <w:r>
              <w:rPr>
                <w:rFonts w:hint="eastAsia" w:ascii="仿宋" w:hAnsi="仿宋" w:eastAsia="仿宋" w:cs="仿宋"/>
                <w:sz w:val="24"/>
                <w:szCs w:val="24"/>
              </w:rPr>
              <w:t>项目团队人员专业素质、技术能力、专业分布、经验等情况。（以投标文件提供的证明文件及近三个月社保缴纳证明为准，不提供不得分。）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rPr>
            </w:pPr>
          </w:p>
        </w:tc>
        <w:tc>
          <w:tcPr>
            <w:tcW w:w="2697" w:type="pct"/>
            <w:vAlign w:val="center"/>
          </w:tcPr>
          <w:p>
            <w:pPr>
              <w:rPr>
                <w:rFonts w:hint="eastAsia" w:ascii="仿宋" w:hAnsi="仿宋" w:eastAsia="仿宋" w:cs="仿宋"/>
                <w:bCs/>
                <w:color w:val="auto"/>
                <w:sz w:val="24"/>
                <w:szCs w:val="24"/>
              </w:rPr>
            </w:pPr>
            <w:r>
              <w:rPr>
                <w:rFonts w:hint="eastAsia" w:ascii="仿宋" w:hAnsi="仿宋" w:eastAsia="仿宋" w:cs="仿宋"/>
                <w:sz w:val="24"/>
                <w:szCs w:val="24"/>
              </w:rPr>
              <w:t>拟派本项目全加工人员，不足1人不得分，1人得2分，2人及以上得3分。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12"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w:t>
            </w:r>
          </w:p>
        </w:tc>
        <w:tc>
          <w:tcPr>
            <w:tcW w:w="71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音像质量</w:t>
            </w:r>
          </w:p>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sz w:val="24"/>
                <w:szCs w:val="24"/>
              </w:rPr>
              <w:t>（0-5分）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rPr>
            </w:pPr>
            <w:r>
              <w:rPr>
                <w:rFonts w:hint="eastAsia" w:ascii="仿宋" w:hAnsi="仿宋" w:eastAsia="仿宋" w:cs="仿宋"/>
                <w:sz w:val="24"/>
                <w:szCs w:val="24"/>
              </w:rPr>
              <w:t>正式出版物；无破损；附件齐全。（根据投标文件提供的服务承诺保证措施的明确性及可行性打分。）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5</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12" w:type="pct"/>
            <w:vMerge w:val="restar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4</w:t>
            </w:r>
          </w:p>
        </w:tc>
        <w:tc>
          <w:tcPr>
            <w:tcW w:w="715" w:type="pct"/>
            <w:vMerge w:val="restart"/>
            <w:vAlign w:val="center"/>
          </w:tcPr>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采访信息的覆盖程度和时效</w:t>
            </w:r>
          </w:p>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rPr>
              <w:t>（0-6分）</w:t>
            </w:r>
          </w:p>
        </w:tc>
        <w:tc>
          <w:tcPr>
            <w:tcW w:w="2697" w:type="pct"/>
            <w:vAlign w:val="center"/>
          </w:tcPr>
          <w:p>
            <w:pPr>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采访数据完整、准确程度。（根据投标文件提供的服务承诺保证措施的明确性及可行性打分。）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2</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rPr>
            </w:pPr>
          </w:p>
        </w:tc>
        <w:tc>
          <w:tcPr>
            <w:tcW w:w="2697" w:type="pct"/>
            <w:vAlign w:val="center"/>
          </w:tcPr>
          <w:p>
            <w:pPr>
              <w:jc w:val="left"/>
              <w:rPr>
                <w:rFonts w:hint="eastAsia" w:ascii="仿宋" w:hAnsi="仿宋" w:eastAsia="仿宋" w:cs="仿宋"/>
                <w:bCs/>
                <w:color w:val="auto"/>
                <w:sz w:val="24"/>
                <w:szCs w:val="24"/>
              </w:rPr>
            </w:pPr>
            <w:r>
              <w:rPr>
                <w:rFonts w:hint="eastAsia" w:ascii="仿宋" w:hAnsi="仿宋" w:eastAsia="仿宋" w:cs="仿宋"/>
                <w:sz w:val="24"/>
                <w:szCs w:val="24"/>
              </w:rPr>
              <w:t>向用户（主题分馆）提供主题书目占比90%(含)以上，2分； 70(不含)%-90(不含)%，1分；70%(含)以下，0.5分。（根据投标文件提供的服务承诺保证措施的明确性及可行性打分。）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rPr>
            </w:pPr>
          </w:p>
        </w:tc>
        <w:tc>
          <w:tcPr>
            <w:tcW w:w="2697" w:type="pct"/>
            <w:vAlign w:val="center"/>
          </w:tcPr>
          <w:p>
            <w:pPr>
              <w:jc w:val="left"/>
              <w:rPr>
                <w:rFonts w:hint="eastAsia" w:ascii="仿宋" w:hAnsi="仿宋" w:eastAsia="仿宋" w:cs="仿宋"/>
                <w:bCs/>
                <w:color w:val="auto"/>
                <w:sz w:val="24"/>
                <w:szCs w:val="24"/>
              </w:rPr>
            </w:pPr>
            <w:r>
              <w:rPr>
                <w:rFonts w:hint="eastAsia" w:ascii="仿宋" w:hAnsi="仿宋" w:eastAsia="仿宋" w:cs="仿宋"/>
                <w:sz w:val="24"/>
                <w:szCs w:val="24"/>
              </w:rPr>
              <w:t>提供的信息时效性强，要求至少保证70%以上采访数据为当年新发行品种，20%以上为上一年度发行品种，其他年份品种占比小于10%。（根据投标文件提供的服务承诺保证措施的明确性及可行性打分。）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12"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5</w:t>
            </w:r>
          </w:p>
        </w:tc>
        <w:tc>
          <w:tcPr>
            <w:tcW w:w="715" w:type="pct"/>
            <w:vAlign w:val="center"/>
          </w:tcPr>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编目数据质量</w:t>
            </w:r>
          </w:p>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sz w:val="24"/>
                <w:szCs w:val="24"/>
              </w:rPr>
              <w:t>（0-5分）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编目数据的质量符合招标要求的程度；</w:t>
            </w:r>
            <w:r>
              <w:rPr>
                <w:rFonts w:hint="eastAsia" w:ascii="仿宋" w:hAnsi="仿宋" w:eastAsia="仿宋" w:cs="仿宋"/>
                <w:sz w:val="24"/>
                <w:szCs w:val="24"/>
                <w:lang w:val="en-US" w:eastAsia="zh-CN"/>
              </w:rPr>
              <w:t>2、</w:t>
            </w:r>
            <w:r>
              <w:rPr>
                <w:rFonts w:hint="eastAsia" w:ascii="仿宋" w:hAnsi="仿宋" w:eastAsia="仿宋" w:cs="仿宋"/>
                <w:sz w:val="24"/>
                <w:szCs w:val="24"/>
              </w:rPr>
              <w:t>与到馆音像匹配（不漏发、错发）；</w:t>
            </w:r>
            <w:r>
              <w:rPr>
                <w:rFonts w:hint="eastAsia" w:ascii="仿宋" w:hAnsi="仿宋" w:eastAsia="仿宋" w:cs="仿宋"/>
                <w:sz w:val="24"/>
                <w:szCs w:val="24"/>
                <w:lang w:val="en-US" w:eastAsia="zh-CN"/>
              </w:rPr>
              <w:t>3、</w:t>
            </w:r>
            <w:r>
              <w:rPr>
                <w:rFonts w:hint="eastAsia" w:ascii="仿宋" w:hAnsi="仿宋" w:eastAsia="仿宋" w:cs="仿宋"/>
                <w:sz w:val="24"/>
                <w:szCs w:val="24"/>
              </w:rPr>
              <w:t>与到馆音像同时到达情况。前一项满分为3分，后两项各1分。（根据投标文件提供的服务承诺保证措施的明确性及可行性打分。）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5</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312"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6</w:t>
            </w:r>
          </w:p>
        </w:tc>
        <w:tc>
          <w:tcPr>
            <w:tcW w:w="71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到货率</w:t>
            </w:r>
          </w:p>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rPr>
              <w:t>（0-5分）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rPr>
              <w:t>承诺到货率达97%(含)以上为5分，92%及以上得3分，85%及以上得1分，85%以下不得分。（以投标文件提供的承诺书为准）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2" w:type="pct"/>
            <w:vMerge w:val="restart"/>
            <w:vAlign w:val="center"/>
          </w:tcPr>
          <w:p>
            <w:pPr>
              <w:snapToGrid w:val="0"/>
              <w:spacing w:line="360" w:lineRule="auto"/>
              <w:jc w:val="center"/>
              <w:outlineLvl w:val="0"/>
              <w:rPr>
                <w:rFonts w:hint="eastAsia" w:ascii="仿宋" w:hAnsi="仿宋" w:eastAsia="仿宋" w:cs="仿宋_GB2312"/>
                <w:bCs/>
                <w:color w:val="auto"/>
                <w:sz w:val="24"/>
                <w:lang w:eastAsia="zh-CN"/>
              </w:rPr>
            </w:pPr>
            <w:r>
              <w:rPr>
                <w:rFonts w:hint="eastAsia" w:ascii="仿宋" w:hAnsi="仿宋" w:eastAsia="仿宋" w:cs="仿宋_GB2312"/>
                <w:bCs/>
                <w:color w:val="auto"/>
                <w:sz w:val="24"/>
                <w:lang w:val="en-US" w:eastAsia="zh-CN"/>
              </w:rPr>
              <w:t>7</w:t>
            </w:r>
          </w:p>
        </w:tc>
        <w:tc>
          <w:tcPr>
            <w:tcW w:w="715" w:type="pct"/>
            <w:vMerge w:val="restar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对图书馆自备清单、自定较窄主题采购的响应速度</w:t>
            </w:r>
          </w:p>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rPr>
              <w:t>（0-6分）</w:t>
            </w:r>
          </w:p>
        </w:tc>
        <w:tc>
          <w:tcPr>
            <w:tcW w:w="2697" w:type="pct"/>
            <w:vAlign w:val="center"/>
          </w:tcPr>
          <w:p>
            <w:pPr>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sz w:val="24"/>
                <w:szCs w:val="24"/>
              </w:rPr>
              <w:t>对图书馆自备清单的采购能力。（根据投标文件提供的服务承诺保证措施的明确性及可行性打分。）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lang w:eastAsia="zh-CN"/>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rPr>
            </w:pPr>
          </w:p>
        </w:tc>
        <w:tc>
          <w:tcPr>
            <w:tcW w:w="2697" w:type="pct"/>
            <w:vAlign w:val="center"/>
          </w:tcPr>
          <w:p>
            <w:pPr>
              <w:jc w:val="left"/>
              <w:rPr>
                <w:rFonts w:hint="eastAsia" w:ascii="仿宋" w:hAnsi="仿宋" w:eastAsia="仿宋" w:cs="仿宋"/>
                <w:bCs/>
                <w:color w:val="auto"/>
                <w:sz w:val="24"/>
                <w:szCs w:val="24"/>
              </w:rPr>
            </w:pPr>
            <w:r>
              <w:rPr>
                <w:rFonts w:hint="eastAsia" w:ascii="仿宋" w:hAnsi="仿宋" w:eastAsia="仿宋" w:cs="仿宋"/>
                <w:sz w:val="24"/>
                <w:szCs w:val="24"/>
              </w:rPr>
              <w:t>对自定较窄主题采购的快速响应能力（要求在2-3个工作日内给与回复）。（根据投标文件提供的服务承诺保证措施的明确性及可行性打分。）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8</w:t>
            </w:r>
          </w:p>
        </w:tc>
        <w:tc>
          <w:tcPr>
            <w:tcW w:w="715" w:type="pct"/>
            <w:vAlign w:val="center"/>
          </w:tcPr>
          <w:p>
            <w:pPr>
              <w:snapToGrid w:val="0"/>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对订单调整要求的反应能力</w:t>
            </w:r>
          </w:p>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对已订清单因情况变化，能满足图书馆减少订数或要求取消订购的要求。能减少订数的为1分，能取消的为2分。（根据投标文件提供的服务承诺保证措施的明确性及可行性打分。）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2</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9</w:t>
            </w:r>
          </w:p>
        </w:tc>
        <w:tc>
          <w:tcPr>
            <w:tcW w:w="715" w:type="pct"/>
            <w:vAlign w:val="center"/>
          </w:tcPr>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对未能采购音像订单的处理</w:t>
            </w:r>
          </w:p>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sz w:val="24"/>
                <w:szCs w:val="24"/>
              </w:rPr>
              <w:t>（0-2分）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rPr>
            </w:pPr>
            <w:r>
              <w:rPr>
                <w:rFonts w:hint="eastAsia" w:ascii="仿宋" w:hAnsi="仿宋" w:eastAsia="仿宋" w:cs="仿宋"/>
                <w:sz w:val="24"/>
                <w:szCs w:val="24"/>
              </w:rPr>
              <w:t>对因各种原因未能满足图书馆订单的情况能及时作出反馈，并给出解决方案。（根据投标文件提供的服务承诺保证措施的明确性及可行性打分。）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10</w:t>
            </w:r>
          </w:p>
        </w:tc>
        <w:tc>
          <w:tcPr>
            <w:tcW w:w="715" w:type="pct"/>
            <w:vAlign w:val="center"/>
          </w:tcPr>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sz w:val="24"/>
                <w:szCs w:val="24"/>
              </w:rPr>
              <w:t>退单的处理（0-3分）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rPr>
              <w:t>及时处理因音像质量问题、与馆藏要求不符、与预订不符等原因造成的退单。（根据投标文件提供的服务承诺保证措施的明确性及可行性打分。）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11</w:t>
            </w:r>
          </w:p>
        </w:tc>
        <w:tc>
          <w:tcPr>
            <w:tcW w:w="715" w:type="pct"/>
            <w:vAlign w:val="center"/>
          </w:tcPr>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音像全加工服务</w:t>
            </w:r>
          </w:p>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（0-5分）</w:t>
            </w:r>
          </w:p>
        </w:tc>
        <w:tc>
          <w:tcPr>
            <w:tcW w:w="2697" w:type="pct"/>
            <w:vAlign w:val="center"/>
          </w:tcPr>
          <w:p>
            <w:pPr>
              <w:snapToGrid w:val="0"/>
              <w:spacing w:line="360" w:lineRule="auto"/>
              <w:jc w:val="left"/>
              <w:outlineLvl w:val="0"/>
              <w:rPr>
                <w:rFonts w:hint="eastAsia" w:ascii="仿宋" w:hAnsi="仿宋" w:eastAsia="仿宋" w:cs="仿宋"/>
                <w:sz w:val="24"/>
                <w:szCs w:val="24"/>
              </w:rPr>
            </w:pPr>
            <w:r>
              <w:rPr>
                <w:rFonts w:hint="eastAsia" w:ascii="仿宋" w:hAnsi="仿宋" w:eastAsia="仿宋" w:cs="仿宋"/>
                <w:sz w:val="24"/>
                <w:szCs w:val="24"/>
              </w:rPr>
              <w:t>满足音像全加工服务要求的能力。（根据投标文件提供的服务承诺保证措施的明确性及可行性打分。）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12</w:t>
            </w:r>
          </w:p>
        </w:tc>
        <w:tc>
          <w:tcPr>
            <w:tcW w:w="71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包装质量、运送及时到位</w:t>
            </w:r>
          </w:p>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（0-2分）</w:t>
            </w:r>
          </w:p>
        </w:tc>
        <w:tc>
          <w:tcPr>
            <w:tcW w:w="2697" w:type="pct"/>
            <w:vAlign w:val="center"/>
          </w:tcPr>
          <w:p>
            <w:pPr>
              <w:snapToGrid w:val="0"/>
              <w:spacing w:line="360" w:lineRule="auto"/>
              <w:jc w:val="left"/>
              <w:outlineLvl w:val="0"/>
              <w:rPr>
                <w:rFonts w:hint="eastAsia" w:ascii="仿宋" w:hAnsi="仿宋" w:eastAsia="仿宋" w:cs="仿宋"/>
                <w:sz w:val="24"/>
                <w:szCs w:val="24"/>
              </w:rPr>
            </w:pPr>
            <w:r>
              <w:rPr>
                <w:rFonts w:hint="eastAsia" w:ascii="仿宋" w:hAnsi="仿宋" w:eastAsia="仿宋" w:cs="仿宋"/>
                <w:sz w:val="24"/>
                <w:szCs w:val="24"/>
              </w:rPr>
              <w:t>满足音像包装及运送要求的程度。（根据投标文件提供的服务承诺保证措施的明确性及可行性打分。）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2</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12" w:type="pct"/>
            <w:vMerge w:val="restar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13</w:t>
            </w:r>
          </w:p>
        </w:tc>
        <w:tc>
          <w:tcPr>
            <w:tcW w:w="715" w:type="pct"/>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特色服务、增值服务</w:t>
            </w:r>
          </w:p>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（0-3分）</w:t>
            </w:r>
          </w:p>
        </w:tc>
        <w:tc>
          <w:tcPr>
            <w:tcW w:w="2697" w:type="pct"/>
            <w:vAlign w:val="center"/>
          </w:tcPr>
          <w:p>
            <w:pPr>
              <w:contextualSpacing/>
              <w:rPr>
                <w:rFonts w:hint="eastAsia" w:ascii="仿宋" w:hAnsi="仿宋" w:eastAsia="仿宋" w:cs="仿宋"/>
                <w:sz w:val="24"/>
                <w:szCs w:val="24"/>
              </w:rPr>
            </w:pPr>
            <w:r>
              <w:rPr>
                <w:rFonts w:hint="eastAsia" w:ascii="仿宋" w:hAnsi="仿宋" w:eastAsia="仿宋" w:cs="仿宋"/>
                <w:sz w:val="24"/>
                <w:szCs w:val="24"/>
              </w:rPr>
              <w:t>为用户的馆藏建设提供其它特色服务情况。</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lang w:val="en-US" w:eastAsia="zh-CN"/>
              </w:rPr>
            </w:pPr>
          </w:p>
        </w:tc>
        <w:tc>
          <w:tcPr>
            <w:tcW w:w="715" w:type="pct"/>
            <w:vMerge w:val="continue"/>
            <w:vAlign w:val="center"/>
          </w:tcPr>
          <w:p>
            <w:pPr>
              <w:snapToGrid w:val="0"/>
              <w:spacing w:line="360" w:lineRule="auto"/>
              <w:jc w:val="center"/>
              <w:outlineLvl w:val="0"/>
              <w:rPr>
                <w:rFonts w:hint="eastAsia" w:ascii="仿宋" w:hAnsi="仿宋" w:eastAsia="仿宋" w:cs="仿宋"/>
                <w:sz w:val="24"/>
                <w:szCs w:val="24"/>
              </w:rPr>
            </w:pPr>
          </w:p>
        </w:tc>
        <w:tc>
          <w:tcPr>
            <w:tcW w:w="2697" w:type="pct"/>
            <w:vAlign w:val="center"/>
          </w:tcPr>
          <w:p>
            <w:pPr>
              <w:contextualSpacing/>
              <w:rPr>
                <w:rFonts w:hint="eastAsia" w:ascii="仿宋" w:hAnsi="仿宋" w:eastAsia="仿宋" w:cs="仿宋"/>
                <w:sz w:val="24"/>
                <w:szCs w:val="24"/>
              </w:rPr>
            </w:pPr>
            <w:r>
              <w:rPr>
                <w:rFonts w:hint="eastAsia" w:ascii="仿宋" w:hAnsi="仿宋" w:eastAsia="仿宋" w:cs="仿宋"/>
                <w:sz w:val="24"/>
                <w:szCs w:val="24"/>
              </w:rPr>
              <w:t>积极支持图书馆事业基金会捐赠或公益事业等增值服务。</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lang w:val="en-US" w:eastAsia="zh-CN"/>
              </w:rPr>
            </w:pPr>
          </w:p>
        </w:tc>
        <w:tc>
          <w:tcPr>
            <w:tcW w:w="715" w:type="pct"/>
            <w:vMerge w:val="continue"/>
            <w:vAlign w:val="center"/>
          </w:tcPr>
          <w:p>
            <w:pPr>
              <w:snapToGrid w:val="0"/>
              <w:spacing w:line="360" w:lineRule="auto"/>
              <w:jc w:val="center"/>
              <w:outlineLvl w:val="0"/>
              <w:rPr>
                <w:rFonts w:hint="eastAsia" w:ascii="仿宋" w:hAnsi="仿宋" w:eastAsia="仿宋" w:cs="仿宋"/>
                <w:sz w:val="24"/>
                <w:szCs w:val="24"/>
              </w:rPr>
            </w:pPr>
          </w:p>
        </w:tc>
        <w:tc>
          <w:tcPr>
            <w:tcW w:w="2697" w:type="pct"/>
            <w:vAlign w:val="center"/>
          </w:tcPr>
          <w:p>
            <w:pPr>
              <w:contextualSpacing/>
              <w:rPr>
                <w:rFonts w:hint="eastAsia" w:ascii="仿宋" w:hAnsi="仿宋" w:eastAsia="仿宋" w:cs="仿宋"/>
                <w:sz w:val="24"/>
                <w:szCs w:val="24"/>
              </w:rPr>
            </w:pPr>
            <w:r>
              <w:rPr>
                <w:rFonts w:hint="eastAsia" w:ascii="仿宋" w:hAnsi="仿宋" w:eastAsia="仿宋" w:cs="仿宋"/>
                <w:sz w:val="24"/>
                <w:szCs w:val="24"/>
              </w:rPr>
              <w:t>其他增值服务。</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14</w:t>
            </w:r>
          </w:p>
        </w:tc>
        <w:tc>
          <w:tcPr>
            <w:tcW w:w="715" w:type="pct"/>
            <w:vAlign w:val="center"/>
          </w:tcPr>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业绩</w:t>
            </w:r>
          </w:p>
          <w:p>
            <w:pPr>
              <w:snapToGrid w:val="0"/>
              <w:spacing w:line="36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rPr>
              <w:t>3分）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年1月1日以来投标人承担类似项目业绩情况。（提供合同复印件，每提供一个得0.5分，最多不超过</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分。不提供不得分）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15</w:t>
            </w:r>
          </w:p>
        </w:tc>
        <w:tc>
          <w:tcPr>
            <w:tcW w:w="715" w:type="pct"/>
            <w:vAlign w:val="center"/>
          </w:tcPr>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进货渠道</w:t>
            </w:r>
          </w:p>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 xml:space="preserve">分） </w:t>
            </w:r>
          </w:p>
        </w:tc>
        <w:tc>
          <w:tcPr>
            <w:tcW w:w="2697" w:type="pct"/>
            <w:vAlign w:val="center"/>
          </w:tcPr>
          <w:p>
            <w:pPr>
              <w:snapToGrid w:val="0"/>
              <w:spacing w:line="360"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能提供10家</w:t>
            </w:r>
            <w:r>
              <w:rPr>
                <w:rFonts w:hint="eastAsia" w:ascii="仿宋" w:hAnsi="仿宋" w:eastAsia="仿宋" w:cs="仿宋"/>
                <w:color w:val="auto"/>
                <w:sz w:val="24"/>
                <w:szCs w:val="24"/>
                <w:lang w:val="en-US" w:eastAsia="zh-CN"/>
              </w:rPr>
              <w:t>合作</w:t>
            </w:r>
            <w:r>
              <w:rPr>
                <w:rFonts w:hint="eastAsia" w:ascii="仿宋" w:hAnsi="仿宋" w:eastAsia="仿宋" w:cs="仿宋"/>
                <w:color w:val="auto"/>
                <w:sz w:val="24"/>
                <w:szCs w:val="24"/>
              </w:rPr>
              <w:t>出版社的名单得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w:t>
            </w:r>
            <w:r>
              <w:rPr>
                <w:rFonts w:hint="eastAsia" w:ascii="仿宋" w:hAnsi="仿宋" w:eastAsia="仿宋" w:cs="仿宋"/>
                <w:color w:val="auto"/>
                <w:sz w:val="24"/>
                <w:szCs w:val="24"/>
                <w:lang w:val="en-US" w:eastAsia="zh-CN"/>
              </w:rPr>
              <w:t>增加1</w:t>
            </w:r>
            <w:r>
              <w:rPr>
                <w:rFonts w:hint="eastAsia" w:ascii="仿宋" w:hAnsi="仿宋" w:eastAsia="仿宋" w:cs="仿宋"/>
                <w:color w:val="auto"/>
                <w:sz w:val="24"/>
                <w:szCs w:val="24"/>
              </w:rPr>
              <w:t>家</w:t>
            </w:r>
            <w:r>
              <w:rPr>
                <w:rFonts w:hint="eastAsia" w:ascii="仿宋" w:hAnsi="仿宋" w:eastAsia="仿宋" w:cs="仿宋"/>
                <w:color w:val="auto"/>
                <w:sz w:val="24"/>
                <w:szCs w:val="24"/>
                <w:lang w:val="en-US" w:eastAsia="zh-CN"/>
              </w:rPr>
              <w:t>加0.5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最多加2分</w:t>
            </w:r>
            <w:r>
              <w:rPr>
                <w:rFonts w:hint="eastAsia" w:ascii="仿宋" w:hAnsi="仿宋" w:eastAsia="仿宋" w:cs="仿宋"/>
                <w:color w:val="auto"/>
                <w:sz w:val="24"/>
                <w:szCs w:val="24"/>
              </w:rPr>
              <w:t>。</w:t>
            </w:r>
            <w:r>
              <w:rPr>
                <w:rFonts w:hint="eastAsia" w:ascii="仿宋" w:hAnsi="仿宋" w:eastAsia="仿宋" w:cs="仿宋"/>
                <w:sz w:val="24"/>
                <w:szCs w:val="24"/>
              </w:rPr>
              <w:t>（以投标文件提供的证明材料为准）</w:t>
            </w:r>
          </w:p>
          <w:p>
            <w:pPr>
              <w:snapToGrid w:val="0"/>
              <w:spacing w:line="36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lang w:val="en-US" w:eastAsia="zh-CN"/>
              </w:rPr>
              <w:t>2、</w:t>
            </w:r>
            <w:r>
              <w:rPr>
                <w:rFonts w:hint="eastAsia" w:ascii="仿宋" w:hAnsi="仿宋" w:eastAsia="仿宋" w:cs="仿宋"/>
                <w:sz w:val="24"/>
                <w:szCs w:val="24"/>
              </w:rPr>
              <w:t>有一定规模的现采场所，能组织大型书市现采活动得2分。（以投标文件提供的证明材料为准）（针对标项一）</w:t>
            </w:r>
          </w:p>
        </w:tc>
        <w:tc>
          <w:tcPr>
            <w:tcW w:w="330" w:type="pct"/>
            <w:vAlign w:val="center"/>
          </w:tcPr>
          <w:p>
            <w:pPr>
              <w:snapToGrid w:val="0"/>
              <w:spacing w:line="360" w:lineRule="auto"/>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12" w:type="pct"/>
            <w:vAlign w:val="center"/>
          </w:tcPr>
          <w:p>
            <w:pPr>
              <w:snapToGrid w:val="0"/>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16</w:t>
            </w:r>
          </w:p>
        </w:tc>
        <w:tc>
          <w:tcPr>
            <w:tcW w:w="715" w:type="pct"/>
            <w:vAlign w:val="center"/>
          </w:tcPr>
          <w:p>
            <w:pPr>
              <w:snapToGrid w:val="0"/>
              <w:spacing w:line="360" w:lineRule="auto"/>
              <w:jc w:val="center"/>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价格评分</w:t>
            </w:r>
          </w:p>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highlight w:val="none"/>
              </w:rPr>
              <w:t>（</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rPr>
              <w:t>0分）</w:t>
            </w:r>
          </w:p>
        </w:tc>
        <w:tc>
          <w:tcPr>
            <w:tcW w:w="3971" w:type="pct"/>
            <w:gridSpan w:val="3"/>
            <w:vAlign w:val="center"/>
          </w:tcPr>
          <w:p>
            <w:pPr>
              <w:snapToGrid w:val="0"/>
              <w:spacing w:line="360" w:lineRule="auto"/>
              <w:outlineLvl w:val="0"/>
              <w:rPr>
                <w:rFonts w:ascii="仿宋" w:hAnsi="仿宋" w:eastAsia="仿宋" w:cs="仿宋_GB2312"/>
                <w:bCs/>
                <w:color w:val="auto"/>
                <w:sz w:val="24"/>
                <w:highlight w:val="none"/>
                <w:lang w:val="zh-CN"/>
              </w:rPr>
            </w:pPr>
            <w:r>
              <w:rPr>
                <w:rFonts w:hint="eastAsia" w:ascii="仿宋" w:hAnsi="仿宋" w:eastAsia="仿宋" w:cs="仿宋_GB2312"/>
                <w:bCs/>
                <w:color w:val="auto"/>
                <w:sz w:val="24"/>
                <w:highlight w:val="none"/>
                <w:lang w:val="zh-CN"/>
              </w:rPr>
              <w:t>报价分采用低价优先法计算，即满足招标文件要求且投标价格（折扣率）最低的投标报价（折扣率）为评标基准价，得满分</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rPr>
              <w:t>0</w:t>
            </w:r>
            <w:r>
              <w:rPr>
                <w:rFonts w:hint="eastAsia" w:ascii="仿宋" w:hAnsi="仿宋" w:eastAsia="仿宋" w:cs="仿宋_GB2312"/>
                <w:bCs/>
                <w:color w:val="auto"/>
                <w:sz w:val="24"/>
                <w:highlight w:val="none"/>
                <w:lang w:val="zh-CN"/>
              </w:rPr>
              <w:t>分，其他投标人的价格分按照下列公式计算：价格分=（评标基准价/投标报价（折扣率））×</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lang w:val="zh-CN"/>
              </w:rPr>
              <w:t>0%×100。其中投标报价（折扣率）为经评标委员会评审后的价格。</w:t>
            </w:r>
          </w:p>
          <w:p>
            <w:pPr>
              <w:snapToGrid w:val="0"/>
              <w:spacing w:line="360" w:lineRule="auto"/>
              <w:outlineLvl w:val="0"/>
              <w:rPr>
                <w:rFonts w:ascii="仿宋" w:hAnsi="仿宋" w:eastAsia="仿宋" w:cs="仿宋_GB2312"/>
                <w:bCs/>
                <w:color w:val="auto"/>
                <w:sz w:val="24"/>
              </w:rPr>
            </w:pPr>
            <w:r>
              <w:rPr>
                <w:rFonts w:hint="eastAsia" w:ascii="仿宋" w:hAnsi="仿宋" w:eastAsia="仿宋" w:cs="仿宋_GB2312"/>
                <w:bCs/>
                <w:color w:val="auto"/>
                <w:sz w:val="24"/>
                <w:lang w:val="zh-CN"/>
              </w:rPr>
              <w:t>注：投标人的报价明显低于其他通过符合性审查投标人的报价，有可能影响产品质量或者不能诚信履约的，对于投标价格不足50%的情况，投标</w:t>
            </w:r>
            <w:r>
              <w:rPr>
                <w:rFonts w:hint="eastAsia" w:ascii="仿宋" w:hAnsi="仿宋" w:eastAsia="仿宋" w:cs="仿宋_GB2312"/>
                <w:bCs/>
                <w:color w:val="auto"/>
                <w:sz w:val="24"/>
              </w:rPr>
              <w:t>人必须在投标文件中</w:t>
            </w:r>
            <w:r>
              <w:rPr>
                <w:rFonts w:hint="eastAsia" w:ascii="仿宋" w:hAnsi="仿宋" w:eastAsia="仿宋" w:cs="仿宋_GB2312"/>
                <w:bCs/>
                <w:color w:val="auto"/>
                <w:sz w:val="24"/>
                <w:lang w:val="zh-CN"/>
              </w:rPr>
              <w:t>书面出具</w:t>
            </w:r>
            <w:r>
              <w:rPr>
                <w:rFonts w:hint="eastAsia" w:ascii="仿宋" w:hAnsi="仿宋" w:eastAsia="仿宋" w:cs="仿宋_GB2312"/>
                <w:bCs/>
                <w:color w:val="auto"/>
                <w:sz w:val="24"/>
              </w:rPr>
              <w:t>能够充分证明报价合理性的相关</w:t>
            </w:r>
            <w:r>
              <w:rPr>
                <w:rFonts w:hint="eastAsia" w:ascii="仿宋" w:hAnsi="仿宋" w:eastAsia="仿宋" w:cs="仿宋_GB2312"/>
                <w:bCs/>
                <w:color w:val="auto"/>
                <w:sz w:val="24"/>
                <w:lang w:val="zh-CN"/>
              </w:rPr>
              <w:t>成本说明</w:t>
            </w:r>
            <w:r>
              <w:rPr>
                <w:rFonts w:hint="eastAsia" w:ascii="仿宋" w:hAnsi="仿宋" w:eastAsia="仿宋" w:cs="仿宋_GB2312"/>
                <w:bCs/>
                <w:color w:val="auto"/>
                <w:sz w:val="24"/>
              </w:rPr>
              <w:t>及证明材料</w:t>
            </w:r>
            <w:r>
              <w:rPr>
                <w:rFonts w:hint="eastAsia" w:ascii="仿宋" w:hAnsi="仿宋" w:eastAsia="仿宋" w:cs="仿宋_GB2312"/>
                <w:bCs/>
                <w:color w:val="auto"/>
                <w:sz w:val="24"/>
                <w:lang w:val="zh-CN"/>
              </w:rPr>
              <w:t>，</w:t>
            </w:r>
            <w:r>
              <w:rPr>
                <w:rFonts w:hint="eastAsia" w:ascii="仿宋" w:hAnsi="仿宋" w:eastAsia="仿宋" w:cs="仿宋_GB2312"/>
                <w:bCs/>
                <w:color w:val="auto"/>
                <w:sz w:val="24"/>
              </w:rPr>
              <w:t>未提供</w:t>
            </w:r>
            <w:r>
              <w:rPr>
                <w:rFonts w:hint="eastAsia" w:ascii="仿宋" w:hAnsi="仿宋" w:eastAsia="仿宋" w:cs="仿宋_GB2312"/>
                <w:bCs/>
                <w:color w:val="auto"/>
                <w:sz w:val="24"/>
                <w:lang w:val="zh-CN"/>
              </w:rPr>
              <w:t>成本说明</w:t>
            </w:r>
            <w:r>
              <w:rPr>
                <w:rFonts w:hint="eastAsia" w:ascii="仿宋" w:hAnsi="仿宋" w:eastAsia="仿宋" w:cs="仿宋_GB2312"/>
                <w:bCs/>
                <w:color w:val="auto"/>
                <w:sz w:val="24"/>
              </w:rPr>
              <w:t>及相关证明材料或</w:t>
            </w:r>
            <w:r>
              <w:rPr>
                <w:rFonts w:hint="eastAsia" w:ascii="仿宋" w:hAnsi="仿宋" w:eastAsia="仿宋" w:cs="仿宋_GB2312"/>
                <w:bCs/>
                <w:color w:val="auto"/>
                <w:sz w:val="24"/>
                <w:lang w:val="zh-CN"/>
              </w:rPr>
              <w:t>成本说明</w:t>
            </w:r>
            <w:r>
              <w:rPr>
                <w:rFonts w:hint="eastAsia" w:ascii="仿宋" w:hAnsi="仿宋" w:eastAsia="仿宋" w:cs="仿宋_GB2312"/>
                <w:bCs/>
                <w:color w:val="auto"/>
                <w:sz w:val="24"/>
              </w:rPr>
              <w:t>及相关证明材料不能得到评标委员会认可的，将作为无效投标处理。</w:t>
            </w:r>
          </w:p>
          <w:p>
            <w:pPr>
              <w:snapToGrid w:val="0"/>
              <w:spacing w:line="360" w:lineRule="auto"/>
              <w:outlineLvl w:val="0"/>
              <w:rPr>
                <w:rFonts w:ascii="仿宋" w:hAnsi="仿宋" w:eastAsia="仿宋" w:cs="仿宋_GB2312"/>
                <w:bCs/>
                <w:color w:val="auto"/>
                <w:sz w:val="24"/>
              </w:rPr>
            </w:pPr>
            <w:r>
              <w:rPr>
                <w:rFonts w:hint="eastAsia" w:ascii="仿宋" w:hAnsi="仿宋" w:eastAsia="仿宋" w:cs="仿宋_GB2312"/>
                <w:bCs/>
                <w:color w:val="auto"/>
                <w:sz w:val="24"/>
              </w:rPr>
              <w:t>根据《政府采购促进中小企业发展管理办法》（财库〔2020〕46号）、《财政部 司法部关于政府采购支持监狱企业发展有关问题的通知》（财库[2014]68号）及《关于促进残疾人就业政府采购政策的通知》（财库[2017]141号）规定要求，评标委员会对提供有效认定材料的小微企业、监狱企业及符合条件的残疾人福利性单位给予10%的价格扣除后，计算各投标人价格分，其中：</w:t>
            </w:r>
          </w:p>
          <w:p>
            <w:pPr>
              <w:snapToGrid w:val="0"/>
              <w:spacing w:line="360" w:lineRule="auto"/>
              <w:outlineLvl w:val="0"/>
              <w:rPr>
                <w:rFonts w:ascii="仿宋" w:hAnsi="仿宋" w:eastAsia="仿宋" w:cs="仿宋_GB2312"/>
                <w:bCs/>
                <w:color w:val="auto"/>
                <w:sz w:val="24"/>
              </w:rPr>
            </w:pPr>
            <w:r>
              <w:rPr>
                <w:rFonts w:hint="eastAsia" w:ascii="仿宋" w:hAnsi="仿宋" w:eastAsia="仿宋" w:cs="仿宋_GB2312"/>
                <w:bCs/>
                <w:color w:val="auto"/>
                <w:sz w:val="24"/>
              </w:rPr>
              <w:t>a.中小企业划分标准根据《政府采购促进中小企业发展管理办法》（财库〔2020〕46号）文件确定，参加政府采购活动的中小企业应当根据划分标准如实填写财库〔2020〕46号文件附件格式的《中小企业声明函》供评标委员会认定；</w:t>
            </w:r>
          </w:p>
          <w:p>
            <w:pPr>
              <w:snapToGrid w:val="0"/>
              <w:spacing w:line="360" w:lineRule="auto"/>
              <w:outlineLvl w:val="0"/>
              <w:rPr>
                <w:rFonts w:ascii="仿宋" w:hAnsi="仿宋" w:eastAsia="仿宋" w:cs="仿宋_GB2312"/>
                <w:bCs/>
                <w:color w:val="auto"/>
                <w:sz w:val="24"/>
              </w:rPr>
            </w:pPr>
            <w:r>
              <w:rPr>
                <w:rFonts w:hint="eastAsia" w:ascii="仿宋" w:hAnsi="仿宋" w:eastAsia="仿宋" w:cs="仿宋_GB2312"/>
                <w:bCs/>
                <w:color w:val="auto"/>
                <w:sz w:val="24"/>
              </w:rPr>
              <w:t>b.监狱企业参加政府采购活动时，应当提供由省级以上监狱管理局、戒毒管理局（含新疆生产建设兵团）出具的属于监狱企业的证明文件供评标委员会认定；</w:t>
            </w:r>
          </w:p>
          <w:p>
            <w:pPr>
              <w:snapToGrid w:val="0"/>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rPr>
              <w:t>c.符合条件的残疾人福利性单位在参加政府采购活动时，应当提供财库[2017]141号文件附件格式的《残疾人福利性单位声明函》供评标委员会认定，并对声明的真实性负责。</w:t>
            </w:r>
          </w:p>
        </w:tc>
      </w:tr>
    </w:tbl>
    <w:p>
      <w:pPr>
        <w:snapToGrid w:val="0"/>
        <w:spacing w:line="360" w:lineRule="auto"/>
        <w:rPr>
          <w:rFonts w:ascii="仿宋" w:hAnsi="仿宋" w:eastAsia="仿宋" w:cs="仿宋_GB2312"/>
          <w:b/>
          <w:color w:val="auto"/>
          <w:sz w:val="24"/>
        </w:rPr>
      </w:pPr>
      <w:r>
        <w:rPr>
          <w:rFonts w:ascii="Arial" w:hAnsi="Arial"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r>
        <w:rPr>
          <w:rFonts w:ascii="仿宋" w:hAnsi="仿宋" w:eastAsia="仿宋" w:cs="仿宋_GB2312"/>
          <w:color w:val="auto"/>
          <w:sz w:val="24"/>
        </w:rPr>
        <w:t> </w:t>
      </w:r>
    </w:p>
    <w:p>
      <w:pPr>
        <w:rPr>
          <w:rFonts w:hint="eastAsia" w:ascii="仿宋_GB2312" w:hAnsi="仿宋" w:eastAsia="仿宋_GB2312" w:cs="仿宋_GB2312"/>
          <w:b/>
          <w:color w:val="auto"/>
          <w:sz w:val="32"/>
        </w:rPr>
      </w:pPr>
      <w:r>
        <w:rPr>
          <w:rFonts w:hint="eastAsia" w:ascii="仿宋_GB2312" w:hAnsi="仿宋" w:eastAsia="仿宋_GB2312" w:cs="仿宋_GB2312"/>
          <w:b/>
          <w:color w:val="auto"/>
          <w:sz w:val="32"/>
        </w:rPr>
        <w:br w:type="page"/>
      </w:r>
    </w:p>
    <w:p>
      <w:pPr>
        <w:snapToGrid w:val="0"/>
        <w:spacing w:line="360" w:lineRule="auto"/>
        <w:jc w:val="center"/>
        <w:rPr>
          <w:rFonts w:hint="eastAsia" w:ascii="仿宋" w:hAnsi="仿宋" w:eastAsia="仿宋" w:cs="仿宋_GB2312"/>
          <w:b/>
          <w:color w:val="auto"/>
          <w:sz w:val="32"/>
          <w:szCs w:val="20"/>
          <w:highlight w:val="none"/>
          <w:lang w:eastAsia="zh-CN"/>
        </w:rPr>
      </w:pPr>
      <w:r>
        <w:rPr>
          <w:rFonts w:hint="eastAsia" w:ascii="仿宋" w:hAnsi="仿宋" w:eastAsia="仿宋" w:cs="仿宋_GB2312"/>
          <w:b/>
          <w:color w:val="auto"/>
          <w:sz w:val="32"/>
          <w:szCs w:val="20"/>
          <w:highlight w:val="none"/>
        </w:rPr>
        <w:t>评标办法前附表</w:t>
      </w:r>
      <w:r>
        <w:rPr>
          <w:rFonts w:hint="eastAsia" w:ascii="仿宋" w:hAnsi="仿宋" w:eastAsia="仿宋" w:cs="仿宋_GB2312"/>
          <w:b/>
          <w:color w:val="auto"/>
          <w:sz w:val="32"/>
          <w:szCs w:val="20"/>
          <w:highlight w:val="none"/>
          <w:lang w:eastAsia="zh-CN"/>
        </w:rPr>
        <w:t>（</w:t>
      </w:r>
      <w:r>
        <w:rPr>
          <w:rFonts w:hint="eastAsia" w:ascii="仿宋" w:hAnsi="仿宋" w:eastAsia="仿宋" w:cs="仿宋_GB2312"/>
          <w:b/>
          <w:color w:val="auto"/>
          <w:sz w:val="32"/>
          <w:szCs w:val="20"/>
          <w:highlight w:val="none"/>
          <w:lang w:val="en-US" w:eastAsia="zh-CN"/>
        </w:rPr>
        <w:t>标项二</w:t>
      </w:r>
      <w:r>
        <w:rPr>
          <w:rFonts w:hint="eastAsia" w:ascii="仿宋" w:hAnsi="仿宋" w:eastAsia="仿宋" w:cs="仿宋_GB2312"/>
          <w:b/>
          <w:color w:val="auto"/>
          <w:sz w:val="32"/>
          <w:szCs w:val="20"/>
          <w:highlight w:val="none"/>
          <w:lang w:eastAsia="zh-CN"/>
        </w:rPr>
        <w:t>）</w:t>
      </w:r>
    </w:p>
    <w:tbl>
      <w:tblPr>
        <w:tblStyle w:val="62"/>
        <w:tblpPr w:leftFromText="180" w:rightFromText="180" w:vertAnchor="text" w:horzAnchor="page" w:tblpXSpec="center" w:tblpY="126"/>
        <w:tblW w:w="6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20"/>
        <w:gridCol w:w="6105"/>
        <w:gridCol w:w="749"/>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12" w:type="pct"/>
            <w:vAlign w:val="center"/>
          </w:tcPr>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序号</w:t>
            </w:r>
          </w:p>
        </w:tc>
        <w:tc>
          <w:tcPr>
            <w:tcW w:w="715" w:type="pct"/>
            <w:vAlign w:val="center"/>
          </w:tcPr>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评分内容</w:t>
            </w:r>
          </w:p>
        </w:tc>
        <w:tc>
          <w:tcPr>
            <w:tcW w:w="2697" w:type="pct"/>
            <w:vAlign w:val="center"/>
          </w:tcPr>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评分细则</w:t>
            </w:r>
          </w:p>
        </w:tc>
        <w:tc>
          <w:tcPr>
            <w:tcW w:w="330" w:type="pct"/>
            <w:vAlign w:val="center"/>
          </w:tcPr>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权重</w:t>
            </w:r>
          </w:p>
        </w:tc>
        <w:tc>
          <w:tcPr>
            <w:tcW w:w="942" w:type="pct"/>
            <w:vAlign w:val="center"/>
          </w:tcPr>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投标文件中评标标准相应的商务技术资料目录</w:t>
            </w:r>
            <w:r>
              <w:rPr>
                <w:rFonts w:ascii="宋体" w:hAnsi="宋体" w:cs="宋体"/>
                <w:color w:val="auto"/>
                <w:sz w:val="24"/>
                <w:shd w:val="clear" w:color="auto" w:fill="FFFFFF"/>
              </w:rPr>
              <w:t> </w:t>
            </w:r>
            <w:r>
              <w:rPr>
                <w:rFonts w:ascii="仿宋" w:hAnsi="仿宋" w:eastAsia="仿宋" w:cs="Arial"/>
                <w:color w:val="auto"/>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12" w:type="pct"/>
            <w:vMerge w:val="restart"/>
            <w:vAlign w:val="center"/>
          </w:tcPr>
          <w:p>
            <w:pPr>
              <w:snapToGrid w:val="0"/>
              <w:spacing w:line="360" w:lineRule="auto"/>
              <w:jc w:val="center"/>
              <w:outlineLvl w:val="0"/>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715" w:type="pct"/>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组织实施方案</w:t>
            </w:r>
          </w:p>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2697" w:type="pct"/>
            <w:vAlign w:val="center"/>
          </w:tcPr>
          <w:p>
            <w:pPr>
              <w:ind w:left="34" w:leftChars="0"/>
              <w:contextualSpacing/>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投标人项目组织实施方案的科学性、合理性、规范性和可操作性。</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highlight w:val="none"/>
              </w:rPr>
            </w:pPr>
          </w:p>
        </w:tc>
        <w:tc>
          <w:tcPr>
            <w:tcW w:w="2697" w:type="pct"/>
            <w:vAlign w:val="center"/>
          </w:tcPr>
          <w:p>
            <w:pPr>
              <w:ind w:left="34" w:leftChars="0"/>
              <w:contextualSpacing/>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项目进度控制计划、工作时间进度表、工作程序和步骤、管理和协调方法、关键步骤的思路和要点等。</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12" w:type="pct"/>
            <w:vMerge w:val="restar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w:t>
            </w:r>
          </w:p>
        </w:tc>
        <w:tc>
          <w:tcPr>
            <w:tcW w:w="715" w:type="pct"/>
            <w:vMerge w:val="restart"/>
            <w:vAlign w:val="center"/>
          </w:tcPr>
          <w:p>
            <w:pPr>
              <w:spacing w:before="156" w:after="156"/>
              <w:jc w:val="center"/>
              <w:rPr>
                <w:rFonts w:hint="eastAsia" w:ascii="仿宋" w:hAnsi="仿宋" w:eastAsia="仿宋" w:cs="仿宋"/>
                <w:kern w:val="0"/>
                <w:sz w:val="24"/>
                <w:szCs w:val="24"/>
              </w:rPr>
            </w:pPr>
            <w:r>
              <w:rPr>
                <w:rFonts w:hint="eastAsia" w:ascii="仿宋" w:hAnsi="仿宋" w:eastAsia="仿宋" w:cs="仿宋"/>
                <w:kern w:val="0"/>
                <w:sz w:val="24"/>
                <w:szCs w:val="24"/>
              </w:rPr>
              <w:t>项目人员安排情况及资质证书</w:t>
            </w:r>
          </w:p>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sz w:val="24"/>
                <w:szCs w:val="24"/>
              </w:rPr>
              <w:t>（0—8分）</w:t>
            </w:r>
          </w:p>
        </w:tc>
        <w:tc>
          <w:tcPr>
            <w:tcW w:w="2697" w:type="pct"/>
            <w:vAlign w:val="center"/>
          </w:tcPr>
          <w:p>
            <w:pPr>
              <w:rPr>
                <w:rFonts w:hint="eastAsia" w:ascii="仿宋" w:hAnsi="仿宋" w:eastAsia="仿宋" w:cs="仿宋"/>
                <w:bCs/>
                <w:color w:val="auto"/>
                <w:sz w:val="24"/>
                <w:szCs w:val="24"/>
              </w:rPr>
            </w:pPr>
            <w:r>
              <w:rPr>
                <w:rFonts w:hint="eastAsia" w:ascii="仿宋" w:hAnsi="仿宋" w:eastAsia="仿宋" w:cs="仿宋"/>
                <w:sz w:val="24"/>
                <w:szCs w:val="24"/>
              </w:rPr>
              <w:t>项目负责人专业素质、技术能力、经验等情况。（以投标文件提供的证明文件及近三个月社保缴纳证明为准，不提供不得分。）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rPr>
            </w:pPr>
          </w:p>
        </w:tc>
        <w:tc>
          <w:tcPr>
            <w:tcW w:w="2697" w:type="pct"/>
            <w:vAlign w:val="center"/>
          </w:tcPr>
          <w:p>
            <w:pPr>
              <w:rPr>
                <w:rFonts w:hint="eastAsia" w:ascii="仿宋" w:hAnsi="仿宋" w:eastAsia="仿宋" w:cs="仿宋"/>
                <w:bCs/>
                <w:color w:val="auto"/>
                <w:sz w:val="24"/>
                <w:szCs w:val="24"/>
              </w:rPr>
            </w:pPr>
            <w:r>
              <w:rPr>
                <w:rFonts w:hint="eastAsia" w:ascii="仿宋" w:hAnsi="仿宋" w:eastAsia="仿宋" w:cs="仿宋"/>
                <w:sz w:val="24"/>
                <w:szCs w:val="24"/>
              </w:rPr>
              <w:t>项目团队人员专业素质、技术能力、专业分布、经验等情况。（以投标文件提供的证明文件及近三个月社保缴纳证明为准，不提供不得分。）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rPr>
            </w:pPr>
          </w:p>
        </w:tc>
        <w:tc>
          <w:tcPr>
            <w:tcW w:w="2697" w:type="pct"/>
            <w:vAlign w:val="center"/>
          </w:tcPr>
          <w:p>
            <w:pPr>
              <w:rPr>
                <w:rFonts w:hint="eastAsia" w:ascii="仿宋" w:hAnsi="仿宋" w:eastAsia="仿宋" w:cs="仿宋"/>
                <w:bCs/>
                <w:color w:val="auto"/>
                <w:sz w:val="24"/>
                <w:szCs w:val="24"/>
              </w:rPr>
            </w:pPr>
            <w:r>
              <w:rPr>
                <w:rFonts w:hint="eastAsia" w:ascii="仿宋" w:hAnsi="仿宋" w:eastAsia="仿宋" w:cs="仿宋"/>
                <w:sz w:val="24"/>
                <w:szCs w:val="24"/>
              </w:rPr>
              <w:t>拟派本项目全加工人员，不足1人不得分，1人得2分，2人及以上得3分。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12"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w:t>
            </w:r>
          </w:p>
        </w:tc>
        <w:tc>
          <w:tcPr>
            <w:tcW w:w="71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音像质量</w:t>
            </w:r>
          </w:p>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sz w:val="24"/>
                <w:szCs w:val="24"/>
              </w:rPr>
              <w:t>（0-5分）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rPr>
            </w:pPr>
            <w:r>
              <w:rPr>
                <w:rFonts w:hint="eastAsia" w:ascii="仿宋" w:hAnsi="仿宋" w:eastAsia="仿宋" w:cs="仿宋"/>
                <w:sz w:val="24"/>
                <w:szCs w:val="24"/>
              </w:rPr>
              <w:t>正式出版物；无破损；附件齐全。（根据投标文件提供的服务承诺保证措施的明确性及可行性打分。）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5</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12" w:type="pct"/>
            <w:vMerge w:val="restar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4</w:t>
            </w:r>
          </w:p>
        </w:tc>
        <w:tc>
          <w:tcPr>
            <w:tcW w:w="715" w:type="pct"/>
            <w:vMerge w:val="restart"/>
            <w:vAlign w:val="center"/>
          </w:tcPr>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采访信息的覆盖程度和时效</w:t>
            </w:r>
          </w:p>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rPr>
              <w:t>（0-6分）</w:t>
            </w:r>
          </w:p>
        </w:tc>
        <w:tc>
          <w:tcPr>
            <w:tcW w:w="2697" w:type="pct"/>
            <w:vAlign w:val="center"/>
          </w:tcPr>
          <w:p>
            <w:pPr>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采访数据完整、准确程度。（根据投标文件提供的服务承诺保证措施的明确性及可行性打分。）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2</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rPr>
            </w:pPr>
          </w:p>
        </w:tc>
        <w:tc>
          <w:tcPr>
            <w:tcW w:w="2697" w:type="pct"/>
            <w:vAlign w:val="center"/>
          </w:tcPr>
          <w:p>
            <w:pPr>
              <w:jc w:val="left"/>
              <w:rPr>
                <w:rFonts w:hint="eastAsia" w:ascii="仿宋" w:hAnsi="仿宋" w:eastAsia="仿宋" w:cs="仿宋"/>
                <w:bCs/>
                <w:color w:val="auto"/>
                <w:sz w:val="24"/>
                <w:szCs w:val="24"/>
              </w:rPr>
            </w:pPr>
            <w:r>
              <w:rPr>
                <w:rFonts w:hint="eastAsia" w:ascii="仿宋" w:hAnsi="仿宋" w:eastAsia="仿宋" w:cs="仿宋"/>
                <w:sz w:val="24"/>
                <w:szCs w:val="24"/>
              </w:rPr>
              <w:t>向用户（主题分馆）提供主题书目占比90%(含)以上，2分； 70(不含)%-90(不含)%，1分；70%(含)以下，0.5分。（根据投标文件提供的服务承诺保证措施的明确性及可行性打分。）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rPr>
            </w:pPr>
          </w:p>
        </w:tc>
        <w:tc>
          <w:tcPr>
            <w:tcW w:w="2697" w:type="pct"/>
            <w:vAlign w:val="center"/>
          </w:tcPr>
          <w:p>
            <w:pPr>
              <w:jc w:val="left"/>
              <w:rPr>
                <w:rFonts w:hint="eastAsia" w:ascii="仿宋" w:hAnsi="仿宋" w:eastAsia="仿宋" w:cs="仿宋"/>
                <w:bCs/>
                <w:color w:val="auto"/>
                <w:sz w:val="24"/>
                <w:szCs w:val="24"/>
              </w:rPr>
            </w:pPr>
            <w:r>
              <w:rPr>
                <w:rFonts w:hint="eastAsia" w:ascii="仿宋" w:hAnsi="仿宋" w:eastAsia="仿宋" w:cs="仿宋"/>
                <w:sz w:val="24"/>
                <w:szCs w:val="24"/>
              </w:rPr>
              <w:t>提供的信息时效性强，要求至少保证70%以上采访数据为当年新发行品种，20%以上为上一年度发行品种，其他年份品种占比小于10%。（根据投标文件提供的服务承诺保证措施的明确性及可行性打分。）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12"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5</w:t>
            </w:r>
          </w:p>
        </w:tc>
        <w:tc>
          <w:tcPr>
            <w:tcW w:w="715" w:type="pct"/>
            <w:vAlign w:val="center"/>
          </w:tcPr>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编目数据质量</w:t>
            </w:r>
          </w:p>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sz w:val="24"/>
                <w:szCs w:val="24"/>
              </w:rPr>
              <w:t>（0-5分）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编目数据的质量符合招标要求的程度；</w:t>
            </w:r>
            <w:r>
              <w:rPr>
                <w:rFonts w:hint="eastAsia" w:ascii="仿宋" w:hAnsi="仿宋" w:eastAsia="仿宋" w:cs="仿宋"/>
                <w:sz w:val="24"/>
                <w:szCs w:val="24"/>
                <w:lang w:val="en-US" w:eastAsia="zh-CN"/>
              </w:rPr>
              <w:t>2、</w:t>
            </w:r>
            <w:r>
              <w:rPr>
                <w:rFonts w:hint="eastAsia" w:ascii="仿宋" w:hAnsi="仿宋" w:eastAsia="仿宋" w:cs="仿宋"/>
                <w:sz w:val="24"/>
                <w:szCs w:val="24"/>
              </w:rPr>
              <w:t>与到馆音像匹配（不漏发、错发）；</w:t>
            </w:r>
            <w:r>
              <w:rPr>
                <w:rFonts w:hint="eastAsia" w:ascii="仿宋" w:hAnsi="仿宋" w:eastAsia="仿宋" w:cs="仿宋"/>
                <w:sz w:val="24"/>
                <w:szCs w:val="24"/>
                <w:lang w:val="en-US" w:eastAsia="zh-CN"/>
              </w:rPr>
              <w:t>3、</w:t>
            </w:r>
            <w:r>
              <w:rPr>
                <w:rFonts w:hint="eastAsia" w:ascii="仿宋" w:hAnsi="仿宋" w:eastAsia="仿宋" w:cs="仿宋"/>
                <w:sz w:val="24"/>
                <w:szCs w:val="24"/>
              </w:rPr>
              <w:t>与到馆音像同时到达情况。前一项满分为3分，后两项各1分。（根据投标文件提供的服务承诺保证措施的明确性及可行性打分。）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5</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12"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6</w:t>
            </w:r>
          </w:p>
        </w:tc>
        <w:tc>
          <w:tcPr>
            <w:tcW w:w="71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到货率</w:t>
            </w:r>
          </w:p>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rPr>
              <w:t>（0-5分）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rPr>
              <w:t>承诺到货率达97%(含)以上为5分，92%及以上得3分，85%及以上得1分，85%以下不得分。（以投标文件提供的承诺书为准）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12" w:type="pct"/>
            <w:vMerge w:val="restart"/>
            <w:vAlign w:val="center"/>
          </w:tcPr>
          <w:p>
            <w:pPr>
              <w:snapToGrid w:val="0"/>
              <w:spacing w:line="360" w:lineRule="auto"/>
              <w:jc w:val="center"/>
              <w:outlineLvl w:val="0"/>
              <w:rPr>
                <w:rFonts w:hint="eastAsia" w:ascii="仿宋" w:hAnsi="仿宋" w:eastAsia="仿宋" w:cs="仿宋_GB2312"/>
                <w:bCs/>
                <w:color w:val="auto"/>
                <w:sz w:val="24"/>
                <w:lang w:eastAsia="zh-CN"/>
              </w:rPr>
            </w:pPr>
            <w:r>
              <w:rPr>
                <w:rFonts w:hint="eastAsia" w:ascii="仿宋" w:hAnsi="仿宋" w:eastAsia="仿宋" w:cs="仿宋_GB2312"/>
                <w:bCs/>
                <w:color w:val="auto"/>
                <w:sz w:val="24"/>
                <w:lang w:val="en-US" w:eastAsia="zh-CN"/>
              </w:rPr>
              <w:t>7</w:t>
            </w:r>
          </w:p>
        </w:tc>
        <w:tc>
          <w:tcPr>
            <w:tcW w:w="715" w:type="pct"/>
            <w:vMerge w:val="restar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对图书馆自备清单、自定较窄主题采购的响应速度</w:t>
            </w:r>
          </w:p>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rPr>
              <w:t>（0-6分）</w:t>
            </w:r>
          </w:p>
        </w:tc>
        <w:tc>
          <w:tcPr>
            <w:tcW w:w="2697" w:type="pct"/>
            <w:vAlign w:val="center"/>
          </w:tcPr>
          <w:p>
            <w:pPr>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sz w:val="24"/>
                <w:szCs w:val="24"/>
              </w:rPr>
              <w:t>对图书馆自备清单的采购能力。（根据投标文件提供的服务承诺保证措施的明确性及可行性打分。）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12" w:type="pct"/>
            <w:vMerge w:val="continue"/>
            <w:vAlign w:val="center"/>
          </w:tcPr>
          <w:p>
            <w:pPr>
              <w:snapToGrid w:val="0"/>
              <w:spacing w:line="360" w:lineRule="auto"/>
              <w:jc w:val="center"/>
              <w:outlineLvl w:val="0"/>
              <w:rPr>
                <w:rFonts w:hint="eastAsia" w:ascii="仿宋" w:hAnsi="仿宋" w:eastAsia="仿宋" w:cs="仿宋_GB2312"/>
                <w:bCs/>
                <w:color w:val="auto"/>
                <w:sz w:val="24"/>
                <w:lang w:eastAsia="zh-CN"/>
              </w:rPr>
            </w:pPr>
          </w:p>
        </w:tc>
        <w:tc>
          <w:tcPr>
            <w:tcW w:w="715" w:type="pct"/>
            <w:vMerge w:val="continue"/>
            <w:vAlign w:val="center"/>
          </w:tcPr>
          <w:p>
            <w:pPr>
              <w:snapToGrid w:val="0"/>
              <w:spacing w:line="360" w:lineRule="auto"/>
              <w:jc w:val="center"/>
              <w:outlineLvl w:val="0"/>
              <w:rPr>
                <w:rFonts w:hint="eastAsia" w:ascii="仿宋" w:hAnsi="仿宋" w:eastAsia="仿宋" w:cs="仿宋"/>
                <w:bCs/>
                <w:color w:val="auto"/>
                <w:sz w:val="24"/>
                <w:szCs w:val="24"/>
              </w:rPr>
            </w:pPr>
          </w:p>
        </w:tc>
        <w:tc>
          <w:tcPr>
            <w:tcW w:w="2697" w:type="pct"/>
            <w:vAlign w:val="center"/>
          </w:tcPr>
          <w:p>
            <w:pPr>
              <w:jc w:val="left"/>
              <w:rPr>
                <w:rFonts w:hint="eastAsia" w:ascii="仿宋" w:hAnsi="仿宋" w:eastAsia="仿宋" w:cs="仿宋"/>
                <w:bCs/>
                <w:color w:val="auto"/>
                <w:sz w:val="24"/>
                <w:szCs w:val="24"/>
              </w:rPr>
            </w:pPr>
            <w:r>
              <w:rPr>
                <w:rFonts w:hint="eastAsia" w:ascii="仿宋" w:hAnsi="仿宋" w:eastAsia="仿宋" w:cs="仿宋"/>
                <w:sz w:val="24"/>
                <w:szCs w:val="24"/>
              </w:rPr>
              <w:t>对自定较窄主题采购的快速响应能力（要求在2-3个工作日内给与回复）。（根据投标文件提供的服务承诺保证措施的明确性及可行性打分。）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w:t>
            </w:r>
          </w:p>
        </w:tc>
        <w:tc>
          <w:tcPr>
            <w:tcW w:w="942" w:type="pct"/>
            <w:vAlign w:val="center"/>
          </w:tcPr>
          <w:p>
            <w:pPr>
              <w:snapToGrid w:val="0"/>
              <w:spacing w:line="360" w:lineRule="auto"/>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8</w:t>
            </w:r>
          </w:p>
        </w:tc>
        <w:tc>
          <w:tcPr>
            <w:tcW w:w="715" w:type="pct"/>
            <w:vAlign w:val="center"/>
          </w:tcPr>
          <w:p>
            <w:pPr>
              <w:snapToGrid w:val="0"/>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对订单调整要求的反应能力</w:t>
            </w:r>
          </w:p>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对已订清单因情况变化，能满足图书馆减少订数或要求取消订购的要求。能减少订数的为1分，能取消的为2分。（根据投标文件提供的服务承诺保证措施的明确性及可行性打分。）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2</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9</w:t>
            </w:r>
          </w:p>
        </w:tc>
        <w:tc>
          <w:tcPr>
            <w:tcW w:w="715" w:type="pct"/>
            <w:vAlign w:val="center"/>
          </w:tcPr>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对未能采购音像订单的处理</w:t>
            </w:r>
          </w:p>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sz w:val="24"/>
                <w:szCs w:val="24"/>
              </w:rPr>
              <w:t>（0-2分）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rPr>
            </w:pPr>
            <w:r>
              <w:rPr>
                <w:rFonts w:hint="eastAsia" w:ascii="仿宋" w:hAnsi="仿宋" w:eastAsia="仿宋" w:cs="仿宋"/>
                <w:sz w:val="24"/>
                <w:szCs w:val="24"/>
              </w:rPr>
              <w:t>对因各种原因未能满足图书馆订单的情况能及时作出反馈，并给出解决方案。（根据投标文件提供的服务承诺保证措施的明确性及可行性打分。）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10</w:t>
            </w:r>
          </w:p>
        </w:tc>
        <w:tc>
          <w:tcPr>
            <w:tcW w:w="715" w:type="pct"/>
            <w:vAlign w:val="center"/>
          </w:tcPr>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sz w:val="24"/>
                <w:szCs w:val="24"/>
              </w:rPr>
              <w:t>退单的处理（0-3分）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rPr>
              <w:t>及时处理因音像质量问题、与馆藏要求不符、与预订不符等原因造成的退单。（根据投标文件提供的服务承诺保证措施的明确性及可行性打分。）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11</w:t>
            </w:r>
          </w:p>
        </w:tc>
        <w:tc>
          <w:tcPr>
            <w:tcW w:w="715" w:type="pct"/>
            <w:vAlign w:val="center"/>
          </w:tcPr>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音像全加工服务</w:t>
            </w:r>
          </w:p>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（0-5分）</w:t>
            </w:r>
          </w:p>
        </w:tc>
        <w:tc>
          <w:tcPr>
            <w:tcW w:w="2697" w:type="pct"/>
            <w:vAlign w:val="center"/>
          </w:tcPr>
          <w:p>
            <w:pPr>
              <w:snapToGrid w:val="0"/>
              <w:spacing w:line="360" w:lineRule="auto"/>
              <w:jc w:val="left"/>
              <w:outlineLvl w:val="0"/>
              <w:rPr>
                <w:rFonts w:hint="eastAsia" w:ascii="仿宋" w:hAnsi="仿宋" w:eastAsia="仿宋" w:cs="仿宋"/>
                <w:sz w:val="24"/>
                <w:szCs w:val="24"/>
              </w:rPr>
            </w:pPr>
            <w:r>
              <w:rPr>
                <w:rFonts w:hint="eastAsia" w:ascii="仿宋" w:hAnsi="仿宋" w:eastAsia="仿宋" w:cs="仿宋"/>
                <w:sz w:val="24"/>
                <w:szCs w:val="24"/>
              </w:rPr>
              <w:t>满足音像全加工服务要求的能力。（根据投标文件提供的服务承诺保证措施的明确性及可行性打分。）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12</w:t>
            </w:r>
          </w:p>
        </w:tc>
        <w:tc>
          <w:tcPr>
            <w:tcW w:w="71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包装质量、运送及时到位</w:t>
            </w:r>
          </w:p>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（0-2分）</w:t>
            </w:r>
          </w:p>
        </w:tc>
        <w:tc>
          <w:tcPr>
            <w:tcW w:w="2697" w:type="pct"/>
            <w:vAlign w:val="center"/>
          </w:tcPr>
          <w:p>
            <w:pPr>
              <w:snapToGrid w:val="0"/>
              <w:spacing w:line="360" w:lineRule="auto"/>
              <w:jc w:val="left"/>
              <w:outlineLvl w:val="0"/>
              <w:rPr>
                <w:rFonts w:hint="eastAsia" w:ascii="仿宋" w:hAnsi="仿宋" w:eastAsia="仿宋" w:cs="仿宋"/>
                <w:sz w:val="24"/>
                <w:szCs w:val="24"/>
              </w:rPr>
            </w:pPr>
            <w:r>
              <w:rPr>
                <w:rFonts w:hint="eastAsia" w:ascii="仿宋" w:hAnsi="仿宋" w:eastAsia="仿宋" w:cs="仿宋"/>
                <w:sz w:val="24"/>
                <w:szCs w:val="24"/>
              </w:rPr>
              <w:t>满足音像包装及运送要求的程度。（根据投标文件提供的服务承诺保证措施的明确性及可行性打分。）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2</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13</w:t>
            </w:r>
          </w:p>
        </w:tc>
        <w:tc>
          <w:tcPr>
            <w:tcW w:w="71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特色服务、增值服务</w:t>
            </w:r>
          </w:p>
          <w:p>
            <w:pPr>
              <w:snapToGrid w:val="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（0-3分）</w:t>
            </w:r>
          </w:p>
        </w:tc>
        <w:tc>
          <w:tcPr>
            <w:tcW w:w="2697" w:type="pct"/>
            <w:vAlign w:val="center"/>
          </w:tcPr>
          <w:p>
            <w:pPr>
              <w:contextualSpacing/>
              <w:rPr>
                <w:rFonts w:hint="eastAsia" w:ascii="仿宋" w:hAnsi="仿宋" w:eastAsia="仿宋" w:cs="仿宋"/>
                <w:sz w:val="24"/>
                <w:szCs w:val="24"/>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能配合完成境外捐赠文献审读得1分，报批备案得2分，文献审读及报批备案得3分。（根据投标文件提供的服务承诺保证措施的明确性及可行性打分。）</w:t>
            </w:r>
          </w:p>
        </w:tc>
        <w:tc>
          <w:tcPr>
            <w:tcW w:w="330" w:type="pct"/>
            <w:vAlign w:val="center"/>
          </w:tcPr>
          <w:p>
            <w:pPr>
              <w:snapToGrid w:val="0"/>
              <w:spacing w:line="360" w:lineRule="auto"/>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14</w:t>
            </w:r>
          </w:p>
        </w:tc>
        <w:tc>
          <w:tcPr>
            <w:tcW w:w="715" w:type="pct"/>
            <w:vAlign w:val="center"/>
          </w:tcPr>
          <w:p>
            <w:pPr>
              <w:snapToGrid w:val="0"/>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业绩</w:t>
            </w:r>
          </w:p>
          <w:p>
            <w:pPr>
              <w:snapToGrid w:val="0"/>
              <w:spacing w:line="36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rPr>
              <w:t>3分）</w:t>
            </w:r>
          </w:p>
        </w:tc>
        <w:tc>
          <w:tcPr>
            <w:tcW w:w="2697" w:type="pct"/>
            <w:vAlign w:val="center"/>
          </w:tcPr>
          <w:p>
            <w:pPr>
              <w:snapToGrid w:val="0"/>
              <w:spacing w:line="36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年1月1日以来投标人承担类似项目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外文原版音像制品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业绩情况。（提供合同复印件，每提供一个得0.5分，最多不超过</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分。不提供不得分）</w:t>
            </w:r>
          </w:p>
        </w:tc>
        <w:tc>
          <w:tcPr>
            <w:tcW w:w="330" w:type="pct"/>
            <w:vAlign w:val="center"/>
          </w:tcPr>
          <w:p>
            <w:pPr>
              <w:snapToGrid w:val="0"/>
              <w:spacing w:line="360" w:lineRule="auto"/>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312" w:type="pct"/>
            <w:vAlign w:val="center"/>
          </w:tcPr>
          <w:p>
            <w:pPr>
              <w:snapToGrid w:val="0"/>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15</w:t>
            </w:r>
          </w:p>
        </w:tc>
        <w:tc>
          <w:tcPr>
            <w:tcW w:w="715" w:type="pct"/>
            <w:vAlign w:val="center"/>
          </w:tcPr>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进货渠道</w:t>
            </w:r>
          </w:p>
          <w:p>
            <w:pPr>
              <w:snapToGrid w:val="0"/>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 xml:space="preserve">分） </w:t>
            </w:r>
          </w:p>
        </w:tc>
        <w:tc>
          <w:tcPr>
            <w:tcW w:w="2697" w:type="pct"/>
            <w:vAlign w:val="center"/>
          </w:tcPr>
          <w:p>
            <w:pPr>
              <w:numPr>
                <w:ilvl w:val="0"/>
                <w:numId w:val="3"/>
              </w:numPr>
              <w:snapToGrid w:val="0"/>
              <w:spacing w:line="360" w:lineRule="auto"/>
              <w:jc w:val="left"/>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能提供10家</w:t>
            </w:r>
            <w:r>
              <w:rPr>
                <w:rFonts w:hint="eastAsia" w:ascii="仿宋" w:hAnsi="仿宋" w:eastAsia="仿宋" w:cs="仿宋"/>
                <w:sz w:val="24"/>
                <w:szCs w:val="24"/>
                <w:lang w:val="en-US" w:eastAsia="zh-CN"/>
              </w:rPr>
              <w:t>境外合作</w:t>
            </w:r>
            <w:r>
              <w:rPr>
                <w:rFonts w:hint="eastAsia" w:ascii="仿宋" w:hAnsi="仿宋" w:eastAsia="仿宋" w:cs="仿宋"/>
                <w:sz w:val="24"/>
                <w:szCs w:val="24"/>
                <w:lang w:eastAsia="zh-CN"/>
              </w:rPr>
              <w:t>出版社的名单得</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分，每</w:t>
            </w:r>
            <w:r>
              <w:rPr>
                <w:rFonts w:hint="eastAsia" w:ascii="仿宋" w:hAnsi="仿宋" w:eastAsia="仿宋" w:cs="仿宋"/>
                <w:sz w:val="24"/>
                <w:szCs w:val="24"/>
                <w:lang w:val="en-US" w:eastAsia="zh-CN"/>
              </w:rPr>
              <w:t>增加1</w:t>
            </w:r>
            <w:r>
              <w:rPr>
                <w:rFonts w:hint="eastAsia" w:ascii="仿宋" w:hAnsi="仿宋" w:eastAsia="仿宋" w:cs="仿宋"/>
                <w:sz w:val="24"/>
                <w:szCs w:val="24"/>
                <w:lang w:eastAsia="zh-CN"/>
              </w:rPr>
              <w:t>家</w:t>
            </w:r>
            <w:r>
              <w:rPr>
                <w:rFonts w:hint="eastAsia" w:ascii="仿宋" w:hAnsi="仿宋" w:eastAsia="仿宋" w:cs="仿宋"/>
                <w:sz w:val="24"/>
                <w:szCs w:val="24"/>
                <w:lang w:val="en-US" w:eastAsia="zh-CN"/>
              </w:rPr>
              <w:t>加0.5</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最多加2分</w:t>
            </w:r>
            <w:r>
              <w:rPr>
                <w:rFonts w:hint="eastAsia" w:ascii="仿宋" w:hAnsi="仿宋" w:eastAsia="仿宋" w:cs="仿宋"/>
                <w:sz w:val="24"/>
                <w:szCs w:val="24"/>
                <w:lang w:eastAsia="zh-CN"/>
              </w:rPr>
              <w:t>。</w:t>
            </w:r>
          </w:p>
          <w:p>
            <w:pPr>
              <w:numPr>
                <w:ilvl w:val="0"/>
                <w:numId w:val="3"/>
              </w:numPr>
              <w:snapToGrid w:val="0"/>
              <w:spacing w:line="36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sz w:val="24"/>
                <w:szCs w:val="24"/>
                <w:lang w:eastAsia="zh-CN"/>
              </w:rPr>
              <w:t>有一定规模的现采场所，能组织大型书市现采活动得2分。（以投标文件提供的证明材料为准）</w:t>
            </w:r>
          </w:p>
        </w:tc>
        <w:tc>
          <w:tcPr>
            <w:tcW w:w="330" w:type="pct"/>
            <w:vAlign w:val="center"/>
          </w:tcPr>
          <w:p>
            <w:pPr>
              <w:snapToGrid w:val="0"/>
              <w:spacing w:line="360" w:lineRule="auto"/>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942" w:type="pct"/>
            <w:vAlign w:val="center"/>
          </w:tcPr>
          <w:p>
            <w:pPr>
              <w:snapToGri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12" w:type="pct"/>
            <w:vAlign w:val="center"/>
          </w:tcPr>
          <w:p>
            <w:pPr>
              <w:snapToGrid w:val="0"/>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16</w:t>
            </w:r>
          </w:p>
        </w:tc>
        <w:tc>
          <w:tcPr>
            <w:tcW w:w="715" w:type="pct"/>
            <w:vAlign w:val="center"/>
          </w:tcPr>
          <w:p>
            <w:pPr>
              <w:snapToGrid w:val="0"/>
              <w:spacing w:line="360" w:lineRule="auto"/>
              <w:jc w:val="center"/>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价格评分</w:t>
            </w:r>
          </w:p>
          <w:p>
            <w:pPr>
              <w:snapToGrid w:val="0"/>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highlight w:val="none"/>
              </w:rPr>
              <w:t>（</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rPr>
              <w:t>0分）</w:t>
            </w:r>
          </w:p>
        </w:tc>
        <w:tc>
          <w:tcPr>
            <w:tcW w:w="3971" w:type="pct"/>
            <w:gridSpan w:val="3"/>
            <w:vAlign w:val="center"/>
          </w:tcPr>
          <w:p>
            <w:pPr>
              <w:snapToGrid w:val="0"/>
              <w:spacing w:line="360" w:lineRule="auto"/>
              <w:outlineLvl w:val="0"/>
              <w:rPr>
                <w:rFonts w:ascii="仿宋" w:hAnsi="仿宋" w:eastAsia="仿宋" w:cs="仿宋_GB2312"/>
                <w:bCs/>
                <w:color w:val="auto"/>
                <w:sz w:val="24"/>
                <w:highlight w:val="none"/>
                <w:lang w:val="zh-CN"/>
              </w:rPr>
            </w:pPr>
            <w:r>
              <w:rPr>
                <w:rFonts w:hint="eastAsia" w:ascii="仿宋" w:hAnsi="仿宋" w:eastAsia="仿宋" w:cs="仿宋_GB2312"/>
                <w:bCs/>
                <w:color w:val="auto"/>
                <w:sz w:val="24"/>
                <w:highlight w:val="none"/>
                <w:lang w:val="zh-CN"/>
              </w:rPr>
              <w:t>报价分采用低价优先法计算，即满足招标文件要求且投标价格（折扣率）最低的投标报价（折扣率）为评标基准价，得满分</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rPr>
              <w:t>0</w:t>
            </w:r>
            <w:r>
              <w:rPr>
                <w:rFonts w:hint="eastAsia" w:ascii="仿宋" w:hAnsi="仿宋" w:eastAsia="仿宋" w:cs="仿宋_GB2312"/>
                <w:bCs/>
                <w:color w:val="auto"/>
                <w:sz w:val="24"/>
                <w:highlight w:val="none"/>
                <w:lang w:val="zh-CN"/>
              </w:rPr>
              <w:t>分，其他投标人的价格分按照下列公式计算：价格分=（评标基准价/投标报价（折扣率））×</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lang w:val="zh-CN"/>
              </w:rPr>
              <w:t>0%×100。其中投标报价（折扣率）为经评标委员会评审后的价格。</w:t>
            </w:r>
          </w:p>
          <w:p>
            <w:pPr>
              <w:snapToGrid w:val="0"/>
              <w:spacing w:line="360" w:lineRule="auto"/>
              <w:outlineLvl w:val="0"/>
              <w:rPr>
                <w:rFonts w:ascii="仿宋" w:hAnsi="仿宋" w:eastAsia="仿宋" w:cs="仿宋_GB2312"/>
                <w:bCs/>
                <w:color w:val="auto"/>
                <w:sz w:val="24"/>
              </w:rPr>
            </w:pPr>
            <w:r>
              <w:rPr>
                <w:rFonts w:hint="eastAsia" w:ascii="仿宋" w:hAnsi="仿宋" w:eastAsia="仿宋" w:cs="仿宋_GB2312"/>
                <w:bCs/>
                <w:color w:val="auto"/>
                <w:sz w:val="24"/>
                <w:lang w:val="zh-CN"/>
              </w:rPr>
              <w:t>注：投标人的报价明显低于其他通过符合性审查投标人的报价，有可能影响产品质量或者不能诚信履约的，对于投标价格不足50%的情况，投标</w:t>
            </w:r>
            <w:r>
              <w:rPr>
                <w:rFonts w:hint="eastAsia" w:ascii="仿宋" w:hAnsi="仿宋" w:eastAsia="仿宋" w:cs="仿宋_GB2312"/>
                <w:bCs/>
                <w:color w:val="auto"/>
                <w:sz w:val="24"/>
              </w:rPr>
              <w:t>人必须在投标文件中</w:t>
            </w:r>
            <w:r>
              <w:rPr>
                <w:rFonts w:hint="eastAsia" w:ascii="仿宋" w:hAnsi="仿宋" w:eastAsia="仿宋" w:cs="仿宋_GB2312"/>
                <w:bCs/>
                <w:color w:val="auto"/>
                <w:sz w:val="24"/>
                <w:lang w:val="zh-CN"/>
              </w:rPr>
              <w:t>书面出具</w:t>
            </w:r>
            <w:r>
              <w:rPr>
                <w:rFonts w:hint="eastAsia" w:ascii="仿宋" w:hAnsi="仿宋" w:eastAsia="仿宋" w:cs="仿宋_GB2312"/>
                <w:bCs/>
                <w:color w:val="auto"/>
                <w:sz w:val="24"/>
              </w:rPr>
              <w:t>能够充分证明报价合理性的相关</w:t>
            </w:r>
            <w:r>
              <w:rPr>
                <w:rFonts w:hint="eastAsia" w:ascii="仿宋" w:hAnsi="仿宋" w:eastAsia="仿宋" w:cs="仿宋_GB2312"/>
                <w:bCs/>
                <w:color w:val="auto"/>
                <w:sz w:val="24"/>
                <w:lang w:val="zh-CN"/>
              </w:rPr>
              <w:t>成本说明</w:t>
            </w:r>
            <w:r>
              <w:rPr>
                <w:rFonts w:hint="eastAsia" w:ascii="仿宋" w:hAnsi="仿宋" w:eastAsia="仿宋" w:cs="仿宋_GB2312"/>
                <w:bCs/>
                <w:color w:val="auto"/>
                <w:sz w:val="24"/>
              </w:rPr>
              <w:t>及证明材料</w:t>
            </w:r>
            <w:r>
              <w:rPr>
                <w:rFonts w:hint="eastAsia" w:ascii="仿宋" w:hAnsi="仿宋" w:eastAsia="仿宋" w:cs="仿宋_GB2312"/>
                <w:bCs/>
                <w:color w:val="auto"/>
                <w:sz w:val="24"/>
                <w:lang w:val="zh-CN"/>
              </w:rPr>
              <w:t>，</w:t>
            </w:r>
            <w:r>
              <w:rPr>
                <w:rFonts w:hint="eastAsia" w:ascii="仿宋" w:hAnsi="仿宋" w:eastAsia="仿宋" w:cs="仿宋_GB2312"/>
                <w:bCs/>
                <w:color w:val="auto"/>
                <w:sz w:val="24"/>
              </w:rPr>
              <w:t>未提供</w:t>
            </w:r>
            <w:r>
              <w:rPr>
                <w:rFonts w:hint="eastAsia" w:ascii="仿宋" w:hAnsi="仿宋" w:eastAsia="仿宋" w:cs="仿宋_GB2312"/>
                <w:bCs/>
                <w:color w:val="auto"/>
                <w:sz w:val="24"/>
                <w:lang w:val="zh-CN"/>
              </w:rPr>
              <w:t>成本说明</w:t>
            </w:r>
            <w:r>
              <w:rPr>
                <w:rFonts w:hint="eastAsia" w:ascii="仿宋" w:hAnsi="仿宋" w:eastAsia="仿宋" w:cs="仿宋_GB2312"/>
                <w:bCs/>
                <w:color w:val="auto"/>
                <w:sz w:val="24"/>
              </w:rPr>
              <w:t>及相关证明材料或</w:t>
            </w:r>
            <w:r>
              <w:rPr>
                <w:rFonts w:hint="eastAsia" w:ascii="仿宋" w:hAnsi="仿宋" w:eastAsia="仿宋" w:cs="仿宋_GB2312"/>
                <w:bCs/>
                <w:color w:val="auto"/>
                <w:sz w:val="24"/>
                <w:lang w:val="zh-CN"/>
              </w:rPr>
              <w:t>成本说明</w:t>
            </w:r>
            <w:r>
              <w:rPr>
                <w:rFonts w:hint="eastAsia" w:ascii="仿宋" w:hAnsi="仿宋" w:eastAsia="仿宋" w:cs="仿宋_GB2312"/>
                <w:bCs/>
                <w:color w:val="auto"/>
                <w:sz w:val="24"/>
              </w:rPr>
              <w:t>及相关证明材料不能得到评标委员会认可的，将作为无效投标处理。</w:t>
            </w:r>
          </w:p>
          <w:p>
            <w:pPr>
              <w:snapToGrid w:val="0"/>
              <w:spacing w:line="360" w:lineRule="auto"/>
              <w:outlineLvl w:val="0"/>
              <w:rPr>
                <w:rFonts w:ascii="仿宋" w:hAnsi="仿宋" w:eastAsia="仿宋" w:cs="仿宋_GB2312"/>
                <w:bCs/>
                <w:color w:val="auto"/>
                <w:sz w:val="24"/>
              </w:rPr>
            </w:pPr>
            <w:r>
              <w:rPr>
                <w:rFonts w:hint="eastAsia" w:ascii="仿宋" w:hAnsi="仿宋" w:eastAsia="仿宋" w:cs="仿宋_GB2312"/>
                <w:bCs/>
                <w:color w:val="auto"/>
                <w:sz w:val="24"/>
              </w:rPr>
              <w:t>根据《政府采购促进中小企业发展管理办法》（财库〔2020〕46号）、《财政部 司法部关于政府采购支持监狱企业发展有关问题的通知》（财库[2014]68号）及《关于促进残疾人就业政府采购政策的通知》（财库[2017]141号）规定要求，评标委员会对提供有效认定材料的小微企业、监狱企业及符合条件的残疾人福利性单位给予10%的价格扣除后，计算各投标人价格分，其中：</w:t>
            </w:r>
          </w:p>
          <w:p>
            <w:pPr>
              <w:snapToGrid w:val="0"/>
              <w:spacing w:line="360" w:lineRule="auto"/>
              <w:outlineLvl w:val="0"/>
              <w:rPr>
                <w:rFonts w:ascii="仿宋" w:hAnsi="仿宋" w:eastAsia="仿宋" w:cs="仿宋_GB2312"/>
                <w:bCs/>
                <w:color w:val="auto"/>
                <w:sz w:val="24"/>
              </w:rPr>
            </w:pPr>
            <w:r>
              <w:rPr>
                <w:rFonts w:hint="eastAsia" w:ascii="仿宋" w:hAnsi="仿宋" w:eastAsia="仿宋" w:cs="仿宋_GB2312"/>
                <w:bCs/>
                <w:color w:val="auto"/>
                <w:sz w:val="24"/>
              </w:rPr>
              <w:t>a.中小企业划分标准根据《政府采购促进中小企业发展管理办法》（财库〔2020〕46号）文件确定，参加政府采购活动的中小企业应当根据划分标准如实填写财库〔2020〕46号文件附件格式的《中小企业声明函》供评标委员会认定；</w:t>
            </w:r>
          </w:p>
          <w:p>
            <w:pPr>
              <w:snapToGrid w:val="0"/>
              <w:spacing w:line="360" w:lineRule="auto"/>
              <w:outlineLvl w:val="0"/>
              <w:rPr>
                <w:rFonts w:ascii="仿宋" w:hAnsi="仿宋" w:eastAsia="仿宋" w:cs="仿宋_GB2312"/>
                <w:bCs/>
                <w:color w:val="auto"/>
                <w:sz w:val="24"/>
              </w:rPr>
            </w:pPr>
            <w:r>
              <w:rPr>
                <w:rFonts w:hint="eastAsia" w:ascii="仿宋" w:hAnsi="仿宋" w:eastAsia="仿宋" w:cs="仿宋_GB2312"/>
                <w:bCs/>
                <w:color w:val="auto"/>
                <w:sz w:val="24"/>
              </w:rPr>
              <w:t>b.监狱企业参加政府采购活动时，应当提供由省级以上监狱管理局、戒毒管理局（含新疆生产建设兵团）出具的属于监狱企业的证明文件供评标委员会认定；</w:t>
            </w:r>
          </w:p>
          <w:p>
            <w:pPr>
              <w:snapToGrid w:val="0"/>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rPr>
              <w:t>c.符合条件的残疾人福利性单位在参加政府采购活动时，应当提供财库[2017]141号文件附件格式的《残疾人福利性单位声明函》供评标委员会认定，并对声明的真实性负责。</w:t>
            </w:r>
          </w:p>
        </w:tc>
      </w:tr>
    </w:tbl>
    <w:p>
      <w:pPr>
        <w:snapToGrid w:val="0"/>
        <w:spacing w:line="360" w:lineRule="auto"/>
        <w:rPr>
          <w:rFonts w:ascii="仿宋" w:hAnsi="仿宋" w:eastAsia="仿宋" w:cs="仿宋_GB2312"/>
          <w:b/>
          <w:color w:val="auto"/>
          <w:sz w:val="24"/>
        </w:rPr>
      </w:pPr>
      <w:r>
        <w:rPr>
          <w:rFonts w:ascii="Arial" w:hAnsi="Arial"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r>
        <w:rPr>
          <w:rFonts w:ascii="仿宋" w:hAnsi="仿宋" w:eastAsia="仿宋" w:cs="仿宋_GB2312"/>
          <w:color w:val="auto"/>
          <w:sz w:val="24"/>
        </w:rPr>
        <w:t> </w:t>
      </w:r>
    </w:p>
    <w:p>
      <w:pPr>
        <w:rPr>
          <w:rFonts w:hint="eastAsia" w:ascii="仿宋_GB2312" w:hAnsi="仿宋" w:eastAsia="仿宋_GB2312" w:cs="仿宋_GB2312"/>
          <w:b/>
          <w:color w:val="auto"/>
          <w:sz w:val="32"/>
        </w:rPr>
      </w:pPr>
    </w:p>
    <w:p>
      <w:pPr>
        <w:snapToGrid w:val="0"/>
        <w:spacing w:line="360" w:lineRule="auto"/>
        <w:jc w:val="center"/>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snapToGrid w:val="0"/>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snapToGrid w:val="0"/>
        <w:spacing w:line="360" w:lineRule="auto"/>
        <w:jc w:val="center"/>
        <w:rPr>
          <w:rFonts w:ascii="仿宋_GB2312" w:hAnsi="仿宋" w:eastAsia="仿宋_GB2312" w:cs="Arial"/>
          <w:color w:val="auto"/>
          <w:kern w:val="0"/>
          <w:sz w:val="24"/>
        </w:rPr>
      </w:pPr>
      <w:r>
        <w:rPr>
          <w:rFonts w:hint="eastAsia" w:ascii="仿宋_GB2312" w:hAnsi="仿宋" w:eastAsia="仿宋_GB2312" w:cs="仿宋_GB2312"/>
          <w:b/>
          <w:color w:val="auto"/>
          <w:sz w:val="32"/>
        </w:rPr>
        <w:t>二、评标标准</w:t>
      </w:r>
    </w:p>
    <w:p>
      <w:pPr>
        <w:snapToGrid w:val="0"/>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color w:val="auto"/>
        </w:rPr>
        <w:t xml:space="preserve"> </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三、评标程序</w:t>
      </w:r>
    </w:p>
    <w:p>
      <w:pPr>
        <w:snapToGrid w:val="0"/>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napToGrid w:val="0"/>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napToGrid w:val="0"/>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napToGrid w:val="0"/>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129"/>
        <w:snapToGrid w:val="0"/>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129"/>
        <w:snapToGrid w:val="0"/>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129"/>
        <w:snapToGrid w:val="0"/>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129"/>
        <w:snapToGrid w:val="0"/>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129"/>
        <w:snapToGrid w:val="0"/>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129"/>
        <w:snapToGrid w:val="0"/>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129"/>
        <w:snapToGrid w:val="0"/>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129"/>
        <w:snapToGrid w:val="0"/>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rPr>
        <w:t>10%的扣除，用扣除后的价格参与评审。接受大中型企业与小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30%以上的，对联合体或者大中型企业的报价给予3%的扣除，用扣除后的价格参加评审。组成联合体或者接受分包的小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napToGrid w:val="0"/>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napToGrid w:val="0"/>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四、评标中的其他事项</w:t>
      </w:r>
    </w:p>
    <w:p>
      <w:pPr>
        <w:pStyle w:val="129"/>
        <w:snapToGrid w:val="0"/>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napToGrid w:val="0"/>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napToGrid w:val="0"/>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napToGrid w:val="0"/>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napToGrid w:val="0"/>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napToGrid w:val="0"/>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napToGrid w:val="0"/>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napToGrid w:val="0"/>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napToGrid w:val="0"/>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napToGrid w:val="0"/>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napToGrid w:val="0"/>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napToGrid w:val="0"/>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napToGrid w:val="0"/>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5"/>
        <w:adjustRightInd w:val="0"/>
        <w:snapToGrid w:val="0"/>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napToGrid w:val="0"/>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3"/>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3"/>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3"/>
        <w:snapToGrid w:val="0"/>
        <w:spacing w:line="360" w:lineRule="auto"/>
        <w:ind w:firstLine="600" w:firstLineChars="250"/>
        <w:rPr>
          <w:rFonts w:ascii="仿宋_GB2312" w:hAnsi="仿宋" w:eastAsia="仿宋_GB2312" w:cs="仿宋_GB2312"/>
          <w:b/>
          <w:color w:val="auto"/>
          <w:sz w:val="36"/>
          <w:szCs w:val="36"/>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bookmarkEnd w:id="26"/>
      <w:bookmarkStart w:id="392" w:name="第五部分"/>
      <w:bookmarkStart w:id="393" w:name="_Toc86217003"/>
    </w:p>
    <w:p>
      <w:pPr>
        <w:snapToGrid w:val="0"/>
        <w:spacing w:line="360" w:lineRule="auto"/>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br w:type="page"/>
      </w:r>
    </w:p>
    <w:p>
      <w:pPr>
        <w:snapToGrid w:val="0"/>
        <w:spacing w:line="36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w:t>
      </w:r>
      <w:r>
        <w:rPr>
          <w:rFonts w:hint="eastAsia" w:ascii="仿宋" w:hAnsi="仿宋" w:eastAsia="仿宋" w:cs="仿宋"/>
          <w:b/>
          <w:color w:val="auto"/>
          <w:sz w:val="24"/>
          <w:lang w:val="zh-CN"/>
        </w:rPr>
        <w:t>以下为合同范本，</w:t>
      </w:r>
      <w:r>
        <w:rPr>
          <w:rFonts w:hint="eastAsia" w:ascii="仿宋" w:hAnsi="仿宋" w:eastAsia="仿宋" w:cs="仿宋"/>
          <w:b/>
          <w:color w:val="auto"/>
          <w:sz w:val="24"/>
        </w:rPr>
        <w:t>仅供</w:t>
      </w:r>
      <w:r>
        <w:rPr>
          <w:rFonts w:hint="eastAsia" w:ascii="仿宋" w:hAnsi="仿宋" w:eastAsia="仿宋" w:cs="仿宋"/>
          <w:b/>
          <w:color w:val="auto"/>
          <w:sz w:val="24"/>
          <w:lang w:val="zh-CN"/>
        </w:rPr>
        <w:t>参考。合同条款的具体内容应严格按照招标文件、投标文件、招标结果及中标承诺拟订</w:t>
      </w:r>
      <w:r>
        <w:rPr>
          <w:rFonts w:hint="eastAsia" w:ascii="仿宋" w:hAnsi="仿宋" w:eastAsia="仿宋" w:cs="仿宋"/>
          <w:b/>
          <w:color w:val="auto"/>
          <w:sz w:val="24"/>
        </w:rPr>
        <w:t>）</w:t>
      </w:r>
    </w:p>
    <w:p>
      <w:pPr>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合同编号：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甲方：（采购人）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乙方：（中标人）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kern w:val="0"/>
          <w:sz w:val="24"/>
          <w:szCs w:val="24"/>
        </w:rPr>
        <w:t>根据国家相关法律、法规的规定，明确双方的权利和义务，甲乙双方经友好协</w:t>
      </w:r>
      <w:r>
        <w:rPr>
          <w:rFonts w:hint="eastAsia" w:ascii="仿宋" w:hAnsi="仿宋" w:eastAsia="仿宋" w:cs="仿宋"/>
          <w:color w:val="000000"/>
          <w:kern w:val="0"/>
          <w:sz w:val="24"/>
          <w:szCs w:val="24"/>
        </w:rPr>
        <w:t>商达成如下协议。本协议书以投标文件为基础制订；甲方的技术和服务要求、乙方的技术和服务承诺，与本协议一起构成本次图书资料采购整体文件，具有法律效力。</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仿宋" w:hAnsi="仿宋" w:eastAsia="仿宋" w:cs="仿宋"/>
          <w:b/>
          <w:bCs/>
          <w:color w:val="000000"/>
          <w:kern w:val="0"/>
          <w:sz w:val="24"/>
          <w:szCs w:val="24"/>
          <w:u w:val="single"/>
        </w:rPr>
      </w:pPr>
      <w:r>
        <w:rPr>
          <w:rFonts w:hint="eastAsia" w:ascii="仿宋" w:hAnsi="仿宋" w:eastAsia="仿宋" w:cs="仿宋"/>
          <w:b/>
          <w:bCs/>
          <w:color w:val="000000"/>
          <w:kern w:val="0"/>
          <w:sz w:val="24"/>
          <w:szCs w:val="24"/>
          <w:lang w:val="en-US" w:eastAsia="zh-CN"/>
        </w:rPr>
        <w:t>一、</w:t>
      </w:r>
      <w:r>
        <w:rPr>
          <w:rFonts w:hint="eastAsia" w:ascii="仿宋" w:hAnsi="仿宋" w:eastAsia="仿宋" w:cs="仿宋"/>
          <w:b/>
          <w:bCs/>
          <w:color w:val="000000"/>
          <w:kern w:val="0"/>
          <w:sz w:val="24"/>
          <w:szCs w:val="24"/>
        </w:rPr>
        <w:t>价格折扣率：</w:t>
      </w:r>
    </w:p>
    <w:p>
      <w:pPr>
        <w:keepNext w:val="0"/>
        <w:keepLines w:val="0"/>
        <w:pageBreakBefore w:val="0"/>
        <w:widowControl/>
        <w:kinsoku/>
        <w:wordWrap/>
        <w:overflowPunct/>
        <w:topLinePunct w:val="0"/>
        <w:autoSpaceDE/>
        <w:autoSpaceDN/>
        <w:bidi w:val="0"/>
        <w:adjustRightInd w:val="0"/>
        <w:snapToGrid w:val="0"/>
        <w:spacing w:line="360" w:lineRule="auto"/>
        <w:ind w:left="420" w:firstLine="261"/>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二、项目采购内容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定时提供音像制品信息服务；2、收到采购人音像制品订单后应及时回复；3、按采购人订购的音像制品品种、数量及时供货；4、提供规范的机读编目数据；5、提供的征订数据必须以CNMARC/MARC21格式文件提供；6、提供到馆音像制品的全加工工作；7、接收捐赠文献的辅助加工工作；8、提供不少于</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名全加工人员到馆加工图书等相关工作。</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三、产品质量要求</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1、适用标准：必须符合国家、行业现行的规范以及厂家企业质量标准，技术参数标准。</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乙方必须保证所供商品均属原厂生产的合格的、全新的、与合同规定的型号配置相一致，并从原厂商正规渠道出货，如发生所供产品与合同不符，甲方有权拒收或退货，由此产生的一切责任和损失均由乙方承担。</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四、产品包装要求</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乙方保证所提供的包装物符合运输、产品安全的要求。双方对包装方式另有约定的，应遵守双方约定。</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五、产品的交货时间、地点</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1、交货时间：</w:t>
      </w:r>
      <w:r>
        <w:rPr>
          <w:rFonts w:hint="eastAsia" w:ascii="仿宋" w:hAnsi="仿宋" w:eastAsia="仿宋" w:cs="仿宋"/>
          <w:sz w:val="24"/>
          <w:szCs w:val="24"/>
          <w:lang w:val="zh-CN"/>
        </w:rPr>
        <w:t>乙方收到甲方所确认的书目订单后，乙方应及时对甲方所报的图书订单汇总、查重，安排采购，</w:t>
      </w:r>
      <w:r>
        <w:rPr>
          <w:rFonts w:hint="eastAsia" w:ascii="仿宋" w:hAnsi="仿宋" w:eastAsia="仿宋" w:cs="仿宋"/>
          <w:sz w:val="24"/>
          <w:szCs w:val="24"/>
        </w:rPr>
        <w:t>并</w:t>
      </w:r>
      <w:r>
        <w:rPr>
          <w:rFonts w:hint="eastAsia" w:ascii="仿宋" w:hAnsi="仿宋" w:eastAsia="仿宋" w:cs="仿宋"/>
          <w:kern w:val="0"/>
          <w:sz w:val="24"/>
          <w:szCs w:val="24"/>
        </w:rPr>
        <w:t>于</w:t>
      </w:r>
      <w:r>
        <w:rPr>
          <w:rFonts w:hint="eastAsia" w:ascii="仿宋" w:hAnsi="仿宋" w:eastAsia="仿宋" w:cs="仿宋"/>
          <w:kern w:val="0"/>
          <w:sz w:val="24"/>
          <w:szCs w:val="24"/>
          <w:u w:val="single"/>
        </w:rPr>
        <w:t xml:space="preserve"> 订单发送后15个工作日 </w:t>
      </w:r>
      <w:r>
        <w:rPr>
          <w:rFonts w:hint="eastAsia" w:ascii="仿宋" w:hAnsi="仿宋" w:eastAsia="仿宋" w:cs="仿宋"/>
          <w:kern w:val="0"/>
          <w:sz w:val="24"/>
          <w:szCs w:val="24"/>
        </w:rPr>
        <w:t>内交货。</w:t>
      </w:r>
      <w:r>
        <w:rPr>
          <w:rFonts w:hint="eastAsia" w:ascii="仿宋" w:hAnsi="仿宋" w:eastAsia="仿宋" w:cs="仿宋"/>
          <w:sz w:val="24"/>
          <w:szCs w:val="24"/>
          <w:lang w:val="zh-CN"/>
        </w:rPr>
        <w:t>预订</w:t>
      </w:r>
      <w:r>
        <w:rPr>
          <w:rFonts w:hint="eastAsia" w:ascii="仿宋" w:hAnsi="仿宋" w:eastAsia="仿宋" w:cs="仿宋"/>
          <w:sz w:val="24"/>
          <w:szCs w:val="24"/>
        </w:rPr>
        <w:t>音像</w:t>
      </w:r>
      <w:r>
        <w:rPr>
          <w:rFonts w:hint="eastAsia" w:ascii="仿宋" w:hAnsi="仿宋" w:eastAsia="仿宋" w:cs="仿宋"/>
          <w:sz w:val="24"/>
          <w:szCs w:val="24"/>
          <w:lang w:val="zh-CN"/>
        </w:rPr>
        <w:t>前三个月的订到率不低于60%，六个月不低于80%，全年不得低于</w:t>
      </w:r>
      <w:r>
        <w:rPr>
          <w:rFonts w:hint="eastAsia" w:ascii="仿宋" w:hAnsi="仿宋" w:eastAsia="仿宋" w:cs="仿宋"/>
          <w:sz w:val="24"/>
          <w:szCs w:val="24"/>
          <w:u w:val="single"/>
        </w:rPr>
        <w:t>97</w:t>
      </w:r>
      <w:r>
        <w:rPr>
          <w:rFonts w:hint="eastAsia" w:ascii="仿宋" w:hAnsi="仿宋" w:eastAsia="仿宋" w:cs="仿宋"/>
          <w:sz w:val="24"/>
          <w:szCs w:val="24"/>
          <w:lang w:val="zh-CN"/>
        </w:rPr>
        <w:t>%（投标文件承诺到货率）。时效性较强的</w:t>
      </w:r>
      <w:r>
        <w:rPr>
          <w:rFonts w:hint="eastAsia" w:ascii="仿宋" w:hAnsi="仿宋" w:eastAsia="仿宋" w:cs="仿宋"/>
          <w:sz w:val="24"/>
          <w:szCs w:val="24"/>
        </w:rPr>
        <w:t>音像</w:t>
      </w:r>
      <w:r>
        <w:rPr>
          <w:rFonts w:hint="eastAsia" w:ascii="仿宋" w:hAnsi="仿宋" w:eastAsia="仿宋" w:cs="仿宋"/>
          <w:sz w:val="24"/>
          <w:szCs w:val="24"/>
          <w:lang w:val="zh-CN"/>
        </w:rPr>
        <w:t>要保证到馆时间不超过一周。现采</w:t>
      </w:r>
      <w:r>
        <w:rPr>
          <w:rFonts w:hint="eastAsia" w:ascii="仿宋" w:hAnsi="仿宋" w:eastAsia="仿宋" w:cs="仿宋"/>
          <w:sz w:val="24"/>
          <w:szCs w:val="24"/>
        </w:rPr>
        <w:t>音像</w:t>
      </w:r>
      <w:r>
        <w:rPr>
          <w:rFonts w:hint="eastAsia" w:ascii="仿宋" w:hAnsi="仿宋" w:eastAsia="仿宋" w:cs="仿宋"/>
          <w:sz w:val="24"/>
          <w:szCs w:val="24"/>
          <w:lang w:val="zh-CN"/>
        </w:rPr>
        <w:t>半个月内到馆率不低于95%，一个月内不低于9</w:t>
      </w:r>
      <w:r>
        <w:rPr>
          <w:rFonts w:hint="eastAsia" w:ascii="仿宋" w:hAnsi="仿宋" w:eastAsia="仿宋" w:cs="仿宋"/>
          <w:sz w:val="24"/>
          <w:szCs w:val="24"/>
        </w:rPr>
        <w:t>7</w:t>
      </w:r>
      <w:r>
        <w:rPr>
          <w:rFonts w:hint="eastAsia" w:ascii="仿宋" w:hAnsi="仿宋" w:eastAsia="仿宋" w:cs="仿宋"/>
          <w:sz w:val="24"/>
          <w:szCs w:val="24"/>
          <w:lang w:val="zh-CN"/>
        </w:rPr>
        <w:t>%。其它采购在15个工作日内送货到图书馆。</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2、交货地点：甲方指定，指定收货人：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，联系电话：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3、运输方式及费用负担：由乙方负责运输至指定交货地点，所发生的费用由乙方承担。</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六、产品验收、付款方式</w:t>
      </w:r>
    </w:p>
    <w:p>
      <w:pPr>
        <w:keepNext w:val="0"/>
        <w:keepLines w:val="0"/>
        <w:pageBreakBefore w:val="0"/>
        <w:widowControl/>
        <w:kinsoku/>
        <w:wordWrap/>
        <w:overflowPunct/>
        <w:topLinePunct w:val="0"/>
        <w:autoSpaceDE/>
        <w:autoSpaceDN/>
        <w:bidi w:val="0"/>
        <w:adjustRightInd w:val="0"/>
        <w:snapToGrid w:val="0"/>
        <w:spacing w:line="360" w:lineRule="auto"/>
        <w:ind w:right="60" w:firstLine="54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1、本合同招标总金额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元整（¥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元）。最终按实际订单数量及中标折扣率结算。</w:t>
      </w:r>
    </w:p>
    <w:p>
      <w:pPr>
        <w:keepNext w:val="0"/>
        <w:keepLines w:val="0"/>
        <w:pageBreakBefore w:val="0"/>
        <w:widowControl/>
        <w:kinsoku/>
        <w:wordWrap/>
        <w:overflowPunct/>
        <w:topLinePunct w:val="0"/>
        <w:autoSpaceDE/>
        <w:autoSpaceDN/>
        <w:bidi w:val="0"/>
        <w:adjustRightInd w:val="0"/>
        <w:snapToGrid w:val="0"/>
        <w:spacing w:line="360" w:lineRule="auto"/>
        <w:ind w:right="60" w:firstLine="54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2、甲方对乙方送交的货物依据招标文件上的要求标准进行验收。验收不合格的不予接收。</w:t>
      </w:r>
    </w:p>
    <w:p>
      <w:pPr>
        <w:keepNext w:val="0"/>
        <w:keepLines w:val="0"/>
        <w:pageBreakBefore w:val="0"/>
        <w:widowControl/>
        <w:kinsoku/>
        <w:wordWrap/>
        <w:overflowPunct/>
        <w:topLinePunct w:val="0"/>
        <w:autoSpaceDE/>
        <w:autoSpaceDN/>
        <w:bidi w:val="0"/>
        <w:adjustRightInd w:val="0"/>
        <w:snapToGrid w:val="0"/>
        <w:spacing w:line="360" w:lineRule="auto"/>
        <w:ind w:right="60" w:firstLine="54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3、合同签订后，甲方支付乙方合同金额的</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kern w:val="0"/>
          <w:sz w:val="24"/>
          <w:szCs w:val="24"/>
        </w:rPr>
        <w:t>作为预付款。音像验收无误后，甲方根据政府采购相关规定，以音像定价为依据，以甲方确认后的订单及金额付款，按照中标折扣率（</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%）结算货款。合同款项于2022年12月31日前全部结清。</w:t>
      </w:r>
    </w:p>
    <w:p>
      <w:pPr>
        <w:keepNext w:val="0"/>
        <w:keepLines w:val="0"/>
        <w:pageBreakBefore w:val="0"/>
        <w:widowControl/>
        <w:kinsoku/>
        <w:wordWrap/>
        <w:overflowPunct/>
        <w:topLinePunct w:val="0"/>
        <w:autoSpaceDE/>
        <w:autoSpaceDN/>
        <w:bidi w:val="0"/>
        <w:adjustRightInd w:val="0"/>
        <w:snapToGrid w:val="0"/>
        <w:spacing w:line="360" w:lineRule="auto"/>
        <w:ind w:right="60" w:firstLine="54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外文</w:t>
      </w:r>
      <w:r>
        <w:rPr>
          <w:rFonts w:hint="eastAsia" w:ascii="仿宋" w:hAnsi="仿宋" w:eastAsia="仿宋" w:cs="仿宋"/>
          <w:kern w:val="0"/>
          <w:sz w:val="24"/>
          <w:szCs w:val="24"/>
          <w:lang w:val="en-US" w:eastAsia="zh-CN"/>
        </w:rPr>
        <w:t>原版音像制品</w:t>
      </w:r>
      <w:r>
        <w:rPr>
          <w:rFonts w:hint="eastAsia" w:ascii="仿宋" w:hAnsi="仿宋" w:eastAsia="仿宋" w:cs="仿宋"/>
          <w:kern w:val="0"/>
          <w:sz w:val="24"/>
          <w:szCs w:val="24"/>
          <w:lang w:val="zh-CN"/>
        </w:rPr>
        <w:t>采购供货价格[人民币结算价公式为：人民币结算价=外文</w:t>
      </w:r>
      <w:r>
        <w:rPr>
          <w:rFonts w:hint="eastAsia" w:ascii="仿宋" w:hAnsi="仿宋" w:eastAsia="仿宋" w:cs="仿宋"/>
          <w:kern w:val="0"/>
          <w:sz w:val="24"/>
          <w:szCs w:val="24"/>
          <w:lang w:val="en-US" w:eastAsia="zh-CN"/>
        </w:rPr>
        <w:t>原版音像制品原币</w:t>
      </w:r>
      <w:r>
        <w:rPr>
          <w:rFonts w:hint="eastAsia" w:ascii="仿宋" w:hAnsi="仿宋" w:eastAsia="仿宋" w:cs="仿宋"/>
          <w:kern w:val="0"/>
          <w:sz w:val="24"/>
          <w:szCs w:val="24"/>
          <w:lang w:val="zh-CN"/>
        </w:rPr>
        <w:t>价╳订单确认当日国家外汇汇率╳折扣率╳（1+税率）。</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在甲方付款前，乙方应提供相应款项的正规发票。</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rPr>
        <w:t>5、合同签订后5日内，乙方交付2万元作为履约保证金。合同期内，乙方如存在违约责任的，违约金可由甲方在乙方提交的履约保证金中扣除，乙方收到甲方扣款通知后应在5个工作日内补足履约保证金。履约保证金在合同期满1个月后无息退还。</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七、服务承诺</w:t>
      </w:r>
    </w:p>
    <w:p>
      <w:pPr>
        <w:keepNext w:val="0"/>
        <w:keepLines w:val="0"/>
        <w:pageBreakBefore w:val="0"/>
        <w:widowControl/>
        <w:kinsoku/>
        <w:wordWrap/>
        <w:overflowPunct/>
        <w:topLinePunct w:val="0"/>
        <w:autoSpaceDE/>
        <w:autoSpaceDN/>
        <w:bidi w:val="0"/>
        <w:adjustRightInd w:val="0"/>
        <w:snapToGrid w:val="0"/>
        <w:spacing w:line="360" w:lineRule="auto"/>
        <w:ind w:right="60"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1、本合同范围的服务，应由乙方直接供应，不得转包或分包</w:t>
      </w:r>
      <w:r>
        <w:rPr>
          <w:rFonts w:hint="eastAsia" w:ascii="仿宋" w:hAnsi="仿宋" w:eastAsia="仿宋" w:cs="仿宋"/>
          <w:color w:val="000000"/>
          <w:kern w:val="0"/>
          <w:sz w:val="24"/>
          <w:szCs w:val="24"/>
          <w:lang w:eastAsia="zh-CN"/>
        </w:rPr>
        <w:t>，如有转包或分包行为，甲方有权解除合同，没收履约保证金并追究乙方的违约责任。</w:t>
      </w:r>
    </w:p>
    <w:p>
      <w:pPr>
        <w:keepNext w:val="0"/>
        <w:keepLines w:val="0"/>
        <w:pageBreakBefore w:val="0"/>
        <w:widowControl/>
        <w:kinsoku/>
        <w:wordWrap/>
        <w:overflowPunct/>
        <w:topLinePunct w:val="0"/>
        <w:autoSpaceDE/>
        <w:autoSpaceDN/>
        <w:bidi w:val="0"/>
        <w:adjustRightInd w:val="0"/>
        <w:snapToGrid w:val="0"/>
        <w:spacing w:line="360" w:lineRule="auto"/>
        <w:ind w:right="6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乙方应按招标文件的规定，满足甲方提出的所有技术要求和服务要求。</w:t>
      </w:r>
    </w:p>
    <w:p>
      <w:pPr>
        <w:keepNext w:val="0"/>
        <w:keepLines w:val="0"/>
        <w:pageBreakBefore w:val="0"/>
        <w:widowControl/>
        <w:kinsoku/>
        <w:wordWrap/>
        <w:overflowPunct/>
        <w:topLinePunct w:val="0"/>
        <w:autoSpaceDE/>
        <w:autoSpaceDN/>
        <w:bidi w:val="0"/>
        <w:adjustRightInd w:val="0"/>
        <w:snapToGrid w:val="0"/>
        <w:spacing w:line="360" w:lineRule="auto"/>
        <w:ind w:right="6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除响应甲方招标文件的要求外，乙方还应承诺其它超值服务和优惠措施。</w:t>
      </w:r>
      <w:r>
        <w:rPr>
          <w:rFonts w:hint="eastAsia" w:ascii="仿宋" w:hAnsi="仿宋" w:eastAsia="仿宋" w:cs="仿宋"/>
          <w:kern w:val="0"/>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120" w:leftChars="0"/>
        <w:textAlignment w:val="auto"/>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八、</w:t>
      </w:r>
      <w:r>
        <w:rPr>
          <w:rFonts w:hint="eastAsia" w:ascii="仿宋" w:hAnsi="仿宋" w:eastAsia="仿宋" w:cs="仿宋"/>
          <w:b/>
          <w:bCs/>
          <w:kern w:val="0"/>
          <w:sz w:val="24"/>
          <w:szCs w:val="24"/>
        </w:rPr>
        <w:t>乙方的违约责任</w:t>
      </w:r>
      <w:r>
        <w:rPr>
          <w:rFonts w:hint="eastAsia" w:ascii="仿宋" w:hAnsi="仿宋" w:eastAsia="仿宋" w:cs="仿宋"/>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1、乙方如没有能力按甲方要求履行全加工服务的，甲方有权单方面解除本合同</w:t>
      </w:r>
      <w:r>
        <w:rPr>
          <w:rFonts w:hint="eastAsia" w:ascii="仿宋" w:hAnsi="仿宋" w:eastAsia="仿宋" w:cs="仿宋"/>
          <w:sz w:val="24"/>
          <w:szCs w:val="24"/>
        </w:rPr>
        <w:t>，双方按实际已完成的订单结算，且甲方有权要求乙方另行承担合同剩余金额10%的违约金。</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2、货物错发到货地点或收货人的，乙方应负责将货物运交协议规定的到货地点或接货人，相关费用及因到货延误而给甲方造成的损失由乙方承担。</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trike/>
          <w:kern w:val="0"/>
          <w:sz w:val="24"/>
          <w:szCs w:val="24"/>
        </w:rPr>
      </w:pPr>
      <w:r>
        <w:rPr>
          <w:rFonts w:hint="eastAsia" w:ascii="仿宋" w:hAnsi="仿宋" w:eastAsia="仿宋" w:cs="仿宋"/>
          <w:kern w:val="0"/>
          <w:sz w:val="24"/>
          <w:szCs w:val="24"/>
        </w:rPr>
        <w:t>3、乙方如果配送盗版或盗印的出版物，每发生一次，甲方扣5000元作为违约金，一年内，累计发生2次及以上，甲方可单方解除本合同</w:t>
      </w:r>
      <w:r>
        <w:rPr>
          <w:rFonts w:hint="eastAsia" w:ascii="仿宋" w:hAnsi="仿宋" w:eastAsia="仿宋" w:cs="仿宋"/>
          <w:sz w:val="24"/>
          <w:szCs w:val="24"/>
        </w:rPr>
        <w:t>，双方按实际已完成的订单结算，且甲方有权要求乙方另行承担合同剩余金额10%的违约金。</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4、乙方无理由逾期交付货物的，甲方有权收取逾期交付违约金5000元/天，逾期超过30天，甲方有权解除合同</w:t>
      </w:r>
      <w:r>
        <w:rPr>
          <w:rFonts w:hint="eastAsia" w:ascii="仿宋" w:hAnsi="仿宋" w:eastAsia="仿宋" w:cs="仿宋"/>
          <w:sz w:val="24"/>
          <w:szCs w:val="24"/>
        </w:rPr>
        <w:t>，双方按实际已完成的订单结算，且甲方有权要求乙方另行承担合同剩余金额10%的违约金。</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5、乙方提供的货物因存在外观质量问题无法通过甲方验收，甲方有权要求乙方支付违约金5000元，若因此给甲方造成损失的，乙方负责赔偿。</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6、乙方全年平均到货率未达到投标文件承诺到货率的，甲方有权在年终结算时扣除5000元作为违约金。</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九、甲方的违约责任</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1、甲方违反协议拒绝收货或验货的，承担由此给乙方造成的损失和运输部门的相关费用。</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2、甲方错填到货地点或收货人，承担因此给乙方造成的损失。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十、知识产权</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乙方应保证，甲方在使用乙方所供货物或该货物的任何一部分时，免受第三方提出的侵犯其专利权、商标权、著作权或其它知识产权的起诉。乙方应承担由此可能产生的一切法律责任和费用。如乙方违反该约定造成甲方向第三方承担赔偿责任的，乙方应赔偿甲方的全部损失，包括但不限于甲方因此而支付之诉讼费、仲裁费、律师费、公证费、翻译费、赔偿金、和解金、调解金。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十一、不可抗力</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因台风、地震、水灾等自然灾害以及其它非因双方过错而造成的，不能预见、不能避免、并不能克服的客观情况为不可抗力。遇有不可抗力的一方，应立即将事件情况通知对方，由双方协商解决。因与国家政策抵触，导致不能正常继续履行合同的，由双方协商解决。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十二、争议的解决</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如因履行本协议发生争议时，双方应首先协商解决。协商不成时，任何一方均可向甲方所在地的人民法院提起诉讼，通过法律程序予以解决。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十三、本合同之未尽事宜</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双方可以协商解决或另订补充协议，补充协议为本协议不可分割的组成部分。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十四、其他条款</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1、本协议于双方签字盖章后生效，合同履行期限为合同签订之日起至2022年12月31日。本合同一式伍份，甲方持有叁份、乙方持壹份，招标代理公司持壹份。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kern w:val="0"/>
          <w:sz w:val="24"/>
          <w:szCs w:val="24"/>
        </w:rPr>
        <w:t>2、合同内容与招标文件一致，附件为本协议的组成部分，与本协议具有同等法律</w:t>
      </w:r>
      <w:r>
        <w:rPr>
          <w:rFonts w:hint="eastAsia" w:ascii="仿宋" w:hAnsi="仿宋" w:eastAsia="仿宋" w:cs="仿宋"/>
          <w:kern w:val="0"/>
          <w:sz w:val="24"/>
          <w:szCs w:val="24"/>
          <w:lang w:val="en-US" w:eastAsia="zh-CN"/>
        </w:rPr>
        <w:t>效力</w:t>
      </w:r>
      <w:r>
        <w:rPr>
          <w:rFonts w:hint="eastAsia" w:ascii="仿宋" w:hAnsi="仿宋" w:eastAsia="仿宋" w:cs="仿宋"/>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甲方（盖章）：                            乙方（盖章）：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法定代表人：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或受委托人（签字）：                      或受委托人（签字）：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联系人：                                  联系人：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地址：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电话：</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传真：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                                开户银行：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帐号：                                    帐号：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 约 地：</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签约日期：</w:t>
      </w:r>
    </w:p>
    <w:p>
      <w:pPr>
        <w:snapToGrid w:val="0"/>
        <w:spacing w:line="360" w:lineRule="auto"/>
        <w:ind w:right="-420" w:rightChars="-200"/>
        <w:jc w:val="both"/>
        <w:outlineLvl w:val="0"/>
        <w:rPr>
          <w:rFonts w:ascii="仿宋" w:hAnsi="仿宋" w:eastAsia="仿宋"/>
          <w:color w:val="auto"/>
          <w:sz w:val="24"/>
        </w:rPr>
      </w:pPr>
    </w:p>
    <w:p>
      <w:pPr>
        <w:snapToGrid w:val="0"/>
        <w:spacing w:line="360" w:lineRule="auto"/>
        <w:rPr>
          <w:rFonts w:ascii="仿宋" w:hAnsi="仿宋" w:eastAsia="仿宋" w:cs="仿宋_GB2312"/>
          <w:b/>
          <w:color w:val="auto"/>
          <w:sz w:val="36"/>
          <w:szCs w:val="20"/>
        </w:rPr>
      </w:pPr>
      <w:r>
        <w:rPr>
          <w:rFonts w:hint="eastAsia" w:ascii="仿宋" w:hAnsi="仿宋" w:eastAsia="仿宋" w:cs="仿宋_GB2312"/>
          <w:b/>
          <w:color w:val="auto"/>
          <w:sz w:val="36"/>
          <w:szCs w:val="20"/>
        </w:rPr>
        <w:br w:type="page"/>
      </w:r>
    </w:p>
    <w:p>
      <w:pPr>
        <w:snapToGrid w:val="0"/>
        <w:spacing w:line="360" w:lineRule="auto"/>
        <w:rPr>
          <w:rFonts w:ascii="仿宋" w:hAnsi="仿宋" w:eastAsia="仿宋" w:cs="仿宋"/>
          <w:b/>
          <w:bCs/>
          <w:color w:val="auto"/>
          <w:sz w:val="24"/>
        </w:rPr>
      </w:pPr>
      <w:r>
        <w:rPr>
          <w:rFonts w:hint="eastAsia" w:ascii="仿宋" w:hAnsi="仿宋" w:eastAsia="仿宋" w:cs="仿宋"/>
          <w:b/>
          <w:bCs/>
          <w:color w:val="auto"/>
          <w:sz w:val="24"/>
        </w:rPr>
        <w:t>附件1：验收程序及质量标准</w:t>
      </w:r>
    </w:p>
    <w:p>
      <w:pPr>
        <w:snapToGrid w:val="0"/>
        <w:spacing w:line="360" w:lineRule="auto"/>
        <w:ind w:firstLine="453" w:firstLineChars="189"/>
        <w:rPr>
          <w:rFonts w:ascii="仿宋" w:hAnsi="仿宋" w:eastAsia="仿宋" w:cs="仿宋"/>
          <w:color w:val="auto"/>
          <w:sz w:val="24"/>
        </w:rPr>
      </w:pPr>
      <w:r>
        <w:rPr>
          <w:rFonts w:hint="eastAsia" w:ascii="仿宋" w:hAnsi="仿宋" w:eastAsia="仿宋" w:cs="仿宋"/>
          <w:color w:val="auto"/>
          <w:sz w:val="24"/>
        </w:rPr>
        <w:t>（1）验收程序</w:t>
      </w:r>
    </w:p>
    <w:p>
      <w:pPr>
        <w:snapToGrid w:val="0"/>
        <w:spacing w:line="360" w:lineRule="auto"/>
        <w:ind w:firstLine="453" w:firstLineChars="189"/>
        <w:rPr>
          <w:rFonts w:ascii="仿宋" w:hAnsi="仿宋" w:eastAsia="仿宋" w:cs="仿宋"/>
          <w:color w:val="auto"/>
          <w:sz w:val="24"/>
        </w:rPr>
      </w:pPr>
      <w:r>
        <w:rPr>
          <w:rFonts w:hint="eastAsia" w:ascii="仿宋" w:hAnsi="仿宋" w:eastAsia="仿宋" w:cs="仿宋"/>
          <w:color w:val="auto"/>
          <w:sz w:val="24"/>
        </w:rPr>
        <w:t>甲方或甲方依法委托的其他机构组织验收小组，原则上应由五人以上单数组成，并明确负责人。还可以邀请政府采购专家等熟悉掌握政府采购事项的人员组成。</w:t>
      </w:r>
    </w:p>
    <w:p>
      <w:pPr>
        <w:snapToGrid w:val="0"/>
        <w:spacing w:line="360" w:lineRule="auto"/>
        <w:ind w:firstLine="453" w:firstLineChars="189"/>
        <w:rPr>
          <w:rFonts w:ascii="仿宋" w:hAnsi="仿宋" w:eastAsia="仿宋" w:cs="仿宋"/>
          <w:color w:val="auto"/>
          <w:sz w:val="24"/>
        </w:rPr>
      </w:pPr>
      <w:r>
        <w:rPr>
          <w:rFonts w:hint="eastAsia" w:ascii="仿宋" w:hAnsi="仿宋" w:eastAsia="仿宋" w:cs="仿宋"/>
          <w:color w:val="auto"/>
          <w:sz w:val="24"/>
        </w:rPr>
        <w:t>验收小组负责验收方案的制定、验收工作的安排以及验收人员的组织工作、验收单或验收报告的编制工作。其工作情况代表采购人履行验收工作职责。验收小组的负责人视具体情况也可根据其他成员的建议决定召集成员并布置任务。</w:t>
      </w:r>
    </w:p>
    <w:p>
      <w:pPr>
        <w:snapToGrid w:val="0"/>
        <w:spacing w:line="360" w:lineRule="auto"/>
        <w:ind w:firstLine="453" w:firstLineChars="189"/>
        <w:rPr>
          <w:rFonts w:ascii="仿宋" w:hAnsi="仿宋" w:eastAsia="仿宋" w:cs="仿宋"/>
          <w:color w:val="auto"/>
          <w:sz w:val="24"/>
        </w:rPr>
      </w:pPr>
      <w:r>
        <w:rPr>
          <w:rFonts w:hint="eastAsia" w:ascii="仿宋" w:hAnsi="仿宋" w:eastAsia="仿宋" w:cs="仿宋"/>
          <w:color w:val="auto"/>
          <w:sz w:val="24"/>
        </w:rPr>
        <w:t>验收小组成员应当在实施验收前完全掌握验收合同服务项目质量标准要求和乙方的响应承诺情况，并完成实施验收所需要的其他准备工作。</w:t>
      </w:r>
    </w:p>
    <w:p>
      <w:pPr>
        <w:snapToGrid w:val="0"/>
        <w:spacing w:line="360" w:lineRule="auto"/>
        <w:ind w:firstLine="453" w:firstLineChars="189"/>
        <w:rPr>
          <w:rFonts w:ascii="仿宋" w:hAnsi="仿宋" w:eastAsia="仿宋" w:cs="仿宋"/>
          <w:color w:val="auto"/>
          <w:sz w:val="24"/>
        </w:rPr>
      </w:pPr>
      <w:r>
        <w:rPr>
          <w:rFonts w:hint="eastAsia" w:ascii="仿宋" w:hAnsi="仿宋" w:eastAsia="仿宋" w:cs="仿宋"/>
          <w:color w:val="auto"/>
          <w:sz w:val="24"/>
        </w:rPr>
        <w:t>验收小组完成验收后，应当出具验收报告（附件2）。验收报告的内容应包括：实施验收过程基本情况陈述，采购项目验收情况介绍，对乙方履约情况与政府采购合同、采购文件规定要求以及乙方投标文件响应承诺情况进行比较，最后得出验收结论性意见。验收小组成员要在验收报告上签署验收意见。</w:t>
      </w:r>
    </w:p>
    <w:p>
      <w:pPr>
        <w:snapToGrid w:val="0"/>
        <w:spacing w:line="360" w:lineRule="auto"/>
        <w:ind w:firstLine="453" w:firstLineChars="189"/>
        <w:rPr>
          <w:rFonts w:ascii="仿宋" w:hAnsi="仿宋" w:eastAsia="仿宋" w:cs="仿宋"/>
          <w:color w:val="auto"/>
          <w:sz w:val="24"/>
        </w:rPr>
      </w:pPr>
      <w:r>
        <w:rPr>
          <w:rFonts w:hint="eastAsia" w:ascii="仿宋" w:hAnsi="仿宋" w:eastAsia="仿宋" w:cs="仿宋"/>
          <w:color w:val="auto"/>
          <w:sz w:val="24"/>
        </w:rPr>
        <w:t>乙方凭验收报告向甲方申请付款，甲方根据验收结论，确定是否可以付款。</w:t>
      </w:r>
    </w:p>
    <w:p>
      <w:pPr>
        <w:snapToGrid w:val="0"/>
        <w:spacing w:line="360" w:lineRule="auto"/>
        <w:ind w:firstLine="453" w:firstLineChars="189"/>
        <w:rPr>
          <w:rFonts w:ascii="仿宋" w:hAnsi="仿宋" w:eastAsia="仿宋" w:cs="仿宋"/>
          <w:color w:val="auto"/>
          <w:sz w:val="24"/>
        </w:rPr>
      </w:pPr>
      <w:r>
        <w:rPr>
          <w:rFonts w:hint="eastAsia" w:ascii="仿宋" w:hAnsi="仿宋" w:eastAsia="仿宋" w:cs="仿宋"/>
          <w:color w:val="auto"/>
          <w:sz w:val="24"/>
        </w:rPr>
        <w:t>1）验收合格的，甲方按合同约定的付款方式，支付合同价款；</w:t>
      </w:r>
    </w:p>
    <w:p>
      <w:pPr>
        <w:snapToGrid w:val="0"/>
        <w:spacing w:line="360" w:lineRule="auto"/>
        <w:ind w:firstLine="453" w:firstLineChars="189"/>
        <w:rPr>
          <w:rFonts w:ascii="仿宋" w:hAnsi="仿宋" w:eastAsia="仿宋" w:cs="仿宋"/>
          <w:color w:val="auto"/>
          <w:sz w:val="24"/>
        </w:rPr>
      </w:pPr>
      <w:r>
        <w:rPr>
          <w:rFonts w:hint="eastAsia" w:ascii="仿宋" w:hAnsi="仿宋" w:eastAsia="仿宋" w:cs="仿宋"/>
          <w:color w:val="auto"/>
          <w:sz w:val="24"/>
        </w:rPr>
        <w:t>2）验收不合格的，不予付款，应当通知乙方限期达到合同约定的要求。经验收小组见证整改符合要求后出具整改合格验收结论。给甲方造成损失的，乙方应当承担赔偿责任。</w:t>
      </w:r>
    </w:p>
    <w:p>
      <w:pPr>
        <w:snapToGrid w:val="0"/>
        <w:spacing w:line="360" w:lineRule="auto"/>
        <w:ind w:firstLine="453" w:firstLineChars="189"/>
        <w:rPr>
          <w:rFonts w:ascii="仿宋" w:hAnsi="仿宋" w:eastAsia="仿宋" w:cs="仿宋"/>
          <w:color w:val="auto"/>
          <w:sz w:val="24"/>
        </w:rPr>
      </w:pPr>
      <w:r>
        <w:rPr>
          <w:rFonts w:hint="eastAsia" w:ascii="仿宋" w:hAnsi="仿宋" w:eastAsia="仿宋" w:cs="仿宋"/>
          <w:color w:val="auto"/>
          <w:sz w:val="24"/>
        </w:rPr>
        <w:t>（2）验收标准：根据效力从高到低分别为：国家法律法规条例、国家强制性标准要求、政府采购合同约定、投标文件承诺、评标过程中形成的文字资料、询标纪要、招标文件。当两个或以上部分标准不一致时，以效力高的为准。具体由验收小组制定验收方案时另行确定。</w:t>
      </w:r>
    </w:p>
    <w:p>
      <w:pPr>
        <w:snapToGrid w:val="0"/>
        <w:spacing w:line="360" w:lineRule="auto"/>
        <w:ind w:firstLine="453" w:firstLineChars="189"/>
        <w:rPr>
          <w:rFonts w:ascii="仿宋" w:hAnsi="仿宋" w:eastAsia="仿宋" w:cs="仿宋"/>
          <w:color w:val="auto"/>
          <w:sz w:val="24"/>
        </w:rPr>
      </w:pPr>
    </w:p>
    <w:p>
      <w:pPr>
        <w:snapToGrid w:val="0"/>
        <w:spacing w:line="360" w:lineRule="auto"/>
        <w:ind w:firstLine="453" w:firstLineChars="189"/>
        <w:rPr>
          <w:rFonts w:ascii="仿宋" w:hAnsi="仿宋" w:eastAsia="仿宋" w:cs="仿宋"/>
          <w:color w:val="auto"/>
          <w:sz w:val="24"/>
        </w:rPr>
      </w:pPr>
    </w:p>
    <w:p>
      <w:pPr>
        <w:snapToGrid w:val="0"/>
        <w:spacing w:line="360" w:lineRule="auto"/>
        <w:ind w:firstLine="453" w:firstLineChars="189"/>
        <w:rPr>
          <w:rFonts w:ascii="仿宋" w:hAnsi="仿宋" w:eastAsia="仿宋" w:cs="仿宋"/>
          <w:color w:val="auto"/>
          <w:sz w:val="24"/>
        </w:rPr>
      </w:pPr>
      <w:r>
        <w:rPr>
          <w:rFonts w:hint="eastAsia" w:ascii="仿宋" w:hAnsi="仿宋" w:eastAsia="仿宋" w:cs="仿宋"/>
          <w:color w:val="auto"/>
          <w:sz w:val="24"/>
        </w:rPr>
        <w:t xml:space="preserve"> </w:t>
      </w:r>
    </w:p>
    <w:p>
      <w:pPr>
        <w:pStyle w:val="3"/>
        <w:snapToGrid w:val="0"/>
        <w:spacing w:line="360" w:lineRule="auto"/>
        <w:ind w:firstLine="482"/>
        <w:rPr>
          <w:rFonts w:ascii="仿宋" w:hAnsi="仿宋" w:eastAsia="仿宋" w:cs="仿宋"/>
          <w:b/>
          <w:bCs/>
          <w:color w:val="auto"/>
        </w:rPr>
      </w:pPr>
    </w:p>
    <w:p>
      <w:pPr>
        <w:pStyle w:val="3"/>
        <w:snapToGrid w:val="0"/>
        <w:spacing w:line="360" w:lineRule="auto"/>
        <w:ind w:firstLine="0" w:firstLineChars="0"/>
        <w:rPr>
          <w:rFonts w:ascii="仿宋" w:hAnsi="仿宋" w:eastAsia="仿宋" w:cs="仿宋"/>
          <w:b/>
          <w:bCs/>
          <w:color w:val="auto"/>
        </w:rPr>
      </w:pPr>
    </w:p>
    <w:p>
      <w:pPr>
        <w:pStyle w:val="3"/>
        <w:snapToGrid w:val="0"/>
        <w:spacing w:line="360" w:lineRule="auto"/>
        <w:ind w:firstLine="0" w:firstLineChars="0"/>
        <w:rPr>
          <w:rFonts w:ascii="仿宋" w:hAnsi="仿宋" w:eastAsia="仿宋" w:cs="仿宋"/>
          <w:b/>
          <w:bCs/>
          <w:color w:val="auto"/>
        </w:rPr>
      </w:pPr>
    </w:p>
    <w:p>
      <w:pPr>
        <w:pStyle w:val="3"/>
        <w:snapToGrid w:val="0"/>
        <w:spacing w:line="360" w:lineRule="auto"/>
        <w:ind w:firstLine="0" w:firstLineChars="0"/>
        <w:rPr>
          <w:rFonts w:ascii="仿宋" w:hAnsi="仿宋" w:eastAsia="仿宋" w:cs="仿宋"/>
          <w:b/>
          <w:bCs/>
          <w:color w:val="auto"/>
        </w:rPr>
      </w:pPr>
    </w:p>
    <w:p>
      <w:pPr>
        <w:pStyle w:val="3"/>
        <w:snapToGrid w:val="0"/>
        <w:spacing w:line="360" w:lineRule="auto"/>
        <w:ind w:firstLine="0" w:firstLineChars="0"/>
        <w:rPr>
          <w:rFonts w:ascii="仿宋" w:hAnsi="仿宋" w:eastAsia="仿宋" w:cs="仿宋"/>
          <w:b/>
          <w:bCs/>
          <w:color w:val="auto"/>
        </w:rPr>
      </w:pPr>
      <w:r>
        <w:rPr>
          <w:rFonts w:hint="eastAsia" w:ascii="仿宋" w:hAnsi="仿宋" w:eastAsia="仿宋" w:cs="仿宋"/>
          <w:b/>
          <w:bCs/>
          <w:color w:val="auto"/>
        </w:rPr>
        <w:t>附件2：</w:t>
      </w:r>
    </w:p>
    <w:p>
      <w:pPr>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项目验收报告</w:t>
      </w:r>
    </w:p>
    <w:p>
      <w:pPr>
        <w:widowControl/>
        <w:snapToGrid w:val="0"/>
        <w:spacing w:line="360" w:lineRule="auto"/>
        <w:ind w:firstLine="480" w:firstLineChars="200"/>
        <w:jc w:val="left"/>
        <w:rPr>
          <w:rFonts w:ascii="仿宋" w:hAnsi="仿宋" w:eastAsia="仿宋" w:cs="仿宋"/>
          <w:color w:val="auto"/>
          <w:kern w:val="0"/>
          <w:sz w:val="24"/>
          <w:lang w:bidi="ar"/>
        </w:rPr>
      </w:pPr>
      <w:r>
        <w:rPr>
          <w:rFonts w:hint="eastAsia" w:ascii="仿宋" w:hAnsi="仿宋" w:eastAsia="仿宋" w:cs="仿宋"/>
          <w:color w:val="auto"/>
          <w:kern w:val="0"/>
          <w:sz w:val="24"/>
          <w:lang w:bidi="ar"/>
        </w:rPr>
        <w:t>根据《中华人民共和国政府采购法》、《财政部关于进一步加强政府采购需求和履约验收管理的指导意见》（财库〔2016〕205号）、《浙江省财政厅关于印发浙江省政府采购合同暂行办法的通知》（浙财采监〔2017〕11号）和《杭州市政府采购履约验收暂行办法》（杭财采监〔2019〕10号）等有关规定，（     （代理机构）受      （采购人）委托）就        项目标项  合同履约情况进行验收，具体如下：</w:t>
      </w:r>
    </w:p>
    <w:p>
      <w:pPr>
        <w:widowControl/>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kern w:val="0"/>
          <w:sz w:val="24"/>
          <w:lang w:bidi="ar"/>
        </w:rPr>
        <w:t>一、项目名称：</w:t>
      </w:r>
    </w:p>
    <w:p>
      <w:pPr>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二、用户单位：</w:t>
      </w:r>
    </w:p>
    <w:p>
      <w:pPr>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三、被验收方：</w:t>
      </w:r>
    </w:p>
    <w:p>
      <w:pPr>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四、项目编号：</w:t>
      </w:r>
    </w:p>
    <w:p>
      <w:pPr>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五、合同编号：</w:t>
      </w:r>
    </w:p>
    <w:p>
      <w:pPr>
        <w:snapToGrid w:val="0"/>
        <w:spacing w:line="360" w:lineRule="auto"/>
        <w:ind w:firstLine="482" w:firstLineChars="200"/>
        <w:jc w:val="left"/>
        <w:rPr>
          <w:rFonts w:ascii="仿宋" w:hAnsi="仿宋" w:eastAsia="仿宋" w:cs="仿宋"/>
          <w:color w:val="auto"/>
          <w:sz w:val="24"/>
        </w:rPr>
      </w:pPr>
      <w:r>
        <w:rPr>
          <w:rFonts w:hint="eastAsia" w:ascii="仿宋" w:hAnsi="仿宋" w:eastAsia="仿宋" w:cs="仿宋"/>
          <w:b/>
          <w:bCs/>
          <w:color w:val="auto"/>
          <w:sz w:val="24"/>
        </w:rPr>
        <w:t>六、验收时间：</w:t>
      </w:r>
      <w:r>
        <w:rPr>
          <w:rFonts w:hint="eastAsia" w:ascii="仿宋" w:hAnsi="仿宋" w:eastAsia="仿宋" w:cs="仿宋"/>
          <w:color w:val="auto"/>
          <w:sz w:val="24"/>
        </w:rPr>
        <w:t>20  年  月  日</w:t>
      </w:r>
    </w:p>
    <w:p>
      <w:pPr>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七、实施验收过程基本情况：</w:t>
      </w:r>
    </w:p>
    <w:p>
      <w:pPr>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八、验收人员：</w:t>
      </w:r>
      <w:r>
        <w:rPr>
          <w:rFonts w:hint="eastAsia" w:ascii="仿宋" w:hAnsi="仿宋" w:eastAsia="仿宋" w:cs="仿宋"/>
          <w:color w:val="auto"/>
          <w:sz w:val="24"/>
        </w:rPr>
        <w:t>本项目验收小组成员依法组成，共</w:t>
      </w:r>
      <w:r>
        <w:rPr>
          <w:rFonts w:hint="eastAsia" w:ascii="仿宋" w:hAnsi="仿宋" w:eastAsia="仿宋" w:cs="仿宋"/>
          <w:color w:val="auto"/>
          <w:sz w:val="24"/>
          <w:u w:val="single"/>
        </w:rPr>
        <w:t xml:space="preserve">    </w:t>
      </w:r>
      <w:r>
        <w:rPr>
          <w:rFonts w:hint="eastAsia" w:ascii="仿宋" w:hAnsi="仿宋" w:eastAsia="仿宋" w:cs="仿宋"/>
          <w:color w:val="auto"/>
          <w:sz w:val="24"/>
        </w:rPr>
        <w:t>人。其中相关专业人员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人，用户单位代表</w:t>
      </w:r>
      <w:r>
        <w:rPr>
          <w:rFonts w:hint="eastAsia" w:ascii="仿宋" w:hAnsi="仿宋" w:eastAsia="仿宋" w:cs="仿宋"/>
          <w:color w:val="auto"/>
          <w:sz w:val="24"/>
          <w:u w:val="single"/>
        </w:rPr>
        <w:t xml:space="preserve">    </w:t>
      </w:r>
      <w:r>
        <w:rPr>
          <w:rFonts w:hint="eastAsia" w:ascii="仿宋" w:hAnsi="仿宋" w:eastAsia="仿宋" w:cs="仿宋"/>
          <w:color w:val="auto"/>
          <w:sz w:val="24"/>
        </w:rPr>
        <w:t>人，其它人员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人，名单如下：</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346"/>
        <w:gridCol w:w="3191"/>
        <w:gridCol w:w="1463"/>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Pr>
          <w:p>
            <w:pPr>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725" w:type="pct"/>
          </w:tcPr>
          <w:p>
            <w:pPr>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姓名</w:t>
            </w:r>
          </w:p>
        </w:tc>
        <w:tc>
          <w:tcPr>
            <w:tcW w:w="1718" w:type="pct"/>
          </w:tcPr>
          <w:p>
            <w:pPr>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工作单位</w:t>
            </w:r>
          </w:p>
        </w:tc>
        <w:tc>
          <w:tcPr>
            <w:tcW w:w="788" w:type="pct"/>
          </w:tcPr>
          <w:p>
            <w:pPr>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职称/身份</w:t>
            </w:r>
          </w:p>
        </w:tc>
        <w:tc>
          <w:tcPr>
            <w:tcW w:w="1250" w:type="pct"/>
          </w:tcPr>
          <w:p>
            <w:pPr>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725" w:type="pct"/>
          </w:tcPr>
          <w:p>
            <w:pPr>
              <w:snapToGrid w:val="0"/>
              <w:spacing w:line="360" w:lineRule="auto"/>
              <w:jc w:val="center"/>
              <w:rPr>
                <w:rFonts w:ascii="仿宋" w:hAnsi="仿宋" w:eastAsia="仿宋" w:cs="仿宋"/>
                <w:color w:val="auto"/>
                <w:sz w:val="24"/>
              </w:rPr>
            </w:pPr>
          </w:p>
        </w:tc>
        <w:tc>
          <w:tcPr>
            <w:tcW w:w="1718" w:type="pct"/>
          </w:tcPr>
          <w:p>
            <w:pPr>
              <w:snapToGrid w:val="0"/>
              <w:spacing w:line="360" w:lineRule="auto"/>
              <w:jc w:val="center"/>
              <w:rPr>
                <w:rFonts w:ascii="仿宋" w:hAnsi="仿宋" w:eastAsia="仿宋" w:cs="仿宋"/>
                <w:b/>
                <w:bCs/>
                <w:color w:val="auto"/>
                <w:sz w:val="24"/>
              </w:rPr>
            </w:pPr>
          </w:p>
        </w:tc>
        <w:tc>
          <w:tcPr>
            <w:tcW w:w="788" w:type="pct"/>
          </w:tcPr>
          <w:p>
            <w:pPr>
              <w:snapToGrid w:val="0"/>
              <w:spacing w:line="360" w:lineRule="auto"/>
              <w:jc w:val="center"/>
              <w:rPr>
                <w:rFonts w:ascii="仿宋" w:hAnsi="仿宋" w:eastAsia="仿宋" w:cs="仿宋"/>
                <w:b/>
                <w:bCs/>
                <w:color w:val="auto"/>
                <w:sz w:val="24"/>
              </w:rPr>
            </w:pPr>
          </w:p>
        </w:tc>
        <w:tc>
          <w:tcPr>
            <w:tcW w:w="1250" w:type="pct"/>
          </w:tcPr>
          <w:p>
            <w:pPr>
              <w:snapToGrid w:val="0"/>
              <w:spacing w:line="360" w:lineRule="auto"/>
              <w:jc w:val="center"/>
              <w:rPr>
                <w:rFonts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725" w:type="pct"/>
          </w:tcPr>
          <w:p>
            <w:pPr>
              <w:snapToGrid w:val="0"/>
              <w:spacing w:line="360" w:lineRule="auto"/>
              <w:jc w:val="center"/>
              <w:rPr>
                <w:rFonts w:ascii="仿宋" w:hAnsi="仿宋" w:eastAsia="仿宋" w:cs="仿宋"/>
                <w:color w:val="auto"/>
                <w:sz w:val="24"/>
              </w:rPr>
            </w:pPr>
          </w:p>
        </w:tc>
        <w:tc>
          <w:tcPr>
            <w:tcW w:w="1718" w:type="pct"/>
          </w:tcPr>
          <w:p>
            <w:pPr>
              <w:snapToGrid w:val="0"/>
              <w:spacing w:line="360" w:lineRule="auto"/>
              <w:jc w:val="center"/>
              <w:rPr>
                <w:rFonts w:ascii="仿宋" w:hAnsi="仿宋" w:eastAsia="仿宋" w:cs="仿宋"/>
                <w:b/>
                <w:bCs/>
                <w:color w:val="auto"/>
                <w:sz w:val="24"/>
              </w:rPr>
            </w:pPr>
          </w:p>
        </w:tc>
        <w:tc>
          <w:tcPr>
            <w:tcW w:w="788" w:type="pct"/>
          </w:tcPr>
          <w:p>
            <w:pPr>
              <w:snapToGrid w:val="0"/>
              <w:spacing w:line="360" w:lineRule="auto"/>
              <w:jc w:val="center"/>
              <w:rPr>
                <w:rFonts w:ascii="仿宋" w:hAnsi="仿宋" w:eastAsia="仿宋" w:cs="仿宋"/>
                <w:b/>
                <w:bCs/>
                <w:color w:val="auto"/>
                <w:sz w:val="24"/>
              </w:rPr>
            </w:pPr>
          </w:p>
        </w:tc>
        <w:tc>
          <w:tcPr>
            <w:tcW w:w="1250" w:type="pct"/>
          </w:tcPr>
          <w:p>
            <w:pPr>
              <w:snapToGrid w:val="0"/>
              <w:spacing w:line="360" w:lineRule="auto"/>
              <w:jc w:val="center"/>
              <w:rPr>
                <w:rFonts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725" w:type="pct"/>
          </w:tcPr>
          <w:p>
            <w:pPr>
              <w:snapToGrid w:val="0"/>
              <w:spacing w:line="360" w:lineRule="auto"/>
              <w:jc w:val="center"/>
              <w:rPr>
                <w:rFonts w:ascii="仿宋" w:hAnsi="仿宋" w:eastAsia="仿宋" w:cs="仿宋"/>
                <w:color w:val="auto"/>
                <w:sz w:val="24"/>
              </w:rPr>
            </w:pPr>
          </w:p>
        </w:tc>
        <w:tc>
          <w:tcPr>
            <w:tcW w:w="1718" w:type="pct"/>
          </w:tcPr>
          <w:p>
            <w:pPr>
              <w:snapToGrid w:val="0"/>
              <w:spacing w:line="360" w:lineRule="auto"/>
              <w:jc w:val="center"/>
              <w:rPr>
                <w:rFonts w:ascii="仿宋" w:hAnsi="仿宋" w:eastAsia="仿宋" w:cs="仿宋"/>
                <w:b/>
                <w:bCs/>
                <w:color w:val="auto"/>
                <w:sz w:val="24"/>
              </w:rPr>
            </w:pPr>
          </w:p>
        </w:tc>
        <w:tc>
          <w:tcPr>
            <w:tcW w:w="788" w:type="pct"/>
          </w:tcPr>
          <w:p>
            <w:pPr>
              <w:snapToGrid w:val="0"/>
              <w:spacing w:line="360" w:lineRule="auto"/>
              <w:jc w:val="center"/>
              <w:rPr>
                <w:rFonts w:ascii="仿宋" w:hAnsi="仿宋" w:eastAsia="仿宋" w:cs="仿宋"/>
                <w:b/>
                <w:bCs/>
                <w:color w:val="auto"/>
                <w:sz w:val="24"/>
              </w:rPr>
            </w:pPr>
          </w:p>
        </w:tc>
        <w:tc>
          <w:tcPr>
            <w:tcW w:w="1250" w:type="pct"/>
          </w:tcPr>
          <w:p>
            <w:pPr>
              <w:snapToGrid w:val="0"/>
              <w:spacing w:line="360" w:lineRule="auto"/>
              <w:jc w:val="center"/>
              <w:rPr>
                <w:rFonts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725" w:type="pct"/>
          </w:tcPr>
          <w:p>
            <w:pPr>
              <w:snapToGrid w:val="0"/>
              <w:spacing w:line="360" w:lineRule="auto"/>
              <w:jc w:val="center"/>
              <w:rPr>
                <w:rFonts w:ascii="仿宋" w:hAnsi="仿宋" w:eastAsia="仿宋" w:cs="仿宋"/>
                <w:color w:val="auto"/>
                <w:sz w:val="24"/>
              </w:rPr>
            </w:pPr>
          </w:p>
        </w:tc>
        <w:tc>
          <w:tcPr>
            <w:tcW w:w="1718" w:type="pct"/>
          </w:tcPr>
          <w:p>
            <w:pPr>
              <w:snapToGrid w:val="0"/>
              <w:spacing w:line="360" w:lineRule="auto"/>
              <w:jc w:val="center"/>
              <w:rPr>
                <w:rFonts w:ascii="仿宋" w:hAnsi="仿宋" w:eastAsia="仿宋" w:cs="仿宋"/>
                <w:b/>
                <w:bCs/>
                <w:color w:val="auto"/>
                <w:sz w:val="24"/>
              </w:rPr>
            </w:pPr>
          </w:p>
        </w:tc>
        <w:tc>
          <w:tcPr>
            <w:tcW w:w="788" w:type="pct"/>
          </w:tcPr>
          <w:p>
            <w:pPr>
              <w:snapToGrid w:val="0"/>
              <w:spacing w:line="360" w:lineRule="auto"/>
              <w:jc w:val="center"/>
              <w:rPr>
                <w:rFonts w:ascii="仿宋" w:hAnsi="仿宋" w:eastAsia="仿宋" w:cs="仿宋"/>
                <w:b/>
                <w:bCs/>
                <w:color w:val="auto"/>
                <w:sz w:val="24"/>
              </w:rPr>
            </w:pPr>
          </w:p>
        </w:tc>
        <w:tc>
          <w:tcPr>
            <w:tcW w:w="1250" w:type="pct"/>
          </w:tcPr>
          <w:p>
            <w:pPr>
              <w:snapToGrid w:val="0"/>
              <w:spacing w:line="360" w:lineRule="auto"/>
              <w:jc w:val="center"/>
              <w:rPr>
                <w:rFonts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725" w:type="pct"/>
          </w:tcPr>
          <w:p>
            <w:pPr>
              <w:snapToGrid w:val="0"/>
              <w:spacing w:line="360" w:lineRule="auto"/>
              <w:jc w:val="center"/>
              <w:rPr>
                <w:rFonts w:ascii="仿宋" w:hAnsi="仿宋" w:eastAsia="仿宋" w:cs="仿宋"/>
                <w:color w:val="auto"/>
                <w:sz w:val="24"/>
              </w:rPr>
            </w:pPr>
          </w:p>
        </w:tc>
        <w:tc>
          <w:tcPr>
            <w:tcW w:w="1718" w:type="pct"/>
          </w:tcPr>
          <w:p>
            <w:pPr>
              <w:snapToGrid w:val="0"/>
              <w:spacing w:line="360" w:lineRule="auto"/>
              <w:jc w:val="center"/>
              <w:rPr>
                <w:rFonts w:ascii="仿宋" w:hAnsi="仿宋" w:eastAsia="仿宋" w:cs="仿宋"/>
                <w:b/>
                <w:bCs/>
                <w:color w:val="auto"/>
                <w:sz w:val="24"/>
              </w:rPr>
            </w:pPr>
          </w:p>
        </w:tc>
        <w:tc>
          <w:tcPr>
            <w:tcW w:w="788" w:type="pct"/>
          </w:tcPr>
          <w:p>
            <w:pPr>
              <w:snapToGrid w:val="0"/>
              <w:spacing w:line="360" w:lineRule="auto"/>
              <w:jc w:val="center"/>
              <w:rPr>
                <w:rFonts w:ascii="仿宋" w:hAnsi="仿宋" w:eastAsia="仿宋" w:cs="仿宋"/>
                <w:b/>
                <w:bCs/>
                <w:color w:val="auto"/>
                <w:sz w:val="24"/>
              </w:rPr>
            </w:pPr>
          </w:p>
        </w:tc>
        <w:tc>
          <w:tcPr>
            <w:tcW w:w="1250" w:type="pct"/>
          </w:tcPr>
          <w:p>
            <w:pPr>
              <w:snapToGrid w:val="0"/>
              <w:spacing w:line="360" w:lineRule="auto"/>
              <w:jc w:val="center"/>
              <w:rPr>
                <w:rFonts w:ascii="仿宋" w:hAnsi="仿宋" w:eastAsia="仿宋" w:cs="仿宋"/>
                <w:b/>
                <w:bCs/>
                <w:color w:val="auto"/>
                <w:sz w:val="24"/>
              </w:rPr>
            </w:pPr>
          </w:p>
        </w:tc>
      </w:tr>
    </w:tbl>
    <w:p>
      <w:pPr>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九、验收依据：</w:t>
      </w:r>
      <w:r>
        <w:rPr>
          <w:rFonts w:hint="eastAsia" w:ascii="仿宋" w:hAnsi="仿宋" w:eastAsia="仿宋" w:cs="仿宋"/>
          <w:color w:val="auto"/>
          <w:sz w:val="24"/>
        </w:rPr>
        <w:t>□合同要求 □合同要求+相关标准 □其他_________</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902"/>
        <w:gridCol w:w="3346"/>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tcPr>
          <w:p>
            <w:pPr>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1563" w:type="pct"/>
          </w:tcPr>
          <w:p>
            <w:pPr>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验收事项</w:t>
            </w:r>
          </w:p>
        </w:tc>
        <w:tc>
          <w:tcPr>
            <w:tcW w:w="1802" w:type="pct"/>
          </w:tcPr>
          <w:p>
            <w:pPr>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符合情况</w:t>
            </w:r>
          </w:p>
        </w:tc>
        <w:tc>
          <w:tcPr>
            <w:tcW w:w="1067" w:type="pct"/>
          </w:tcPr>
          <w:p>
            <w:pPr>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563" w:type="pct"/>
          </w:tcPr>
          <w:p>
            <w:pPr>
              <w:snapToGrid w:val="0"/>
              <w:spacing w:line="360" w:lineRule="auto"/>
              <w:jc w:val="center"/>
              <w:rPr>
                <w:rFonts w:ascii="仿宋" w:hAnsi="仿宋" w:eastAsia="仿宋" w:cs="仿宋"/>
                <w:color w:val="auto"/>
                <w:sz w:val="24"/>
              </w:rPr>
            </w:pPr>
          </w:p>
        </w:tc>
        <w:tc>
          <w:tcPr>
            <w:tcW w:w="1802" w:type="pct"/>
          </w:tcPr>
          <w:p>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kern w:val="0"/>
                <w:sz w:val="24"/>
                <w:lang w:bidi="ar"/>
              </w:rPr>
              <w:t>□符合 □基本符合 □不符合</w:t>
            </w:r>
          </w:p>
        </w:tc>
        <w:tc>
          <w:tcPr>
            <w:tcW w:w="1067" w:type="pct"/>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563" w:type="pct"/>
          </w:tcPr>
          <w:p>
            <w:pPr>
              <w:snapToGrid w:val="0"/>
              <w:spacing w:line="360" w:lineRule="auto"/>
              <w:jc w:val="center"/>
              <w:rPr>
                <w:rFonts w:ascii="仿宋" w:hAnsi="仿宋" w:eastAsia="仿宋" w:cs="仿宋"/>
                <w:color w:val="auto"/>
                <w:sz w:val="24"/>
              </w:rPr>
            </w:pPr>
          </w:p>
        </w:tc>
        <w:tc>
          <w:tcPr>
            <w:tcW w:w="1802" w:type="pct"/>
          </w:tcPr>
          <w:p>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kern w:val="0"/>
                <w:sz w:val="24"/>
                <w:lang w:bidi="ar"/>
              </w:rPr>
              <w:t>□符合 □基本符合 □不符合</w:t>
            </w:r>
          </w:p>
        </w:tc>
        <w:tc>
          <w:tcPr>
            <w:tcW w:w="1067" w:type="pct"/>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563" w:type="pct"/>
          </w:tcPr>
          <w:p>
            <w:pPr>
              <w:snapToGrid w:val="0"/>
              <w:spacing w:line="360" w:lineRule="auto"/>
              <w:jc w:val="center"/>
              <w:rPr>
                <w:rFonts w:ascii="仿宋" w:hAnsi="仿宋" w:eastAsia="仿宋" w:cs="仿宋"/>
                <w:color w:val="auto"/>
                <w:sz w:val="24"/>
              </w:rPr>
            </w:pPr>
          </w:p>
        </w:tc>
        <w:tc>
          <w:tcPr>
            <w:tcW w:w="1802" w:type="pct"/>
          </w:tcPr>
          <w:p>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kern w:val="0"/>
                <w:sz w:val="24"/>
                <w:lang w:bidi="ar"/>
              </w:rPr>
              <w:t>□符合 □基本符合 □不符合</w:t>
            </w:r>
          </w:p>
        </w:tc>
        <w:tc>
          <w:tcPr>
            <w:tcW w:w="1067" w:type="pct"/>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563" w:type="pct"/>
          </w:tcPr>
          <w:p>
            <w:pPr>
              <w:snapToGrid w:val="0"/>
              <w:spacing w:line="360" w:lineRule="auto"/>
              <w:jc w:val="center"/>
              <w:rPr>
                <w:rFonts w:ascii="仿宋" w:hAnsi="仿宋" w:eastAsia="仿宋" w:cs="仿宋"/>
                <w:color w:val="auto"/>
                <w:sz w:val="24"/>
              </w:rPr>
            </w:pPr>
          </w:p>
        </w:tc>
        <w:tc>
          <w:tcPr>
            <w:tcW w:w="1802" w:type="pct"/>
          </w:tcPr>
          <w:p>
            <w:pPr>
              <w:snapToGrid w:val="0"/>
              <w:spacing w:line="360" w:lineRule="auto"/>
              <w:jc w:val="center"/>
              <w:rPr>
                <w:rFonts w:ascii="仿宋" w:hAnsi="仿宋" w:eastAsia="仿宋" w:cs="仿宋"/>
                <w:color w:val="auto"/>
                <w:sz w:val="24"/>
              </w:rPr>
            </w:pPr>
          </w:p>
        </w:tc>
        <w:tc>
          <w:tcPr>
            <w:tcW w:w="1067" w:type="pct"/>
          </w:tcPr>
          <w:p>
            <w:pPr>
              <w:snapToGrid w:val="0"/>
              <w:spacing w:line="360" w:lineRule="auto"/>
              <w:jc w:val="center"/>
              <w:rPr>
                <w:rFonts w:ascii="仿宋" w:hAnsi="仿宋" w:eastAsia="仿宋" w:cs="仿宋"/>
                <w:color w:val="auto"/>
                <w:sz w:val="24"/>
              </w:rPr>
            </w:pPr>
          </w:p>
        </w:tc>
      </w:tr>
    </w:tbl>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注：基本符合和不符合情况需在备注中简要描述</w:t>
      </w:r>
    </w:p>
    <w:p>
      <w:pPr>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十、验收意见</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8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jc w:val="center"/>
        </w:trPr>
        <w:tc>
          <w:tcPr>
            <w:tcW w:w="489" w:type="pct"/>
            <w:vAlign w:val="center"/>
          </w:tcPr>
          <w:p>
            <w:pPr>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最终验收意见</w:t>
            </w:r>
          </w:p>
        </w:tc>
        <w:tc>
          <w:tcPr>
            <w:tcW w:w="4510" w:type="pct"/>
          </w:tcPr>
          <w:p>
            <w:pPr>
              <w:widowControl/>
              <w:snapToGrid w:val="0"/>
              <w:spacing w:line="360" w:lineRule="auto"/>
              <w:jc w:val="left"/>
              <w:rPr>
                <w:rFonts w:ascii="仿宋" w:hAnsi="仿宋" w:eastAsia="仿宋" w:cs="仿宋"/>
                <w:color w:val="auto"/>
                <w:sz w:val="24"/>
              </w:rPr>
            </w:pPr>
            <w:r>
              <w:rPr>
                <w:rFonts w:hint="eastAsia" w:ascii="仿宋" w:hAnsi="仿宋" w:eastAsia="仿宋" w:cs="仿宋"/>
                <w:color w:val="auto"/>
                <w:kern w:val="0"/>
                <w:sz w:val="24"/>
                <w:lang w:bidi="ar"/>
              </w:rPr>
              <w:t xml:space="preserve">□本次验收通过。 </w:t>
            </w:r>
          </w:p>
          <w:p>
            <w:pPr>
              <w:widowControl/>
              <w:snapToGrid w:val="0"/>
              <w:spacing w:line="360" w:lineRule="auto"/>
              <w:jc w:val="left"/>
              <w:rPr>
                <w:rFonts w:ascii="仿宋" w:hAnsi="仿宋" w:eastAsia="仿宋" w:cs="仿宋"/>
                <w:color w:val="auto"/>
                <w:sz w:val="24"/>
              </w:rPr>
            </w:pPr>
            <w:r>
              <w:rPr>
                <w:rFonts w:hint="eastAsia" w:ascii="仿宋" w:hAnsi="仿宋" w:eastAsia="仿宋" w:cs="仿宋"/>
                <w:color w:val="auto"/>
                <w:kern w:val="0"/>
                <w:sz w:val="24"/>
                <w:lang w:bidi="ar"/>
              </w:rPr>
              <w:t>□本次验收基本通过，存在不符合情况；在</w:t>
            </w:r>
            <w:r>
              <w:rPr>
                <w:rFonts w:hint="eastAsia" w:ascii="仿宋" w:hAnsi="仿宋" w:eastAsia="仿宋" w:cs="仿宋"/>
                <w:color w:val="auto"/>
                <w:kern w:val="0"/>
                <w:sz w:val="24"/>
                <w:u w:val="single"/>
                <w:lang w:bidi="ar"/>
              </w:rPr>
              <w:t xml:space="preserve">  （期限）</w:t>
            </w:r>
            <w:r>
              <w:rPr>
                <w:rFonts w:hint="eastAsia" w:ascii="仿宋" w:hAnsi="仿宋" w:eastAsia="仿宋" w:cs="仿宋"/>
                <w:color w:val="auto"/>
                <w:kern w:val="0"/>
                <w:sz w:val="24"/>
                <w:lang w:bidi="ar"/>
              </w:rPr>
              <w:t xml:space="preserve">内整改，报验收小组书面验证有效后，予以通过。否则，不通过。 </w:t>
            </w:r>
          </w:p>
          <w:p>
            <w:pPr>
              <w:widowControl/>
              <w:snapToGrid w:val="0"/>
              <w:spacing w:line="360" w:lineRule="auto"/>
              <w:jc w:val="left"/>
              <w:rPr>
                <w:rFonts w:ascii="仿宋" w:hAnsi="仿宋" w:eastAsia="仿宋" w:cs="仿宋"/>
                <w:color w:val="auto"/>
                <w:sz w:val="24"/>
              </w:rPr>
            </w:pPr>
            <w:r>
              <w:rPr>
                <w:rFonts w:hint="eastAsia" w:ascii="仿宋" w:hAnsi="仿宋" w:eastAsia="仿宋" w:cs="仿宋"/>
                <w:color w:val="auto"/>
                <w:kern w:val="0"/>
                <w:sz w:val="24"/>
                <w:lang w:bidi="ar"/>
              </w:rPr>
              <w:t>□本次验收基本通过，存在不符合情况；在</w:t>
            </w:r>
            <w:r>
              <w:rPr>
                <w:rFonts w:hint="eastAsia" w:ascii="仿宋" w:hAnsi="仿宋" w:eastAsia="仿宋" w:cs="仿宋"/>
                <w:color w:val="auto"/>
                <w:kern w:val="0"/>
                <w:sz w:val="24"/>
                <w:u w:val="single"/>
                <w:lang w:bidi="ar"/>
              </w:rPr>
              <w:t xml:space="preserve">  （期限）</w:t>
            </w:r>
            <w:r>
              <w:rPr>
                <w:rFonts w:hint="eastAsia" w:ascii="仿宋" w:hAnsi="仿宋" w:eastAsia="仿宋" w:cs="仿宋"/>
                <w:color w:val="auto"/>
                <w:kern w:val="0"/>
                <w:sz w:val="24"/>
                <w:lang w:bidi="ar"/>
              </w:rPr>
              <w:t xml:space="preserve">内整改，报验收小组现场验证有效后，予以通过。否则，不通过。 </w:t>
            </w:r>
          </w:p>
          <w:p>
            <w:pPr>
              <w:widowControl/>
              <w:snapToGrid w:val="0"/>
              <w:spacing w:line="360" w:lineRule="auto"/>
              <w:jc w:val="left"/>
              <w:rPr>
                <w:rFonts w:ascii="仿宋" w:hAnsi="仿宋" w:eastAsia="仿宋" w:cs="仿宋"/>
                <w:color w:val="auto"/>
                <w:sz w:val="24"/>
              </w:rPr>
            </w:pPr>
            <w:r>
              <w:rPr>
                <w:rFonts w:hint="eastAsia" w:ascii="仿宋" w:hAnsi="仿宋" w:eastAsia="仿宋" w:cs="仿宋"/>
                <w:color w:val="auto"/>
                <w:kern w:val="0"/>
                <w:sz w:val="24"/>
                <w:lang w:bidi="ar"/>
              </w:rPr>
              <w:t xml:space="preserve">□本次现场验收，存在严重不符合情况；验收不通过。 </w:t>
            </w:r>
          </w:p>
          <w:p>
            <w:pPr>
              <w:widowControl/>
              <w:snapToGrid w:val="0"/>
              <w:spacing w:line="360" w:lineRule="auto"/>
              <w:jc w:val="left"/>
              <w:rPr>
                <w:rFonts w:ascii="仿宋" w:hAnsi="仿宋" w:eastAsia="仿宋" w:cs="仿宋"/>
                <w:color w:val="auto"/>
                <w:sz w:val="24"/>
              </w:rPr>
            </w:pPr>
            <w:r>
              <w:rPr>
                <w:rFonts w:hint="eastAsia" w:ascii="仿宋" w:hAnsi="仿宋" w:eastAsia="仿宋" w:cs="仿宋"/>
                <w:color w:val="auto"/>
                <w:kern w:val="0"/>
                <w:sz w:val="24"/>
                <w:lang w:bidi="ar"/>
              </w:rPr>
              <w:t>其他需要说明的情况：</w:t>
            </w:r>
          </w:p>
          <w:p>
            <w:pPr>
              <w:snapToGrid w:val="0"/>
              <w:spacing w:line="360" w:lineRule="auto"/>
              <w:jc w:val="left"/>
              <w:rPr>
                <w:rFonts w:ascii="仿宋" w:hAnsi="仿宋" w:eastAsia="仿宋" w:cs="仿宋"/>
                <w:b/>
                <w:bCs/>
                <w:color w:val="auto"/>
                <w:sz w:val="24"/>
              </w:rPr>
            </w:pPr>
          </w:p>
        </w:tc>
      </w:tr>
    </w:tbl>
    <w:p>
      <w:pPr>
        <w:snapToGrid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十一、验收小组成员签字：</w:t>
      </w:r>
    </w:p>
    <w:p>
      <w:pPr>
        <w:snapToGrid w:val="0"/>
        <w:spacing w:line="360" w:lineRule="auto"/>
        <w:ind w:firstLine="482" w:firstLineChars="200"/>
        <w:jc w:val="left"/>
        <w:rPr>
          <w:rFonts w:ascii="仿宋" w:hAnsi="仿宋" w:eastAsia="仿宋" w:cs="仿宋"/>
          <w:b/>
          <w:bCs/>
          <w:color w:val="auto"/>
          <w:sz w:val="24"/>
        </w:rPr>
      </w:pPr>
    </w:p>
    <w:p>
      <w:pPr>
        <w:snapToGrid w:val="0"/>
        <w:spacing w:line="360" w:lineRule="auto"/>
        <w:ind w:firstLine="482" w:firstLineChars="200"/>
        <w:jc w:val="left"/>
        <w:rPr>
          <w:rFonts w:ascii="仿宋" w:hAnsi="仿宋" w:eastAsia="仿宋" w:cs="仿宋"/>
          <w:b/>
          <w:bCs/>
          <w:color w:val="auto"/>
          <w:sz w:val="24"/>
        </w:rPr>
      </w:pPr>
    </w:p>
    <w:p>
      <w:pPr>
        <w:snapToGrid w:val="0"/>
        <w:spacing w:line="360" w:lineRule="auto"/>
        <w:ind w:firstLine="482" w:firstLineChars="200"/>
        <w:jc w:val="left"/>
        <w:rPr>
          <w:rFonts w:ascii="仿宋" w:hAnsi="仿宋" w:eastAsia="仿宋" w:cs="仿宋"/>
          <w:b/>
          <w:bCs/>
          <w:color w:val="auto"/>
          <w:sz w:val="24"/>
        </w:rPr>
      </w:pPr>
    </w:p>
    <w:p>
      <w:pPr>
        <w:snapToGrid w:val="0"/>
        <w:spacing w:line="360" w:lineRule="auto"/>
        <w:ind w:firstLine="482" w:firstLineChars="200"/>
        <w:jc w:val="left"/>
        <w:rPr>
          <w:rFonts w:ascii="仿宋" w:hAnsi="仿宋" w:eastAsia="仿宋" w:cs="仿宋"/>
          <w:b/>
          <w:bCs/>
          <w:color w:val="auto"/>
          <w:sz w:val="24"/>
        </w:rPr>
      </w:pPr>
    </w:p>
    <w:p>
      <w:pPr>
        <w:snapToGrid w:val="0"/>
        <w:spacing w:line="360" w:lineRule="auto"/>
        <w:jc w:val="right"/>
        <w:rPr>
          <w:rFonts w:ascii="仿宋" w:hAnsi="仿宋" w:eastAsia="仿宋" w:cs="仿宋"/>
          <w:b/>
          <w:color w:val="auto"/>
          <w:sz w:val="24"/>
        </w:rPr>
      </w:pPr>
      <w:r>
        <w:rPr>
          <w:rFonts w:hint="eastAsia" w:ascii="仿宋" w:hAnsi="仿宋" w:eastAsia="仿宋" w:cs="仿宋"/>
          <w:b/>
          <w:bCs/>
          <w:color w:val="auto"/>
          <w:sz w:val="24"/>
        </w:rPr>
        <w:t>20  年  月  日</w:t>
      </w:r>
    </w:p>
    <w:p>
      <w:pPr>
        <w:snapToGrid w:val="0"/>
        <w:spacing w:line="360" w:lineRule="auto"/>
        <w:rPr>
          <w:rFonts w:ascii="仿宋" w:hAnsi="仿宋" w:eastAsia="仿宋" w:cs="仿宋"/>
          <w:b/>
          <w:color w:val="auto"/>
          <w:sz w:val="24"/>
        </w:rPr>
      </w:pPr>
      <w:r>
        <w:rPr>
          <w:rFonts w:hint="eastAsia" w:ascii="仿宋" w:hAnsi="仿宋" w:eastAsia="仿宋" w:cs="仿宋"/>
          <w:b/>
          <w:color w:val="auto"/>
          <w:sz w:val="24"/>
        </w:rPr>
        <w:br w:type="page"/>
      </w:r>
    </w:p>
    <w:p>
      <w:pPr>
        <w:snapToGrid w:val="0"/>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2"/>
      <w:r>
        <w:rPr>
          <w:rFonts w:ascii="仿宋" w:hAnsi="仿宋" w:eastAsia="仿宋" w:cs="仿宋_GB2312"/>
          <w:b/>
          <w:color w:val="auto"/>
          <w:sz w:val="36"/>
          <w:szCs w:val="20"/>
        </w:rPr>
        <w:t xml:space="preserve"> </w:t>
      </w:r>
      <w:bookmarkEnd w:id="393"/>
      <w:r>
        <w:rPr>
          <w:rFonts w:hint="eastAsia" w:ascii="仿宋" w:hAnsi="仿宋" w:eastAsia="仿宋" w:cs="仿宋_GB2312"/>
          <w:b/>
          <w:color w:val="auto"/>
          <w:sz w:val="36"/>
          <w:szCs w:val="20"/>
        </w:rPr>
        <w:t>应提交的有关格式范例</w:t>
      </w:r>
    </w:p>
    <w:p>
      <w:pPr>
        <w:snapToGrid w:val="0"/>
        <w:spacing w:line="360" w:lineRule="auto"/>
        <w:jc w:val="center"/>
        <w:outlineLvl w:val="0"/>
        <w:rPr>
          <w:rFonts w:ascii="仿宋_GB2312" w:hAnsi="仿宋" w:eastAsia="仿宋_GB2312" w:cs="仿宋_GB2312"/>
          <w:b/>
          <w:color w:val="auto"/>
          <w:kern w:val="0"/>
          <w:sz w:val="36"/>
          <w:szCs w:val="36"/>
        </w:rPr>
      </w:pPr>
    </w:p>
    <w:p>
      <w:pPr>
        <w:snapToGrid w:val="0"/>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napToGrid w:val="0"/>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napToGrid w:val="0"/>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napToGrid w:val="0"/>
        <w:spacing w:line="360" w:lineRule="auto"/>
        <w:ind w:firstLine="480" w:firstLineChars="200"/>
        <w:rPr>
          <w:rFonts w:ascii="仿宋_GB2312" w:hAnsi="仿宋" w:eastAsia="仿宋_GB2312" w:cs="仿宋_GB2312"/>
          <w:color w:val="auto"/>
          <w:sz w:val="24"/>
        </w:rPr>
      </w:pPr>
    </w:p>
    <w:p>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olor w:val="auto"/>
          <w:sz w:val="24"/>
        </w:rPr>
        <w:t>杭州图书馆</w:t>
      </w:r>
      <w:r>
        <w:rPr>
          <w:rFonts w:hint="eastAsia" w:ascii="仿宋_GB2312" w:hAnsi="仿宋" w:eastAsia="仿宋_GB2312" w:cs="仿宋_GB2312"/>
          <w:color w:val="auto"/>
          <w:sz w:val="24"/>
        </w:rPr>
        <w:t>、</w:t>
      </w:r>
      <w:r>
        <w:rPr>
          <w:rFonts w:hint="eastAsia" w:ascii="仿宋_GB2312" w:hAnsi="仿宋" w:eastAsia="仿宋_GB2312"/>
          <w:color w:val="auto"/>
          <w:sz w:val="24"/>
          <w:lang w:eastAsia="zh-CN"/>
        </w:rPr>
        <w:t>东方经纬项目管理有限公司</w:t>
      </w:r>
      <w:r>
        <w:rPr>
          <w:rFonts w:hint="eastAsia" w:ascii="仿宋_GB2312" w:hAnsi="仿宋" w:eastAsia="仿宋_GB2312" w:cs="仿宋_GB2312"/>
          <w:color w:val="auto"/>
          <w:sz w:val="24"/>
        </w:rPr>
        <w:t>：</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lang w:eastAsia="zh-CN"/>
        </w:rPr>
        <w:t>ZJJW2022-SC-008</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具有良好的商业信誉和健全的财务会计制度；</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r>
        <w:rPr>
          <w:rFonts w:hint="eastAsia" w:ascii="仿宋_GB2312" w:hAnsi="仿宋" w:eastAsia="仿宋_GB2312" w:cs="仿宋_GB2312"/>
          <w:color w:val="auto"/>
          <w:sz w:val="24"/>
          <w:lang w:eastAsia="zh-CN"/>
        </w:rPr>
        <w:t>。</w:t>
      </w:r>
    </w:p>
    <w:p>
      <w:pPr>
        <w:snapToGrid w:val="0"/>
        <w:spacing w:line="360" w:lineRule="auto"/>
        <w:ind w:firstLine="5520" w:firstLineChars="2300"/>
        <w:rPr>
          <w:rFonts w:ascii="仿宋_GB2312" w:hAnsi="仿宋" w:eastAsia="仿宋_GB2312" w:cs="仿宋_GB2312"/>
          <w:color w:val="auto"/>
          <w:kern w:val="0"/>
          <w:sz w:val="24"/>
          <w:lang w:val="zh-CN"/>
        </w:rPr>
      </w:pPr>
    </w:p>
    <w:p>
      <w:pPr>
        <w:snapToGrid w:val="0"/>
        <w:spacing w:line="360" w:lineRule="auto"/>
        <w:ind w:firstLine="5520" w:firstLineChars="2300"/>
        <w:rPr>
          <w:rFonts w:ascii="仿宋_GB2312" w:hAnsi="仿宋" w:eastAsia="仿宋_GB2312" w:cs="仿宋_GB2312"/>
          <w:color w:val="auto"/>
          <w:kern w:val="0"/>
          <w:sz w:val="24"/>
          <w:lang w:val="zh-CN"/>
        </w:rPr>
      </w:pP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napToGrid w:val="0"/>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widowControl/>
        <w:snapToGrid w:val="0"/>
        <w:spacing w:line="360" w:lineRule="auto"/>
        <w:ind w:firstLine="480"/>
        <w:jc w:val="left"/>
        <w:rPr>
          <w:rFonts w:ascii="仿宋_GB2312" w:hAnsi="宋体" w:eastAsia="仿宋_GB2312"/>
          <w:color w:val="auto"/>
          <w:sz w:val="24"/>
        </w:rPr>
      </w:pPr>
    </w:p>
    <w:p>
      <w:pPr>
        <w:widowControl/>
        <w:snapToGrid w:val="0"/>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lang w:eastAsia="zh-CN"/>
        </w:rPr>
        <w:t>ZJJW2022-SC-008</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firstLine="480" w:firstLineChars="200"/>
        <w:rPr>
          <w:rFonts w:ascii="仿宋_GB2312" w:hAnsi="仿宋" w:eastAsia="仿宋_GB2312" w:cs="仿宋_GB2312"/>
          <w:color w:val="auto"/>
          <w:sz w:val="24"/>
        </w:rPr>
      </w:pPr>
    </w:p>
    <w:p>
      <w:pPr>
        <w:snapToGrid w:val="0"/>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napToGrid w:val="0"/>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lang w:eastAsia="zh-CN"/>
        </w:rPr>
        <w:t>ZJJW2022-SC-008</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adjustRightInd w:val="0"/>
        <w:snapToGrid w:val="0"/>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napToGrid w:val="0"/>
        <w:spacing w:line="360" w:lineRule="auto"/>
        <w:ind w:left="150"/>
        <w:jc w:val="center"/>
        <w:rPr>
          <w:rFonts w:ascii="仿宋_GB2312" w:hAnsi="仿宋" w:eastAsia="仿宋_GB2312" w:cs="仿宋_GB2312"/>
          <w:b/>
          <w:color w:val="auto"/>
          <w:kern w:val="0"/>
          <w:sz w:val="32"/>
          <w:szCs w:val="32"/>
        </w:rPr>
      </w:pPr>
    </w:p>
    <w:p>
      <w:pPr>
        <w:widowControl/>
        <w:snapToGrid w:val="0"/>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napToGrid w:val="0"/>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snapToGrid w:val="0"/>
        <w:spacing w:line="360" w:lineRule="auto"/>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20"/>
        <w:jc w:val="center"/>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napToGrid w:val="0"/>
        <w:spacing w:line="360" w:lineRule="auto"/>
        <w:jc w:val="center"/>
        <w:outlineLvl w:val="0"/>
        <w:rPr>
          <w:rFonts w:ascii="仿宋_GB2312" w:hAnsi="仿宋" w:eastAsia="仿宋_GB2312" w:cs="仿宋_GB2312"/>
          <w:b/>
          <w:color w:val="auto"/>
          <w:kern w:val="0"/>
          <w:sz w:val="24"/>
        </w:rPr>
      </w:pPr>
    </w:p>
    <w:p>
      <w:pPr>
        <w:snapToGrid w:val="0"/>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numPr>
          <w:ilvl w:val="0"/>
          <w:numId w:val="0"/>
        </w:numPr>
        <w:snapToGrid w:val="0"/>
        <w:spacing w:line="360" w:lineRule="auto"/>
        <w:rPr>
          <w:rFonts w:hint="eastAsia" w:ascii="仿宋" w:hAnsi="仿宋" w:eastAsia="仿宋" w:cs="仿宋"/>
          <w:color w:val="auto"/>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1</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投标函</w:t>
      </w:r>
      <w:r>
        <w:rPr>
          <w:rFonts w:hint="eastAsia" w:cs="仿宋_GB2312"/>
          <w:color w:val="auto"/>
        </w:rPr>
        <w:t>……………………………………………………………………………………（</w:t>
      </w:r>
      <w:r>
        <w:rPr>
          <w:rFonts w:hint="eastAsia" w:ascii="仿宋" w:hAnsi="仿宋" w:eastAsia="仿宋" w:cs="仿宋"/>
          <w:color w:val="auto"/>
        </w:rPr>
        <w:t>页码）</w:t>
      </w:r>
    </w:p>
    <w:p>
      <w:pPr>
        <w:numPr>
          <w:ilvl w:val="0"/>
          <w:numId w:val="0"/>
        </w:numPr>
        <w:snapToGrid w:val="0"/>
        <w:spacing w:line="360" w:lineRule="auto"/>
        <w:rPr>
          <w:rFonts w:ascii="仿宋" w:hAnsi="仿宋" w:eastAsia="仿宋" w:cs="仿宋"/>
          <w:color w:val="auto"/>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授权委托书或法定代表人（单位负责人、自然人本人）身份证明</w:t>
      </w:r>
      <w:r>
        <w:rPr>
          <w:rFonts w:hint="eastAsia" w:ascii="仿宋" w:hAnsi="仿宋" w:eastAsia="仿宋" w:cs="仿宋"/>
          <w:color w:val="auto"/>
        </w:rPr>
        <w:t>………（页码）</w:t>
      </w:r>
    </w:p>
    <w:p>
      <w:pPr>
        <w:snapToGrid w:val="0"/>
        <w:spacing w:line="360" w:lineRule="auto"/>
        <w:rPr>
          <w:rFonts w:ascii="仿宋" w:hAnsi="仿宋" w:eastAsia="仿宋" w:cs="仿宋"/>
          <w:color w:val="auto"/>
        </w:rPr>
      </w:pPr>
      <w:r>
        <w:rPr>
          <w:rFonts w:hint="eastAsia" w:ascii="仿宋" w:hAnsi="仿宋" w:eastAsia="仿宋" w:cs="仿宋"/>
          <w:color w:val="auto"/>
          <w:sz w:val="24"/>
        </w:rPr>
        <w:t>（3）联合协议</w:t>
      </w:r>
      <w:r>
        <w:rPr>
          <w:rFonts w:hint="eastAsia" w:ascii="仿宋" w:hAnsi="仿宋" w:eastAsia="仿宋" w:cs="仿宋"/>
          <w:color w:val="auto"/>
        </w:rPr>
        <w:t>……………………………………………………………………</w:t>
      </w:r>
      <w:r>
        <w:rPr>
          <w:rFonts w:hint="eastAsia" w:cs="仿宋_GB2312"/>
          <w:color w:val="auto"/>
        </w:rPr>
        <w:t>…</w:t>
      </w:r>
      <w:r>
        <w:rPr>
          <w:rFonts w:hint="eastAsia" w:ascii="仿宋" w:hAnsi="仿宋" w:eastAsia="仿宋" w:cs="仿宋"/>
          <w:color w:val="auto"/>
        </w:rPr>
        <w:t>…………（页码）</w:t>
      </w:r>
    </w:p>
    <w:p>
      <w:pPr>
        <w:snapToGrid w:val="0"/>
        <w:spacing w:line="360" w:lineRule="auto"/>
        <w:rPr>
          <w:rFonts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w:t>
      </w:r>
      <w:r>
        <w:rPr>
          <w:rFonts w:hint="eastAsia" w:cs="仿宋_GB2312"/>
          <w:color w:val="auto"/>
        </w:rPr>
        <w:t>…</w:t>
      </w:r>
      <w:r>
        <w:rPr>
          <w:rFonts w:hint="eastAsia" w:ascii="仿宋" w:hAnsi="仿宋" w:eastAsia="仿宋" w:cs="仿宋"/>
          <w:color w:val="auto"/>
        </w:rPr>
        <w:t>…………（页码）</w:t>
      </w:r>
    </w:p>
    <w:p>
      <w:pPr>
        <w:snapToGrid w:val="0"/>
        <w:spacing w:line="360" w:lineRule="auto"/>
        <w:rPr>
          <w:rFonts w:ascii="仿宋" w:hAnsi="仿宋" w:eastAsia="仿宋" w:cs="仿宋"/>
          <w:color w:val="auto"/>
        </w:rPr>
      </w:pPr>
      <w:r>
        <w:rPr>
          <w:rFonts w:hint="eastAsia" w:ascii="仿宋" w:hAnsi="仿宋" w:eastAsia="仿宋" w:cs="仿宋"/>
          <w:color w:val="auto"/>
          <w:sz w:val="24"/>
        </w:rPr>
        <w:t>（5）符合性审查资料</w:t>
      </w:r>
      <w:r>
        <w:rPr>
          <w:rFonts w:hint="eastAsia" w:ascii="仿宋" w:hAnsi="仿宋" w:eastAsia="仿宋" w:cs="仿宋"/>
          <w:color w:val="auto"/>
        </w:rPr>
        <w:t>……………………………………………………………</w:t>
      </w:r>
      <w:r>
        <w:rPr>
          <w:rFonts w:hint="eastAsia" w:cs="仿宋_GB2312"/>
          <w:color w:val="auto"/>
        </w:rPr>
        <w:t>…</w:t>
      </w:r>
      <w:r>
        <w:rPr>
          <w:rFonts w:hint="eastAsia" w:ascii="仿宋" w:hAnsi="仿宋" w:eastAsia="仿宋" w:cs="仿宋"/>
          <w:color w:val="auto"/>
        </w:rPr>
        <w:t>…………（页码）</w:t>
      </w:r>
    </w:p>
    <w:p>
      <w:pPr>
        <w:snapToGrid w:val="0"/>
        <w:spacing w:line="360" w:lineRule="auto"/>
        <w:rPr>
          <w:rFonts w:ascii="仿宋" w:hAnsi="仿宋" w:eastAsia="仿宋" w:cs="仿宋"/>
          <w:color w:val="auto"/>
        </w:rPr>
      </w:pPr>
      <w:r>
        <w:rPr>
          <w:rFonts w:hint="eastAsia" w:ascii="仿宋" w:hAnsi="仿宋" w:eastAsia="仿宋" w:cs="仿宋"/>
          <w:color w:val="auto"/>
          <w:sz w:val="24"/>
        </w:rPr>
        <w:t>（6）评标标准相应的商务技术资料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cs="仿宋_GB2312"/>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rPr>
          <w:rFonts w:ascii="仿宋" w:hAnsi="仿宋" w:eastAsia="仿宋" w:cs="仿宋"/>
          <w:color w:val="auto"/>
        </w:rPr>
      </w:pPr>
      <w:r>
        <w:rPr>
          <w:rFonts w:hint="eastAsia" w:ascii="仿宋" w:hAnsi="仿宋" w:eastAsia="仿宋" w:cs="仿宋"/>
          <w:color w:val="auto"/>
          <w:sz w:val="24"/>
        </w:rPr>
        <w:t>（7）商务技术偏离表</w:t>
      </w:r>
      <w:r>
        <w:rPr>
          <w:rFonts w:hint="eastAsia" w:ascii="仿宋" w:hAnsi="仿宋" w:eastAsia="仿宋" w:cs="仿宋"/>
          <w:color w:val="auto"/>
        </w:rPr>
        <w:t>………………………………………………………</w:t>
      </w:r>
      <w:r>
        <w:rPr>
          <w:rFonts w:hint="eastAsia" w:cs="仿宋_GB2312"/>
          <w:color w:val="auto"/>
        </w:rPr>
        <w:t>…</w:t>
      </w:r>
      <w:r>
        <w:rPr>
          <w:rFonts w:hint="eastAsia" w:ascii="仿宋" w:hAnsi="仿宋" w:eastAsia="仿宋" w:cs="仿宋"/>
          <w:color w:val="auto"/>
        </w:rPr>
        <w:t>………</w:t>
      </w:r>
      <w:r>
        <w:rPr>
          <w:rFonts w:hint="eastAsia" w:cs="仿宋_GB2312"/>
          <w:color w:val="auto"/>
        </w:rPr>
        <w:t>…</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w:t>
      </w:r>
      <w:r>
        <w:rPr>
          <w:rFonts w:hint="eastAsia" w:cs="仿宋_GB2312"/>
          <w:color w:val="auto"/>
        </w:rPr>
        <w:t>…</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）政府采购活动</w:t>
      </w:r>
      <w:r>
        <w:rPr>
          <w:rFonts w:hint="eastAsia" w:ascii="仿宋" w:hAnsi="仿宋" w:eastAsia="仿宋" w:cs="仿宋"/>
          <w:color w:val="auto"/>
          <w:sz w:val="24"/>
          <w:lang w:val="zh-CN" w:eastAsia="zh-CN"/>
        </w:rPr>
        <w:t>现场确认声明书</w:t>
      </w:r>
      <w:r>
        <w:rPr>
          <w:rFonts w:hint="eastAsia" w:ascii="仿宋" w:hAnsi="仿宋" w:eastAsia="仿宋" w:cs="仿宋"/>
          <w:color w:val="auto"/>
        </w:rPr>
        <w:t>………………………………………</w:t>
      </w:r>
      <w:r>
        <w:rPr>
          <w:rFonts w:hint="eastAsia" w:cs="仿宋_GB2312"/>
          <w:color w:val="auto"/>
        </w:rPr>
        <w:t>……</w:t>
      </w:r>
      <w:r>
        <w:rPr>
          <w:rFonts w:hint="eastAsia" w:ascii="仿宋" w:hAnsi="仿宋" w:eastAsia="仿宋" w:cs="仿宋"/>
          <w:color w:val="auto"/>
        </w:rPr>
        <w:t>…………（页码）</w:t>
      </w:r>
    </w:p>
    <w:p>
      <w:pPr>
        <w:pStyle w:val="25"/>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olor w:val="auto"/>
          <w:sz w:val="24"/>
        </w:rPr>
        <w:t>杭州图书馆</w:t>
      </w:r>
      <w:r>
        <w:rPr>
          <w:rFonts w:hint="eastAsia" w:ascii="仿宋_GB2312" w:hAnsi="仿宋" w:eastAsia="仿宋_GB2312" w:cs="仿宋_GB2312"/>
          <w:color w:val="auto"/>
          <w:sz w:val="24"/>
        </w:rPr>
        <w:t>、</w:t>
      </w:r>
      <w:r>
        <w:rPr>
          <w:rFonts w:hint="eastAsia" w:ascii="仿宋_GB2312" w:hAnsi="仿宋" w:eastAsia="仿宋_GB2312"/>
          <w:color w:val="auto"/>
          <w:sz w:val="24"/>
          <w:lang w:eastAsia="zh-CN"/>
        </w:rPr>
        <w:t>东方经纬项目管理有限公司</w:t>
      </w:r>
      <w:r>
        <w:rPr>
          <w:rFonts w:hint="eastAsia" w:ascii="仿宋_GB2312" w:hAnsi="仿宋" w:eastAsia="仿宋_GB2312" w:cs="仿宋_GB2312"/>
          <w:color w:val="auto"/>
          <w:sz w:val="24"/>
        </w:rPr>
        <w:t>：</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lang w:eastAsia="zh-CN"/>
        </w:rPr>
        <w:t>ZJJW2022-SC-008</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4.4在合同约定的期限内完成合同规定的全部义务</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pStyle w:val="3"/>
        <w:ind w:firstLine="720" w:firstLineChars="300"/>
        <w:rPr>
          <w:rFonts w:ascii="仿宋_GB2312" w:hAnsi="仿宋" w:eastAsia="仿宋_GB2312" w:cs="仿宋_GB2312"/>
          <w:color w:val="auto"/>
        </w:rPr>
      </w:pPr>
      <w:r>
        <w:rPr>
          <w:rFonts w:hint="eastAsia" w:ascii="仿宋_GB2312" w:hAnsi="仿宋" w:eastAsia="仿宋_GB2312" w:cs="仿宋_GB2312"/>
          <w:color w:val="auto"/>
        </w:rPr>
        <w:t>4.5按照招标文件关于采购代理服务费的规定按时足额支付费用。</w:t>
      </w:r>
    </w:p>
    <w:p>
      <w:pPr>
        <w:pStyle w:val="3"/>
        <w:ind w:firstLine="720" w:firstLineChars="300"/>
        <w:rPr>
          <w:rFonts w:ascii="仿宋_GB2312" w:hAnsi="仿宋" w:eastAsia="仿宋_GB2312" w:cs="仿宋_GB2312"/>
          <w:color w:val="auto"/>
        </w:rPr>
      </w:pPr>
      <w:r>
        <w:rPr>
          <w:rFonts w:ascii="仿宋_GB2312" w:hAnsi="仿宋" w:eastAsia="仿宋_GB2312" w:cs="仿宋_GB2312"/>
          <w:color w:val="auto"/>
        </w:rPr>
        <w:t>5、其他补充说明:</w:t>
      </w:r>
      <w:r>
        <w:rPr>
          <w:rFonts w:ascii="仿宋_GB2312" w:hAnsi="仿宋" w:eastAsia="仿宋_GB2312" w:cs="仿宋_GB2312"/>
          <w:color w:val="auto"/>
          <w:u w:val="single"/>
        </w:rPr>
        <w:t xml:space="preserve">                                        </w:t>
      </w:r>
      <w:r>
        <w:rPr>
          <w:rFonts w:hint="eastAsia" w:ascii="仿宋_GB2312" w:hAnsi="仿宋" w:eastAsia="仿宋_GB2312" w:cs="仿宋_GB2312"/>
          <w:color w:val="auto"/>
        </w:rPr>
        <w:t>。</w:t>
      </w:r>
    </w:p>
    <w:p>
      <w:pPr>
        <w:snapToGrid w:val="0"/>
        <w:spacing w:line="360" w:lineRule="auto"/>
        <w:ind w:firstLine="3600" w:firstLineChars="1500"/>
        <w:rPr>
          <w:rFonts w:ascii="仿宋_GB2312" w:hAnsi="仿宋" w:eastAsia="仿宋_GB2312" w:cs="仿宋_GB2312"/>
          <w:color w:val="auto"/>
          <w:sz w:val="24"/>
        </w:rPr>
      </w:pPr>
    </w:p>
    <w:p>
      <w:pPr>
        <w:snapToGrid w:val="0"/>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olor w:val="auto"/>
          <w:sz w:val="24"/>
        </w:rPr>
        <w:t>杭州图书馆</w:t>
      </w:r>
      <w:r>
        <w:rPr>
          <w:rFonts w:hint="eastAsia" w:ascii="仿宋_GB2312" w:hAnsi="仿宋" w:eastAsia="仿宋_GB2312" w:cs="仿宋_GB2312"/>
          <w:color w:val="auto"/>
          <w:sz w:val="24"/>
        </w:rPr>
        <w:t>、</w:t>
      </w:r>
      <w:r>
        <w:rPr>
          <w:rFonts w:hint="eastAsia" w:ascii="仿宋_GB2312" w:hAnsi="仿宋" w:eastAsia="仿宋_GB2312"/>
          <w:color w:val="auto"/>
          <w:sz w:val="24"/>
          <w:lang w:eastAsia="zh-CN"/>
        </w:rPr>
        <w:t>东方经纬项目管理有限公司</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lang w:eastAsia="zh-CN"/>
        </w:rPr>
        <w:t>ZJJW2022-SC-008</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olor w:val="auto"/>
          <w:sz w:val="24"/>
        </w:rPr>
        <w:t>杭州图书馆</w:t>
      </w:r>
      <w:r>
        <w:rPr>
          <w:rFonts w:hint="eastAsia" w:ascii="仿宋_GB2312" w:hAnsi="仿宋" w:eastAsia="仿宋_GB2312" w:cs="仿宋_GB2312"/>
          <w:color w:val="auto"/>
          <w:sz w:val="24"/>
        </w:rPr>
        <w:t>、</w:t>
      </w:r>
      <w:r>
        <w:rPr>
          <w:rFonts w:hint="eastAsia" w:ascii="仿宋_GB2312" w:hAnsi="仿宋" w:eastAsia="仿宋_GB2312"/>
          <w:color w:val="auto"/>
          <w:sz w:val="24"/>
          <w:lang w:eastAsia="zh-CN"/>
        </w:rPr>
        <w:t>东方经纬项目管理有限公司</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lang w:eastAsia="zh-CN"/>
        </w:rPr>
        <w:t>ZJJW2022-SC-008</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特此告知。</w:t>
      </w:r>
    </w:p>
    <w:p>
      <w:pPr>
        <w:pStyle w:val="3"/>
        <w:ind w:firstLine="0" w:firstLineChars="0"/>
        <w:rPr>
          <w:color w:val="auto"/>
        </w:rPr>
      </w:pPr>
    </w:p>
    <w:p>
      <w:pPr>
        <w:snapToGrid w:val="0"/>
        <w:spacing w:line="360" w:lineRule="auto"/>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autoSpaceDE w:val="0"/>
        <w:autoSpaceDN w:val="0"/>
        <w:snapToGrid w:val="0"/>
        <w:spacing w:line="360" w:lineRule="auto"/>
        <w:jc w:val="center"/>
        <w:rPr>
          <w:rFonts w:ascii="仿宋_GB2312" w:hAnsi="仿宋" w:eastAsia="仿宋_GB2312" w:cs="仿宋_GB2312"/>
          <w:b/>
          <w:color w:val="auto"/>
          <w:kern w:val="0"/>
          <w:sz w:val="32"/>
          <w:szCs w:val="32"/>
          <w:lang w:val="zh-CN"/>
        </w:rPr>
      </w:pPr>
    </w:p>
    <w:p>
      <w:pPr>
        <w:autoSpaceDE w:val="0"/>
        <w:autoSpaceDN w:val="0"/>
        <w:snapToGrid w:val="0"/>
        <w:spacing w:line="360" w:lineRule="auto"/>
        <w:jc w:val="center"/>
        <w:rPr>
          <w:rFonts w:ascii="仿宋_GB2312" w:hAnsi="仿宋" w:eastAsia="仿宋_GB2312" w:cs="仿宋_GB2312"/>
          <w:b/>
          <w:color w:val="auto"/>
          <w:kern w:val="0"/>
          <w:sz w:val="32"/>
          <w:szCs w:val="32"/>
          <w:lang w:val="zh-CN"/>
        </w:rPr>
      </w:pPr>
    </w:p>
    <w:p>
      <w:pPr>
        <w:autoSpaceDE w:val="0"/>
        <w:autoSpaceDN w:val="0"/>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147"/>
        <w:adjustRightInd w:val="0"/>
        <w:snapToGrid w:val="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napToGri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147"/>
              <w:adjustRightInd w:val="0"/>
              <w:snapToGri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napToGrid w:val="0"/>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napToGrid w:val="0"/>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lang w:eastAsia="zh-CN"/>
        </w:rPr>
        <w:t>ZJJW2022-SC-008</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napToGrid w:val="0"/>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lang w:eastAsia="zh-CN"/>
        </w:rPr>
        <w:t>ZJJW2022-SC-008</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adjustRightInd w:val="0"/>
        <w:snapToGrid w:val="0"/>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tbl>
      <w:tblPr>
        <w:tblStyle w:val="62"/>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878"/>
        <w:gridCol w:w="255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9" w:type="dxa"/>
            <w:vAlign w:val="center"/>
          </w:tcPr>
          <w:p>
            <w:pPr>
              <w:snapToGrid w:val="0"/>
              <w:spacing w:line="360" w:lineRule="auto"/>
              <w:jc w:val="center"/>
              <w:rPr>
                <w:rFonts w:ascii="仿宋" w:hAnsi="仿宋" w:eastAsia="仿宋"/>
                <w:b/>
                <w:color w:val="auto"/>
                <w:sz w:val="24"/>
              </w:rPr>
            </w:pPr>
            <w:r>
              <w:rPr>
                <w:rFonts w:hint="eastAsia" w:ascii="仿宋" w:hAnsi="仿宋" w:eastAsia="仿宋"/>
                <w:b/>
                <w:color w:val="auto"/>
                <w:sz w:val="24"/>
              </w:rPr>
              <w:t>序号</w:t>
            </w:r>
          </w:p>
        </w:tc>
        <w:tc>
          <w:tcPr>
            <w:tcW w:w="4878" w:type="dxa"/>
            <w:vAlign w:val="center"/>
          </w:tcPr>
          <w:p>
            <w:pPr>
              <w:snapToGrid w:val="0"/>
              <w:spacing w:line="360" w:lineRule="auto"/>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360" w:lineRule="auto"/>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640" w:type="dxa"/>
            <w:vAlign w:val="center"/>
          </w:tcPr>
          <w:p>
            <w:pPr>
              <w:snapToGrid w:val="0"/>
              <w:spacing w:line="360" w:lineRule="auto"/>
              <w:jc w:val="center"/>
              <w:rPr>
                <w:rFonts w:ascii="仿宋" w:hAnsi="仿宋" w:eastAsia="仿宋"/>
                <w:b/>
                <w:color w:val="auto"/>
                <w:sz w:val="24"/>
              </w:rPr>
            </w:pPr>
            <w:r>
              <w:rPr>
                <w:rFonts w:hint="eastAsia" w:ascii="仿宋" w:hAnsi="仿宋" w:eastAsia="仿宋"/>
                <w:b/>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9" w:type="dxa"/>
            <w:vAlign w:val="center"/>
          </w:tcPr>
          <w:p>
            <w:pPr>
              <w:snapToGrid w:val="0"/>
              <w:spacing w:line="360" w:lineRule="auto"/>
              <w:jc w:val="center"/>
              <w:rPr>
                <w:rFonts w:ascii="仿宋" w:hAnsi="仿宋" w:eastAsia="仿宋"/>
                <w:color w:val="auto"/>
                <w:sz w:val="24"/>
              </w:rPr>
            </w:pPr>
            <w:r>
              <w:rPr>
                <w:rFonts w:ascii="仿宋" w:hAnsi="仿宋" w:eastAsia="仿宋"/>
                <w:color w:val="auto"/>
                <w:sz w:val="24"/>
              </w:rPr>
              <w:t>1</w:t>
            </w:r>
          </w:p>
        </w:tc>
        <w:tc>
          <w:tcPr>
            <w:tcW w:w="4878" w:type="dxa"/>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snapToGrid w:val="0"/>
              <w:spacing w:line="360" w:lineRule="auto"/>
              <w:jc w:val="cente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640"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见投标文件</w:t>
            </w:r>
          </w:p>
          <w:p>
            <w:pPr>
              <w:snapToGrid w:val="0"/>
              <w:spacing w:line="360" w:lineRule="auto"/>
              <w:jc w:val="cente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9" w:type="dxa"/>
            <w:vAlign w:val="center"/>
          </w:tcPr>
          <w:p>
            <w:pPr>
              <w:snapToGrid w:val="0"/>
              <w:spacing w:line="360" w:lineRule="auto"/>
              <w:jc w:val="center"/>
              <w:rPr>
                <w:rFonts w:ascii="仿宋_GB2312" w:hAnsi="仿宋" w:eastAsia="仿宋_GB2312"/>
                <w:color w:val="auto"/>
                <w:sz w:val="24"/>
              </w:rPr>
            </w:pPr>
            <w:r>
              <w:rPr>
                <w:rFonts w:ascii="仿宋_GB2312" w:hAnsi="仿宋" w:eastAsia="仿宋_GB2312"/>
                <w:color w:val="auto"/>
                <w:sz w:val="24"/>
              </w:rPr>
              <w:t>2</w:t>
            </w:r>
          </w:p>
        </w:tc>
        <w:tc>
          <w:tcPr>
            <w:tcW w:w="4878" w:type="dxa"/>
            <w:vAlign w:val="center"/>
          </w:tcPr>
          <w:p>
            <w:pPr>
              <w:snapToGrid w:val="0"/>
              <w:spacing w:line="360" w:lineRule="auto"/>
              <w:jc w:val="center"/>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napToGrid w:val="0"/>
              <w:spacing w:line="360" w:lineRule="auto"/>
              <w:jc w:val="cente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640"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见投标文件</w:t>
            </w:r>
          </w:p>
          <w:p>
            <w:pPr>
              <w:pStyle w:val="5"/>
              <w:adjustRightInd w:val="0"/>
              <w:snapToGrid w:val="0"/>
              <w:jc w:val="center"/>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59" w:type="dxa"/>
            <w:vAlign w:val="center"/>
          </w:tcPr>
          <w:p>
            <w:pPr>
              <w:snapToGrid w:val="0"/>
              <w:spacing w:line="360" w:lineRule="auto"/>
              <w:jc w:val="center"/>
              <w:rPr>
                <w:rFonts w:ascii="仿宋" w:hAnsi="仿宋" w:eastAsia="仿宋"/>
                <w:color w:val="auto"/>
                <w:sz w:val="24"/>
              </w:rPr>
            </w:pPr>
            <w:r>
              <w:rPr>
                <w:rFonts w:ascii="仿宋" w:hAnsi="仿宋" w:eastAsia="仿宋"/>
                <w:color w:val="auto"/>
                <w:sz w:val="24"/>
              </w:rPr>
              <w:t>3</w:t>
            </w:r>
          </w:p>
        </w:tc>
        <w:tc>
          <w:tcPr>
            <w:tcW w:w="4878" w:type="dxa"/>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snapToGrid w:val="0"/>
              <w:spacing w:line="360" w:lineRule="auto"/>
              <w:jc w:val="center"/>
              <w:rPr>
                <w:rFonts w:ascii="仿宋" w:hAnsi="仿宋" w:eastAsia="仿宋"/>
                <w:color w:val="auto"/>
                <w:sz w:val="24"/>
              </w:rPr>
            </w:pPr>
            <w:r>
              <w:rPr>
                <w:rFonts w:hint="eastAsia" w:ascii="仿宋" w:hAnsi="仿宋" w:eastAsia="仿宋"/>
                <w:color w:val="auto"/>
                <w:sz w:val="24"/>
              </w:rPr>
              <w:t>投标函</w:t>
            </w:r>
          </w:p>
        </w:tc>
        <w:tc>
          <w:tcPr>
            <w:tcW w:w="1640" w:type="dxa"/>
            <w:vAlign w:val="center"/>
          </w:tcPr>
          <w:p>
            <w:pPr>
              <w:snapToGrid w:val="0"/>
              <w:spacing w:line="360" w:lineRule="auto"/>
              <w:jc w:val="cente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9" w:type="dxa"/>
            <w:vAlign w:val="center"/>
          </w:tcPr>
          <w:p>
            <w:pPr>
              <w:snapToGrid w:val="0"/>
              <w:spacing w:line="360" w:lineRule="auto"/>
              <w:jc w:val="center"/>
              <w:rPr>
                <w:rFonts w:ascii="仿宋" w:hAnsi="仿宋" w:eastAsia="仿宋"/>
                <w:color w:val="auto"/>
                <w:sz w:val="24"/>
              </w:rPr>
            </w:pPr>
            <w:r>
              <w:rPr>
                <w:rFonts w:ascii="仿宋" w:hAnsi="仿宋" w:eastAsia="仿宋"/>
                <w:color w:val="auto"/>
                <w:sz w:val="24"/>
              </w:rPr>
              <w:t>4</w:t>
            </w:r>
          </w:p>
        </w:tc>
        <w:tc>
          <w:tcPr>
            <w:tcW w:w="4878" w:type="dxa"/>
            <w:vAlign w:val="center"/>
          </w:tcPr>
          <w:p>
            <w:pPr>
              <w:snapToGrid w:val="0"/>
              <w:spacing w:line="360" w:lineRule="auto"/>
              <w:jc w:val="center"/>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snapToGrid w:val="0"/>
              <w:spacing w:line="360" w:lineRule="auto"/>
              <w:jc w:val="cente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640" w:type="dxa"/>
            <w:vAlign w:val="center"/>
          </w:tcPr>
          <w:p>
            <w:pPr>
              <w:snapToGrid w:val="0"/>
              <w:spacing w:line="360" w:lineRule="auto"/>
              <w:jc w:val="cente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color w:val="auto"/>
        </w:rPr>
      </w:pP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59" w:type="dxa"/>
            <w:vAlign w:val="center"/>
          </w:tcPr>
          <w:p>
            <w:pPr>
              <w:snapToGrid w:val="0"/>
              <w:spacing w:line="360" w:lineRule="auto"/>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center"/>
          </w:tcPr>
          <w:p>
            <w:pPr>
              <w:snapToGrid w:val="0"/>
              <w:spacing w:line="360" w:lineRule="auto"/>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center"/>
          </w:tcPr>
          <w:p>
            <w:pPr>
              <w:snapToGrid w:val="0"/>
              <w:spacing w:line="360" w:lineRule="auto"/>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center"/>
          </w:tcPr>
          <w:p>
            <w:pPr>
              <w:snapToGrid w:val="0"/>
              <w:spacing w:line="360" w:lineRule="auto"/>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snapToGrid w:val="0"/>
              <w:spacing w:line="360" w:lineRule="auto"/>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center"/>
          </w:tcPr>
          <w:p>
            <w:pPr>
              <w:snapToGrid w:val="0"/>
              <w:spacing w:line="360" w:lineRule="auto"/>
              <w:jc w:val="center"/>
              <w:rPr>
                <w:rFonts w:ascii="仿宋_GB2312" w:hAnsi="仿宋" w:eastAsia="仿宋_GB2312" w:cs="仿宋_GB2312"/>
                <w:b/>
                <w:color w:val="auto"/>
                <w:kern w:val="0"/>
                <w:sz w:val="32"/>
                <w:szCs w:val="32"/>
              </w:rPr>
            </w:pPr>
          </w:p>
        </w:tc>
        <w:tc>
          <w:tcPr>
            <w:tcW w:w="3546" w:type="dxa"/>
            <w:vAlign w:val="center"/>
          </w:tcPr>
          <w:p>
            <w:pPr>
              <w:snapToGrid w:val="0"/>
              <w:spacing w:line="360" w:lineRule="auto"/>
              <w:jc w:val="center"/>
              <w:rPr>
                <w:rFonts w:ascii="仿宋_GB2312" w:hAnsi="仿宋" w:eastAsia="仿宋_GB2312" w:cs="仿宋_GB2312"/>
                <w:b/>
                <w:color w:val="auto"/>
                <w:kern w:val="0"/>
                <w:sz w:val="32"/>
                <w:szCs w:val="32"/>
              </w:rPr>
            </w:pPr>
          </w:p>
        </w:tc>
        <w:tc>
          <w:tcPr>
            <w:tcW w:w="1276" w:type="dxa"/>
            <w:vAlign w:val="center"/>
          </w:tcPr>
          <w:p>
            <w:pPr>
              <w:snapToGrid w:val="0"/>
              <w:spacing w:line="360" w:lineRule="auto"/>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snapToGrid w:val="0"/>
              <w:spacing w:line="360" w:lineRule="auto"/>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center"/>
          </w:tcPr>
          <w:p>
            <w:pPr>
              <w:snapToGrid w:val="0"/>
              <w:spacing w:line="360" w:lineRule="auto"/>
              <w:jc w:val="center"/>
              <w:rPr>
                <w:rFonts w:ascii="仿宋_GB2312" w:hAnsi="仿宋" w:eastAsia="仿宋_GB2312" w:cs="仿宋_GB2312"/>
                <w:b/>
                <w:color w:val="auto"/>
                <w:kern w:val="0"/>
                <w:sz w:val="32"/>
                <w:szCs w:val="32"/>
              </w:rPr>
            </w:pPr>
          </w:p>
        </w:tc>
        <w:tc>
          <w:tcPr>
            <w:tcW w:w="3546" w:type="dxa"/>
            <w:vAlign w:val="center"/>
          </w:tcPr>
          <w:p>
            <w:pPr>
              <w:snapToGrid w:val="0"/>
              <w:spacing w:line="360" w:lineRule="auto"/>
              <w:jc w:val="center"/>
              <w:rPr>
                <w:rFonts w:ascii="仿宋_GB2312" w:hAnsi="仿宋" w:eastAsia="仿宋_GB2312" w:cs="仿宋_GB2312"/>
                <w:b/>
                <w:color w:val="auto"/>
                <w:kern w:val="0"/>
                <w:sz w:val="32"/>
                <w:szCs w:val="32"/>
              </w:rPr>
            </w:pPr>
          </w:p>
        </w:tc>
        <w:tc>
          <w:tcPr>
            <w:tcW w:w="1276" w:type="dxa"/>
            <w:vAlign w:val="center"/>
          </w:tcPr>
          <w:p>
            <w:pPr>
              <w:snapToGrid w:val="0"/>
              <w:spacing w:line="360" w:lineRule="auto"/>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snapToGrid w:val="0"/>
              <w:spacing w:line="360" w:lineRule="auto"/>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center"/>
          </w:tcPr>
          <w:p>
            <w:pPr>
              <w:snapToGrid w:val="0"/>
              <w:spacing w:line="360" w:lineRule="auto"/>
              <w:jc w:val="center"/>
              <w:rPr>
                <w:rFonts w:ascii="仿宋_GB2312" w:hAnsi="仿宋" w:eastAsia="仿宋_GB2312" w:cs="仿宋_GB2312"/>
                <w:b/>
                <w:color w:val="auto"/>
                <w:kern w:val="0"/>
                <w:sz w:val="32"/>
                <w:szCs w:val="32"/>
              </w:rPr>
            </w:pPr>
          </w:p>
        </w:tc>
        <w:tc>
          <w:tcPr>
            <w:tcW w:w="3546" w:type="dxa"/>
            <w:vAlign w:val="center"/>
          </w:tcPr>
          <w:p>
            <w:pPr>
              <w:snapToGrid w:val="0"/>
              <w:spacing w:line="360" w:lineRule="auto"/>
              <w:jc w:val="center"/>
              <w:rPr>
                <w:rFonts w:ascii="仿宋_GB2312" w:hAnsi="仿宋" w:eastAsia="仿宋_GB2312" w:cs="仿宋_GB2312"/>
                <w:b/>
                <w:color w:val="auto"/>
                <w:kern w:val="0"/>
                <w:sz w:val="32"/>
                <w:szCs w:val="32"/>
              </w:rPr>
            </w:pPr>
          </w:p>
        </w:tc>
        <w:tc>
          <w:tcPr>
            <w:tcW w:w="1276" w:type="dxa"/>
            <w:vAlign w:val="center"/>
          </w:tcPr>
          <w:p>
            <w:pPr>
              <w:snapToGrid w:val="0"/>
              <w:spacing w:line="360" w:lineRule="auto"/>
              <w:jc w:val="center"/>
              <w:rPr>
                <w:rFonts w:ascii="仿宋_GB2312" w:hAnsi="仿宋" w:eastAsia="仿宋_GB2312" w:cs="仿宋_GB2312"/>
                <w:b/>
                <w:color w:val="auto"/>
                <w:kern w:val="0"/>
                <w:sz w:val="32"/>
                <w:szCs w:val="32"/>
              </w:rPr>
            </w:pPr>
          </w:p>
        </w:tc>
      </w:tr>
    </w:tbl>
    <w:p>
      <w:pPr>
        <w:snapToGrid w:val="0"/>
        <w:spacing w:line="360" w:lineRule="auto"/>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jc w:val="center"/>
        <w:rPr>
          <w:rFonts w:ascii="仿宋_GB2312" w:hAnsi="仿宋" w:eastAsia="仿宋_GB2312" w:cs="仿宋_GB2312"/>
          <w:b/>
          <w:color w:val="auto"/>
          <w:kern w:val="0"/>
          <w:sz w:val="32"/>
          <w:szCs w:val="32"/>
        </w:rPr>
      </w:pPr>
    </w:p>
    <w:p>
      <w:pPr>
        <w:snapToGrid w:val="0"/>
        <w:spacing w:line="360" w:lineRule="auto"/>
        <w:ind w:firstLine="2891" w:firstLineChars="900"/>
        <w:rPr>
          <w:rFonts w:ascii="仿宋_GB2312" w:hAnsi="仿宋" w:eastAsia="仿宋_GB2312"/>
          <w:b/>
          <w:bCs/>
          <w:color w:val="auto"/>
          <w:sz w:val="32"/>
          <w:szCs w:val="32"/>
        </w:rPr>
      </w:pPr>
    </w:p>
    <w:p>
      <w:pPr>
        <w:snapToGrid w:val="0"/>
        <w:spacing w:line="360" w:lineRule="auto"/>
        <w:ind w:firstLine="2891" w:firstLineChars="900"/>
        <w:rPr>
          <w:rFonts w:ascii="仿宋_GB2312" w:hAnsi="仿宋" w:eastAsia="仿宋_GB2312"/>
          <w:b/>
          <w:bCs/>
          <w:color w:val="auto"/>
          <w:sz w:val="32"/>
          <w:szCs w:val="32"/>
        </w:rPr>
      </w:pPr>
    </w:p>
    <w:p>
      <w:pPr>
        <w:snapToGrid w:val="0"/>
        <w:spacing w:line="360" w:lineRule="auto"/>
        <w:ind w:firstLine="2891" w:firstLineChars="900"/>
        <w:rPr>
          <w:rFonts w:ascii="仿宋_GB2312" w:hAnsi="仿宋" w:eastAsia="仿宋_GB2312"/>
          <w:b/>
          <w:bCs/>
          <w:color w:val="auto"/>
          <w:sz w:val="32"/>
          <w:szCs w:val="32"/>
        </w:rPr>
      </w:pPr>
    </w:p>
    <w:p>
      <w:pPr>
        <w:snapToGrid w:val="0"/>
        <w:spacing w:line="360" w:lineRule="auto"/>
        <w:rPr>
          <w:rFonts w:ascii="仿宋_GB2312" w:hAnsi="仿宋" w:eastAsia="仿宋_GB2312" w:cs="仿宋_GB2312"/>
          <w:b/>
          <w:color w:val="auto"/>
          <w:kern w:val="0"/>
          <w:sz w:val="32"/>
          <w:szCs w:val="32"/>
        </w:rPr>
      </w:pPr>
    </w:p>
    <w:p>
      <w:pPr>
        <w:snapToGrid w:val="0"/>
        <w:spacing w:line="360" w:lineRule="auto"/>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olor w:val="auto"/>
          <w:sz w:val="24"/>
        </w:rPr>
        <w:t>杭州图书馆</w:t>
      </w:r>
      <w:r>
        <w:rPr>
          <w:rFonts w:hint="eastAsia" w:ascii="仿宋_GB2312" w:hAnsi="仿宋" w:eastAsia="仿宋_GB2312" w:cs="仿宋_GB2312"/>
          <w:color w:val="auto"/>
          <w:sz w:val="24"/>
        </w:rPr>
        <w:t>、</w:t>
      </w:r>
      <w:r>
        <w:rPr>
          <w:rFonts w:hint="eastAsia" w:ascii="仿宋_GB2312" w:hAnsi="仿宋" w:eastAsia="仿宋_GB2312"/>
          <w:color w:val="auto"/>
          <w:sz w:val="24"/>
          <w:lang w:eastAsia="zh-CN"/>
        </w:rPr>
        <w:t>东方经纬项目管理有限公司</w:t>
      </w:r>
      <w:r>
        <w:rPr>
          <w:rFonts w:hint="eastAsia" w:ascii="仿宋_GB2312" w:hAnsi="仿宋" w:eastAsia="仿宋_GB2312" w:cs="仿宋_GB2312"/>
          <w:color w:val="auto"/>
          <w:kern w:val="0"/>
          <w:sz w:val="24"/>
          <w:lang w:val="zh-CN"/>
        </w:rPr>
        <w:t>：</w:t>
      </w:r>
    </w:p>
    <w:p>
      <w:pPr>
        <w:autoSpaceDE w:val="0"/>
        <w:autoSpaceDN w:val="0"/>
        <w:snapToGrid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napToGrid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napToGrid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napToGrid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napToGrid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napToGrid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napToGrid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napToGrid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napToGrid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napToGrid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napToGrid w:val="0"/>
        <w:spacing w:line="360" w:lineRule="auto"/>
        <w:ind w:left="2"/>
        <w:jc w:val="left"/>
        <w:rPr>
          <w:rFonts w:ascii="仿宋_GB2312" w:hAnsi="仿宋_GB2312" w:eastAsia="仿宋_GB2312" w:cs="仿宋_GB2312"/>
          <w:color w:val="auto"/>
          <w:kern w:val="0"/>
          <w:sz w:val="24"/>
          <w:lang w:val="zh-CN"/>
        </w:rPr>
      </w:pPr>
    </w:p>
    <w:p>
      <w:pPr>
        <w:autoSpaceDE w:val="0"/>
        <w:autoSpaceDN w:val="0"/>
        <w:snapToGrid w:val="0"/>
        <w:spacing w:line="360" w:lineRule="auto"/>
        <w:ind w:left="2"/>
        <w:jc w:val="left"/>
        <w:rPr>
          <w:rFonts w:ascii="仿宋_GB2312" w:hAnsi="仿宋_GB2312" w:eastAsia="仿宋_GB2312" w:cs="仿宋_GB2312"/>
          <w:color w:val="auto"/>
          <w:kern w:val="0"/>
          <w:sz w:val="24"/>
          <w:lang w:val="zh-CN"/>
        </w:rPr>
      </w:pPr>
    </w:p>
    <w:p>
      <w:pPr>
        <w:autoSpaceDE w:val="0"/>
        <w:autoSpaceDN w:val="0"/>
        <w:snapToGrid w:val="0"/>
        <w:spacing w:line="360" w:lineRule="auto"/>
        <w:ind w:left="2"/>
        <w:jc w:val="left"/>
        <w:rPr>
          <w:rFonts w:ascii="仿宋_GB2312" w:hAnsi="仿宋_GB2312" w:eastAsia="仿宋_GB2312" w:cs="仿宋_GB2312"/>
          <w:color w:val="auto"/>
          <w:kern w:val="0"/>
          <w:sz w:val="24"/>
          <w:lang w:val="zh-CN"/>
        </w:rPr>
      </w:pPr>
    </w:p>
    <w:p>
      <w:pPr>
        <w:autoSpaceDE w:val="0"/>
        <w:autoSpaceDN w:val="0"/>
        <w:snapToGrid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napToGrid w:val="0"/>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napToGrid w:val="0"/>
        <w:spacing w:line="360" w:lineRule="auto"/>
        <w:jc w:val="center"/>
        <w:rPr>
          <w:rFonts w:ascii="仿宋_GB2312" w:hAnsi="仿宋" w:eastAsia="仿宋_GB2312" w:cs="仿宋_GB2312"/>
          <w:b/>
          <w:bCs/>
          <w:color w:val="auto"/>
          <w:sz w:val="24"/>
        </w:rPr>
      </w:pPr>
    </w:p>
    <w:p>
      <w:pPr>
        <w:snapToGrid w:val="0"/>
        <w:spacing w:line="360" w:lineRule="auto"/>
        <w:jc w:val="center"/>
        <w:rPr>
          <w:rFonts w:ascii="仿宋_GB2312" w:hAnsi="仿宋" w:eastAsia="仿宋_GB2312" w:cs="仿宋_GB2312"/>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
        <w:jc w:val="center"/>
        <w:rPr>
          <w:rFonts w:hint="eastAsia" w:ascii="仿宋_GB2312" w:hAnsi="仿宋" w:eastAsia="仿宋_GB2312" w:cs="仿宋_GB2312"/>
          <w:b/>
          <w:color w:val="auto"/>
          <w:kern w:val="0"/>
          <w:sz w:val="32"/>
          <w:szCs w:val="32"/>
          <w:lang w:val="zh-CN" w:eastAsia="zh-CN" w:bidi="ar-SA"/>
        </w:rPr>
      </w:pPr>
      <w:r>
        <w:rPr>
          <w:rFonts w:hint="eastAsia" w:ascii="仿宋_GB2312" w:hAnsi="仿宋" w:eastAsia="仿宋_GB2312" w:cs="仿宋_GB2312"/>
          <w:b/>
          <w:color w:val="auto"/>
          <w:kern w:val="0"/>
          <w:sz w:val="32"/>
          <w:szCs w:val="32"/>
          <w:lang w:val="en-US" w:eastAsia="zh-CN" w:bidi="ar-SA"/>
        </w:rPr>
        <w:t>九、</w:t>
      </w:r>
      <w:r>
        <w:rPr>
          <w:rFonts w:hint="eastAsia" w:ascii="仿宋_GB2312" w:hAnsi="仿宋" w:eastAsia="仿宋_GB2312" w:cs="仿宋_GB2312"/>
          <w:b/>
          <w:color w:val="auto"/>
          <w:kern w:val="0"/>
          <w:sz w:val="32"/>
          <w:szCs w:val="32"/>
          <w:lang w:val="zh-CN" w:eastAsia="zh-CN" w:bidi="ar-SA"/>
        </w:rPr>
        <w:t>政府采购活动现场确认声明书</w:t>
      </w: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lang w:eastAsia="zh-CN"/>
        </w:rPr>
      </w:pPr>
      <w:r>
        <w:rPr>
          <w:rFonts w:hint="eastAsia" w:ascii="仿宋_GB2312" w:hAnsi="仿宋" w:eastAsia="仿宋_GB2312"/>
          <w:color w:val="auto"/>
          <w:sz w:val="24"/>
          <w:u w:val="single"/>
        </w:rPr>
        <w:t>杭州图书馆</w:t>
      </w:r>
      <w:r>
        <w:rPr>
          <w:rFonts w:hint="eastAsia" w:ascii="仿宋" w:hAnsi="仿宋" w:eastAsia="仿宋" w:cs="仿宋_GB2312"/>
          <w:color w:val="auto"/>
          <w:sz w:val="24"/>
          <w:u w:val="single"/>
        </w:rPr>
        <w:t>、</w:t>
      </w:r>
      <w:r>
        <w:rPr>
          <w:rFonts w:hint="eastAsia" w:ascii="仿宋_GB2312" w:hAnsi="仿宋" w:eastAsia="仿宋_GB2312"/>
          <w:color w:val="auto"/>
          <w:sz w:val="24"/>
          <w:u w:val="single"/>
          <w:lang w:eastAsia="zh-CN"/>
        </w:rPr>
        <w:t>东方经纬项目管理有限公司</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本人经由</w:t>
      </w:r>
      <w:r>
        <w:rPr>
          <w:rFonts w:hint="eastAsia" w:ascii="仿宋" w:hAnsi="仿宋" w:eastAsia="仿宋" w:cs="仿宋"/>
          <w:sz w:val="24"/>
          <w:u w:val="single"/>
        </w:rPr>
        <w:t xml:space="preserve">                      （单位）</w:t>
      </w:r>
      <w:r>
        <w:rPr>
          <w:rFonts w:hint="eastAsia" w:ascii="仿宋" w:hAnsi="仿宋" w:eastAsia="仿宋" w:cs="仿宋"/>
          <w:sz w:val="24"/>
          <w:u w:val="none"/>
          <w:lang w:eastAsia="zh-CN"/>
        </w:rPr>
        <w:t>法人代表（</w:t>
      </w:r>
      <w:r>
        <w:rPr>
          <w:rFonts w:hint="eastAsia" w:ascii="仿宋" w:hAnsi="仿宋" w:eastAsia="仿宋" w:cs="仿宋"/>
          <w:sz w:val="24"/>
        </w:rPr>
        <w:t>负责人</w:t>
      </w:r>
      <w:r>
        <w:rPr>
          <w:rFonts w:hint="eastAsia" w:ascii="仿宋" w:hAnsi="仿宋" w:eastAsia="仿宋" w:cs="仿宋"/>
          <w:sz w:val="24"/>
          <w:u w:val="none"/>
          <w:lang w:eastAsia="zh-CN"/>
        </w:rPr>
        <w:t>）</w:t>
      </w:r>
      <w:r>
        <w:rPr>
          <w:rFonts w:hint="eastAsia" w:ascii="仿宋" w:hAnsi="仿宋" w:eastAsia="仿宋" w:cs="仿宋"/>
          <w:sz w:val="24"/>
          <w:u w:val="single"/>
        </w:rPr>
        <w:t xml:space="preserve">        （姓名）</w:t>
      </w:r>
      <w:r>
        <w:rPr>
          <w:rFonts w:hint="eastAsia" w:ascii="仿宋" w:hAnsi="仿宋" w:eastAsia="仿宋" w:cs="仿宋"/>
          <w:sz w:val="24"/>
        </w:rPr>
        <w:t>合法授权参加</w:t>
      </w:r>
      <w:r>
        <w:rPr>
          <w:rFonts w:hint="eastAsia" w:ascii="仿宋_GB2312" w:hAnsi="仿宋" w:eastAsia="仿宋_GB2312"/>
          <w:color w:val="auto"/>
          <w:sz w:val="24"/>
          <w:highlight w:val="none"/>
          <w:lang w:eastAsia="zh-CN"/>
        </w:rPr>
        <w:t>2022年杭州图书馆音像制品采购</w:t>
      </w:r>
      <w:r>
        <w:rPr>
          <w:rFonts w:hint="eastAsia" w:ascii="仿宋" w:hAnsi="仿宋" w:eastAsia="仿宋" w:cs="仿宋"/>
          <w:sz w:val="24"/>
        </w:rPr>
        <w:t>（编号：</w:t>
      </w:r>
      <w:r>
        <w:rPr>
          <w:rFonts w:hint="eastAsia" w:ascii="仿宋_GB2312" w:hAnsi="仿宋" w:eastAsia="仿宋_GB2312"/>
          <w:color w:val="auto"/>
          <w:sz w:val="24"/>
          <w:lang w:eastAsia="zh-CN"/>
        </w:rPr>
        <w:t>ZJJW2022-SC-008</w:t>
      </w:r>
      <w:r>
        <w:rPr>
          <w:rFonts w:hint="eastAsia" w:ascii="仿宋" w:hAnsi="仿宋" w:eastAsia="仿宋" w:cs="仿宋"/>
          <w:sz w:val="24"/>
        </w:rPr>
        <w:t>）政府采购活动，经与本单位法人代表（负责人）联系确认，现就有关公平竞争事项郑重声明如下：</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一、</w:t>
      </w:r>
      <w:r>
        <w:rPr>
          <w:rFonts w:hint="eastAsia" w:ascii="仿宋" w:hAnsi="仿宋" w:eastAsia="仿宋" w:cs="仿宋"/>
          <w:sz w:val="24"/>
        </w:rPr>
        <w:t>本单位与采购人之间 □不存在利害关系 □存在下列利害关系</w:t>
      </w:r>
      <w:r>
        <w:rPr>
          <w:rFonts w:hint="eastAsia" w:ascii="仿宋" w:hAnsi="仿宋" w:eastAsia="仿宋" w:cs="仿宋"/>
          <w:sz w:val="24"/>
          <w:u w:val="single"/>
        </w:rPr>
        <w:t xml:space="preserve">           </w:t>
      </w:r>
      <w:r>
        <w:rPr>
          <w:rFonts w:hint="eastAsia" w:ascii="仿宋" w:hAnsi="仿宋" w:eastAsia="仿宋" w:cs="仿宋"/>
          <w:sz w:val="24"/>
        </w:rPr>
        <w:t>： A.投资关系    B.行政隶属关系    C.业务指导关系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D.其他可能影响采购公正的利害关系（如有，请如实说明）</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二、现已清楚知道参加本项目采购活动的其他所有供应商名称，本单位 □与其他所有供应商之间均不存在利害关系 □与</w:t>
      </w:r>
      <w:r>
        <w:rPr>
          <w:rFonts w:hint="eastAsia" w:ascii="仿宋" w:hAnsi="仿宋" w:eastAsia="仿宋" w:cs="仿宋"/>
          <w:sz w:val="24"/>
          <w:u w:val="single"/>
        </w:rPr>
        <w:t xml:space="preserve">          （供应商名称）</w:t>
      </w:r>
      <w:r>
        <w:rPr>
          <w:rFonts w:hint="eastAsia" w:ascii="仿宋" w:hAnsi="仿宋" w:eastAsia="仿宋" w:cs="仿宋"/>
          <w:sz w:val="24"/>
        </w:rPr>
        <w:t>之间存在下列利害关系</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A.法定代表人或负责人或实际控制人是同一人</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B.法定代表人或负责人或实际控制人是夫妻关系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C.法定代表人或负责人或实际控制人是直系血亲关系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D.法定代表人或负责人或实际控制人存在三代以内旁系血亲关系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E.法定代表人或负责人或实际控制人存在近姻亲关系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F.法定代表人或负责人或实际控制人存在股份控制或实际控制关系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G.存在共同直接或间接投资设立子公司、联营企业和合营企业情况</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H.存在分级代理或代销关系、同一生产制造商关系、管理关系、重要业务（占主营业务收入50%以上）或重要财务往来关系（如融资）等其他实质性控制关系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I.其他利害关系情况</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三、</w:t>
      </w:r>
      <w:r>
        <w:rPr>
          <w:rFonts w:hint="eastAsia" w:ascii="仿宋" w:hAnsi="仿宋" w:eastAsia="仿宋" w:cs="仿宋"/>
          <w:sz w:val="24"/>
        </w:rPr>
        <w:t>现已清楚知道并严格遵守政府采购法律法规和现场纪律。</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四、</w:t>
      </w:r>
      <w:r>
        <w:rPr>
          <w:rFonts w:hint="eastAsia" w:ascii="仿宋" w:hAnsi="仿宋" w:eastAsia="仿宋" w:cs="仿宋"/>
          <w:sz w:val="24"/>
        </w:rPr>
        <w:t>我发现</w:t>
      </w:r>
      <w:r>
        <w:rPr>
          <w:rFonts w:hint="eastAsia" w:ascii="仿宋" w:hAnsi="仿宋" w:eastAsia="仿宋" w:cs="仿宋"/>
          <w:sz w:val="24"/>
          <w:u w:val="single"/>
        </w:rPr>
        <w:t xml:space="preserve">                    </w:t>
      </w:r>
      <w:r>
        <w:rPr>
          <w:rFonts w:hint="eastAsia" w:ascii="仿宋" w:hAnsi="仿宋" w:eastAsia="仿宋" w:cs="仿宋"/>
          <w:sz w:val="24"/>
        </w:rPr>
        <w:t>供应商之间存在或可能存在上述第二条第        项利害关系。</w:t>
      </w:r>
    </w:p>
    <w:p>
      <w:pPr>
        <w:adjustRightInd w:val="0"/>
        <w:snapToGrid w:val="0"/>
        <w:spacing w:line="360" w:lineRule="auto"/>
        <w:ind w:firstLine="480" w:firstLineChars="200"/>
        <w:rPr>
          <w:rFonts w:hint="eastAsia" w:ascii="仿宋_GB2312" w:hAnsi="仿宋" w:eastAsia="仿宋_GB2312" w:cs="仿宋_GB2312"/>
          <w:color w:val="auto"/>
          <w:sz w:val="24"/>
        </w:rPr>
      </w:pP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p>
    <w:p>
      <w:pPr>
        <w:ind w:firstLine="480" w:firstLineChars="200"/>
        <w:rPr>
          <w:rFonts w:hint="eastAsia" w:ascii="仿宋_GB2312" w:hAnsi="仿宋" w:eastAsia="仿宋_GB2312" w:cs="仿宋_GB2312"/>
          <w:b/>
          <w:color w:val="auto"/>
          <w:kern w:val="0"/>
          <w:sz w:val="36"/>
          <w:szCs w:val="36"/>
        </w:rPr>
      </w:pPr>
      <w:r>
        <w:rPr>
          <w:rFonts w:hint="eastAsia" w:ascii="仿宋" w:hAnsi="仿宋" w:eastAsia="仿宋" w:cs="仿宋"/>
          <w:b w:val="0"/>
          <w:bCs w:val="0"/>
          <w:sz w:val="24"/>
        </w:rPr>
        <w:t>年  月  日</w:t>
      </w:r>
    </w:p>
    <w:p>
      <w:pPr>
        <w:rPr>
          <w:rFonts w:hint="eastAsia"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br w:type="page"/>
      </w:r>
    </w:p>
    <w:p>
      <w:pPr>
        <w:snapToGrid w:val="0"/>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napToGrid w:val="0"/>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napToGrid w:val="0"/>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olor w:val="auto"/>
          <w:sz w:val="24"/>
        </w:rPr>
        <w:t>杭州图书馆</w:t>
      </w:r>
      <w:r>
        <w:rPr>
          <w:rFonts w:hint="eastAsia" w:ascii="仿宋_GB2312" w:hAnsi="仿宋" w:eastAsia="仿宋_GB2312" w:cs="仿宋_GB2312"/>
          <w:color w:val="auto"/>
          <w:sz w:val="24"/>
        </w:rPr>
        <w:t>、</w:t>
      </w:r>
      <w:r>
        <w:rPr>
          <w:rFonts w:hint="eastAsia" w:ascii="仿宋_GB2312" w:hAnsi="仿宋" w:eastAsia="仿宋_GB2312"/>
          <w:color w:val="auto"/>
          <w:sz w:val="24"/>
          <w:lang w:eastAsia="zh-CN"/>
        </w:rPr>
        <w:t>东方经纬项目管理有限公司</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lang w:eastAsia="zh-CN"/>
        </w:rPr>
        <w:t>ZJJW2022-SC-008</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napToGrid w:val="0"/>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(单位为</w:t>
      </w:r>
      <w:r>
        <w:rPr>
          <w:rFonts w:hint="eastAsia" w:ascii="仿宋_GB2312" w:hAnsi="仿宋" w:eastAsia="仿宋_GB2312" w:cs="仿宋_GB2312"/>
          <w:b/>
          <w:color w:val="auto"/>
          <w:kern w:val="0"/>
          <w:sz w:val="24"/>
          <w:lang w:val="en-US" w:eastAsia="zh-CN"/>
        </w:rPr>
        <w:t>%</w:t>
      </w:r>
      <w:r>
        <w:rPr>
          <w:rFonts w:ascii="仿宋_GB2312" w:hAnsi="仿宋" w:eastAsia="仿宋_GB2312" w:cs="仿宋_GB2312"/>
          <w:b/>
          <w:color w:val="auto"/>
          <w:kern w:val="0"/>
          <w:sz w:val="24"/>
          <w:lang w:val="zh-CN"/>
        </w:rPr>
        <w:t>)</w:t>
      </w:r>
    </w:p>
    <w:tbl>
      <w:tblPr>
        <w:tblStyle w:val="62"/>
        <w:tblW w:w="12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627"/>
        <w:gridCol w:w="3559"/>
        <w:gridCol w:w="2070"/>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78" w:type="dxa"/>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2627" w:type="dxa"/>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名称</w:t>
            </w:r>
          </w:p>
        </w:tc>
        <w:tc>
          <w:tcPr>
            <w:tcW w:w="3559" w:type="dxa"/>
            <w:vAlign w:val="center"/>
          </w:tcPr>
          <w:p>
            <w:pPr>
              <w:snapToGrid w:val="0"/>
              <w:spacing w:line="360" w:lineRule="auto"/>
              <w:jc w:val="center"/>
              <w:rPr>
                <w:rFonts w:hint="eastAsia" w:ascii="仿宋_GB2312" w:hAnsi="仿宋" w:eastAsia="仿宋_GB2312" w:cs="仿宋_GB2312"/>
                <w:b/>
                <w:color w:val="auto"/>
                <w:sz w:val="24"/>
                <w:lang w:val="en-US" w:eastAsia="zh-CN"/>
              </w:rPr>
            </w:pPr>
            <w:r>
              <w:rPr>
                <w:rFonts w:hint="eastAsia" w:ascii="仿宋_GB2312" w:hAnsi="仿宋" w:eastAsia="仿宋_GB2312" w:cs="仿宋_GB2312"/>
                <w:b/>
                <w:color w:val="auto"/>
                <w:sz w:val="24"/>
                <w:lang w:val="en-US" w:eastAsia="zh-CN"/>
              </w:rPr>
              <w:t>内容</w:t>
            </w:r>
          </w:p>
        </w:tc>
        <w:tc>
          <w:tcPr>
            <w:tcW w:w="2070" w:type="dxa"/>
            <w:vAlign w:val="center"/>
          </w:tcPr>
          <w:p>
            <w:pPr>
              <w:snapToGrid w:val="0"/>
              <w:spacing w:line="360" w:lineRule="auto"/>
              <w:jc w:val="center"/>
              <w:rPr>
                <w:rFonts w:hint="eastAsia" w:ascii="仿宋_GB2312" w:hAnsi="仿宋" w:eastAsia="仿宋_GB2312" w:cs="仿宋_GB2312"/>
                <w:b/>
                <w:color w:val="auto"/>
                <w:sz w:val="24"/>
                <w:lang w:val="en-US" w:eastAsia="zh-CN"/>
              </w:rPr>
            </w:pPr>
            <w:r>
              <w:rPr>
                <w:rFonts w:hint="eastAsia" w:ascii="仿宋_GB2312" w:hAnsi="仿宋" w:eastAsia="仿宋_GB2312" w:cs="仿宋_GB2312"/>
                <w:b/>
                <w:color w:val="auto"/>
                <w:sz w:val="24"/>
                <w:lang w:val="en-US" w:eastAsia="zh-CN"/>
              </w:rPr>
              <w:t>折扣率</w:t>
            </w:r>
          </w:p>
        </w:tc>
        <w:tc>
          <w:tcPr>
            <w:tcW w:w="3033" w:type="dxa"/>
            <w:vAlign w:val="center"/>
          </w:tcPr>
          <w:p>
            <w:pPr>
              <w:snapToGrid w:val="0"/>
              <w:spacing w:line="360" w:lineRule="auto"/>
              <w:jc w:val="center"/>
              <w:rPr>
                <w:rFonts w:ascii="仿宋_GB2312" w:hAnsi="仿宋" w:eastAsia="仿宋_GB2312"/>
                <w:b/>
                <w:color w:val="auto"/>
                <w:sz w:val="24"/>
              </w:rPr>
            </w:pPr>
            <w:r>
              <w:rPr>
                <w:rFonts w:hint="eastAsia" w:ascii="仿宋_GB2312" w:hAnsi="仿宋" w:eastAsia="仿宋_GB2312" w:cs="仿宋_GB2312"/>
                <w:b/>
                <w:color w:val="auto"/>
                <w:sz w:val="24"/>
                <w:lang w:val="en-US" w:eastAsia="zh-CN"/>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078" w:type="dxa"/>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2627" w:type="dxa"/>
            <w:vAlign w:val="center"/>
          </w:tcPr>
          <w:p>
            <w:pPr>
              <w:snapToGrid w:val="0"/>
              <w:spacing w:line="360" w:lineRule="auto"/>
              <w:jc w:val="center"/>
              <w:rPr>
                <w:rFonts w:ascii="仿宋_GB2312" w:hAnsi="仿宋" w:eastAsia="仿宋_GB2312" w:cs="仿宋_GB2312"/>
                <w:color w:val="auto"/>
                <w:sz w:val="24"/>
              </w:rPr>
            </w:pPr>
          </w:p>
        </w:tc>
        <w:tc>
          <w:tcPr>
            <w:tcW w:w="3559" w:type="dxa"/>
            <w:vAlign w:val="center"/>
          </w:tcPr>
          <w:p>
            <w:pPr>
              <w:snapToGrid w:val="0"/>
              <w:spacing w:line="360" w:lineRule="auto"/>
              <w:jc w:val="center"/>
              <w:rPr>
                <w:rFonts w:ascii="仿宋_GB2312" w:hAnsi="仿宋" w:eastAsia="仿宋_GB2312" w:cs="仿宋_GB2312"/>
                <w:color w:val="auto"/>
                <w:sz w:val="24"/>
              </w:rPr>
            </w:pPr>
          </w:p>
        </w:tc>
        <w:tc>
          <w:tcPr>
            <w:tcW w:w="2070" w:type="dxa"/>
            <w:vAlign w:val="center"/>
          </w:tcPr>
          <w:p>
            <w:pPr>
              <w:snapToGrid w:val="0"/>
              <w:spacing w:line="360" w:lineRule="auto"/>
              <w:jc w:val="center"/>
              <w:rPr>
                <w:rFonts w:ascii="仿宋_GB2312" w:hAnsi="仿宋" w:eastAsia="仿宋_GB2312" w:cs="仿宋_GB2312"/>
                <w:color w:val="auto"/>
                <w:sz w:val="24"/>
              </w:rPr>
            </w:pPr>
          </w:p>
        </w:tc>
        <w:tc>
          <w:tcPr>
            <w:tcW w:w="3033" w:type="dxa"/>
            <w:vAlign w:val="center"/>
          </w:tcPr>
          <w:p>
            <w:pPr>
              <w:snapToGrid w:val="0"/>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64" w:type="dxa"/>
            <w:gridSpan w:val="3"/>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b/>
                <w:color w:val="auto"/>
                <w:sz w:val="24"/>
              </w:rPr>
              <w:t>投标报价</w:t>
            </w:r>
            <w:r>
              <w:rPr>
                <w:rFonts w:hint="eastAsia" w:ascii="仿宋_GB2312" w:hAnsi="仿宋" w:eastAsia="仿宋_GB2312" w:cs="仿宋_GB2312"/>
                <w:b/>
                <w:color w:val="auto"/>
                <w:sz w:val="24"/>
                <w:lang w:eastAsia="zh-CN"/>
              </w:rPr>
              <w:t>（</w:t>
            </w:r>
            <w:r>
              <w:rPr>
                <w:rFonts w:hint="eastAsia" w:ascii="仿宋_GB2312" w:hAnsi="仿宋" w:eastAsia="仿宋_GB2312" w:cs="仿宋_GB2312"/>
                <w:b/>
                <w:color w:val="auto"/>
                <w:sz w:val="24"/>
                <w:lang w:val="en-US" w:eastAsia="zh-CN"/>
              </w:rPr>
              <w:t>折扣率</w:t>
            </w:r>
            <w:r>
              <w:rPr>
                <w:rFonts w:hint="eastAsia" w:ascii="仿宋_GB2312" w:hAnsi="仿宋" w:eastAsia="仿宋_GB2312" w:cs="仿宋_GB2312"/>
                <w:b/>
                <w:color w:val="auto"/>
                <w:sz w:val="24"/>
                <w:lang w:eastAsia="zh-CN"/>
              </w:rPr>
              <w:t>）</w:t>
            </w:r>
            <w:r>
              <w:rPr>
                <w:rFonts w:hint="eastAsia" w:ascii="仿宋_GB2312" w:hAnsi="仿宋" w:eastAsia="仿宋_GB2312" w:cs="仿宋_GB2312"/>
                <w:b/>
                <w:color w:val="auto"/>
                <w:sz w:val="24"/>
              </w:rPr>
              <w:t>（小写）</w:t>
            </w:r>
          </w:p>
        </w:tc>
        <w:tc>
          <w:tcPr>
            <w:tcW w:w="5103" w:type="dxa"/>
            <w:gridSpan w:val="2"/>
            <w:vAlign w:val="center"/>
          </w:tcPr>
          <w:p>
            <w:pPr>
              <w:snapToGrid w:val="0"/>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264" w:type="dxa"/>
            <w:gridSpan w:val="3"/>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b/>
                <w:color w:val="auto"/>
                <w:sz w:val="24"/>
              </w:rPr>
              <w:t>投标报价</w:t>
            </w:r>
            <w:r>
              <w:rPr>
                <w:rFonts w:hint="eastAsia" w:ascii="仿宋_GB2312" w:hAnsi="仿宋" w:eastAsia="仿宋_GB2312" w:cs="仿宋_GB2312"/>
                <w:b/>
                <w:color w:val="auto"/>
                <w:sz w:val="24"/>
                <w:lang w:eastAsia="zh-CN"/>
              </w:rPr>
              <w:t>（</w:t>
            </w:r>
            <w:r>
              <w:rPr>
                <w:rFonts w:hint="eastAsia" w:ascii="仿宋_GB2312" w:hAnsi="仿宋" w:eastAsia="仿宋_GB2312" w:cs="仿宋_GB2312"/>
                <w:b/>
                <w:color w:val="auto"/>
                <w:sz w:val="24"/>
                <w:lang w:val="en-US" w:eastAsia="zh-CN"/>
              </w:rPr>
              <w:t>折扣率</w:t>
            </w:r>
            <w:r>
              <w:rPr>
                <w:rFonts w:hint="eastAsia" w:ascii="仿宋_GB2312" w:hAnsi="仿宋" w:eastAsia="仿宋_GB2312" w:cs="仿宋_GB2312"/>
                <w:b/>
                <w:color w:val="auto"/>
                <w:sz w:val="24"/>
                <w:lang w:eastAsia="zh-CN"/>
              </w:rPr>
              <w:t>）</w:t>
            </w:r>
            <w:r>
              <w:rPr>
                <w:rFonts w:hint="eastAsia" w:ascii="仿宋_GB2312" w:hAnsi="仿宋" w:eastAsia="仿宋_GB2312" w:cs="仿宋_GB2312"/>
                <w:b/>
                <w:color w:val="auto"/>
                <w:sz w:val="24"/>
              </w:rPr>
              <w:t>（大写）</w:t>
            </w:r>
          </w:p>
        </w:tc>
        <w:tc>
          <w:tcPr>
            <w:tcW w:w="5103" w:type="dxa"/>
            <w:gridSpan w:val="2"/>
            <w:vAlign w:val="center"/>
          </w:tcPr>
          <w:p>
            <w:pPr>
              <w:snapToGrid w:val="0"/>
              <w:spacing w:line="360" w:lineRule="auto"/>
              <w:jc w:val="center"/>
              <w:rPr>
                <w:rFonts w:ascii="仿宋_GB2312" w:hAnsi="仿宋" w:eastAsia="仿宋_GB2312" w:cs="仿宋_GB2312"/>
                <w:color w:val="auto"/>
                <w:sz w:val="24"/>
              </w:rPr>
            </w:pPr>
          </w:p>
        </w:tc>
      </w:tr>
    </w:tbl>
    <w:p>
      <w:pP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napToGrid w:val="0"/>
        <w:spacing w:line="360" w:lineRule="auto"/>
        <w:ind w:left="-2" w:leftChars="-1"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napToGrid w:val="0"/>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w:t>
      </w:r>
      <w:r>
        <w:rPr>
          <w:rFonts w:hint="eastAsia" w:ascii="仿宋_GB2312" w:hAnsi="仿宋" w:eastAsia="仿宋_GB2312" w:cs="仿宋_GB2312"/>
          <w:color w:val="auto"/>
          <w:kern w:val="0"/>
          <w:sz w:val="24"/>
          <w:lang w:val="zh-CN"/>
        </w:rPr>
        <w:t>本次投标人填报“折扣”为投标人优惠后实收部分。折扣以“%”的形式填写，如“九折”应填写为“90%”。</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szCs w:val="22"/>
          <w:lang w:val="zh-CN"/>
        </w:rPr>
        <w:t>5、</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snapToGrid w:val="0"/>
        <w:spacing w:line="360" w:lineRule="auto"/>
        <w:ind w:firstLine="482" w:firstLineChars="200"/>
        <w:rPr>
          <w:rFonts w:ascii="仿宋_GB2312" w:hAnsi="仿宋" w:eastAsia="仿宋_GB2312"/>
          <w:b/>
          <w:color w:val="auto"/>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napToGrid w:val="0"/>
        <w:spacing w:line="360" w:lineRule="auto"/>
        <w:ind w:firstLine="120" w:firstLineChars="50"/>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snapToGrid w:val="0"/>
        <w:spacing w:line="360" w:lineRule="auto"/>
        <w:ind w:right="420" w:firstLine="3614" w:firstLineChars="1000"/>
        <w:rPr>
          <w:rFonts w:ascii="仿宋_GB2312" w:hAnsi="仿宋" w:eastAsia="仿宋_GB2312" w:cs="仿宋_GB2312"/>
          <w:b/>
          <w:color w:val="auto"/>
          <w:kern w:val="0"/>
          <w:sz w:val="36"/>
          <w:szCs w:val="36"/>
        </w:rPr>
      </w:pPr>
    </w:p>
    <w:p>
      <w:pPr>
        <w:tabs>
          <w:tab w:val="left" w:pos="8085"/>
        </w:tabs>
        <w:snapToGrid w:val="0"/>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napToGrid w:val="0"/>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napToGrid w:val="0"/>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napToGrid w:val="0"/>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napToGrid w:val="0"/>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napToGrid w:val="0"/>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5"/>
        <w:numPr>
          <w:ilvl w:val="255"/>
          <w:numId w:val="0"/>
        </w:numPr>
        <w:adjustRightInd w:val="0"/>
        <w:snapToGrid w:val="0"/>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5"/>
        <w:numPr>
          <w:ilvl w:val="255"/>
          <w:numId w:val="0"/>
        </w:numPr>
        <w:adjustRightInd w:val="0"/>
        <w:snapToGrid w:val="0"/>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napToGrid w:val="0"/>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napToGrid w:val="0"/>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napToGrid w:val="0"/>
        <w:spacing w:line="360" w:lineRule="auto"/>
        <w:ind w:left="5040" w:hanging="5060" w:hangingChars="2100"/>
        <w:rPr>
          <w:rFonts w:ascii="仿宋_GB2312" w:hAnsi="仿宋" w:eastAsia="仿宋_GB2312" w:cs="仿宋_GB2312"/>
          <w:b/>
          <w:bCs/>
          <w:color w:val="auto"/>
          <w:kern w:val="0"/>
          <w:sz w:val="24"/>
        </w:rPr>
      </w:pPr>
    </w:p>
    <w:p>
      <w:pPr>
        <w:pStyle w:val="4"/>
        <w:keepNext w:val="0"/>
        <w:keepLines w:val="0"/>
        <w:pageBreakBefore/>
        <w:widowControl/>
        <w:snapToGrid w:val="0"/>
        <w:spacing w:before="100" w:beforeAutospacing="1" w:after="100" w:afterAutospacing="1" w:line="360" w:lineRule="auto"/>
        <w:ind w:left="1290" w:firstLine="3092" w:firstLineChars="700"/>
        <w:rPr>
          <w:rFonts w:ascii="仿宋_GB2312" w:hAnsi="仿宋" w:eastAsia="仿宋_GB2312"/>
          <w:color w:val="auto"/>
        </w:rPr>
      </w:pPr>
      <w:bookmarkStart w:id="394" w:name="_Toc465665161"/>
      <w:r>
        <w:rPr>
          <w:rFonts w:hint="eastAsia" w:ascii="仿宋_GB2312" w:hAnsi="仿宋" w:eastAsia="仿宋_GB2312"/>
          <w:color w:val="auto"/>
        </w:rPr>
        <w:t>附件</w:t>
      </w:r>
      <w:bookmarkEnd w:id="394"/>
    </w:p>
    <w:p>
      <w:pPr>
        <w:snapToGrid w:val="0"/>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napToGrid w:val="0"/>
        <w:spacing w:line="360" w:lineRule="auto"/>
        <w:jc w:val="center"/>
        <w:rPr>
          <w:rFonts w:ascii="仿宋_GB2312" w:hAnsi="仿宋" w:eastAsia="仿宋_GB2312"/>
          <w:b/>
          <w:color w:val="auto"/>
          <w:spacing w:val="6"/>
          <w:sz w:val="32"/>
          <w:szCs w:val="32"/>
        </w:rPr>
      </w:pPr>
      <w:bookmarkStart w:id="395" w:name="OLE_LINK13"/>
      <w:bookmarkStart w:id="396" w:name="OLE_LINK14"/>
      <w:r>
        <w:rPr>
          <w:rFonts w:hint="eastAsia" w:ascii="仿宋_GB2312" w:hAnsi="仿宋" w:eastAsia="仿宋_GB2312"/>
          <w:b/>
          <w:color w:val="auto"/>
          <w:spacing w:val="6"/>
          <w:sz w:val="32"/>
          <w:szCs w:val="32"/>
        </w:rPr>
        <w:t>残疾人福利性单位声明函</w:t>
      </w:r>
    </w:p>
    <w:bookmarkEnd w:id="395"/>
    <w:bookmarkEnd w:id="396"/>
    <w:p>
      <w:pPr>
        <w:snapToGrid w:val="0"/>
        <w:spacing w:line="360" w:lineRule="auto"/>
        <w:rPr>
          <w:rFonts w:ascii="仿宋_GB2312" w:hAnsi="仿宋" w:eastAsia="仿宋_GB2312"/>
          <w:b/>
          <w:color w:val="auto"/>
          <w:spacing w:val="6"/>
          <w:sz w:val="30"/>
          <w:szCs w:val="30"/>
        </w:rPr>
      </w:pP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napToGrid w:val="0"/>
        <w:spacing w:line="360" w:lineRule="auto"/>
        <w:ind w:firstLine="480" w:firstLineChars="200"/>
        <w:rPr>
          <w:rFonts w:ascii="仿宋_GB2312" w:hAnsi="仿宋" w:eastAsia="仿宋_GB2312" w:cs="仿宋_GB2312"/>
          <w:color w:val="auto"/>
          <w:sz w:val="24"/>
        </w:rPr>
      </w:pPr>
    </w:p>
    <w:p>
      <w:pPr>
        <w:snapToGrid w:val="0"/>
        <w:spacing w:line="360" w:lineRule="auto"/>
        <w:ind w:firstLine="480" w:firstLineChars="200"/>
        <w:rPr>
          <w:rFonts w:ascii="仿宋_GB2312" w:hAnsi="仿宋" w:eastAsia="仿宋_GB2312" w:cs="仿宋_GB2312"/>
          <w:color w:val="auto"/>
          <w:sz w:val="24"/>
        </w:rPr>
      </w:pPr>
    </w:p>
    <w:p>
      <w:pPr>
        <w:tabs>
          <w:tab w:val="left" w:pos="4860"/>
        </w:tabs>
        <w:snapToGrid w:val="0"/>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napToGrid w:val="0"/>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日  期：</w:t>
      </w:r>
    </w:p>
    <w:p>
      <w:pPr>
        <w:snapToGrid w:val="0"/>
        <w:spacing w:line="360" w:lineRule="auto"/>
        <w:ind w:firstLine="480" w:firstLineChars="200"/>
        <w:rPr>
          <w:rFonts w:ascii="仿宋_GB2312" w:hAnsi="仿宋" w:eastAsia="仿宋_GB2312" w:cs="仿宋_GB2312"/>
          <w:color w:val="auto"/>
          <w:sz w:val="24"/>
        </w:rPr>
      </w:pPr>
    </w:p>
    <w:p>
      <w:pPr>
        <w:snapToGrid w:val="0"/>
        <w:spacing w:line="360" w:lineRule="auto"/>
        <w:ind w:firstLine="420" w:firstLineChars="200"/>
        <w:rPr>
          <w:rFonts w:ascii="仿宋_GB2312" w:hAnsi="仿宋" w:eastAsia="仿宋_GB2312"/>
          <w:color w:val="auto"/>
        </w:rPr>
      </w:pPr>
    </w:p>
    <w:p>
      <w:pPr>
        <w:snapToGrid w:val="0"/>
        <w:spacing w:line="360" w:lineRule="auto"/>
        <w:ind w:firstLine="420" w:firstLineChars="200"/>
        <w:rPr>
          <w:rFonts w:ascii="仿宋_GB2312" w:hAnsi="仿宋" w:eastAsia="仿宋_GB2312"/>
          <w:color w:val="auto"/>
        </w:rPr>
      </w:pPr>
    </w:p>
    <w:p>
      <w:pPr>
        <w:snapToGrid w:val="0"/>
        <w:spacing w:line="360" w:lineRule="auto"/>
        <w:ind w:firstLine="420" w:firstLineChars="200"/>
        <w:rPr>
          <w:rFonts w:ascii="仿宋_GB2312" w:hAnsi="仿宋" w:eastAsia="仿宋_GB2312"/>
          <w:color w:val="auto"/>
        </w:rPr>
      </w:pPr>
    </w:p>
    <w:p>
      <w:pPr>
        <w:snapToGrid w:val="0"/>
        <w:spacing w:line="360" w:lineRule="auto"/>
        <w:ind w:firstLine="420" w:firstLineChars="200"/>
        <w:rPr>
          <w:rFonts w:ascii="仿宋_GB2312" w:hAnsi="仿宋" w:eastAsia="仿宋_GB2312"/>
          <w:color w:val="auto"/>
        </w:rPr>
      </w:pPr>
    </w:p>
    <w:p>
      <w:pPr>
        <w:snapToGrid w:val="0"/>
        <w:spacing w:line="360" w:lineRule="auto"/>
        <w:rPr>
          <w:rFonts w:ascii="仿宋_GB2312" w:hAnsi="仿宋" w:eastAsia="仿宋_GB2312" w:cs="仿宋_GB2312"/>
          <w:b/>
          <w:color w:val="auto"/>
          <w:sz w:val="24"/>
        </w:rPr>
      </w:pPr>
    </w:p>
    <w:p>
      <w:pPr>
        <w:snapToGrid w:val="0"/>
        <w:spacing w:line="360" w:lineRule="auto"/>
        <w:rPr>
          <w:rFonts w:ascii="仿宋_GB2312" w:hAnsi="仿宋" w:eastAsia="仿宋_GB2312" w:cs="仿宋_GB2312"/>
          <w:b/>
          <w:color w:val="auto"/>
          <w:sz w:val="24"/>
        </w:rPr>
      </w:pPr>
    </w:p>
    <w:p>
      <w:pPr>
        <w:snapToGrid w:val="0"/>
        <w:spacing w:line="360" w:lineRule="auto"/>
        <w:rPr>
          <w:rFonts w:ascii="仿宋_GB2312" w:hAnsi="仿宋" w:eastAsia="仿宋_GB2312" w:cs="仿宋_GB2312"/>
          <w:b/>
          <w:color w:val="auto"/>
          <w:sz w:val="24"/>
        </w:rPr>
      </w:pPr>
    </w:p>
    <w:p>
      <w:pPr>
        <w:snapToGrid w:val="0"/>
        <w:spacing w:line="360" w:lineRule="auto"/>
        <w:rPr>
          <w:rFonts w:ascii="仿宋_GB2312" w:hAnsi="仿宋" w:eastAsia="仿宋_GB2312" w:cs="仿宋_GB2312"/>
          <w:b/>
          <w:color w:val="auto"/>
          <w:sz w:val="24"/>
        </w:rPr>
      </w:pPr>
    </w:p>
    <w:p>
      <w:pPr>
        <w:snapToGrid w:val="0"/>
        <w:spacing w:line="360" w:lineRule="auto"/>
        <w:rPr>
          <w:rFonts w:ascii="仿宋_GB2312" w:hAnsi="仿宋" w:eastAsia="仿宋_GB2312" w:cs="仿宋_GB2312"/>
          <w:b/>
          <w:color w:val="auto"/>
          <w:sz w:val="24"/>
        </w:rPr>
      </w:pPr>
    </w:p>
    <w:p>
      <w:pPr>
        <w:snapToGrid w:val="0"/>
        <w:spacing w:line="360" w:lineRule="auto"/>
        <w:rPr>
          <w:rFonts w:ascii="仿宋_GB2312" w:hAnsi="仿宋" w:eastAsia="仿宋_GB2312" w:cs="仿宋_GB2312"/>
          <w:b/>
          <w:color w:val="auto"/>
          <w:sz w:val="24"/>
        </w:rPr>
      </w:pPr>
    </w:p>
    <w:p>
      <w:pPr>
        <w:snapToGrid w:val="0"/>
        <w:spacing w:line="360" w:lineRule="auto"/>
        <w:rPr>
          <w:rFonts w:ascii="仿宋_GB2312" w:hAnsi="仿宋" w:eastAsia="仿宋_GB2312" w:cs="仿宋_GB2312"/>
          <w:b/>
          <w:color w:val="auto"/>
          <w:sz w:val="24"/>
        </w:rPr>
      </w:pPr>
    </w:p>
    <w:p>
      <w:pPr>
        <w:snapToGrid w:val="0"/>
        <w:spacing w:line="360" w:lineRule="auto"/>
        <w:rPr>
          <w:rFonts w:ascii="仿宋_GB2312" w:hAnsi="仿宋" w:eastAsia="仿宋_GB2312" w:cs="仿宋_GB2312"/>
          <w:b/>
          <w:color w:val="auto"/>
          <w:sz w:val="24"/>
        </w:rPr>
      </w:pPr>
    </w:p>
    <w:p>
      <w:pPr>
        <w:snapToGrid w:val="0"/>
        <w:spacing w:line="360" w:lineRule="auto"/>
        <w:rPr>
          <w:rFonts w:ascii="仿宋_GB2312" w:hAnsi="仿宋" w:eastAsia="仿宋_GB2312" w:cs="仿宋_GB2312"/>
          <w:b/>
          <w:color w:val="auto"/>
          <w:sz w:val="24"/>
        </w:rPr>
      </w:pPr>
    </w:p>
    <w:p>
      <w:pPr>
        <w:snapToGrid w:val="0"/>
        <w:spacing w:line="360" w:lineRule="auto"/>
        <w:jc w:val="both"/>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napToGrid w:val="0"/>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napToGrid w:val="0"/>
        <w:spacing w:line="360" w:lineRule="auto"/>
        <w:jc w:val="center"/>
        <w:rPr>
          <w:rFonts w:ascii="仿宋_GB2312" w:hAnsi="仿宋" w:eastAsia="仿宋_GB2312" w:cs="仿宋"/>
          <w:b/>
          <w:bCs/>
          <w:color w:val="auto"/>
          <w:sz w:val="24"/>
        </w:rPr>
      </w:pPr>
    </w:p>
    <w:p>
      <w:pPr>
        <w:snapToGrid w:val="0"/>
        <w:spacing w:line="360" w:lineRule="auto"/>
        <w:rPr>
          <w:rFonts w:ascii="仿宋_GB2312" w:hAnsi="仿宋" w:eastAsia="仿宋_GB2312"/>
          <w:b/>
          <w:color w:val="auto"/>
          <w:sz w:val="24"/>
        </w:rPr>
      </w:pPr>
    </w:p>
    <w:p>
      <w:pPr>
        <w:snapToGrid w:val="0"/>
        <w:spacing w:line="360" w:lineRule="auto"/>
        <w:rPr>
          <w:rFonts w:ascii="仿宋_GB2312" w:hAnsi="仿宋" w:eastAsia="仿宋_GB2312"/>
          <w:b/>
          <w:color w:val="auto"/>
          <w:sz w:val="24"/>
        </w:rPr>
      </w:pPr>
    </w:p>
    <w:p>
      <w:pPr>
        <w:snapToGrid w:val="0"/>
        <w:spacing w:line="360" w:lineRule="auto"/>
        <w:rPr>
          <w:rFonts w:ascii="仿宋_GB2312" w:hAnsi="仿宋" w:eastAsia="仿宋_GB2312"/>
          <w:b/>
          <w:color w:val="auto"/>
          <w:sz w:val="24"/>
        </w:rPr>
      </w:pPr>
    </w:p>
    <w:p>
      <w:pPr>
        <w:snapToGrid w:val="0"/>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napToGrid w:val="0"/>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napToGrid w:val="0"/>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napToGrid w:val="0"/>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napToGrid w:val="0"/>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napToGrid w:val="0"/>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napToGrid w:val="0"/>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napToGrid w:val="0"/>
        <w:spacing w:line="360" w:lineRule="auto"/>
        <w:ind w:firstLine="600" w:firstLineChars="200"/>
        <w:jc w:val="left"/>
        <w:rPr>
          <w:rFonts w:ascii="仿宋_GB2312" w:hAnsi="仿宋" w:eastAsia="仿宋_GB2312"/>
          <w:color w:val="auto"/>
          <w:sz w:val="30"/>
          <w:szCs w:val="30"/>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center"/>
        <w:rPr>
          <w:rFonts w:ascii="仿宋_GB2312" w:hAnsi="仿宋" w:eastAsia="仿宋_GB2312"/>
          <w:b/>
          <w:color w:val="auto"/>
          <w:spacing w:val="6"/>
          <w:sz w:val="32"/>
          <w:szCs w:val="32"/>
        </w:rPr>
      </w:pPr>
    </w:p>
    <w:p>
      <w:pPr>
        <w:snapToGrid w:val="0"/>
        <w:spacing w:line="360" w:lineRule="auto"/>
        <w:jc w:val="left"/>
        <w:rPr>
          <w:rFonts w:ascii="仿宋_GB2312" w:hAnsi="仿宋" w:eastAsia="仿宋_GB2312"/>
          <w:b/>
          <w:color w:val="auto"/>
          <w:spacing w:val="6"/>
          <w:sz w:val="32"/>
          <w:szCs w:val="32"/>
        </w:rPr>
      </w:pPr>
    </w:p>
    <w:p>
      <w:pPr>
        <w:snapToGrid w:val="0"/>
        <w:spacing w:line="360" w:lineRule="auto"/>
        <w:jc w:val="left"/>
        <w:rPr>
          <w:rFonts w:ascii="仿宋_GB2312" w:hAnsi="仿宋" w:eastAsia="仿宋_GB2312"/>
          <w:b/>
          <w:color w:val="auto"/>
          <w:spacing w:val="6"/>
          <w:sz w:val="32"/>
          <w:szCs w:val="32"/>
        </w:rPr>
      </w:pPr>
    </w:p>
    <w:p>
      <w:pPr>
        <w:snapToGrid w:val="0"/>
        <w:spacing w:line="360" w:lineRule="auto"/>
        <w:jc w:val="both"/>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napToGrid w:val="0"/>
        <w:spacing w:line="360" w:lineRule="auto"/>
        <w:jc w:val="center"/>
        <w:rPr>
          <w:rFonts w:ascii="仿宋_GB2312" w:hAnsi="仿宋" w:eastAsia="仿宋_GB2312"/>
          <w:b/>
          <w:color w:val="auto"/>
          <w:sz w:val="24"/>
        </w:rPr>
      </w:pPr>
    </w:p>
    <w:p>
      <w:pPr>
        <w:snapToGrid w:val="0"/>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napToGrid w:val="0"/>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napToGrid w:val="0"/>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p>
    <w:p>
      <w:pPr>
        <w:tabs>
          <w:tab w:val="left" w:pos="6510"/>
        </w:tabs>
        <w:snapToGrid w:val="0"/>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napToGrid w:val="0"/>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napToGrid w:val="0"/>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napToGrid w:val="0"/>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napToGrid w:val="0"/>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napToGrid w:val="0"/>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napToGrid w:val="0"/>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napToGrid w:val="0"/>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napToGrid w:val="0"/>
        <w:spacing w:line="360" w:lineRule="auto"/>
        <w:rPr>
          <w:rFonts w:ascii="仿宋_GB2312" w:hAnsi="仿宋" w:eastAsia="仿宋_GB2312"/>
          <w:b/>
          <w:color w:val="auto"/>
          <w:sz w:val="24"/>
        </w:rPr>
      </w:pPr>
    </w:p>
    <w:p>
      <w:pPr>
        <w:snapToGrid w:val="0"/>
        <w:spacing w:line="360" w:lineRule="auto"/>
        <w:rPr>
          <w:rFonts w:ascii="仿宋_GB2312" w:hAnsi="仿宋" w:eastAsia="仿宋_GB2312"/>
          <w:b/>
          <w:color w:val="auto"/>
          <w:sz w:val="24"/>
        </w:rPr>
      </w:pPr>
    </w:p>
    <w:p>
      <w:pPr>
        <w:snapToGrid w:val="0"/>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napToGrid w:val="0"/>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napToGrid w:val="0"/>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napToGrid w:val="0"/>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napToGrid w:val="0"/>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napToGrid w:val="0"/>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napToGrid w:val="0"/>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napToGrid w:val="0"/>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napToGrid w:val="0"/>
        <w:spacing w:line="360" w:lineRule="auto"/>
        <w:rPr>
          <w:rFonts w:ascii="仿宋_GB2312" w:hAnsi="仿宋" w:eastAsia="仿宋_GB2312" w:cs="仿宋_GB2312"/>
          <w:b/>
          <w:color w:val="auto"/>
          <w:sz w:val="24"/>
        </w:rPr>
      </w:pP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napToGrid w:val="0"/>
        <w:spacing w:line="360" w:lineRule="auto"/>
        <w:rPr>
          <w:rFonts w:hint="eastAsia" w:ascii="仿宋" w:hAnsi="仿宋" w:eastAsia="仿宋"/>
          <w:color w:val="auto"/>
          <w:sz w:val="24"/>
          <w:lang w:eastAsia="zh-CN"/>
        </w:rPr>
      </w:pPr>
      <w:r>
        <w:rPr>
          <w:rFonts w:hint="eastAsia" w:ascii="仿宋_GB2312" w:hAnsi="仿宋" w:eastAsia="仿宋_GB2312"/>
          <w:color w:val="auto"/>
          <w:sz w:val="24"/>
          <w:u w:val="single"/>
        </w:rPr>
        <w:t>杭州图书馆</w:t>
      </w:r>
      <w:r>
        <w:rPr>
          <w:rFonts w:hint="eastAsia" w:ascii="仿宋" w:hAnsi="仿宋" w:eastAsia="仿宋" w:cs="仿宋_GB2312"/>
          <w:color w:val="auto"/>
          <w:sz w:val="24"/>
          <w:u w:val="single"/>
        </w:rPr>
        <w:t>、</w:t>
      </w:r>
      <w:r>
        <w:rPr>
          <w:rFonts w:hint="eastAsia" w:ascii="仿宋_GB2312" w:hAnsi="仿宋" w:eastAsia="仿宋_GB2312"/>
          <w:color w:val="auto"/>
          <w:sz w:val="24"/>
          <w:u w:val="single"/>
          <w:lang w:eastAsia="zh-CN"/>
        </w:rPr>
        <w:t>东方经纬项目管理有限公司</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w:t>
      </w:r>
      <w:r>
        <w:rPr>
          <w:rFonts w:hint="eastAsia" w:ascii="仿宋" w:hAnsi="仿宋" w:eastAsia="仿宋" w:cs="仿宋_GB2312"/>
          <w:color w:val="auto"/>
          <w:sz w:val="24"/>
          <w:lang w:eastAsia="zh-CN"/>
        </w:rPr>
        <w:t>ZJJW2022-SC-008</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napToGrid w:val="0"/>
        <w:spacing w:line="360" w:lineRule="auto"/>
        <w:ind w:firstLine="494"/>
        <w:rPr>
          <w:rFonts w:ascii="仿宋" w:hAnsi="仿宋" w:eastAsia="仿宋" w:cs="宋体"/>
          <w:color w:val="auto"/>
          <w:sz w:val="24"/>
        </w:rPr>
      </w:pPr>
    </w:p>
    <w:p>
      <w:pPr>
        <w:snapToGrid w:val="0"/>
        <w:spacing w:line="360" w:lineRule="auto"/>
        <w:ind w:firstLine="494"/>
        <w:rPr>
          <w:rFonts w:ascii="仿宋" w:hAnsi="仿宋" w:eastAsia="仿宋" w:cs="宋体"/>
          <w:color w:val="auto"/>
          <w:sz w:val="24"/>
        </w:rPr>
      </w:pPr>
    </w:p>
    <w:p>
      <w:pPr>
        <w:snapToGrid w:val="0"/>
        <w:spacing w:line="360" w:lineRule="auto"/>
        <w:ind w:firstLine="494"/>
        <w:rPr>
          <w:rFonts w:ascii="仿宋" w:hAnsi="仿宋" w:eastAsia="仿宋" w:cs="宋体"/>
          <w:color w:val="auto"/>
          <w:sz w:val="24"/>
        </w:rPr>
      </w:pPr>
    </w:p>
    <w:p>
      <w:pPr>
        <w:snapToGrid w:val="0"/>
        <w:spacing w:line="360" w:lineRule="auto"/>
        <w:ind w:firstLine="494"/>
        <w:rPr>
          <w:rFonts w:ascii="仿宋" w:hAnsi="仿宋" w:eastAsia="仿宋" w:cs="宋体"/>
          <w:color w:val="auto"/>
          <w:sz w:val="24"/>
        </w:rPr>
      </w:pPr>
    </w:p>
    <w:p>
      <w:pPr>
        <w:snapToGrid w:val="0"/>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snapToGrid w:val="0"/>
        <w:spacing w:line="360" w:lineRule="auto"/>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snapToGrid w:val="0"/>
        <w:spacing w:line="360" w:lineRule="auto"/>
        <w:rPr>
          <w:rFonts w:ascii="仿宋" w:hAnsi="仿宋" w:eastAsia="仿宋" w:cs="宋体"/>
          <w:color w:val="auto"/>
          <w:sz w:val="24"/>
        </w:rPr>
      </w:pPr>
      <w:r>
        <w:rPr>
          <w:rFonts w:hint="eastAsia" w:ascii="仿宋" w:hAnsi="仿宋" w:eastAsia="仿宋" w:cs="宋体"/>
          <w:b/>
          <w:bCs/>
          <w:color w:val="auto"/>
          <w:sz w:val="24"/>
        </w:rPr>
        <w:t>附：</w:t>
      </w:r>
    </w:p>
    <w:p>
      <w:pPr>
        <w:snapToGrid w:val="0"/>
        <w:spacing w:line="360" w:lineRule="auto"/>
        <w:rPr>
          <w:rFonts w:ascii="仿宋" w:hAnsi="仿宋" w:eastAsia="仿宋"/>
          <w:bCs/>
          <w:color w:val="auto"/>
          <w:sz w:val="24"/>
        </w:rPr>
      </w:pPr>
      <w:r>
        <w:rPr>
          <w:rFonts w:ascii="仿宋" w:hAnsi="仿宋" w:eastAsia="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color w:val="auto"/>
          <w:spacing w:val="6"/>
          <w:sz w:val="32"/>
          <w:szCs w:val="32"/>
        </w:rPr>
      </w:pPr>
    </w:p>
    <w:p>
      <w:pPr>
        <w:autoSpaceDE w:val="0"/>
        <w:autoSpaceDN w:val="0"/>
        <w:snapToGrid w:val="0"/>
        <w:spacing w:line="360" w:lineRule="auto"/>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napToGrid w:val="0"/>
        <w:spacing w:line="360" w:lineRule="auto"/>
        <w:jc w:val="center"/>
        <w:rPr>
          <w:rFonts w:ascii="仿宋" w:hAnsi="仿宋" w:eastAsia="仿宋" w:cs="仿宋_GB2312"/>
          <w:color w:val="auto"/>
          <w:sz w:val="24"/>
          <w:u w:val="single"/>
        </w:rPr>
      </w:pPr>
    </w:p>
    <w:p>
      <w:pPr>
        <w:snapToGrid w:val="0"/>
        <w:spacing w:line="360" w:lineRule="auto"/>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中小企业声明函（货物）</w:t>
      </w:r>
      <w:r>
        <w:rPr>
          <w:rFonts w:hint="eastAsia" w:ascii="仿宋_GB2312" w:hAnsi="宋体" w:eastAsia="仿宋_GB2312"/>
          <w:b/>
          <w:color w:val="auto"/>
          <w:sz w:val="32"/>
          <w:szCs w:val="32"/>
          <w:lang w:eastAsia="zh-CN"/>
        </w:rPr>
        <w:t>（</w:t>
      </w:r>
      <w:r>
        <w:rPr>
          <w:rFonts w:hint="eastAsia" w:ascii="仿宋_GB2312" w:hAnsi="宋体" w:eastAsia="仿宋_GB2312"/>
          <w:b/>
          <w:color w:val="auto"/>
          <w:sz w:val="32"/>
          <w:szCs w:val="32"/>
          <w:lang w:val="en-US" w:eastAsia="zh-CN"/>
        </w:rPr>
        <w:t>适用本项目</w:t>
      </w:r>
      <w:r>
        <w:rPr>
          <w:rFonts w:hint="eastAsia" w:ascii="仿宋_GB2312" w:hAnsi="宋体" w:eastAsia="仿宋_GB2312"/>
          <w:b/>
          <w:color w:val="auto"/>
          <w:sz w:val="32"/>
          <w:szCs w:val="32"/>
          <w:lang w:eastAsia="zh-CN"/>
        </w:rPr>
        <w:t>）</w:t>
      </w:r>
    </w:p>
    <w:p>
      <w:pPr>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napToGrid w:val="0"/>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napToGrid w:val="0"/>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firstLine="482" w:firstLineChars="200"/>
        <w:rPr>
          <w:rFonts w:ascii="仿宋_GB2312" w:hAnsi="宋体" w:eastAsia="仿宋_GB2312"/>
          <w:b/>
          <w:bCs/>
          <w:color w:val="auto"/>
          <w:sz w:val="24"/>
        </w:rPr>
      </w:pPr>
      <w:r>
        <w:rPr>
          <w:rFonts w:hint="eastAsia" w:ascii="仿宋_GB2312" w:hAnsi="宋体" w:eastAsia="仿宋_GB2312"/>
          <w:b/>
          <w:bCs/>
          <w:color w:val="auto"/>
          <w:sz w:val="24"/>
        </w:rPr>
        <w:t>从业人员、营业收入、资产总额填报上一年度数据，无上一年度数据的新成立企业可不填报。</w:t>
      </w:r>
    </w:p>
    <w:p>
      <w:pPr>
        <w:snapToGrid w:val="0"/>
        <w:spacing w:line="360" w:lineRule="auto"/>
        <w:ind w:right="420" w:firstLine="480" w:firstLineChars="200"/>
        <w:rPr>
          <w:rFonts w:ascii="仿宋_GB2312" w:hAnsi="仿宋" w:eastAsia="仿宋_GB2312" w:cs="仿宋_GB2312"/>
          <w:color w:val="auto"/>
          <w:sz w:val="24"/>
        </w:rPr>
      </w:pPr>
    </w:p>
    <w:p>
      <w:pPr>
        <w:snapToGrid w:val="0"/>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jc w:val="center"/>
        <w:rPr>
          <w:rFonts w:ascii="仿宋_GB2312" w:hAnsi="仿宋" w:eastAsia="仿宋_GB2312" w:cs="仿宋_GB2312"/>
          <w:b/>
          <w:color w:val="auto"/>
          <w:sz w:val="32"/>
          <w:szCs w:val="32"/>
        </w:rPr>
      </w:pPr>
    </w:p>
    <w:p>
      <w:pPr>
        <w:snapToGrid w:val="0"/>
        <w:spacing w:line="360" w:lineRule="auto"/>
        <w:jc w:val="center"/>
        <w:rPr>
          <w:rFonts w:ascii="仿宋_GB2312" w:hAnsi="仿宋" w:eastAsia="仿宋_GB2312" w:cs="仿宋_GB2312"/>
          <w:b/>
          <w:color w:val="auto"/>
          <w:sz w:val="32"/>
          <w:szCs w:val="32"/>
        </w:rPr>
      </w:pPr>
    </w:p>
    <w:p>
      <w:pPr>
        <w:snapToGrid w:val="0"/>
        <w:spacing w:line="360" w:lineRule="auto"/>
        <w:jc w:val="center"/>
        <w:rPr>
          <w:rFonts w:hint="eastAsia" w:ascii="仿宋_GB2312" w:hAnsi="宋体" w:eastAsia="仿宋_GB2312"/>
          <w:b/>
          <w:color w:val="auto"/>
          <w:sz w:val="32"/>
          <w:szCs w:val="32"/>
          <w:lang w:eastAsia="zh-CN"/>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r>
        <w:rPr>
          <w:rFonts w:hint="eastAsia" w:ascii="仿宋_GB2312" w:hAnsi="宋体" w:eastAsia="仿宋_GB2312"/>
          <w:b/>
          <w:color w:val="auto"/>
          <w:sz w:val="32"/>
          <w:szCs w:val="32"/>
          <w:lang w:eastAsia="zh-CN"/>
        </w:rPr>
        <w:t>（</w:t>
      </w:r>
      <w:r>
        <w:rPr>
          <w:rFonts w:hint="eastAsia" w:ascii="仿宋_GB2312" w:hAnsi="宋体" w:eastAsia="仿宋_GB2312"/>
          <w:b/>
          <w:color w:val="auto"/>
          <w:sz w:val="32"/>
          <w:szCs w:val="32"/>
          <w:lang w:val="en-US" w:eastAsia="zh-CN"/>
        </w:rPr>
        <w:t>不适用本项目</w:t>
      </w:r>
      <w:r>
        <w:rPr>
          <w:rFonts w:hint="eastAsia" w:ascii="仿宋_GB2312" w:hAnsi="宋体" w:eastAsia="仿宋_GB2312"/>
          <w:b/>
          <w:color w:val="auto"/>
          <w:sz w:val="32"/>
          <w:szCs w:val="32"/>
          <w:lang w:eastAsia="zh-CN"/>
        </w:rPr>
        <w:t>）</w:t>
      </w:r>
    </w:p>
    <w:p>
      <w:pPr>
        <w:snapToGrid w:val="0"/>
        <w:spacing w:line="360" w:lineRule="auto"/>
        <w:rPr>
          <w:rFonts w:ascii="仿宋_GB2312" w:hAnsi="仿宋" w:eastAsia="仿宋_GB2312"/>
          <w:color w:val="auto"/>
        </w:rPr>
      </w:pPr>
    </w:p>
    <w:p>
      <w:pPr>
        <w:snapToGrid w:val="0"/>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napToGrid w:val="0"/>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napToGrid w:val="0"/>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napToGrid w:val="0"/>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napToGrid w:val="0"/>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napToGrid w:val="0"/>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napToGrid w:val="0"/>
        <w:spacing w:line="360" w:lineRule="auto"/>
        <w:ind w:right="420" w:firstLine="482" w:firstLineChars="200"/>
        <w:rPr>
          <w:rFonts w:ascii="仿宋_GB2312" w:hAnsi="仿宋" w:eastAsia="仿宋_GB2312" w:cs="仿宋_GB2312"/>
          <w:b/>
          <w:bCs/>
          <w:color w:val="auto"/>
          <w:sz w:val="24"/>
        </w:rPr>
      </w:pPr>
      <w:r>
        <w:rPr>
          <w:rFonts w:hint="eastAsia" w:ascii="仿宋_GB2312" w:hAnsi="仿宋" w:eastAsia="仿宋_GB2312" w:cs="仿宋_GB2312"/>
          <w:b/>
          <w:bCs/>
          <w:color w:val="auto"/>
          <w:sz w:val="24"/>
        </w:rPr>
        <w:t>从业人员、营业收入、资产总额填报上一年度数据，无上一年度数据的新成立企业可不填报。</w:t>
      </w:r>
    </w:p>
    <w:p>
      <w:pPr>
        <w:snapToGrid w:val="0"/>
        <w:spacing w:line="360" w:lineRule="auto"/>
        <w:ind w:right="420"/>
        <w:rPr>
          <w:rFonts w:ascii="仿宋_GB2312" w:hAnsi="仿宋" w:eastAsia="仿宋_GB2312" w:cs="仿宋_GB2312"/>
          <w:color w:val="auto"/>
          <w:sz w:val="24"/>
        </w:rPr>
      </w:pPr>
    </w:p>
    <w:p>
      <w:pPr>
        <w:snapToGrid w:val="0"/>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auto"/>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91899912"/>
    <w:bookmarkStart w:id="398" w:name="_Toc36110187"/>
    <w:bookmarkStart w:id="399" w:name="_Toc13184514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宋体" w:hAnsi="宋体" w:cs="宋体"/>
      </w:rPr>
    </w:pPr>
    <w:r>
      <w:t></w:t>
    </w:r>
    <w:r>
      <w:rPr>
        <w:rFonts w:hint="eastAsia"/>
      </w:rPr>
      <w:t xml:space="preserve">             </w:t>
    </w:r>
    <w:r>
      <w:rPr>
        <w:rFonts w:hint="eastAsia" w:ascii="宋体" w:hAnsi="宋体" w:cs="宋体"/>
      </w:rP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宋体" w:hAnsi="宋体" w:cs="宋体"/>
      </w:rPr>
    </w:pPr>
    <w:r>
      <w:rPr>
        <w:lang w:val="zh-CN"/>
      </w:rPr>
      <w:t></w:t>
    </w:r>
    <w:r>
      <w:tab/>
    </w:r>
    <w:r>
      <w:rPr>
        <w:lang w:val="zh-CN"/>
      </w:rPr>
      <w:t></w:t>
    </w:r>
    <w:r>
      <w:tab/>
    </w:r>
    <w:r>
      <w:rPr>
        <w:rFonts w:hint="eastAsia" w:ascii="宋体" w:hAnsi="宋体"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rPr>
        <w:rFonts w:hint="eastAsia" w:ascii="宋体" w:hAnsi="宋体" w:cs="宋体"/>
      </w:rP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31968"/>
    <w:multiLevelType w:val="singleLevel"/>
    <w:tmpl w:val="B1631968"/>
    <w:lvl w:ilvl="0" w:tentative="0">
      <w:start w:val="1"/>
      <w:numFmt w:val="decimal"/>
      <w:suff w:val="nothing"/>
      <w:lvlText w:val="%1、"/>
      <w:lvlJc w:val="left"/>
    </w:lvl>
  </w:abstractNum>
  <w:abstractNum w:abstractNumId="1">
    <w:nsid w:val="F7880412"/>
    <w:multiLevelType w:val="singleLevel"/>
    <w:tmpl w:val="F7880412"/>
    <w:lvl w:ilvl="0" w:tentative="0">
      <w:start w:val="8"/>
      <w:numFmt w:val="decimal"/>
      <w:suff w:val="space"/>
      <w:lvlText w:val="%1."/>
      <w:lvlJc w:val="left"/>
    </w:lvl>
  </w:abstractNum>
  <w:abstractNum w:abstractNumId="2">
    <w:nsid w:val="36E072BB"/>
    <w:multiLevelType w:val="singleLevel"/>
    <w:tmpl w:val="36E072BB"/>
    <w:lvl w:ilvl="0" w:tentative="0">
      <w:start w:val="13"/>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81C"/>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786"/>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951"/>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CAD"/>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7F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356"/>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8E5"/>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2E1"/>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37C"/>
    <w:rsid w:val="00591BA6"/>
    <w:rsid w:val="00592825"/>
    <w:rsid w:val="005930F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1E9"/>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27EBD"/>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9D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D0E"/>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8E0"/>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C0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37B"/>
    <w:rsid w:val="00AD1065"/>
    <w:rsid w:val="00AD159E"/>
    <w:rsid w:val="00AD2AB1"/>
    <w:rsid w:val="00AD3132"/>
    <w:rsid w:val="00AD39FE"/>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43E"/>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B17"/>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B45"/>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C30"/>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7B3"/>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872B7"/>
    <w:rsid w:val="015F4268"/>
    <w:rsid w:val="019046F7"/>
    <w:rsid w:val="01930386"/>
    <w:rsid w:val="019F34BA"/>
    <w:rsid w:val="019F7441"/>
    <w:rsid w:val="01B37585"/>
    <w:rsid w:val="01C655C9"/>
    <w:rsid w:val="01C96162"/>
    <w:rsid w:val="01D55165"/>
    <w:rsid w:val="01DF6BF8"/>
    <w:rsid w:val="01EC2C57"/>
    <w:rsid w:val="02014E67"/>
    <w:rsid w:val="02267B99"/>
    <w:rsid w:val="02293F80"/>
    <w:rsid w:val="026B2E25"/>
    <w:rsid w:val="02824D4D"/>
    <w:rsid w:val="02883CD9"/>
    <w:rsid w:val="02D922C0"/>
    <w:rsid w:val="02DC4B10"/>
    <w:rsid w:val="02DD76CE"/>
    <w:rsid w:val="02F36323"/>
    <w:rsid w:val="02F5619C"/>
    <w:rsid w:val="03091250"/>
    <w:rsid w:val="03114635"/>
    <w:rsid w:val="0326446A"/>
    <w:rsid w:val="032D5555"/>
    <w:rsid w:val="033923C2"/>
    <w:rsid w:val="03531259"/>
    <w:rsid w:val="036634D2"/>
    <w:rsid w:val="0372135A"/>
    <w:rsid w:val="03921144"/>
    <w:rsid w:val="03B87801"/>
    <w:rsid w:val="03BD7AC7"/>
    <w:rsid w:val="03DD35E4"/>
    <w:rsid w:val="03E213CC"/>
    <w:rsid w:val="04001E71"/>
    <w:rsid w:val="04076900"/>
    <w:rsid w:val="041A5A3B"/>
    <w:rsid w:val="042311BA"/>
    <w:rsid w:val="042B157A"/>
    <w:rsid w:val="04525F79"/>
    <w:rsid w:val="047E5521"/>
    <w:rsid w:val="048F763B"/>
    <w:rsid w:val="049F330E"/>
    <w:rsid w:val="04AA775C"/>
    <w:rsid w:val="04AF1889"/>
    <w:rsid w:val="04C06A6F"/>
    <w:rsid w:val="04C23AE6"/>
    <w:rsid w:val="04D755CE"/>
    <w:rsid w:val="04E15543"/>
    <w:rsid w:val="04E444C9"/>
    <w:rsid w:val="04E55260"/>
    <w:rsid w:val="04EA60AB"/>
    <w:rsid w:val="04F66F48"/>
    <w:rsid w:val="05063F34"/>
    <w:rsid w:val="05251E14"/>
    <w:rsid w:val="05317411"/>
    <w:rsid w:val="05504D4C"/>
    <w:rsid w:val="055F4532"/>
    <w:rsid w:val="05804878"/>
    <w:rsid w:val="05A16594"/>
    <w:rsid w:val="05A7762D"/>
    <w:rsid w:val="05AC4831"/>
    <w:rsid w:val="05C91462"/>
    <w:rsid w:val="05CC0C33"/>
    <w:rsid w:val="060E5941"/>
    <w:rsid w:val="06110FAF"/>
    <w:rsid w:val="06367834"/>
    <w:rsid w:val="06493CA7"/>
    <w:rsid w:val="065A6178"/>
    <w:rsid w:val="066F1CF3"/>
    <w:rsid w:val="068416EE"/>
    <w:rsid w:val="06930BB8"/>
    <w:rsid w:val="06AB701E"/>
    <w:rsid w:val="06AF59F3"/>
    <w:rsid w:val="06DD0F84"/>
    <w:rsid w:val="07245D42"/>
    <w:rsid w:val="07264C62"/>
    <w:rsid w:val="0779354C"/>
    <w:rsid w:val="07BB5F44"/>
    <w:rsid w:val="08061376"/>
    <w:rsid w:val="082962EA"/>
    <w:rsid w:val="08452D77"/>
    <w:rsid w:val="086401F8"/>
    <w:rsid w:val="08751CAA"/>
    <w:rsid w:val="087E4C40"/>
    <w:rsid w:val="08890ADB"/>
    <w:rsid w:val="08A00A2D"/>
    <w:rsid w:val="08C8411B"/>
    <w:rsid w:val="08D66AD6"/>
    <w:rsid w:val="08DA33A3"/>
    <w:rsid w:val="08DF40F4"/>
    <w:rsid w:val="08E2560E"/>
    <w:rsid w:val="08E80F13"/>
    <w:rsid w:val="08F6578D"/>
    <w:rsid w:val="08FF49B5"/>
    <w:rsid w:val="09180DA6"/>
    <w:rsid w:val="09335624"/>
    <w:rsid w:val="094064A9"/>
    <w:rsid w:val="0944690F"/>
    <w:rsid w:val="095157FC"/>
    <w:rsid w:val="09535675"/>
    <w:rsid w:val="095F057D"/>
    <w:rsid w:val="09642282"/>
    <w:rsid w:val="09657D6F"/>
    <w:rsid w:val="09733572"/>
    <w:rsid w:val="09772C16"/>
    <w:rsid w:val="097C6F03"/>
    <w:rsid w:val="098353B5"/>
    <w:rsid w:val="09A92330"/>
    <w:rsid w:val="09B06B87"/>
    <w:rsid w:val="09C13146"/>
    <w:rsid w:val="09E04166"/>
    <w:rsid w:val="0A1C0718"/>
    <w:rsid w:val="0A3E7710"/>
    <w:rsid w:val="0A5B7E63"/>
    <w:rsid w:val="0A994059"/>
    <w:rsid w:val="0AA374A5"/>
    <w:rsid w:val="0AAB7649"/>
    <w:rsid w:val="0AB6369F"/>
    <w:rsid w:val="0ABC5606"/>
    <w:rsid w:val="0ABF27CC"/>
    <w:rsid w:val="0ADC2B17"/>
    <w:rsid w:val="0B1B6F91"/>
    <w:rsid w:val="0B30404E"/>
    <w:rsid w:val="0B4C6C14"/>
    <w:rsid w:val="0B631A88"/>
    <w:rsid w:val="0B683D45"/>
    <w:rsid w:val="0B7D0348"/>
    <w:rsid w:val="0B7F3F11"/>
    <w:rsid w:val="0B884417"/>
    <w:rsid w:val="0BA619B8"/>
    <w:rsid w:val="0BAB1071"/>
    <w:rsid w:val="0BF6188C"/>
    <w:rsid w:val="0BF73C91"/>
    <w:rsid w:val="0C170175"/>
    <w:rsid w:val="0C38052E"/>
    <w:rsid w:val="0C3E08F3"/>
    <w:rsid w:val="0C571A41"/>
    <w:rsid w:val="0C5745FC"/>
    <w:rsid w:val="0C5C1171"/>
    <w:rsid w:val="0C5E1CBC"/>
    <w:rsid w:val="0C615B50"/>
    <w:rsid w:val="0C831895"/>
    <w:rsid w:val="0C8445DA"/>
    <w:rsid w:val="0C87121B"/>
    <w:rsid w:val="0CB165A6"/>
    <w:rsid w:val="0CC007F7"/>
    <w:rsid w:val="0CFE707A"/>
    <w:rsid w:val="0D063BDA"/>
    <w:rsid w:val="0D08375F"/>
    <w:rsid w:val="0D184CFB"/>
    <w:rsid w:val="0D3C40F8"/>
    <w:rsid w:val="0D4A7419"/>
    <w:rsid w:val="0D827401"/>
    <w:rsid w:val="0D84094E"/>
    <w:rsid w:val="0D8A00E9"/>
    <w:rsid w:val="0D8D589E"/>
    <w:rsid w:val="0DA01C73"/>
    <w:rsid w:val="0DB75678"/>
    <w:rsid w:val="0DD63300"/>
    <w:rsid w:val="0DEB38AE"/>
    <w:rsid w:val="0DF50604"/>
    <w:rsid w:val="0DF702FE"/>
    <w:rsid w:val="0E060E51"/>
    <w:rsid w:val="0E0D41CC"/>
    <w:rsid w:val="0E2B5382"/>
    <w:rsid w:val="0E315A98"/>
    <w:rsid w:val="0E362F10"/>
    <w:rsid w:val="0E5161B3"/>
    <w:rsid w:val="0E5604B2"/>
    <w:rsid w:val="0E6D5D79"/>
    <w:rsid w:val="0E791B51"/>
    <w:rsid w:val="0E815896"/>
    <w:rsid w:val="0E9D0089"/>
    <w:rsid w:val="0EB803EE"/>
    <w:rsid w:val="0ECB7AE3"/>
    <w:rsid w:val="0EF94D4B"/>
    <w:rsid w:val="0F1D4BA7"/>
    <w:rsid w:val="0F2C665F"/>
    <w:rsid w:val="0F3D7EB1"/>
    <w:rsid w:val="0F416E5E"/>
    <w:rsid w:val="0F4958DC"/>
    <w:rsid w:val="0F515DF7"/>
    <w:rsid w:val="0F596BA8"/>
    <w:rsid w:val="0F5B4425"/>
    <w:rsid w:val="0F5E0E7B"/>
    <w:rsid w:val="0F6176FF"/>
    <w:rsid w:val="0F6248D2"/>
    <w:rsid w:val="0F693536"/>
    <w:rsid w:val="0F754490"/>
    <w:rsid w:val="0F7B0511"/>
    <w:rsid w:val="0F7B76D9"/>
    <w:rsid w:val="0F7C03F9"/>
    <w:rsid w:val="0F816ACD"/>
    <w:rsid w:val="0F8E1A6A"/>
    <w:rsid w:val="0F9832DB"/>
    <w:rsid w:val="0FBF3FD2"/>
    <w:rsid w:val="0FBF7FF3"/>
    <w:rsid w:val="0FEB1859"/>
    <w:rsid w:val="1006131E"/>
    <w:rsid w:val="10222FB3"/>
    <w:rsid w:val="10646583"/>
    <w:rsid w:val="107D4B15"/>
    <w:rsid w:val="10854D86"/>
    <w:rsid w:val="108A3C80"/>
    <w:rsid w:val="10C26171"/>
    <w:rsid w:val="10F33360"/>
    <w:rsid w:val="10FC16EA"/>
    <w:rsid w:val="110F1D40"/>
    <w:rsid w:val="11266F33"/>
    <w:rsid w:val="114D6FA3"/>
    <w:rsid w:val="118963A1"/>
    <w:rsid w:val="119102BC"/>
    <w:rsid w:val="11C6522A"/>
    <w:rsid w:val="11E104CC"/>
    <w:rsid w:val="11E20309"/>
    <w:rsid w:val="11E2077B"/>
    <w:rsid w:val="121B466A"/>
    <w:rsid w:val="12210A44"/>
    <w:rsid w:val="122301C4"/>
    <w:rsid w:val="12255233"/>
    <w:rsid w:val="12530213"/>
    <w:rsid w:val="127723A9"/>
    <w:rsid w:val="127C399F"/>
    <w:rsid w:val="127C51E4"/>
    <w:rsid w:val="12830CBB"/>
    <w:rsid w:val="12862074"/>
    <w:rsid w:val="12883966"/>
    <w:rsid w:val="12993A23"/>
    <w:rsid w:val="129E45B4"/>
    <w:rsid w:val="12D81596"/>
    <w:rsid w:val="13072A44"/>
    <w:rsid w:val="1355108A"/>
    <w:rsid w:val="135C7400"/>
    <w:rsid w:val="135F4BE2"/>
    <w:rsid w:val="139B1A0A"/>
    <w:rsid w:val="139D25C7"/>
    <w:rsid w:val="13BF3CE4"/>
    <w:rsid w:val="141008D8"/>
    <w:rsid w:val="14103A0E"/>
    <w:rsid w:val="14125FE6"/>
    <w:rsid w:val="141F594F"/>
    <w:rsid w:val="142A05C3"/>
    <w:rsid w:val="143B03D3"/>
    <w:rsid w:val="146D271E"/>
    <w:rsid w:val="1485600C"/>
    <w:rsid w:val="14982588"/>
    <w:rsid w:val="149A5AD9"/>
    <w:rsid w:val="14A7619D"/>
    <w:rsid w:val="150536C3"/>
    <w:rsid w:val="150C1963"/>
    <w:rsid w:val="151447A0"/>
    <w:rsid w:val="154A6454"/>
    <w:rsid w:val="156A3BF0"/>
    <w:rsid w:val="15762120"/>
    <w:rsid w:val="15A230EF"/>
    <w:rsid w:val="15A60A0D"/>
    <w:rsid w:val="15CD70F1"/>
    <w:rsid w:val="15E90C53"/>
    <w:rsid w:val="16016957"/>
    <w:rsid w:val="164D4776"/>
    <w:rsid w:val="167E3EDD"/>
    <w:rsid w:val="16940A6A"/>
    <w:rsid w:val="16A8729C"/>
    <w:rsid w:val="16B33777"/>
    <w:rsid w:val="16BC70A7"/>
    <w:rsid w:val="16C34284"/>
    <w:rsid w:val="16C6339E"/>
    <w:rsid w:val="16E86B65"/>
    <w:rsid w:val="172F2D79"/>
    <w:rsid w:val="17557BEF"/>
    <w:rsid w:val="17832C29"/>
    <w:rsid w:val="17964282"/>
    <w:rsid w:val="17CA55EA"/>
    <w:rsid w:val="17D349C1"/>
    <w:rsid w:val="18215BE3"/>
    <w:rsid w:val="1830729E"/>
    <w:rsid w:val="184E30E3"/>
    <w:rsid w:val="18665857"/>
    <w:rsid w:val="18673734"/>
    <w:rsid w:val="1870062C"/>
    <w:rsid w:val="18817102"/>
    <w:rsid w:val="18830A15"/>
    <w:rsid w:val="18852B28"/>
    <w:rsid w:val="188B5321"/>
    <w:rsid w:val="18A92444"/>
    <w:rsid w:val="18C67EBD"/>
    <w:rsid w:val="18CE1DB0"/>
    <w:rsid w:val="18DC6F08"/>
    <w:rsid w:val="19083202"/>
    <w:rsid w:val="19387424"/>
    <w:rsid w:val="198A6435"/>
    <w:rsid w:val="19932372"/>
    <w:rsid w:val="19A20DD5"/>
    <w:rsid w:val="19AE03F1"/>
    <w:rsid w:val="19BC05F3"/>
    <w:rsid w:val="1A071A03"/>
    <w:rsid w:val="1A091E31"/>
    <w:rsid w:val="1A192B9A"/>
    <w:rsid w:val="1A1F16AE"/>
    <w:rsid w:val="1A3B5C77"/>
    <w:rsid w:val="1A4E2D93"/>
    <w:rsid w:val="1A984BAD"/>
    <w:rsid w:val="1AB8220E"/>
    <w:rsid w:val="1AD97D3E"/>
    <w:rsid w:val="1AE4166C"/>
    <w:rsid w:val="1AF06CFB"/>
    <w:rsid w:val="1AF11B8D"/>
    <w:rsid w:val="1B0D67B3"/>
    <w:rsid w:val="1B11359C"/>
    <w:rsid w:val="1B2A271F"/>
    <w:rsid w:val="1B325D07"/>
    <w:rsid w:val="1B530544"/>
    <w:rsid w:val="1B713184"/>
    <w:rsid w:val="1BA209CF"/>
    <w:rsid w:val="1BB4777D"/>
    <w:rsid w:val="1BB836FF"/>
    <w:rsid w:val="1BCF7C95"/>
    <w:rsid w:val="1BD75AB8"/>
    <w:rsid w:val="1C0459C2"/>
    <w:rsid w:val="1C181EA7"/>
    <w:rsid w:val="1C1B3B4A"/>
    <w:rsid w:val="1C270791"/>
    <w:rsid w:val="1C373042"/>
    <w:rsid w:val="1C5B1718"/>
    <w:rsid w:val="1C88086E"/>
    <w:rsid w:val="1C8D1944"/>
    <w:rsid w:val="1CF93854"/>
    <w:rsid w:val="1D144910"/>
    <w:rsid w:val="1D266CE1"/>
    <w:rsid w:val="1D2A761E"/>
    <w:rsid w:val="1D3963AF"/>
    <w:rsid w:val="1D6A673C"/>
    <w:rsid w:val="1D815CE1"/>
    <w:rsid w:val="1D921C1B"/>
    <w:rsid w:val="1D9247AE"/>
    <w:rsid w:val="1DB567EC"/>
    <w:rsid w:val="1DC07D67"/>
    <w:rsid w:val="1DF51A98"/>
    <w:rsid w:val="1DFC5855"/>
    <w:rsid w:val="1E3D060F"/>
    <w:rsid w:val="1E3F7D2E"/>
    <w:rsid w:val="1E4134E4"/>
    <w:rsid w:val="1E5062B3"/>
    <w:rsid w:val="1E523514"/>
    <w:rsid w:val="1E660ECE"/>
    <w:rsid w:val="1E714A66"/>
    <w:rsid w:val="1E802593"/>
    <w:rsid w:val="1EA703CC"/>
    <w:rsid w:val="1EB7330C"/>
    <w:rsid w:val="1ECA71B0"/>
    <w:rsid w:val="1EEE204E"/>
    <w:rsid w:val="1F0A0FF3"/>
    <w:rsid w:val="1F230D53"/>
    <w:rsid w:val="1F5771FF"/>
    <w:rsid w:val="1F7E6C5B"/>
    <w:rsid w:val="1F881AC8"/>
    <w:rsid w:val="1F912BE8"/>
    <w:rsid w:val="1F953980"/>
    <w:rsid w:val="1FB515CE"/>
    <w:rsid w:val="1FE868A9"/>
    <w:rsid w:val="1FEF68FD"/>
    <w:rsid w:val="20034907"/>
    <w:rsid w:val="20173E4B"/>
    <w:rsid w:val="20176178"/>
    <w:rsid w:val="20304BC9"/>
    <w:rsid w:val="20380985"/>
    <w:rsid w:val="204E48BC"/>
    <w:rsid w:val="20722152"/>
    <w:rsid w:val="20857655"/>
    <w:rsid w:val="208921B3"/>
    <w:rsid w:val="20973DEB"/>
    <w:rsid w:val="20B26522"/>
    <w:rsid w:val="20B44310"/>
    <w:rsid w:val="20DB296B"/>
    <w:rsid w:val="211116EB"/>
    <w:rsid w:val="212F29A4"/>
    <w:rsid w:val="214B5E19"/>
    <w:rsid w:val="216133FC"/>
    <w:rsid w:val="216D287D"/>
    <w:rsid w:val="21A879DE"/>
    <w:rsid w:val="21D56769"/>
    <w:rsid w:val="21E52EF3"/>
    <w:rsid w:val="21FB5D7B"/>
    <w:rsid w:val="21FF2009"/>
    <w:rsid w:val="220B1C3D"/>
    <w:rsid w:val="221D1D20"/>
    <w:rsid w:val="22334A87"/>
    <w:rsid w:val="227F15A6"/>
    <w:rsid w:val="2296016F"/>
    <w:rsid w:val="22973311"/>
    <w:rsid w:val="2298275A"/>
    <w:rsid w:val="22A918A9"/>
    <w:rsid w:val="22B30424"/>
    <w:rsid w:val="22BE6801"/>
    <w:rsid w:val="22BF4BB6"/>
    <w:rsid w:val="22E064BD"/>
    <w:rsid w:val="2307110B"/>
    <w:rsid w:val="233500BF"/>
    <w:rsid w:val="23377FF7"/>
    <w:rsid w:val="233A1EEC"/>
    <w:rsid w:val="236B425F"/>
    <w:rsid w:val="23836192"/>
    <w:rsid w:val="23901F29"/>
    <w:rsid w:val="239C0061"/>
    <w:rsid w:val="23AC0675"/>
    <w:rsid w:val="23B908A4"/>
    <w:rsid w:val="23E95BEF"/>
    <w:rsid w:val="23F63298"/>
    <w:rsid w:val="23FD0064"/>
    <w:rsid w:val="240A315F"/>
    <w:rsid w:val="24207C9D"/>
    <w:rsid w:val="243873F5"/>
    <w:rsid w:val="245375B0"/>
    <w:rsid w:val="24541781"/>
    <w:rsid w:val="24557772"/>
    <w:rsid w:val="24642C0A"/>
    <w:rsid w:val="24922D02"/>
    <w:rsid w:val="249D5A0E"/>
    <w:rsid w:val="24A80A61"/>
    <w:rsid w:val="24B22173"/>
    <w:rsid w:val="24B56EAD"/>
    <w:rsid w:val="24B95AD9"/>
    <w:rsid w:val="24BE24DA"/>
    <w:rsid w:val="24CF5825"/>
    <w:rsid w:val="24D663E6"/>
    <w:rsid w:val="24D77F2B"/>
    <w:rsid w:val="252F3F2E"/>
    <w:rsid w:val="254361EB"/>
    <w:rsid w:val="258B00E2"/>
    <w:rsid w:val="258C2F17"/>
    <w:rsid w:val="25A917A6"/>
    <w:rsid w:val="25B35979"/>
    <w:rsid w:val="25BE27CC"/>
    <w:rsid w:val="25E65936"/>
    <w:rsid w:val="25ED3A64"/>
    <w:rsid w:val="25F74A5C"/>
    <w:rsid w:val="25F92318"/>
    <w:rsid w:val="2628662C"/>
    <w:rsid w:val="262D45DE"/>
    <w:rsid w:val="264A7253"/>
    <w:rsid w:val="265214B4"/>
    <w:rsid w:val="26A53EF9"/>
    <w:rsid w:val="26A94201"/>
    <w:rsid w:val="26AC274F"/>
    <w:rsid w:val="26E563D2"/>
    <w:rsid w:val="27044A29"/>
    <w:rsid w:val="271D34C8"/>
    <w:rsid w:val="271F3CB3"/>
    <w:rsid w:val="27456F6A"/>
    <w:rsid w:val="276142BF"/>
    <w:rsid w:val="27783712"/>
    <w:rsid w:val="27907362"/>
    <w:rsid w:val="279244B4"/>
    <w:rsid w:val="27CD0A32"/>
    <w:rsid w:val="27E41FE6"/>
    <w:rsid w:val="28064F12"/>
    <w:rsid w:val="282A4FD4"/>
    <w:rsid w:val="28333E1D"/>
    <w:rsid w:val="28454BD6"/>
    <w:rsid w:val="28455253"/>
    <w:rsid w:val="28551971"/>
    <w:rsid w:val="285B1C53"/>
    <w:rsid w:val="287B3C2C"/>
    <w:rsid w:val="289F7086"/>
    <w:rsid w:val="28C32028"/>
    <w:rsid w:val="28CC490F"/>
    <w:rsid w:val="28DE40AA"/>
    <w:rsid w:val="29262322"/>
    <w:rsid w:val="29345E77"/>
    <w:rsid w:val="294C65AD"/>
    <w:rsid w:val="296C70C9"/>
    <w:rsid w:val="297922F5"/>
    <w:rsid w:val="29806583"/>
    <w:rsid w:val="298B3C4C"/>
    <w:rsid w:val="299921E0"/>
    <w:rsid w:val="29C4192E"/>
    <w:rsid w:val="29CF0392"/>
    <w:rsid w:val="29F26D24"/>
    <w:rsid w:val="2A031EB1"/>
    <w:rsid w:val="2A15033F"/>
    <w:rsid w:val="2A1662C1"/>
    <w:rsid w:val="2A1C7367"/>
    <w:rsid w:val="2A2815FA"/>
    <w:rsid w:val="2A3000B7"/>
    <w:rsid w:val="2A6D6092"/>
    <w:rsid w:val="2A73580D"/>
    <w:rsid w:val="2A7D76B4"/>
    <w:rsid w:val="2ABB4F91"/>
    <w:rsid w:val="2B116834"/>
    <w:rsid w:val="2B1D3225"/>
    <w:rsid w:val="2B20204E"/>
    <w:rsid w:val="2B437463"/>
    <w:rsid w:val="2B4D3A06"/>
    <w:rsid w:val="2B7807EE"/>
    <w:rsid w:val="2B7A54AE"/>
    <w:rsid w:val="2B9D2CCF"/>
    <w:rsid w:val="2BBF00EC"/>
    <w:rsid w:val="2BC37CFD"/>
    <w:rsid w:val="2BD15E0E"/>
    <w:rsid w:val="2BD5237F"/>
    <w:rsid w:val="2BDB13B0"/>
    <w:rsid w:val="2BE14224"/>
    <w:rsid w:val="2BE536CE"/>
    <w:rsid w:val="2BE758D9"/>
    <w:rsid w:val="2C09049E"/>
    <w:rsid w:val="2C0A653C"/>
    <w:rsid w:val="2C191F85"/>
    <w:rsid w:val="2C2E7F22"/>
    <w:rsid w:val="2C4166D9"/>
    <w:rsid w:val="2C6B58A5"/>
    <w:rsid w:val="2C9A1D94"/>
    <w:rsid w:val="2CB924F5"/>
    <w:rsid w:val="2CDE166F"/>
    <w:rsid w:val="2CE470D6"/>
    <w:rsid w:val="2CE82D6F"/>
    <w:rsid w:val="2D0A5BAC"/>
    <w:rsid w:val="2D343236"/>
    <w:rsid w:val="2D3B30CC"/>
    <w:rsid w:val="2D702790"/>
    <w:rsid w:val="2D7C1028"/>
    <w:rsid w:val="2D8B2724"/>
    <w:rsid w:val="2DA92679"/>
    <w:rsid w:val="2DD15014"/>
    <w:rsid w:val="2DF72DE4"/>
    <w:rsid w:val="2E0220AF"/>
    <w:rsid w:val="2E2763F2"/>
    <w:rsid w:val="2E330ACE"/>
    <w:rsid w:val="2E3B189C"/>
    <w:rsid w:val="2E42394C"/>
    <w:rsid w:val="2E4B082A"/>
    <w:rsid w:val="2E581C15"/>
    <w:rsid w:val="2E5D4E86"/>
    <w:rsid w:val="2E5D790B"/>
    <w:rsid w:val="2E9A3C18"/>
    <w:rsid w:val="2EAC540B"/>
    <w:rsid w:val="2EBB0FEE"/>
    <w:rsid w:val="2EC63002"/>
    <w:rsid w:val="2EE345B1"/>
    <w:rsid w:val="2EF349E1"/>
    <w:rsid w:val="2F0A43A9"/>
    <w:rsid w:val="2F0A6B38"/>
    <w:rsid w:val="2F0E7849"/>
    <w:rsid w:val="2F1F12E5"/>
    <w:rsid w:val="2F3A25BD"/>
    <w:rsid w:val="2F946CCB"/>
    <w:rsid w:val="2F964B6F"/>
    <w:rsid w:val="2FD25781"/>
    <w:rsid w:val="2FF055FC"/>
    <w:rsid w:val="2FFD7934"/>
    <w:rsid w:val="301804AF"/>
    <w:rsid w:val="3019089D"/>
    <w:rsid w:val="30733ACD"/>
    <w:rsid w:val="30844DA5"/>
    <w:rsid w:val="308C3862"/>
    <w:rsid w:val="309379D8"/>
    <w:rsid w:val="30A270F7"/>
    <w:rsid w:val="30AE6282"/>
    <w:rsid w:val="30C60E31"/>
    <w:rsid w:val="30D32480"/>
    <w:rsid w:val="30DF1478"/>
    <w:rsid w:val="30EC586F"/>
    <w:rsid w:val="315A1221"/>
    <w:rsid w:val="31640C9F"/>
    <w:rsid w:val="319C6071"/>
    <w:rsid w:val="31AB7ACB"/>
    <w:rsid w:val="31AC537E"/>
    <w:rsid w:val="31AE58EC"/>
    <w:rsid w:val="31B852AF"/>
    <w:rsid w:val="31C3390C"/>
    <w:rsid w:val="31C93A66"/>
    <w:rsid w:val="31E3679B"/>
    <w:rsid w:val="31E732FD"/>
    <w:rsid w:val="32252C64"/>
    <w:rsid w:val="322B40E3"/>
    <w:rsid w:val="3250321E"/>
    <w:rsid w:val="32517576"/>
    <w:rsid w:val="325C446D"/>
    <w:rsid w:val="326A4041"/>
    <w:rsid w:val="32BE5C2C"/>
    <w:rsid w:val="32CF7174"/>
    <w:rsid w:val="32F05610"/>
    <w:rsid w:val="32F06057"/>
    <w:rsid w:val="32FB6478"/>
    <w:rsid w:val="331D7B1B"/>
    <w:rsid w:val="33263B3F"/>
    <w:rsid w:val="33334845"/>
    <w:rsid w:val="334B01F5"/>
    <w:rsid w:val="336963EB"/>
    <w:rsid w:val="336B4DE2"/>
    <w:rsid w:val="336D754F"/>
    <w:rsid w:val="336F6EEB"/>
    <w:rsid w:val="33816EEB"/>
    <w:rsid w:val="33DD381A"/>
    <w:rsid w:val="33EB55CD"/>
    <w:rsid w:val="33EC4C02"/>
    <w:rsid w:val="3401023D"/>
    <w:rsid w:val="340D2360"/>
    <w:rsid w:val="3410665D"/>
    <w:rsid w:val="34211214"/>
    <w:rsid w:val="342E63AB"/>
    <w:rsid w:val="34313801"/>
    <w:rsid w:val="343A3C94"/>
    <w:rsid w:val="3456587C"/>
    <w:rsid w:val="34950E68"/>
    <w:rsid w:val="34986E94"/>
    <w:rsid w:val="34AF62C9"/>
    <w:rsid w:val="34CB4388"/>
    <w:rsid w:val="34FA6E12"/>
    <w:rsid w:val="35517A2A"/>
    <w:rsid w:val="35881A01"/>
    <w:rsid w:val="358D5588"/>
    <w:rsid w:val="35E22B91"/>
    <w:rsid w:val="35E6144B"/>
    <w:rsid w:val="360166BA"/>
    <w:rsid w:val="36074AB8"/>
    <w:rsid w:val="363A3B40"/>
    <w:rsid w:val="36421690"/>
    <w:rsid w:val="365302AE"/>
    <w:rsid w:val="36594230"/>
    <w:rsid w:val="36607A0A"/>
    <w:rsid w:val="36671D43"/>
    <w:rsid w:val="366E227C"/>
    <w:rsid w:val="366F2E0D"/>
    <w:rsid w:val="366F712A"/>
    <w:rsid w:val="367B6A5C"/>
    <w:rsid w:val="36992B77"/>
    <w:rsid w:val="36A74ADA"/>
    <w:rsid w:val="36AD60D5"/>
    <w:rsid w:val="36B21520"/>
    <w:rsid w:val="36B224F9"/>
    <w:rsid w:val="36EC0CC9"/>
    <w:rsid w:val="36F05F92"/>
    <w:rsid w:val="36FF4C39"/>
    <w:rsid w:val="37170FE5"/>
    <w:rsid w:val="373F410B"/>
    <w:rsid w:val="375253E8"/>
    <w:rsid w:val="3769173D"/>
    <w:rsid w:val="37EE7094"/>
    <w:rsid w:val="37F54EC4"/>
    <w:rsid w:val="38296C89"/>
    <w:rsid w:val="383002EB"/>
    <w:rsid w:val="38586797"/>
    <w:rsid w:val="385F2BD6"/>
    <w:rsid w:val="38715920"/>
    <w:rsid w:val="38741907"/>
    <w:rsid w:val="387F4B07"/>
    <w:rsid w:val="388B1309"/>
    <w:rsid w:val="38BB47A1"/>
    <w:rsid w:val="38BC0149"/>
    <w:rsid w:val="38BC5BAD"/>
    <w:rsid w:val="38CC3AF8"/>
    <w:rsid w:val="38D354C9"/>
    <w:rsid w:val="38D747D5"/>
    <w:rsid w:val="38D87D1C"/>
    <w:rsid w:val="39636459"/>
    <w:rsid w:val="39670419"/>
    <w:rsid w:val="3967310D"/>
    <w:rsid w:val="396839DE"/>
    <w:rsid w:val="396B7F6C"/>
    <w:rsid w:val="397530E5"/>
    <w:rsid w:val="39777F08"/>
    <w:rsid w:val="39B417A9"/>
    <w:rsid w:val="39D00035"/>
    <w:rsid w:val="39F358E3"/>
    <w:rsid w:val="39FC5695"/>
    <w:rsid w:val="3A006D8E"/>
    <w:rsid w:val="3A222D1D"/>
    <w:rsid w:val="3A3353DF"/>
    <w:rsid w:val="3A3651E5"/>
    <w:rsid w:val="3A686D2D"/>
    <w:rsid w:val="3A744481"/>
    <w:rsid w:val="3A8C7BEF"/>
    <w:rsid w:val="3A906246"/>
    <w:rsid w:val="3AAF7724"/>
    <w:rsid w:val="3ABC5B08"/>
    <w:rsid w:val="3AFD1A1E"/>
    <w:rsid w:val="3B2349B7"/>
    <w:rsid w:val="3B28382D"/>
    <w:rsid w:val="3B413C25"/>
    <w:rsid w:val="3B616CFF"/>
    <w:rsid w:val="3B6259F6"/>
    <w:rsid w:val="3B874515"/>
    <w:rsid w:val="3B976654"/>
    <w:rsid w:val="3BC01EFC"/>
    <w:rsid w:val="3BC72A05"/>
    <w:rsid w:val="3BCA786A"/>
    <w:rsid w:val="3BD31E2F"/>
    <w:rsid w:val="3BE7634E"/>
    <w:rsid w:val="3BEA0284"/>
    <w:rsid w:val="3BF15831"/>
    <w:rsid w:val="3BFA6B5D"/>
    <w:rsid w:val="3C105946"/>
    <w:rsid w:val="3C185BFD"/>
    <w:rsid w:val="3C232C17"/>
    <w:rsid w:val="3C471448"/>
    <w:rsid w:val="3C5F759A"/>
    <w:rsid w:val="3C6C525A"/>
    <w:rsid w:val="3CA07876"/>
    <w:rsid w:val="3CCE23CB"/>
    <w:rsid w:val="3CD17D17"/>
    <w:rsid w:val="3CF66AEB"/>
    <w:rsid w:val="3D140D75"/>
    <w:rsid w:val="3D29361F"/>
    <w:rsid w:val="3D3C7F39"/>
    <w:rsid w:val="3D412435"/>
    <w:rsid w:val="3D440F09"/>
    <w:rsid w:val="3D4504A0"/>
    <w:rsid w:val="3D8734BB"/>
    <w:rsid w:val="3D96062E"/>
    <w:rsid w:val="3D9A11D4"/>
    <w:rsid w:val="3DA16D89"/>
    <w:rsid w:val="3DA364BE"/>
    <w:rsid w:val="3DC42400"/>
    <w:rsid w:val="3DDE3020"/>
    <w:rsid w:val="3DE041CB"/>
    <w:rsid w:val="3DE23DBE"/>
    <w:rsid w:val="3E0D48F6"/>
    <w:rsid w:val="3E1868B4"/>
    <w:rsid w:val="3E1A10DF"/>
    <w:rsid w:val="3E377251"/>
    <w:rsid w:val="3E42664B"/>
    <w:rsid w:val="3E5627C0"/>
    <w:rsid w:val="3E5A7334"/>
    <w:rsid w:val="3E7B5D6B"/>
    <w:rsid w:val="3E843E66"/>
    <w:rsid w:val="3E8F51FE"/>
    <w:rsid w:val="3E926F87"/>
    <w:rsid w:val="3E9A59DE"/>
    <w:rsid w:val="3EAF4836"/>
    <w:rsid w:val="3EC33DFA"/>
    <w:rsid w:val="3EE53CAF"/>
    <w:rsid w:val="3F060E16"/>
    <w:rsid w:val="3F1D1096"/>
    <w:rsid w:val="3F2F0234"/>
    <w:rsid w:val="3F6363FE"/>
    <w:rsid w:val="3F692ADA"/>
    <w:rsid w:val="3F756B8F"/>
    <w:rsid w:val="3F7A1AAC"/>
    <w:rsid w:val="3F95482B"/>
    <w:rsid w:val="3FAF6AA1"/>
    <w:rsid w:val="400233F5"/>
    <w:rsid w:val="4019356B"/>
    <w:rsid w:val="402076A9"/>
    <w:rsid w:val="40390CFE"/>
    <w:rsid w:val="40592157"/>
    <w:rsid w:val="406D2A59"/>
    <w:rsid w:val="406E1CAE"/>
    <w:rsid w:val="40914C76"/>
    <w:rsid w:val="40A0133A"/>
    <w:rsid w:val="40C31A53"/>
    <w:rsid w:val="40FF545D"/>
    <w:rsid w:val="410067C8"/>
    <w:rsid w:val="412C674C"/>
    <w:rsid w:val="413746E8"/>
    <w:rsid w:val="418F0D2A"/>
    <w:rsid w:val="419B7505"/>
    <w:rsid w:val="41AA3D7F"/>
    <w:rsid w:val="41C17066"/>
    <w:rsid w:val="41D01505"/>
    <w:rsid w:val="41E10913"/>
    <w:rsid w:val="41EC1334"/>
    <w:rsid w:val="41EC4B7A"/>
    <w:rsid w:val="42035471"/>
    <w:rsid w:val="423B5F04"/>
    <w:rsid w:val="42474939"/>
    <w:rsid w:val="42474CC3"/>
    <w:rsid w:val="424C3C57"/>
    <w:rsid w:val="424C5219"/>
    <w:rsid w:val="42613FF3"/>
    <w:rsid w:val="42660D96"/>
    <w:rsid w:val="4269685C"/>
    <w:rsid w:val="42746B81"/>
    <w:rsid w:val="427760E3"/>
    <w:rsid w:val="42793942"/>
    <w:rsid w:val="427C5E9A"/>
    <w:rsid w:val="428667D2"/>
    <w:rsid w:val="42CD1CE0"/>
    <w:rsid w:val="42D056DF"/>
    <w:rsid w:val="42E1381E"/>
    <w:rsid w:val="42ED6459"/>
    <w:rsid w:val="42F518B8"/>
    <w:rsid w:val="42F85568"/>
    <w:rsid w:val="42FD6806"/>
    <w:rsid w:val="42FE58DD"/>
    <w:rsid w:val="43174B3D"/>
    <w:rsid w:val="434B790E"/>
    <w:rsid w:val="4360274F"/>
    <w:rsid w:val="43977AB6"/>
    <w:rsid w:val="43A3342B"/>
    <w:rsid w:val="43A750C4"/>
    <w:rsid w:val="43C66485"/>
    <w:rsid w:val="43C77C27"/>
    <w:rsid w:val="43DE09EE"/>
    <w:rsid w:val="43EF1D64"/>
    <w:rsid w:val="44002FAD"/>
    <w:rsid w:val="442D52CD"/>
    <w:rsid w:val="44524C47"/>
    <w:rsid w:val="44591D2D"/>
    <w:rsid w:val="4463649F"/>
    <w:rsid w:val="449101DD"/>
    <w:rsid w:val="44DE1391"/>
    <w:rsid w:val="450E5188"/>
    <w:rsid w:val="451B225C"/>
    <w:rsid w:val="452144AE"/>
    <w:rsid w:val="452410C9"/>
    <w:rsid w:val="45317DFB"/>
    <w:rsid w:val="453A5372"/>
    <w:rsid w:val="45412D85"/>
    <w:rsid w:val="456D3CE4"/>
    <w:rsid w:val="4579042C"/>
    <w:rsid w:val="457F0571"/>
    <w:rsid w:val="45851176"/>
    <w:rsid w:val="45C63B94"/>
    <w:rsid w:val="45E9691B"/>
    <w:rsid w:val="45FF46C4"/>
    <w:rsid w:val="460B454E"/>
    <w:rsid w:val="460E7DA5"/>
    <w:rsid w:val="46422483"/>
    <w:rsid w:val="4659254A"/>
    <w:rsid w:val="465B0637"/>
    <w:rsid w:val="465E3F0D"/>
    <w:rsid w:val="466A16E6"/>
    <w:rsid w:val="46872855"/>
    <w:rsid w:val="46893F2B"/>
    <w:rsid w:val="469A1F64"/>
    <w:rsid w:val="46A87D5C"/>
    <w:rsid w:val="46B256FC"/>
    <w:rsid w:val="46C4686E"/>
    <w:rsid w:val="46D149CF"/>
    <w:rsid w:val="46F24850"/>
    <w:rsid w:val="47356239"/>
    <w:rsid w:val="473C4329"/>
    <w:rsid w:val="476B2431"/>
    <w:rsid w:val="477B778F"/>
    <w:rsid w:val="478203EC"/>
    <w:rsid w:val="4783225C"/>
    <w:rsid w:val="478657BA"/>
    <w:rsid w:val="47B025FA"/>
    <w:rsid w:val="47D83CC0"/>
    <w:rsid w:val="4809698F"/>
    <w:rsid w:val="4811697D"/>
    <w:rsid w:val="481E3AD7"/>
    <w:rsid w:val="48252D0D"/>
    <w:rsid w:val="48294FA3"/>
    <w:rsid w:val="483D4072"/>
    <w:rsid w:val="484720A9"/>
    <w:rsid w:val="487A3E25"/>
    <w:rsid w:val="488B5503"/>
    <w:rsid w:val="48937E21"/>
    <w:rsid w:val="489A0361"/>
    <w:rsid w:val="48B94FF3"/>
    <w:rsid w:val="48E37AAB"/>
    <w:rsid w:val="48FD4B4C"/>
    <w:rsid w:val="490A68E0"/>
    <w:rsid w:val="491055FE"/>
    <w:rsid w:val="491E68F0"/>
    <w:rsid w:val="495F5B3E"/>
    <w:rsid w:val="496F77D7"/>
    <w:rsid w:val="497654FD"/>
    <w:rsid w:val="498045F5"/>
    <w:rsid w:val="49A65709"/>
    <w:rsid w:val="49AC2B81"/>
    <w:rsid w:val="49B5616A"/>
    <w:rsid w:val="49B64211"/>
    <w:rsid w:val="49DE465B"/>
    <w:rsid w:val="49E45CF6"/>
    <w:rsid w:val="49F6167F"/>
    <w:rsid w:val="49F83B5C"/>
    <w:rsid w:val="49FF78E1"/>
    <w:rsid w:val="4A031735"/>
    <w:rsid w:val="4A064FA0"/>
    <w:rsid w:val="4A153DBB"/>
    <w:rsid w:val="4A16615C"/>
    <w:rsid w:val="4A4424D7"/>
    <w:rsid w:val="4A8420B3"/>
    <w:rsid w:val="4AB82D0F"/>
    <w:rsid w:val="4AB856C3"/>
    <w:rsid w:val="4ABA7DAB"/>
    <w:rsid w:val="4ABD10D8"/>
    <w:rsid w:val="4ADD7F6A"/>
    <w:rsid w:val="4AEB7664"/>
    <w:rsid w:val="4AFD7C19"/>
    <w:rsid w:val="4B0567D1"/>
    <w:rsid w:val="4B236AAE"/>
    <w:rsid w:val="4B285CFA"/>
    <w:rsid w:val="4B707271"/>
    <w:rsid w:val="4B8E3D1A"/>
    <w:rsid w:val="4B9739F7"/>
    <w:rsid w:val="4B9A462B"/>
    <w:rsid w:val="4BA161BA"/>
    <w:rsid w:val="4BEE2503"/>
    <w:rsid w:val="4BEE64C5"/>
    <w:rsid w:val="4BF81668"/>
    <w:rsid w:val="4C245A30"/>
    <w:rsid w:val="4C371C79"/>
    <w:rsid w:val="4C650A2E"/>
    <w:rsid w:val="4CB6685F"/>
    <w:rsid w:val="4CC367FE"/>
    <w:rsid w:val="4CC96D7F"/>
    <w:rsid w:val="4CD50C89"/>
    <w:rsid w:val="4D032E7A"/>
    <w:rsid w:val="4D077F3C"/>
    <w:rsid w:val="4D123355"/>
    <w:rsid w:val="4D2A3B31"/>
    <w:rsid w:val="4D312C52"/>
    <w:rsid w:val="4D563345"/>
    <w:rsid w:val="4D606CF2"/>
    <w:rsid w:val="4D625A5D"/>
    <w:rsid w:val="4D7B18AD"/>
    <w:rsid w:val="4D905305"/>
    <w:rsid w:val="4D964A72"/>
    <w:rsid w:val="4D9B7317"/>
    <w:rsid w:val="4D9C1254"/>
    <w:rsid w:val="4DBE3625"/>
    <w:rsid w:val="4DCF7AF4"/>
    <w:rsid w:val="4DFA1E1F"/>
    <w:rsid w:val="4E726306"/>
    <w:rsid w:val="4E793892"/>
    <w:rsid w:val="4E800872"/>
    <w:rsid w:val="4EC569ED"/>
    <w:rsid w:val="4ED50EA1"/>
    <w:rsid w:val="4EEC050C"/>
    <w:rsid w:val="4F104EC3"/>
    <w:rsid w:val="4F47354A"/>
    <w:rsid w:val="4F5A6D20"/>
    <w:rsid w:val="4F8D0320"/>
    <w:rsid w:val="4F9066DF"/>
    <w:rsid w:val="4F911C54"/>
    <w:rsid w:val="4FE319FB"/>
    <w:rsid w:val="4FE625E0"/>
    <w:rsid w:val="5021480F"/>
    <w:rsid w:val="50560F07"/>
    <w:rsid w:val="506626CD"/>
    <w:rsid w:val="506A7927"/>
    <w:rsid w:val="50767BD8"/>
    <w:rsid w:val="50962ECB"/>
    <w:rsid w:val="50A42E38"/>
    <w:rsid w:val="50A4577F"/>
    <w:rsid w:val="50AF1FE4"/>
    <w:rsid w:val="50B73D1F"/>
    <w:rsid w:val="50BD5BC9"/>
    <w:rsid w:val="50C11EEE"/>
    <w:rsid w:val="50C87438"/>
    <w:rsid w:val="50DC3341"/>
    <w:rsid w:val="50E97CFC"/>
    <w:rsid w:val="50FA4028"/>
    <w:rsid w:val="510D65B7"/>
    <w:rsid w:val="511157AB"/>
    <w:rsid w:val="5116076C"/>
    <w:rsid w:val="51225DF1"/>
    <w:rsid w:val="51240B16"/>
    <w:rsid w:val="513619FD"/>
    <w:rsid w:val="5139389D"/>
    <w:rsid w:val="5142540C"/>
    <w:rsid w:val="518832C8"/>
    <w:rsid w:val="518A5EA7"/>
    <w:rsid w:val="51903252"/>
    <w:rsid w:val="51A0432A"/>
    <w:rsid w:val="51A5567C"/>
    <w:rsid w:val="51A86090"/>
    <w:rsid w:val="51B7396D"/>
    <w:rsid w:val="51FF709A"/>
    <w:rsid w:val="522E4CC3"/>
    <w:rsid w:val="5244713B"/>
    <w:rsid w:val="52615633"/>
    <w:rsid w:val="527C43D2"/>
    <w:rsid w:val="52977FD4"/>
    <w:rsid w:val="529F2182"/>
    <w:rsid w:val="52A25790"/>
    <w:rsid w:val="52A96B6F"/>
    <w:rsid w:val="52B45975"/>
    <w:rsid w:val="52C90027"/>
    <w:rsid w:val="52D94AA4"/>
    <w:rsid w:val="52EA3A62"/>
    <w:rsid w:val="52F50BB8"/>
    <w:rsid w:val="53097272"/>
    <w:rsid w:val="53437C0C"/>
    <w:rsid w:val="534709DD"/>
    <w:rsid w:val="534947C8"/>
    <w:rsid w:val="53544462"/>
    <w:rsid w:val="5397158E"/>
    <w:rsid w:val="53E30CCD"/>
    <w:rsid w:val="54013861"/>
    <w:rsid w:val="54085ED4"/>
    <w:rsid w:val="54152740"/>
    <w:rsid w:val="54487265"/>
    <w:rsid w:val="544D6070"/>
    <w:rsid w:val="54605E1E"/>
    <w:rsid w:val="54802136"/>
    <w:rsid w:val="548E5A12"/>
    <w:rsid w:val="54B110C2"/>
    <w:rsid w:val="54B3506A"/>
    <w:rsid w:val="54B82316"/>
    <w:rsid w:val="54CA0D16"/>
    <w:rsid w:val="54DD4057"/>
    <w:rsid w:val="54E7490F"/>
    <w:rsid w:val="54EA2355"/>
    <w:rsid w:val="54F5674B"/>
    <w:rsid w:val="550764A4"/>
    <w:rsid w:val="550B2BF6"/>
    <w:rsid w:val="55214EB5"/>
    <w:rsid w:val="55364EFD"/>
    <w:rsid w:val="554D5B69"/>
    <w:rsid w:val="555D4828"/>
    <w:rsid w:val="557A4C8B"/>
    <w:rsid w:val="558931E1"/>
    <w:rsid w:val="55923347"/>
    <w:rsid w:val="55925180"/>
    <w:rsid w:val="55983B1B"/>
    <w:rsid w:val="55A8376B"/>
    <w:rsid w:val="55A86C13"/>
    <w:rsid w:val="55DC29B6"/>
    <w:rsid w:val="55DD4241"/>
    <w:rsid w:val="55E377A0"/>
    <w:rsid w:val="56140A38"/>
    <w:rsid w:val="56185866"/>
    <w:rsid w:val="566B6D1E"/>
    <w:rsid w:val="568807DB"/>
    <w:rsid w:val="56CF479D"/>
    <w:rsid w:val="56EE3B8B"/>
    <w:rsid w:val="57032A2C"/>
    <w:rsid w:val="570F5219"/>
    <w:rsid w:val="571F221D"/>
    <w:rsid w:val="575D12B5"/>
    <w:rsid w:val="57610A87"/>
    <w:rsid w:val="577B1140"/>
    <w:rsid w:val="577B7F21"/>
    <w:rsid w:val="577F181B"/>
    <w:rsid w:val="57860B6D"/>
    <w:rsid w:val="57921984"/>
    <w:rsid w:val="579737F0"/>
    <w:rsid w:val="57AB7B30"/>
    <w:rsid w:val="57AF5251"/>
    <w:rsid w:val="57B26373"/>
    <w:rsid w:val="57B63F04"/>
    <w:rsid w:val="57CD20C2"/>
    <w:rsid w:val="57D52939"/>
    <w:rsid w:val="57D675AB"/>
    <w:rsid w:val="57D95FDD"/>
    <w:rsid w:val="583011B4"/>
    <w:rsid w:val="5834677C"/>
    <w:rsid w:val="58877472"/>
    <w:rsid w:val="58917D2F"/>
    <w:rsid w:val="5894085C"/>
    <w:rsid w:val="58AE4F0C"/>
    <w:rsid w:val="58B85899"/>
    <w:rsid w:val="58E363A9"/>
    <w:rsid w:val="595E1678"/>
    <w:rsid w:val="596D4B22"/>
    <w:rsid w:val="596D5BD4"/>
    <w:rsid w:val="597115A9"/>
    <w:rsid w:val="597E3DD8"/>
    <w:rsid w:val="598C4EB2"/>
    <w:rsid w:val="59E41CF5"/>
    <w:rsid w:val="59F80043"/>
    <w:rsid w:val="5A09252F"/>
    <w:rsid w:val="5A0A43F9"/>
    <w:rsid w:val="5A0B2778"/>
    <w:rsid w:val="5A0B7166"/>
    <w:rsid w:val="5A1E295C"/>
    <w:rsid w:val="5A2A7C7B"/>
    <w:rsid w:val="5A3E2560"/>
    <w:rsid w:val="5A5325A3"/>
    <w:rsid w:val="5A5D3B6E"/>
    <w:rsid w:val="5A5D7628"/>
    <w:rsid w:val="5A637A76"/>
    <w:rsid w:val="5A662FA6"/>
    <w:rsid w:val="5A6D33BA"/>
    <w:rsid w:val="5A792B1F"/>
    <w:rsid w:val="5A874767"/>
    <w:rsid w:val="5A8A7BFF"/>
    <w:rsid w:val="5AAD6F28"/>
    <w:rsid w:val="5AB52713"/>
    <w:rsid w:val="5AD63A24"/>
    <w:rsid w:val="5ADA7015"/>
    <w:rsid w:val="5B051CDC"/>
    <w:rsid w:val="5B1D5589"/>
    <w:rsid w:val="5B203B0C"/>
    <w:rsid w:val="5B2E1A1D"/>
    <w:rsid w:val="5B342B40"/>
    <w:rsid w:val="5B751225"/>
    <w:rsid w:val="5B8310BE"/>
    <w:rsid w:val="5B843A1C"/>
    <w:rsid w:val="5B873E3F"/>
    <w:rsid w:val="5BF87BAE"/>
    <w:rsid w:val="5C02690E"/>
    <w:rsid w:val="5C0D2FC0"/>
    <w:rsid w:val="5C196DA7"/>
    <w:rsid w:val="5C2A048C"/>
    <w:rsid w:val="5C37028C"/>
    <w:rsid w:val="5C3910B1"/>
    <w:rsid w:val="5C452B7B"/>
    <w:rsid w:val="5C741AF9"/>
    <w:rsid w:val="5C80234E"/>
    <w:rsid w:val="5C8A680C"/>
    <w:rsid w:val="5CCA3885"/>
    <w:rsid w:val="5CD36B3D"/>
    <w:rsid w:val="5D057AB2"/>
    <w:rsid w:val="5D080D59"/>
    <w:rsid w:val="5D0C4701"/>
    <w:rsid w:val="5D0C6A61"/>
    <w:rsid w:val="5D0F0395"/>
    <w:rsid w:val="5D157A20"/>
    <w:rsid w:val="5D221076"/>
    <w:rsid w:val="5D244166"/>
    <w:rsid w:val="5D347ACF"/>
    <w:rsid w:val="5D397964"/>
    <w:rsid w:val="5D5A391C"/>
    <w:rsid w:val="5D5F10C0"/>
    <w:rsid w:val="5D891B7B"/>
    <w:rsid w:val="5D9F1375"/>
    <w:rsid w:val="5DAD38EE"/>
    <w:rsid w:val="5DD040EF"/>
    <w:rsid w:val="5DE23E43"/>
    <w:rsid w:val="5E006862"/>
    <w:rsid w:val="5E0207B9"/>
    <w:rsid w:val="5E0B08DE"/>
    <w:rsid w:val="5E0E2A29"/>
    <w:rsid w:val="5E14191A"/>
    <w:rsid w:val="5E1834A1"/>
    <w:rsid w:val="5E261785"/>
    <w:rsid w:val="5E4A7017"/>
    <w:rsid w:val="5E4D05BE"/>
    <w:rsid w:val="5E552BBA"/>
    <w:rsid w:val="5E611C10"/>
    <w:rsid w:val="5E7123D9"/>
    <w:rsid w:val="5EA70E64"/>
    <w:rsid w:val="5EDE002C"/>
    <w:rsid w:val="5EE77C69"/>
    <w:rsid w:val="5EEA0E2B"/>
    <w:rsid w:val="5EF21955"/>
    <w:rsid w:val="5EFA6370"/>
    <w:rsid w:val="5EFC7377"/>
    <w:rsid w:val="5F06174D"/>
    <w:rsid w:val="5F387261"/>
    <w:rsid w:val="5F3A3602"/>
    <w:rsid w:val="5F6277C6"/>
    <w:rsid w:val="5F6D0B1D"/>
    <w:rsid w:val="5F8D0B82"/>
    <w:rsid w:val="5FA630D9"/>
    <w:rsid w:val="5FCA6489"/>
    <w:rsid w:val="5FCC5339"/>
    <w:rsid w:val="5FE34A5B"/>
    <w:rsid w:val="5FFA479B"/>
    <w:rsid w:val="5FFE1E36"/>
    <w:rsid w:val="60232584"/>
    <w:rsid w:val="602F1630"/>
    <w:rsid w:val="605D6A0C"/>
    <w:rsid w:val="607330CE"/>
    <w:rsid w:val="60741383"/>
    <w:rsid w:val="60793CB6"/>
    <w:rsid w:val="60825176"/>
    <w:rsid w:val="609F2AC4"/>
    <w:rsid w:val="60AC3B70"/>
    <w:rsid w:val="60C638EB"/>
    <w:rsid w:val="60D14223"/>
    <w:rsid w:val="60F77262"/>
    <w:rsid w:val="60FA2EE8"/>
    <w:rsid w:val="61010BF2"/>
    <w:rsid w:val="61054A27"/>
    <w:rsid w:val="61081A16"/>
    <w:rsid w:val="610A52BC"/>
    <w:rsid w:val="611D2366"/>
    <w:rsid w:val="6138735C"/>
    <w:rsid w:val="61421856"/>
    <w:rsid w:val="615227C4"/>
    <w:rsid w:val="61654E3F"/>
    <w:rsid w:val="617B7061"/>
    <w:rsid w:val="6182292A"/>
    <w:rsid w:val="618F34F9"/>
    <w:rsid w:val="61977409"/>
    <w:rsid w:val="619F7F92"/>
    <w:rsid w:val="61BF7C19"/>
    <w:rsid w:val="61C35417"/>
    <w:rsid w:val="61CB05CE"/>
    <w:rsid w:val="61F94C26"/>
    <w:rsid w:val="62000E56"/>
    <w:rsid w:val="622D11BE"/>
    <w:rsid w:val="624F3E49"/>
    <w:rsid w:val="62632286"/>
    <w:rsid w:val="62791E55"/>
    <w:rsid w:val="62885958"/>
    <w:rsid w:val="62AB7AEA"/>
    <w:rsid w:val="62C3246D"/>
    <w:rsid w:val="62C415BE"/>
    <w:rsid w:val="62F40B65"/>
    <w:rsid w:val="62FC2CFE"/>
    <w:rsid w:val="63024505"/>
    <w:rsid w:val="633F4D43"/>
    <w:rsid w:val="635B1DB5"/>
    <w:rsid w:val="635E3537"/>
    <w:rsid w:val="6360059B"/>
    <w:rsid w:val="63711FED"/>
    <w:rsid w:val="63880DDC"/>
    <w:rsid w:val="638D750D"/>
    <w:rsid w:val="63AC6CC0"/>
    <w:rsid w:val="63EE701B"/>
    <w:rsid w:val="64055776"/>
    <w:rsid w:val="64240056"/>
    <w:rsid w:val="642D6339"/>
    <w:rsid w:val="643E143A"/>
    <w:rsid w:val="64673AC9"/>
    <w:rsid w:val="6475170C"/>
    <w:rsid w:val="647B68D9"/>
    <w:rsid w:val="648B6EEF"/>
    <w:rsid w:val="649A3A43"/>
    <w:rsid w:val="649D4312"/>
    <w:rsid w:val="64C158BF"/>
    <w:rsid w:val="64CE2EAA"/>
    <w:rsid w:val="65270184"/>
    <w:rsid w:val="65301603"/>
    <w:rsid w:val="653C3090"/>
    <w:rsid w:val="65581EA3"/>
    <w:rsid w:val="65854376"/>
    <w:rsid w:val="65864247"/>
    <w:rsid w:val="658767BE"/>
    <w:rsid w:val="65892531"/>
    <w:rsid w:val="659C617E"/>
    <w:rsid w:val="65B718DA"/>
    <w:rsid w:val="65EF5AC3"/>
    <w:rsid w:val="6607036B"/>
    <w:rsid w:val="66195831"/>
    <w:rsid w:val="66253565"/>
    <w:rsid w:val="662E75B1"/>
    <w:rsid w:val="66342C2E"/>
    <w:rsid w:val="663E784C"/>
    <w:rsid w:val="66641F3D"/>
    <w:rsid w:val="66763DA1"/>
    <w:rsid w:val="668B6A45"/>
    <w:rsid w:val="669876BE"/>
    <w:rsid w:val="66AB5E94"/>
    <w:rsid w:val="66BE74C5"/>
    <w:rsid w:val="66D719E2"/>
    <w:rsid w:val="671B1623"/>
    <w:rsid w:val="672F3F24"/>
    <w:rsid w:val="673E055F"/>
    <w:rsid w:val="67551CE3"/>
    <w:rsid w:val="675F4B86"/>
    <w:rsid w:val="67A22552"/>
    <w:rsid w:val="67B22DCC"/>
    <w:rsid w:val="67BB7D0D"/>
    <w:rsid w:val="67BE71AA"/>
    <w:rsid w:val="67D90273"/>
    <w:rsid w:val="67DE5875"/>
    <w:rsid w:val="67E55852"/>
    <w:rsid w:val="67EB1AB4"/>
    <w:rsid w:val="67FA1285"/>
    <w:rsid w:val="68232072"/>
    <w:rsid w:val="684C3FFD"/>
    <w:rsid w:val="68502CCF"/>
    <w:rsid w:val="68522092"/>
    <w:rsid w:val="68551F4F"/>
    <w:rsid w:val="686236D2"/>
    <w:rsid w:val="686C57E3"/>
    <w:rsid w:val="687C10C9"/>
    <w:rsid w:val="68840C16"/>
    <w:rsid w:val="68876EFB"/>
    <w:rsid w:val="68884654"/>
    <w:rsid w:val="689F444F"/>
    <w:rsid w:val="68B96DBB"/>
    <w:rsid w:val="68BF652A"/>
    <w:rsid w:val="68CA2805"/>
    <w:rsid w:val="68E937A3"/>
    <w:rsid w:val="693E15D3"/>
    <w:rsid w:val="69627681"/>
    <w:rsid w:val="6977531D"/>
    <w:rsid w:val="69CC2BFF"/>
    <w:rsid w:val="69E0746E"/>
    <w:rsid w:val="69F820EF"/>
    <w:rsid w:val="69FD55B8"/>
    <w:rsid w:val="6A022F6E"/>
    <w:rsid w:val="6A0B1C62"/>
    <w:rsid w:val="6A137964"/>
    <w:rsid w:val="6A2171E4"/>
    <w:rsid w:val="6A2406C8"/>
    <w:rsid w:val="6A852B1A"/>
    <w:rsid w:val="6A9D518D"/>
    <w:rsid w:val="6AB84121"/>
    <w:rsid w:val="6ADE0BD1"/>
    <w:rsid w:val="6AE96859"/>
    <w:rsid w:val="6AF1369E"/>
    <w:rsid w:val="6B0F68B9"/>
    <w:rsid w:val="6B147746"/>
    <w:rsid w:val="6B24787C"/>
    <w:rsid w:val="6B573233"/>
    <w:rsid w:val="6B5B6274"/>
    <w:rsid w:val="6B773B25"/>
    <w:rsid w:val="6B935D53"/>
    <w:rsid w:val="6B9B4942"/>
    <w:rsid w:val="6BB00AA3"/>
    <w:rsid w:val="6BB94A79"/>
    <w:rsid w:val="6BD20736"/>
    <w:rsid w:val="6C0A4E50"/>
    <w:rsid w:val="6C196F71"/>
    <w:rsid w:val="6C226FCB"/>
    <w:rsid w:val="6C2513B5"/>
    <w:rsid w:val="6C31226F"/>
    <w:rsid w:val="6C4146B0"/>
    <w:rsid w:val="6C4E73AA"/>
    <w:rsid w:val="6C552F0B"/>
    <w:rsid w:val="6C6B354C"/>
    <w:rsid w:val="6C717713"/>
    <w:rsid w:val="6C8C67B7"/>
    <w:rsid w:val="6C9D744C"/>
    <w:rsid w:val="6CC22639"/>
    <w:rsid w:val="6CFD351E"/>
    <w:rsid w:val="6D0A2374"/>
    <w:rsid w:val="6D127803"/>
    <w:rsid w:val="6D167928"/>
    <w:rsid w:val="6D26299B"/>
    <w:rsid w:val="6D4772EC"/>
    <w:rsid w:val="6D485513"/>
    <w:rsid w:val="6D692692"/>
    <w:rsid w:val="6D766C5C"/>
    <w:rsid w:val="6D7E3D79"/>
    <w:rsid w:val="6D9078AF"/>
    <w:rsid w:val="6DAA3FEF"/>
    <w:rsid w:val="6DC0172B"/>
    <w:rsid w:val="6DC0302F"/>
    <w:rsid w:val="6DC51685"/>
    <w:rsid w:val="6DCB690C"/>
    <w:rsid w:val="6DD41A5B"/>
    <w:rsid w:val="6DF43C2E"/>
    <w:rsid w:val="6DF51CA3"/>
    <w:rsid w:val="6E480EE1"/>
    <w:rsid w:val="6E6B1C00"/>
    <w:rsid w:val="6E7F6579"/>
    <w:rsid w:val="6E8335BD"/>
    <w:rsid w:val="6E855B0B"/>
    <w:rsid w:val="6E8E12EF"/>
    <w:rsid w:val="6E972936"/>
    <w:rsid w:val="6ECA6C5B"/>
    <w:rsid w:val="6ED03946"/>
    <w:rsid w:val="6ED446C5"/>
    <w:rsid w:val="6EFF5A3E"/>
    <w:rsid w:val="6F2A7D94"/>
    <w:rsid w:val="6F4B15AF"/>
    <w:rsid w:val="6F4C7376"/>
    <w:rsid w:val="6F544207"/>
    <w:rsid w:val="6F550385"/>
    <w:rsid w:val="6F8131DE"/>
    <w:rsid w:val="6F8331F1"/>
    <w:rsid w:val="6FAE1A09"/>
    <w:rsid w:val="6FD75BF8"/>
    <w:rsid w:val="707723D0"/>
    <w:rsid w:val="70F5661B"/>
    <w:rsid w:val="71360107"/>
    <w:rsid w:val="713B688E"/>
    <w:rsid w:val="715212D1"/>
    <w:rsid w:val="71880773"/>
    <w:rsid w:val="71A275A0"/>
    <w:rsid w:val="71A74AFA"/>
    <w:rsid w:val="71C5046B"/>
    <w:rsid w:val="71D310FC"/>
    <w:rsid w:val="71D43752"/>
    <w:rsid w:val="71F1796A"/>
    <w:rsid w:val="71F3311F"/>
    <w:rsid w:val="71F578B5"/>
    <w:rsid w:val="71FD3384"/>
    <w:rsid w:val="71FE04BF"/>
    <w:rsid w:val="720D2E7B"/>
    <w:rsid w:val="72154626"/>
    <w:rsid w:val="72262B5D"/>
    <w:rsid w:val="72283FF7"/>
    <w:rsid w:val="722E7212"/>
    <w:rsid w:val="72324ED8"/>
    <w:rsid w:val="723A0474"/>
    <w:rsid w:val="725923E4"/>
    <w:rsid w:val="72864BF7"/>
    <w:rsid w:val="729023FC"/>
    <w:rsid w:val="72B96865"/>
    <w:rsid w:val="72CE387C"/>
    <w:rsid w:val="72D334CF"/>
    <w:rsid w:val="72D8766B"/>
    <w:rsid w:val="72DC4DE5"/>
    <w:rsid w:val="73026025"/>
    <w:rsid w:val="730C31C1"/>
    <w:rsid w:val="73470152"/>
    <w:rsid w:val="73504C17"/>
    <w:rsid w:val="735A57A4"/>
    <w:rsid w:val="73687644"/>
    <w:rsid w:val="73853611"/>
    <w:rsid w:val="738D756C"/>
    <w:rsid w:val="73A54C05"/>
    <w:rsid w:val="73C0646E"/>
    <w:rsid w:val="74026044"/>
    <w:rsid w:val="742222F5"/>
    <w:rsid w:val="743B577B"/>
    <w:rsid w:val="744348F5"/>
    <w:rsid w:val="74476126"/>
    <w:rsid w:val="744A1335"/>
    <w:rsid w:val="74706664"/>
    <w:rsid w:val="747F3682"/>
    <w:rsid w:val="748A50C4"/>
    <w:rsid w:val="749C4185"/>
    <w:rsid w:val="74C11849"/>
    <w:rsid w:val="75067759"/>
    <w:rsid w:val="751B3C0E"/>
    <w:rsid w:val="7523685B"/>
    <w:rsid w:val="752E6DCD"/>
    <w:rsid w:val="7551380D"/>
    <w:rsid w:val="75600BE5"/>
    <w:rsid w:val="7564475C"/>
    <w:rsid w:val="756B2C21"/>
    <w:rsid w:val="756F4014"/>
    <w:rsid w:val="75835CFC"/>
    <w:rsid w:val="7583797F"/>
    <w:rsid w:val="759A2BE0"/>
    <w:rsid w:val="75C51DE5"/>
    <w:rsid w:val="75C70ADF"/>
    <w:rsid w:val="75D20F1D"/>
    <w:rsid w:val="75DA2C18"/>
    <w:rsid w:val="75EA5C63"/>
    <w:rsid w:val="75F54412"/>
    <w:rsid w:val="761D08E0"/>
    <w:rsid w:val="765D347C"/>
    <w:rsid w:val="766475A9"/>
    <w:rsid w:val="76672BE5"/>
    <w:rsid w:val="767A2D02"/>
    <w:rsid w:val="76826699"/>
    <w:rsid w:val="76907250"/>
    <w:rsid w:val="76966316"/>
    <w:rsid w:val="76AB2D3B"/>
    <w:rsid w:val="76AD006C"/>
    <w:rsid w:val="76C87133"/>
    <w:rsid w:val="76CD08D5"/>
    <w:rsid w:val="76DB4B92"/>
    <w:rsid w:val="77052AA4"/>
    <w:rsid w:val="770F2AF2"/>
    <w:rsid w:val="77136511"/>
    <w:rsid w:val="77200C82"/>
    <w:rsid w:val="77340A39"/>
    <w:rsid w:val="773423C8"/>
    <w:rsid w:val="77351FD0"/>
    <w:rsid w:val="77464DF8"/>
    <w:rsid w:val="77472422"/>
    <w:rsid w:val="77527D88"/>
    <w:rsid w:val="77535AC8"/>
    <w:rsid w:val="776A0559"/>
    <w:rsid w:val="776D3102"/>
    <w:rsid w:val="777F31F2"/>
    <w:rsid w:val="779F3148"/>
    <w:rsid w:val="77AD66D6"/>
    <w:rsid w:val="77D1700D"/>
    <w:rsid w:val="77EC04CC"/>
    <w:rsid w:val="78012B38"/>
    <w:rsid w:val="78255D07"/>
    <w:rsid w:val="78661ECF"/>
    <w:rsid w:val="78775729"/>
    <w:rsid w:val="78A42DB0"/>
    <w:rsid w:val="78A656AB"/>
    <w:rsid w:val="78B2245C"/>
    <w:rsid w:val="78D67E03"/>
    <w:rsid w:val="78E172CC"/>
    <w:rsid w:val="78E36906"/>
    <w:rsid w:val="78EA1D1F"/>
    <w:rsid w:val="78F82EA4"/>
    <w:rsid w:val="79031CDE"/>
    <w:rsid w:val="7904172F"/>
    <w:rsid w:val="790F7E27"/>
    <w:rsid w:val="791119BF"/>
    <w:rsid w:val="792A231A"/>
    <w:rsid w:val="79316829"/>
    <w:rsid w:val="797E66A9"/>
    <w:rsid w:val="79A97383"/>
    <w:rsid w:val="79E27E8B"/>
    <w:rsid w:val="79E82833"/>
    <w:rsid w:val="79F850CE"/>
    <w:rsid w:val="79FD443C"/>
    <w:rsid w:val="79FE72AE"/>
    <w:rsid w:val="7A1D1975"/>
    <w:rsid w:val="7A2A1840"/>
    <w:rsid w:val="7A3E5150"/>
    <w:rsid w:val="7A4670D6"/>
    <w:rsid w:val="7A534B63"/>
    <w:rsid w:val="7A5D33C7"/>
    <w:rsid w:val="7A615382"/>
    <w:rsid w:val="7A67303B"/>
    <w:rsid w:val="7AAB1D04"/>
    <w:rsid w:val="7ABA4368"/>
    <w:rsid w:val="7ABD66D0"/>
    <w:rsid w:val="7AD05746"/>
    <w:rsid w:val="7AED65F4"/>
    <w:rsid w:val="7AF15F26"/>
    <w:rsid w:val="7AF24423"/>
    <w:rsid w:val="7B257FFD"/>
    <w:rsid w:val="7B343476"/>
    <w:rsid w:val="7B3E496D"/>
    <w:rsid w:val="7B581264"/>
    <w:rsid w:val="7B5A2978"/>
    <w:rsid w:val="7B5A7E4C"/>
    <w:rsid w:val="7B667AF9"/>
    <w:rsid w:val="7B7468F8"/>
    <w:rsid w:val="7BA7162B"/>
    <w:rsid w:val="7BEE0103"/>
    <w:rsid w:val="7C0A0FE4"/>
    <w:rsid w:val="7C254906"/>
    <w:rsid w:val="7C3D3A06"/>
    <w:rsid w:val="7C3D6CC8"/>
    <w:rsid w:val="7C410687"/>
    <w:rsid w:val="7C590818"/>
    <w:rsid w:val="7C6C1689"/>
    <w:rsid w:val="7C785405"/>
    <w:rsid w:val="7C7C10F6"/>
    <w:rsid w:val="7C853BEA"/>
    <w:rsid w:val="7C881368"/>
    <w:rsid w:val="7C921718"/>
    <w:rsid w:val="7CDF15C0"/>
    <w:rsid w:val="7CE27788"/>
    <w:rsid w:val="7CEE265C"/>
    <w:rsid w:val="7D0C32F1"/>
    <w:rsid w:val="7D0F408D"/>
    <w:rsid w:val="7D172913"/>
    <w:rsid w:val="7D2E1473"/>
    <w:rsid w:val="7D402B82"/>
    <w:rsid w:val="7D491C6C"/>
    <w:rsid w:val="7D5429C0"/>
    <w:rsid w:val="7D545FDC"/>
    <w:rsid w:val="7D614266"/>
    <w:rsid w:val="7D6E6D43"/>
    <w:rsid w:val="7DB57A34"/>
    <w:rsid w:val="7DE60973"/>
    <w:rsid w:val="7DEF0916"/>
    <w:rsid w:val="7E1E5218"/>
    <w:rsid w:val="7E5D671C"/>
    <w:rsid w:val="7E7247F0"/>
    <w:rsid w:val="7E751326"/>
    <w:rsid w:val="7E9A4E1F"/>
    <w:rsid w:val="7EA7723A"/>
    <w:rsid w:val="7EA81BD9"/>
    <w:rsid w:val="7EB23DE7"/>
    <w:rsid w:val="7ECD2A8C"/>
    <w:rsid w:val="7ED34295"/>
    <w:rsid w:val="7EEC08E1"/>
    <w:rsid w:val="7EF56FBB"/>
    <w:rsid w:val="7F0768EB"/>
    <w:rsid w:val="7F143BEC"/>
    <w:rsid w:val="7F363CBC"/>
    <w:rsid w:val="7F410A54"/>
    <w:rsid w:val="7F562393"/>
    <w:rsid w:val="7F715AF2"/>
    <w:rsid w:val="7F813009"/>
    <w:rsid w:val="7F886E69"/>
    <w:rsid w:val="7F99106A"/>
    <w:rsid w:val="7FBB3D7C"/>
    <w:rsid w:val="7FFD3927"/>
    <w:rsid w:val="BB7FA927"/>
    <w:rsid w:val="F5FFD31F"/>
    <w:rsid w:val="FFFDA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qFormat/>
    <w:uiPriority w:val="0"/>
    <w:pPr>
      <w:adjustRightInd/>
      <w:spacing w:after="120" w:line="240" w:lineRule="auto"/>
      <w:ind w:left="420" w:leftChars="200" w:firstLine="210"/>
    </w:pPr>
    <w:rPr>
      <w:sz w:val="21"/>
    </w:rPr>
  </w:style>
  <w:style w:type="paragraph" w:styleId="3">
    <w:name w:val="Body Text Indent"/>
    <w:basedOn w:val="1"/>
    <w:next w:val="1"/>
    <w:link w:val="263"/>
    <w:qFormat/>
    <w:uiPriority w:val="0"/>
    <w:pPr>
      <w:spacing w:line="480" w:lineRule="exact"/>
      <w:ind w:firstLine="480" w:firstLineChars="200"/>
    </w:pPr>
    <w:rPr>
      <w:rFonts w:ascii="宋体" w:hAnsi="宋体"/>
      <w:sz w:val="24"/>
    </w:rPr>
  </w:style>
  <w:style w:type="paragraph" w:styleId="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19"/>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6483</Words>
  <Characters>36954</Characters>
  <Lines>307</Lines>
  <Paragraphs>86</Paragraphs>
  <TotalTime>7</TotalTime>
  <ScaleCrop>false</ScaleCrop>
  <LinksUpToDate>false</LinksUpToDate>
  <CharactersWithSpaces>43351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叶叶酱、</cp:lastModifiedBy>
  <cp:lastPrinted>2021-12-27T11:06:00Z</cp:lastPrinted>
  <dcterms:modified xsi:type="dcterms:W3CDTF">2022-05-19T08:50:49Z</dcterms:modified>
  <dc:title>杭州市市民卡扩大发卡工程</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