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eastAsia="宋体"/>
          <w:b/>
          <w:bCs/>
          <w:sz w:val="180"/>
          <w:szCs w:val="180"/>
          <w:lang w:val="en-US" w:eastAsia="zh-CN"/>
        </w:rPr>
      </w:pPr>
      <w:r>
        <w:rPr>
          <w:rFonts w:hint="eastAsia" w:ascii="宋体" w:hAnsi="宋体" w:cs="Arial"/>
          <w:b/>
          <w:sz w:val="36"/>
          <w:szCs w:val="36"/>
          <w:lang w:eastAsia="zh-CN"/>
        </w:rPr>
        <w:t>马山街道文化活动中心（红立方）运营服务项目</w:t>
      </w:r>
    </w:p>
    <w:p>
      <w:pPr>
        <w:jc w:val="both"/>
        <w:rPr>
          <w:rFonts w:hint="eastAsia" w:ascii="仿宋" w:eastAsia="仿宋"/>
          <w:b/>
          <w:bCs/>
          <w:sz w:val="72"/>
          <w:szCs w:val="72"/>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pStyle w:val="36"/>
        <w:rPr>
          <w:rFonts w:hint="eastAsia"/>
        </w:rPr>
      </w:pPr>
    </w:p>
    <w:tbl>
      <w:tblPr>
        <w:tblStyle w:val="26"/>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8"/>
        <w:gridCol w:w="4151"/>
        <w:gridCol w:w="2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1638"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项目编号：</w:t>
            </w:r>
          </w:p>
        </w:tc>
        <w:tc>
          <w:tcPr>
            <w:tcW w:w="6955" w:type="dxa"/>
            <w:gridSpan w:val="2"/>
            <w:vAlign w:val="center"/>
          </w:tcPr>
          <w:p>
            <w:pPr>
              <w:pBdr>
                <w:top w:val="none" w:color="auto" w:sz="0" w:space="0"/>
                <w:left w:val="none" w:color="auto" w:sz="0" w:space="0"/>
                <w:bottom w:val="none" w:color="auto" w:sz="0" w:space="0"/>
                <w:right w:val="none" w:color="auto" w:sz="0" w:space="0"/>
              </w:pBdr>
              <w:jc w:val="left"/>
              <w:rPr>
                <w:rFonts w:hint="default" w:ascii="仿宋" w:eastAsia="仿宋"/>
                <w:sz w:val="28"/>
                <w:szCs w:val="20"/>
                <w:highlight w:val="none"/>
                <w:u w:val="single"/>
                <w:lang w:val="en-US" w:eastAsia="zh-CN"/>
              </w:rPr>
            </w:pPr>
            <w:r>
              <w:rPr>
                <w:rFonts w:hint="eastAsia" w:ascii="仿宋" w:eastAsia="仿宋"/>
                <w:sz w:val="28"/>
                <w:szCs w:val="20"/>
                <w:highlight w:val="none"/>
                <w:lang w:val="en-US" w:eastAsia="zh-CN"/>
              </w:rPr>
              <w:t xml:space="preserve">  </w:t>
            </w:r>
            <w:r>
              <w:rPr>
                <w:rFonts w:hint="eastAsia" w:ascii="仿宋" w:eastAsia="仿宋"/>
                <w:sz w:val="28"/>
                <w:lang w:val="en-US" w:eastAsia="zh-CN"/>
              </w:rPr>
              <w:t>临【2002】4709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exact"/>
          <w:jc w:val="center"/>
        </w:trPr>
        <w:tc>
          <w:tcPr>
            <w:tcW w:w="5789" w:type="dxa"/>
            <w:gridSpan w:val="2"/>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rPr>
              <w:t>采购单位：</w:t>
            </w:r>
            <w:r>
              <w:rPr>
                <w:rFonts w:hint="eastAsia" w:ascii="仿宋" w:eastAsia="仿宋"/>
                <w:sz w:val="28"/>
                <w:lang w:val="en-US" w:eastAsia="zh-CN"/>
              </w:rPr>
              <w:t xml:space="preserve"> </w:t>
            </w:r>
            <w:r>
              <w:rPr>
                <w:rFonts w:hint="eastAsia" w:ascii="仿宋" w:eastAsia="仿宋"/>
                <w:sz w:val="28"/>
                <w:lang w:eastAsia="zh-CN"/>
              </w:rPr>
              <w:t>绍兴市越城区马山街道办事</w:t>
            </w:r>
            <w:r>
              <w:rPr>
                <w:rFonts w:hint="eastAsia" w:ascii="仿宋" w:eastAsia="仿宋"/>
                <w:sz w:val="28"/>
                <w:lang w:val="en-US" w:eastAsia="zh-CN"/>
              </w:rPr>
              <w:t>处chchuchu</w:t>
            </w:r>
            <w:r>
              <w:rPr>
                <w:rFonts w:hint="eastAsia" w:ascii="仿宋" w:eastAsia="仿宋"/>
                <w:sz w:val="28"/>
                <w:lang w:eastAsia="zh-CN"/>
              </w:rPr>
              <w:t>处</w:t>
            </w:r>
          </w:p>
        </w:tc>
        <w:tc>
          <w:tcPr>
            <w:tcW w:w="2804"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1638"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w:t>
            </w:r>
            <w:r>
              <w:rPr>
                <w:rFonts w:hint="eastAsia" w:ascii="仿宋" w:eastAsia="仿宋"/>
                <w:sz w:val="28"/>
                <w:lang w:eastAsia="zh-CN"/>
              </w:rPr>
              <w:t>：浙江浙江江</w:t>
            </w:r>
            <w:r>
              <w:rPr>
                <w:rFonts w:hint="eastAsia" w:ascii="仿宋" w:eastAsia="仿宋"/>
                <w:sz w:val="28"/>
              </w:rPr>
              <w:t>机构：</w:t>
            </w:r>
          </w:p>
        </w:tc>
        <w:tc>
          <w:tcPr>
            <w:tcW w:w="6955" w:type="dxa"/>
            <w:gridSpan w:val="2"/>
            <w:vAlign w:val="center"/>
          </w:tcPr>
          <w:p>
            <w:pPr>
              <w:pBdr>
                <w:top w:val="none" w:color="auto" w:sz="0" w:space="0"/>
                <w:left w:val="none" w:color="auto" w:sz="0" w:space="0"/>
                <w:bottom w:val="none" w:color="auto" w:sz="0" w:space="0"/>
                <w:right w:val="none" w:color="auto" w:sz="0" w:space="0"/>
              </w:pBdr>
              <w:rPr>
                <w:rFonts w:hint="eastAsia" w:ascii="仿宋" w:eastAsia="仿宋"/>
                <w:sz w:val="28"/>
                <w:lang w:val="en-US" w:eastAsia="zh-CN"/>
              </w:rPr>
            </w:pPr>
            <w:r>
              <w:rPr>
                <w:rFonts w:hint="eastAsia" w:ascii="仿宋" w:eastAsia="仿宋"/>
                <w:sz w:val="28"/>
                <w:lang w:val="en-US" w:eastAsia="zh-CN"/>
              </w:rPr>
              <w:t>中纬工程管理咨询有限公司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1638" w:type="dxa"/>
            <w:vMerge w:val="restart"/>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955" w:type="dxa"/>
            <w:gridSpan w:val="2"/>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w:t>
            </w:r>
            <w:r>
              <w:rPr>
                <w:rFonts w:hint="eastAsia" w:ascii="仿宋" w:eastAsia="仿宋"/>
                <w:sz w:val="28"/>
                <w:lang w:eastAsia="zh-CN"/>
              </w:rPr>
              <w:t>马山街道办事处招投标</w:t>
            </w:r>
            <w:r>
              <w:rPr>
                <w:rFonts w:hint="eastAsia" w:ascii="仿宋" w:eastAsia="仿宋"/>
                <w:sz w:val="28"/>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1638" w:type="dxa"/>
            <w:vMerge w:val="continue"/>
          </w:tcPr>
          <w:p/>
        </w:tc>
        <w:tc>
          <w:tcPr>
            <w:tcW w:w="6955" w:type="dxa"/>
            <w:gridSpan w:val="2"/>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ind w:firstLine="3080" w:firstLineChars="1100"/>
        <w:jc w:val="both"/>
        <w:rPr>
          <w:rFonts w:hint="default" w:ascii="仿宋" w:eastAsia="仿宋"/>
          <w:b/>
          <w:color w:val="000000"/>
          <w:sz w:val="44"/>
          <w:szCs w:val="44"/>
          <w:lang w:val="en-US"/>
        </w:rPr>
        <w:sectPr>
          <w:headerReference r:id="rId5" w:type="default"/>
          <w:footerReference r:id="rId6" w:type="default"/>
          <w:footerReference r:id="rId7" w:type="even"/>
          <w:pgSz w:w="11907" w:h="16840"/>
          <w:pgMar w:top="1440" w:right="1463" w:bottom="1440" w:left="1803" w:header="851" w:footer="992" w:gutter="0"/>
          <w:cols w:space="720" w:num="1"/>
          <w:docGrid w:type="lines" w:linePitch="312" w:charSpace="0"/>
        </w:sectPr>
      </w:pPr>
      <w:r>
        <w:rPr>
          <w:rFonts w:hint="eastAsia" w:ascii="宋体" w:hAnsi="宋体"/>
          <w:color w:val="auto"/>
          <w:sz w:val="28"/>
          <w:szCs w:val="28"/>
          <w:u w:val="single" w:color="auto"/>
        </w:rPr>
        <w:t>二○二</w:t>
      </w:r>
      <w:r>
        <w:rPr>
          <w:rFonts w:hint="eastAsia" w:ascii="宋体" w:hAnsi="宋体"/>
          <w:color w:val="auto"/>
          <w:sz w:val="28"/>
          <w:szCs w:val="28"/>
          <w:u w:val="single" w:color="auto"/>
          <w:lang w:eastAsia="zh-CN"/>
        </w:rPr>
        <w:t>二</w:t>
      </w:r>
      <w:r>
        <w:rPr>
          <w:rFonts w:hint="eastAsia" w:ascii="宋体" w:hAnsi="宋体"/>
          <w:color w:val="auto"/>
          <w:sz w:val="28"/>
          <w:szCs w:val="28"/>
          <w:u w:val="single" w:color="auto"/>
          <w:lang w:val="en-US" w:eastAsia="zh-CN"/>
        </w:rPr>
        <w:t xml:space="preserve"> </w:t>
      </w:r>
      <w:r>
        <w:rPr>
          <w:rFonts w:hint="eastAsia" w:ascii="仿宋" w:eastAsia="仿宋"/>
          <w:sz w:val="28"/>
        </w:rPr>
        <w:t>年</w:t>
      </w:r>
      <w:r>
        <w:rPr>
          <w:rFonts w:hint="eastAsia" w:ascii="仿宋" w:eastAsia="仿宋"/>
          <w:sz w:val="28"/>
          <w:u w:val="single"/>
          <w:lang w:eastAsia="zh-CN"/>
        </w:rPr>
        <w:t>八</w:t>
      </w:r>
      <w:r>
        <w:rPr>
          <w:rFonts w:hint="eastAsia" w:ascii="仿宋" w:eastAsia="仿宋"/>
          <w:sz w:val="28"/>
          <w:u w:val="single"/>
          <w:lang w:val="en-US" w:eastAsia="zh-CN"/>
        </w:rPr>
        <w:t xml:space="preserve"> 月</w:t>
      </w:r>
    </w:p>
    <w:p>
      <w:pPr>
        <w:ind w:firstLine="4417" w:firstLineChars="1000"/>
        <w:jc w:val="both"/>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1"/>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footerReference r:id="rId8" w:type="default"/>
          <w:pgSz w:w="11907" w:h="16840"/>
          <w:pgMar w:top="1440" w:right="1463" w:bottom="1440" w:left="1803" w:header="851" w:footer="992" w:gutter="0"/>
          <w:cols w:space="720" w:num="1"/>
          <w:docGrid w:type="lines" w:linePitch="312" w:charSpace="0"/>
        </w:sectPr>
      </w:pPr>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u w:val="single"/>
        </w:rPr>
        <w:t xml:space="preserve"> </w:t>
      </w:r>
      <w:r>
        <w:rPr>
          <w:rFonts w:hint="eastAsia" w:ascii="仿宋" w:eastAsia="仿宋"/>
          <w:i w:val="0"/>
          <w:iCs/>
          <w:sz w:val="24"/>
          <w:szCs w:val="24"/>
          <w:u w:val="single"/>
          <w:lang w:val="en-US" w:eastAsia="zh-CN"/>
        </w:rPr>
        <w:t xml:space="preserve"> </w:t>
      </w:r>
      <w:r>
        <w:rPr>
          <w:rFonts w:hint="eastAsia" w:ascii="仿宋" w:eastAsia="仿宋"/>
          <w:i w:val="0"/>
          <w:iCs/>
          <w:sz w:val="24"/>
          <w:szCs w:val="24"/>
          <w:u w:val="single"/>
          <w:lang w:eastAsia="zh-CN"/>
        </w:rPr>
        <w:t>马山街道文化活动中心（红立方）运营服务项目</w:t>
      </w:r>
      <w:r>
        <w:rPr>
          <w:rFonts w:hint="eastAsia" w:ascii="仿宋" w:eastAsia="仿宋" w:cs="宋体"/>
          <w:bCs/>
          <w:i w:val="0"/>
          <w:iCs/>
          <w:sz w:val="24"/>
          <w:szCs w:val="24"/>
          <w:highlight w:val="none"/>
          <w:u w:val="single"/>
          <w:lang w:val="en-US" w:eastAsia="zh-CN"/>
        </w:rPr>
        <w:t>(</w:t>
      </w:r>
      <w:r>
        <w:rPr>
          <w:rFonts w:ascii="仿宋" w:eastAsia="仿宋"/>
          <w:i w:val="0"/>
          <w:iCs/>
          <w:sz w:val="24"/>
          <w:szCs w:val="24"/>
          <w:u w:val="single"/>
        </w:rPr>
        <w:t>项目名称)</w:t>
      </w:r>
      <w:r>
        <w:rPr>
          <w:rFonts w:hint="eastAsia" w:ascii="仿宋" w:eastAsia="仿宋"/>
          <w:i w:val="0"/>
          <w:iCs/>
          <w:sz w:val="24"/>
          <w:szCs w:val="24"/>
        </w:rPr>
        <w:t xml:space="preserve"> </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single"/>
        </w:rPr>
        <w:t>年</w:t>
      </w:r>
      <w:r>
        <w:rPr>
          <w:rFonts w:hint="eastAsia" w:ascii="仿宋" w:eastAsia="仿宋"/>
          <w:bCs/>
          <w:sz w:val="24"/>
          <w:szCs w:val="24"/>
          <w:highlight w:val="none"/>
          <w:u w:val="single"/>
          <w:lang w:val="en-US" w:eastAsia="zh-CN"/>
        </w:rPr>
        <w:t xml:space="preserve">8 </w:t>
      </w:r>
      <w:r>
        <w:rPr>
          <w:rFonts w:hint="eastAsia" w:ascii="仿宋" w:eastAsia="仿宋"/>
          <w:bCs/>
          <w:sz w:val="24"/>
          <w:szCs w:val="24"/>
          <w:highlight w:val="none"/>
          <w:u w:val="single"/>
        </w:rPr>
        <w:t>月</w:t>
      </w:r>
      <w:r>
        <w:rPr>
          <w:rFonts w:hint="eastAsia" w:ascii="仿宋" w:eastAsia="仿宋"/>
          <w:bCs/>
          <w:sz w:val="24"/>
          <w:szCs w:val="24"/>
          <w:highlight w:val="none"/>
          <w:u w:val="single"/>
          <w:lang w:val="en-US" w:eastAsia="zh-CN"/>
        </w:rPr>
        <w:t xml:space="preserve"> 26</w:t>
      </w:r>
      <w:r>
        <w:rPr>
          <w:rFonts w:hint="eastAsia" w:ascii="仿宋" w:eastAsia="仿宋"/>
          <w:bCs/>
          <w:sz w:val="24"/>
          <w:szCs w:val="24"/>
          <w:highlight w:val="none"/>
          <w:u w:val="singl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u w:val="single"/>
        </w:rPr>
        <w:t>（</w:t>
      </w:r>
      <w:r>
        <w:rPr>
          <w:rFonts w:hint="eastAsia" w:ascii="仿宋" w:eastAsia="仿宋"/>
          <w:bCs/>
          <w:sz w:val="24"/>
          <w:szCs w:val="24"/>
          <w:highlight w:val="none"/>
        </w:rPr>
        <w:t>北京时间）前递交</w:t>
      </w:r>
      <w:r>
        <w:rPr>
          <w:rFonts w:ascii="仿宋" w:eastAsia="仿宋"/>
          <w:bCs/>
          <w:sz w:val="24"/>
          <w:szCs w:val="24"/>
          <w:highlight w:val="none"/>
        </w:rPr>
        <w:t>（上传）</w:t>
      </w:r>
      <w:r>
        <w:rPr>
          <w:rFonts w:hint="eastAsia" w:ascii="仿宋" w:eastAsia="仿宋"/>
          <w:bCs/>
          <w:sz w:val="24"/>
          <w:szCs w:val="24"/>
          <w:highlight w:val="none"/>
        </w:rPr>
        <w:t>投标</w:t>
      </w:r>
      <w:r>
        <w:rPr>
          <w:rFonts w:ascii="仿宋" w:eastAsia="仿宋"/>
          <w:bCs/>
          <w:sz w:val="24"/>
          <w:szCs w:val="24"/>
          <w:highlight w:val="none"/>
        </w:rPr>
        <w:t>文件</w:t>
      </w:r>
      <w:r>
        <w:rPr>
          <w:rFonts w:hint="eastAsia" w:ascii="仿宋" w:eastAsia="仿宋"/>
          <w:sz w:val="24"/>
          <w:szCs w:val="24"/>
          <w:highlight w:val="none"/>
        </w:rPr>
        <w:t>。</w:t>
      </w:r>
    </w:p>
    <w:p>
      <w:pPr>
        <w:rPr>
          <w:sz w:val="24"/>
          <w:szCs w:val="24"/>
        </w:rPr>
      </w:pPr>
    </w:p>
    <w:p>
      <w:pPr>
        <w:pStyle w:val="5"/>
        <w:spacing w:line="360" w:lineRule="auto"/>
        <w:jc w:val="left"/>
        <w:rPr>
          <w:rFonts w:ascii="黑体" w:hAnsi="黑体" w:cs="宋体"/>
          <w:bCs/>
          <w:sz w:val="24"/>
          <w:szCs w:val="24"/>
        </w:rPr>
      </w:pPr>
      <w:bookmarkStart w:id="1" w:name="_Toc28359002"/>
      <w:bookmarkStart w:id="2" w:name="_Toc28359079"/>
      <w:bookmarkStart w:id="3" w:name="_Toc35393621"/>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i w:val="0"/>
          <w:iCs/>
          <w:sz w:val="28"/>
          <w:szCs w:val="20"/>
          <w:highlight w:val="none"/>
          <w:lang w:val="en-US" w:eastAsia="zh-CN"/>
        </w:rPr>
      </w:pPr>
      <w:r>
        <w:rPr>
          <w:rFonts w:hint="eastAsia" w:ascii="仿宋" w:eastAsia="仿宋" w:cs="宋体"/>
          <w:bCs/>
          <w:sz w:val="24"/>
          <w:szCs w:val="24"/>
          <w:highlight w:val="none"/>
        </w:rPr>
        <w:t>项目编号：</w:t>
      </w:r>
      <w:r>
        <w:rPr>
          <w:rFonts w:hint="eastAsia" w:ascii="仿宋" w:eastAsia="仿宋"/>
          <w:i w:val="0"/>
          <w:iCs/>
          <w:sz w:val="24"/>
          <w:szCs w:val="24"/>
          <w:u w:val="single"/>
          <w:lang w:val="en-US" w:eastAsia="zh-CN"/>
        </w:rPr>
        <w:t xml:space="preserve"> 临【2002】4709</w:t>
      </w:r>
      <w:r>
        <w:rPr>
          <w:rFonts w:hint="eastAsia" w:ascii="仿宋" w:eastAsia="仿宋"/>
          <w:i w:val="0"/>
          <w:iCs/>
          <w:sz w:val="24"/>
          <w:szCs w:val="24"/>
          <w:u w:val="single"/>
          <w:lang w:val="en-US" w:eastAsia="zh-CN"/>
        </w:rPr>
        <w:t xml:space="preserve">  </w:t>
      </w:r>
    </w:p>
    <w:p>
      <w:pPr>
        <w:spacing w:line="360" w:lineRule="auto"/>
        <w:ind w:firstLine="540"/>
        <w:rPr>
          <w:rFonts w:hint="eastAsia" w:ascii="仿宋" w:eastAsia="仿宋"/>
          <w:i w:val="0"/>
          <w:iCs/>
          <w:sz w:val="24"/>
          <w:szCs w:val="24"/>
          <w:u w:val="single"/>
          <w:lang w:eastAsia="zh-CN"/>
        </w:rPr>
      </w:pPr>
      <w:r>
        <w:rPr>
          <w:rFonts w:hint="eastAsia" w:ascii="仿宋" w:eastAsia="仿宋" w:cs="宋体"/>
          <w:bCs/>
          <w:i w:val="0"/>
          <w:iCs/>
          <w:sz w:val="24"/>
          <w:szCs w:val="24"/>
          <w:highlight w:val="none"/>
        </w:rPr>
        <w:t>项目名称：</w:t>
      </w:r>
      <w:bookmarkEnd w:id="5"/>
      <w:r>
        <w:rPr>
          <w:rFonts w:hint="eastAsia" w:ascii="仿宋" w:eastAsia="仿宋"/>
          <w:i w:val="0"/>
          <w:iCs/>
          <w:sz w:val="24"/>
          <w:szCs w:val="24"/>
          <w:u w:val="single"/>
          <w:lang w:eastAsia="zh-CN"/>
        </w:rPr>
        <w:t>马山街道文化活动中心（红立方）运营服务项目</w:t>
      </w:r>
    </w:p>
    <w:p>
      <w:pPr>
        <w:spacing w:line="360" w:lineRule="auto"/>
        <w:ind w:firstLine="540"/>
        <w:rPr>
          <w:rFonts w:hint="eastAsia" w:ascii="宋体" w:hAnsi="宋体" w:cs="Arial"/>
          <w:color w:val="FF0000"/>
          <w:szCs w:val="21"/>
          <w:highlight w:val="none"/>
          <w:u w:val="single"/>
          <w:lang w:val="en-US" w:eastAsia="zh-CN"/>
        </w:rPr>
      </w:pPr>
      <w:r>
        <w:rPr>
          <w:rFonts w:hint="eastAsia" w:ascii="仿宋" w:eastAsia="仿宋" w:cs="宋体"/>
          <w:bCs/>
          <w:sz w:val="24"/>
          <w:szCs w:val="24"/>
          <w:highlight w:val="none"/>
        </w:rPr>
        <w:t>预算金额</w:t>
      </w:r>
      <w:r>
        <w:rPr>
          <w:rFonts w:hint="eastAsia" w:ascii="仿宋" w:eastAsia="仿宋" w:cs="宋体"/>
          <w:bCs/>
          <w:sz w:val="24"/>
          <w:szCs w:val="24"/>
          <w:highlight w:val="none"/>
          <w:lang w:val="en-US" w:eastAsia="zh-CN"/>
        </w:rPr>
        <w:t>(元）</w:t>
      </w:r>
      <w:r>
        <w:rPr>
          <w:rFonts w:hint="eastAsia" w:ascii="仿宋" w:eastAsia="仿宋" w:cs="宋体"/>
          <w:bCs/>
          <w:sz w:val="24"/>
          <w:szCs w:val="24"/>
          <w:highlight w:val="none"/>
        </w:rPr>
        <w:t>：</w:t>
      </w:r>
      <w:r>
        <w:rPr>
          <w:rFonts w:hint="eastAsia" w:ascii="宋体" w:hAnsi="宋体" w:cs="Arial"/>
          <w:color w:val="FF0000"/>
          <w:szCs w:val="21"/>
          <w:highlight w:val="none"/>
          <w:u w:val="single"/>
          <w:lang w:val="en-US" w:eastAsia="zh-CN"/>
        </w:rPr>
        <w:t xml:space="preserve">336000  </w:t>
      </w:r>
    </w:p>
    <w:p>
      <w:pPr>
        <w:spacing w:line="360" w:lineRule="auto"/>
        <w:ind w:firstLine="540"/>
        <w:rPr>
          <w:rFonts w:hint="eastAsia" w:ascii="宋体" w:hAnsi="宋体" w:cs="Arial"/>
          <w:color w:val="FF0000"/>
          <w:szCs w:val="21"/>
          <w:highlight w:val="none"/>
          <w:u w:val="single"/>
          <w:lang w:val="en-US" w:eastAsia="zh-CN"/>
        </w:rPr>
      </w:pPr>
      <w:r>
        <w:rPr>
          <w:rFonts w:hint="eastAsia" w:ascii="仿宋" w:eastAsia="仿宋" w:cs="宋体"/>
          <w:bCs/>
          <w:sz w:val="24"/>
          <w:szCs w:val="24"/>
          <w:highlight w:val="none"/>
        </w:rPr>
        <w:t>最高限价：</w:t>
      </w:r>
      <w:r>
        <w:rPr>
          <w:rFonts w:hint="eastAsia" w:ascii="宋体" w:hAnsi="宋体" w:cs="Arial"/>
          <w:color w:val="FF0000"/>
          <w:szCs w:val="21"/>
          <w:highlight w:val="none"/>
          <w:u w:val="single"/>
          <w:lang w:val="en-US" w:eastAsia="zh-CN"/>
        </w:rPr>
        <w:t xml:space="preserve">336000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i w:val="0"/>
          <w:iCs/>
          <w:sz w:val="24"/>
          <w:szCs w:val="24"/>
          <w:u w:val="single"/>
          <w:lang w:eastAsia="zh-CN"/>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i w:val="0"/>
          <w:iCs/>
          <w:sz w:val="24"/>
          <w:szCs w:val="24"/>
          <w:u w:val="single"/>
          <w:lang w:eastAsia="zh-CN"/>
        </w:rPr>
        <w:t>马山街道文化活动中心（红立方）运营服务项目</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eastAsia="zh-CN"/>
        </w:rPr>
        <w:t>不限</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highlight w:val="none"/>
        </w:rPr>
        <w:t>：</w:t>
      </w:r>
      <w:r>
        <w:rPr>
          <w:rFonts w:hint="eastAsia" w:ascii="宋体" w:hAnsi="宋体" w:cs="Arial"/>
          <w:color w:val="FF0000"/>
          <w:szCs w:val="21"/>
          <w:highlight w:val="none"/>
          <w:u w:val="single"/>
          <w:lang w:val="en-US" w:eastAsia="zh-CN"/>
        </w:rPr>
        <w:t xml:space="preserve">336000 </w:t>
      </w:r>
      <w:r>
        <w:rPr>
          <w:rFonts w:hint="eastAsia" w:ascii="仿宋" w:eastAsia="仿宋" w:cs="宋体"/>
          <w:bCs/>
          <w:color w:val="FF0000"/>
          <w:sz w:val="24"/>
        </w:rPr>
        <w:t xml:space="preserve">  </w:t>
      </w:r>
      <w:r>
        <w:rPr>
          <w:rFonts w:hint="eastAsia" w:ascii="仿宋" w:eastAsia="仿宋" w:cs="宋体"/>
          <w:bCs/>
          <w:sz w:val="24"/>
        </w:rPr>
        <w:t xml:space="preserve"> </w:t>
      </w:r>
    </w:p>
    <w:p>
      <w:pPr>
        <w:spacing w:line="360" w:lineRule="auto"/>
        <w:ind w:firstLine="540"/>
        <w:rPr>
          <w:rFonts w:hint="eastAsia" w:ascii="仿宋" w:eastAsia="仿宋" w:cs="宋体"/>
          <w:bCs/>
          <w:sz w:val="24"/>
        </w:rPr>
      </w:pPr>
      <w:r>
        <w:rPr>
          <w:rFonts w:hint="eastAsia" w:ascii="仿宋" w:eastAsia="仿宋" w:cs="宋体"/>
          <w:bCs/>
          <w:sz w:val="24"/>
        </w:rPr>
        <w:t>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hint="eastAsia" w:ascii="仿宋" w:eastAsia="仿宋" w:cs="宋体"/>
          <w:bCs/>
          <w:sz w:val="24"/>
          <w:szCs w:val="24"/>
          <w:u w:val="single"/>
          <w:lang w:eastAsia="zh-CN"/>
        </w:rPr>
        <w:t>标项</w:t>
      </w:r>
      <w:r>
        <w:rPr>
          <w:rFonts w:hint="eastAsia" w:ascii="仿宋" w:eastAsia="仿宋" w:cs="宋体"/>
          <w:bCs/>
          <w:sz w:val="24"/>
          <w:szCs w:val="24"/>
          <w:u w:val="single"/>
          <w:lang w:val="en-US" w:eastAsia="zh-CN"/>
        </w:rPr>
        <w:t>1，</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lang w:val="en-US" w:eastAsia="zh-CN"/>
        </w:rPr>
        <w:t xml:space="preserve"> </w:t>
      </w:r>
      <w:r>
        <w:rPr>
          <w:rFonts w:hint="eastAsia" w:ascii="仿宋" w:eastAsia="仿宋" w:cs="宋体"/>
          <w:bCs/>
          <w:sz w:val="24"/>
          <w:szCs w:val="24"/>
          <w:u w:val="single"/>
        </w:rPr>
        <w:t>否</w:t>
      </w:r>
      <w:r>
        <w:rPr>
          <w:rFonts w:hint="eastAsia" w:ascii="仿宋" w:eastAsia="仿宋" w:cs="宋体"/>
          <w:bCs/>
          <w:sz w:val="24"/>
          <w:szCs w:val="24"/>
        </w:rPr>
        <w:t>）接受联合体投标。</w:t>
      </w:r>
    </w:p>
    <w:p>
      <w:pPr>
        <w:pStyle w:val="5"/>
        <w:spacing w:line="360" w:lineRule="auto"/>
        <w:jc w:val="left"/>
        <w:rPr>
          <w:rFonts w:ascii="黑体" w:hAnsi="黑体" w:cs="宋体"/>
          <w:bCs/>
          <w:sz w:val="24"/>
          <w:szCs w:val="24"/>
        </w:rPr>
      </w:pPr>
      <w:bookmarkStart w:id="6" w:name="_Toc35393622"/>
      <w:bookmarkStart w:id="7" w:name="_Toc28359080"/>
      <w:bookmarkStart w:id="8" w:name="_Toc35393791"/>
      <w:bookmarkStart w:id="9" w:name="_Toc28359003"/>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highlight w:val="none"/>
          <w:lang w:eastAsia="zh-CN"/>
        </w:rPr>
      </w:pPr>
      <w:bookmarkStart w:id="10" w:name="_Toc28359081"/>
      <w:bookmarkStart w:id="11" w:name="_Toc28359004"/>
      <w:r>
        <w:rPr>
          <w:rFonts w:hint="eastAsia" w:ascii="仿宋" w:eastAsia="仿宋" w:cs="宋体"/>
          <w:bCs/>
          <w:sz w:val="24"/>
          <w:szCs w:val="24"/>
        </w:rPr>
        <w:t>2.落实政府采购政策需满足的资格要求：</w:t>
      </w:r>
      <w:r>
        <w:rPr>
          <w:rFonts w:hint="eastAsia" w:ascii="仿宋" w:hAnsi="仿宋" w:eastAsia="仿宋" w:cs="仿宋"/>
          <w:bCs/>
          <w:color w:val="auto"/>
          <w:sz w:val="24"/>
          <w:szCs w:val="24"/>
          <w:highlight w:val="none"/>
          <w:u w:val="single"/>
        </w:rPr>
        <w:t>专门面向中小企业，服务全部由符合政策要求的中小企业承接，提供中小企业声明函</w:t>
      </w:r>
      <w:r>
        <w:rPr>
          <w:rFonts w:hint="eastAsia" w:ascii="仿宋" w:hAnsi="仿宋" w:eastAsia="仿宋" w:cs="仿宋"/>
          <w:bCs/>
          <w:color w:val="auto"/>
          <w:sz w:val="24"/>
          <w:szCs w:val="24"/>
          <w:highlight w:val="none"/>
          <w:u w:val="single"/>
          <w:lang w:eastAsia="zh-CN"/>
        </w:rPr>
        <w:t>。</w:t>
      </w:r>
    </w:p>
    <w:p>
      <w:pPr>
        <w:spacing w:line="360" w:lineRule="auto"/>
        <w:ind w:firstLine="540"/>
        <w:rPr>
          <w:rFonts w:hint="default" w:ascii="仿宋" w:eastAsia="宋体" w:cs="宋体"/>
          <w:bCs/>
          <w:iCs/>
          <w:sz w:val="24"/>
          <w:szCs w:val="24"/>
          <w:lang w:val="en-US" w:eastAsia="zh-CN"/>
        </w:rPr>
      </w:pPr>
      <w:r>
        <w:rPr>
          <w:rFonts w:hint="eastAsia" w:ascii="仿宋" w:eastAsia="仿宋" w:cs="宋体"/>
          <w:bCs/>
          <w:sz w:val="24"/>
          <w:szCs w:val="24"/>
        </w:rPr>
        <w:t>3.本项目的特定资格要求：</w:t>
      </w:r>
      <w:r>
        <w:rPr>
          <w:rFonts w:hint="eastAsia" w:ascii="仿宋" w:eastAsia="仿宋" w:cs="宋体"/>
          <w:b/>
          <w:bCs w:val="0"/>
          <w:sz w:val="24"/>
          <w:szCs w:val="24"/>
          <w:highlight w:val="none"/>
          <w:u w:val="single"/>
          <w:lang w:val="en-US" w:eastAsia="zh-CN"/>
        </w:rPr>
        <w:t>/.</w:t>
      </w:r>
      <w:r>
        <w:rPr>
          <w:rFonts w:hint="eastAsia" w:ascii="仿宋" w:eastAsia="仿宋" w:cs="宋体"/>
          <w:b/>
          <w:bCs w:val="0"/>
          <w:iCs/>
          <w:sz w:val="24"/>
          <w:szCs w:val="24"/>
          <w:highlight w:val="none"/>
          <w:u w:val="single"/>
          <w:lang w:val="en-US" w:eastAsia="zh-CN"/>
        </w:rPr>
        <w:t xml:space="preserve"> </w:t>
      </w:r>
    </w:p>
    <w:p>
      <w:pPr>
        <w:pStyle w:val="5"/>
        <w:spacing w:line="360" w:lineRule="auto"/>
        <w:jc w:val="left"/>
        <w:rPr>
          <w:rFonts w:ascii="黑体" w:hAnsi="黑体" w:cs="宋体"/>
          <w:bCs/>
          <w:sz w:val="24"/>
          <w:szCs w:val="24"/>
        </w:rPr>
      </w:pPr>
      <w:bookmarkStart w:id="12" w:name="_Toc35393792"/>
      <w:bookmarkStart w:id="13" w:name="_Toc35393623"/>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highlight w:val="none"/>
        </w:rPr>
        <w:t>时间：</w:t>
      </w:r>
      <w:r>
        <w:rPr>
          <w:rFonts w:ascii="仿宋" w:eastAsia="仿宋" w:cs="宋体"/>
          <w:sz w:val="24"/>
          <w:szCs w:val="24"/>
          <w:highlight w:val="none"/>
          <w:u w:val="single"/>
        </w:rPr>
        <w:t>/至202</w:t>
      </w:r>
      <w:r>
        <w:rPr>
          <w:rFonts w:hint="eastAsia" w:ascii="仿宋" w:eastAsia="仿宋" w:cs="宋体"/>
          <w:sz w:val="24"/>
          <w:szCs w:val="24"/>
          <w:highlight w:val="none"/>
          <w:u w:val="single"/>
          <w:lang w:val="en-US" w:eastAsia="zh-CN"/>
        </w:rPr>
        <w:t>2</w:t>
      </w:r>
      <w:r>
        <w:rPr>
          <w:rFonts w:ascii="仿宋" w:eastAsia="仿宋" w:cs="宋体"/>
          <w:sz w:val="24"/>
          <w:szCs w:val="24"/>
          <w:highlight w:val="none"/>
          <w:u w:val="single"/>
        </w:rPr>
        <w:t>年</w:t>
      </w:r>
      <w:r>
        <w:rPr>
          <w:rFonts w:hint="eastAsia" w:ascii="仿宋" w:eastAsia="仿宋" w:cs="宋体"/>
          <w:sz w:val="24"/>
          <w:szCs w:val="24"/>
          <w:highlight w:val="none"/>
          <w:u w:val="single"/>
          <w:lang w:val="en-US" w:eastAsia="zh-CN"/>
        </w:rPr>
        <w:t>8</w:t>
      </w:r>
      <w:r>
        <w:rPr>
          <w:rFonts w:ascii="仿宋" w:eastAsia="仿宋" w:cs="宋体"/>
          <w:sz w:val="24"/>
          <w:szCs w:val="24"/>
          <w:highlight w:val="none"/>
          <w:u w:val="single"/>
        </w:rPr>
        <w:t>月</w:t>
      </w:r>
      <w:r>
        <w:rPr>
          <w:rFonts w:hint="eastAsia" w:ascii="仿宋" w:eastAsia="仿宋" w:cs="宋体"/>
          <w:sz w:val="24"/>
          <w:szCs w:val="24"/>
          <w:highlight w:val="none"/>
          <w:u w:val="single"/>
          <w:lang w:val="en-US" w:eastAsia="zh-CN"/>
        </w:rPr>
        <w:t xml:space="preserve"> 26 </w:t>
      </w:r>
      <w:r>
        <w:rPr>
          <w:rFonts w:ascii="仿宋" w:eastAsia="仿宋" w:cs="宋体"/>
          <w:sz w:val="24"/>
          <w:szCs w:val="24"/>
          <w:highlight w:val="none"/>
          <w:u w:val="single"/>
        </w:rPr>
        <w:t>日</w:t>
      </w:r>
      <w:r>
        <w:rPr>
          <w:rFonts w:ascii="仿宋" w:eastAsia="仿宋" w:cs="宋体"/>
          <w:sz w:val="24"/>
          <w:szCs w:val="24"/>
          <w:highlight w:val="none"/>
        </w:rPr>
        <w:t xml:space="preserve"> ，</w:t>
      </w:r>
      <w:r>
        <w:rPr>
          <w:rFonts w:ascii="仿宋" w:eastAsia="仿宋" w:cs="宋体"/>
          <w:sz w:val="24"/>
          <w:szCs w:val="24"/>
        </w:rPr>
        <w:t>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w:t>
      </w:r>
      <w:r>
        <w:rPr>
          <w:rFonts w:ascii="仿宋" w:eastAsia="仿宋" w:cs="宋体"/>
          <w:bCs/>
          <w:sz w:val="24"/>
          <w:szCs w:val="24"/>
        </w:rPr>
        <w:t>登陆政采云平台在线获取（如以联合体形式参加政府采购活动的，联合体牵头人须获取采购文件）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w:t>
      </w:r>
      <w:r>
        <w:rPr>
          <w:rFonts w:ascii="仿宋" w:eastAsia="仿宋" w:cs="宋体"/>
          <w:sz w:val="24"/>
          <w:szCs w:val="24"/>
        </w:rPr>
        <w:t>0</w:t>
      </w:r>
    </w:p>
    <w:p>
      <w:pPr>
        <w:pStyle w:val="5"/>
        <w:spacing w:line="360" w:lineRule="auto"/>
        <w:jc w:val="left"/>
        <w:rPr>
          <w:rFonts w:ascii="黑体" w:hAnsi="黑体" w:cs="宋体"/>
          <w:bCs/>
          <w:sz w:val="24"/>
          <w:szCs w:val="24"/>
        </w:rPr>
      </w:pPr>
      <w:bookmarkStart w:id="14" w:name="_Toc28359082"/>
      <w:bookmarkStart w:id="15" w:name="_Toc28359005"/>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w:t>
      </w:r>
      <w:r>
        <w:rPr>
          <w:rFonts w:ascii="仿宋" w:eastAsia="仿宋"/>
          <w:bCs/>
          <w:sz w:val="24"/>
          <w:szCs w:val="24"/>
          <w:highlight w:val="none"/>
        </w:rPr>
        <w:t>时间：</w:t>
      </w:r>
      <w:r>
        <w:rPr>
          <w:rFonts w:ascii="仿宋" w:eastAsia="仿宋" w:cs="宋体"/>
          <w:sz w:val="24"/>
          <w:szCs w:val="24"/>
          <w:highlight w:val="none"/>
          <w:u w:val="single"/>
        </w:rPr>
        <w:t>至202</w:t>
      </w:r>
      <w:r>
        <w:rPr>
          <w:rFonts w:hint="eastAsia" w:ascii="仿宋" w:eastAsia="仿宋" w:cs="宋体"/>
          <w:sz w:val="24"/>
          <w:szCs w:val="24"/>
          <w:highlight w:val="none"/>
          <w:u w:val="single"/>
          <w:lang w:val="en-US" w:eastAsia="zh-CN"/>
        </w:rPr>
        <w:t>2</w:t>
      </w:r>
      <w:r>
        <w:rPr>
          <w:rFonts w:ascii="仿宋" w:eastAsia="仿宋" w:cs="宋体"/>
          <w:sz w:val="24"/>
          <w:szCs w:val="24"/>
          <w:highlight w:val="none"/>
          <w:u w:val="single"/>
        </w:rPr>
        <w:t>年</w:t>
      </w:r>
      <w:r>
        <w:rPr>
          <w:rFonts w:hint="eastAsia" w:ascii="仿宋" w:eastAsia="仿宋" w:cs="宋体"/>
          <w:sz w:val="24"/>
          <w:szCs w:val="24"/>
          <w:highlight w:val="none"/>
          <w:u w:val="single"/>
          <w:lang w:val="en-US" w:eastAsia="zh-CN"/>
        </w:rPr>
        <w:t xml:space="preserve">8 </w:t>
      </w:r>
      <w:r>
        <w:rPr>
          <w:rFonts w:ascii="仿宋" w:eastAsia="仿宋" w:cs="宋体"/>
          <w:sz w:val="24"/>
          <w:szCs w:val="24"/>
          <w:highlight w:val="none"/>
          <w:u w:val="single"/>
        </w:rPr>
        <w:t>月</w:t>
      </w:r>
      <w:r>
        <w:rPr>
          <w:rFonts w:hint="eastAsia" w:ascii="仿宋" w:eastAsia="仿宋" w:cs="宋体"/>
          <w:sz w:val="24"/>
          <w:szCs w:val="24"/>
          <w:highlight w:val="none"/>
          <w:u w:val="single"/>
          <w:lang w:val="en-US" w:eastAsia="zh-CN"/>
        </w:rPr>
        <w:t xml:space="preserve"> 26 </w:t>
      </w:r>
      <w:r>
        <w:rPr>
          <w:rFonts w:ascii="仿宋" w:eastAsia="仿宋" w:cs="宋体"/>
          <w:sz w:val="24"/>
          <w:szCs w:val="24"/>
          <w:highlight w:val="none"/>
          <w:u w:val="singl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 xml:space="preserve"> ：</w:t>
      </w:r>
      <w:r>
        <w:rPr>
          <w:rFonts w:hint="eastAsia" w:ascii="仿宋" w:eastAsia="仿宋"/>
          <w:bCs/>
          <w:sz w:val="24"/>
          <w:szCs w:val="24"/>
          <w:highlight w:val="none"/>
          <w:u w:val="single"/>
          <w:lang w:val="en-US" w:eastAsia="zh-CN"/>
        </w:rPr>
        <w:t>30</w:t>
      </w:r>
      <w:r>
        <w:rPr>
          <w:rFonts w:ascii="仿宋" w:eastAsia="仿宋"/>
          <w:bCs/>
          <w:sz w:val="24"/>
          <w:szCs w:val="24"/>
          <w:highlight w:val="none"/>
          <w:u w:val="single"/>
        </w:rPr>
        <w:t xml:space="preserve"> </w:t>
      </w:r>
      <w:r>
        <w:rPr>
          <w:rFonts w:hint="eastAsia" w:ascii="仿宋" w:eastAsia="仿宋"/>
          <w:bCs/>
          <w:sz w:val="24"/>
          <w:szCs w:val="24"/>
          <w:highlight w:val="none"/>
        </w:rPr>
        <w:t>（北京时间</w:t>
      </w:r>
      <w:r>
        <w:rPr>
          <w:rFonts w:hint="eastAsia" w:ascii="仿宋" w:eastAsia="仿宋"/>
          <w:bCs/>
          <w:sz w:val="24"/>
          <w:szCs w:val="24"/>
        </w:rPr>
        <w:t>）</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highlight w:val="none"/>
        </w:rPr>
      </w:pPr>
      <w:r>
        <w:rPr>
          <w:rFonts w:ascii="仿宋" w:eastAsia="仿宋"/>
          <w:sz w:val="24"/>
          <w:szCs w:val="24"/>
        </w:rPr>
        <w:t>开标时间：</w:t>
      </w:r>
      <w:r>
        <w:rPr>
          <w:rFonts w:ascii="仿宋" w:eastAsia="仿宋" w:cs="宋体"/>
          <w:sz w:val="24"/>
          <w:szCs w:val="24"/>
          <w:highlight w:val="none"/>
          <w:u w:val="single"/>
        </w:rPr>
        <w:t>至202</w:t>
      </w:r>
      <w:r>
        <w:rPr>
          <w:rFonts w:hint="eastAsia" w:ascii="仿宋" w:eastAsia="仿宋" w:cs="宋体"/>
          <w:sz w:val="24"/>
          <w:szCs w:val="24"/>
          <w:highlight w:val="none"/>
          <w:u w:val="single"/>
          <w:lang w:val="en-US" w:eastAsia="zh-CN"/>
        </w:rPr>
        <w:t>2</w:t>
      </w:r>
      <w:r>
        <w:rPr>
          <w:rFonts w:ascii="仿宋" w:eastAsia="仿宋" w:cs="宋体"/>
          <w:sz w:val="24"/>
          <w:szCs w:val="24"/>
          <w:highlight w:val="none"/>
          <w:u w:val="single"/>
        </w:rPr>
        <w:t>年</w:t>
      </w:r>
      <w:r>
        <w:rPr>
          <w:rFonts w:hint="eastAsia" w:ascii="仿宋" w:eastAsia="仿宋" w:cs="宋体"/>
          <w:sz w:val="24"/>
          <w:szCs w:val="24"/>
          <w:highlight w:val="none"/>
          <w:u w:val="single"/>
          <w:lang w:val="en-US" w:eastAsia="zh-CN"/>
        </w:rPr>
        <w:t xml:space="preserve"> 8  </w:t>
      </w:r>
      <w:r>
        <w:rPr>
          <w:rFonts w:ascii="仿宋" w:eastAsia="仿宋" w:cs="宋体"/>
          <w:sz w:val="24"/>
          <w:szCs w:val="24"/>
          <w:highlight w:val="none"/>
          <w:u w:val="single"/>
        </w:rPr>
        <w:t>月</w:t>
      </w:r>
      <w:r>
        <w:rPr>
          <w:rFonts w:hint="eastAsia" w:ascii="仿宋" w:eastAsia="仿宋" w:cs="宋体"/>
          <w:sz w:val="24"/>
          <w:szCs w:val="24"/>
          <w:highlight w:val="none"/>
          <w:u w:val="single"/>
          <w:lang w:val="en-US" w:eastAsia="zh-CN"/>
        </w:rPr>
        <w:t xml:space="preserve">  26 </w:t>
      </w:r>
      <w:r>
        <w:rPr>
          <w:rFonts w:ascii="仿宋" w:eastAsia="仿宋" w:cs="宋体"/>
          <w:sz w:val="24"/>
          <w:szCs w:val="24"/>
          <w:highlight w:val="none"/>
          <w:u w:val="singl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 xml:space="preserve"> ：</w:t>
      </w:r>
      <w:r>
        <w:rPr>
          <w:rFonts w:hint="eastAsia" w:ascii="仿宋" w:eastAsia="仿宋"/>
          <w:bCs/>
          <w:sz w:val="24"/>
          <w:szCs w:val="24"/>
          <w:highlight w:val="none"/>
          <w:u w:val="single"/>
          <w:lang w:val="en-US" w:eastAsia="zh-CN"/>
        </w:rPr>
        <w:t>30</w:t>
      </w:r>
      <w:r>
        <w:rPr>
          <w:rFonts w:ascii="仿宋" w:eastAsia="仿宋"/>
          <w:bCs/>
          <w:sz w:val="24"/>
          <w:szCs w:val="24"/>
          <w:highlight w:val="none"/>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_GB2312" w:eastAsia="仿宋_GB2312"/>
          <w:sz w:val="24"/>
        </w:rPr>
        <w:t>绍兴市越城区</w:t>
      </w:r>
      <w:r>
        <w:rPr>
          <w:rFonts w:ascii="仿宋_GB2312" w:eastAsia="仿宋_GB2312"/>
          <w:sz w:val="24"/>
        </w:rPr>
        <w:t>马山街道办事处312开标室（世纪街与鸿滨路交叉口西北侧）</w:t>
      </w:r>
      <w:r>
        <w:rPr>
          <w:rFonts w:hint="eastAsia" w:ascii="仿宋_GB2312" w:eastAsia="仿宋_GB2312"/>
          <w:sz w:val="24"/>
        </w:rPr>
        <w:t>。</w:t>
      </w:r>
    </w:p>
    <w:p>
      <w:pPr>
        <w:pStyle w:val="5"/>
        <w:spacing w:line="360" w:lineRule="auto"/>
        <w:jc w:val="left"/>
        <w:rPr>
          <w:rFonts w:ascii="黑体" w:hAnsi="黑体" w:cs="宋体"/>
          <w:bCs/>
          <w:sz w:val="24"/>
          <w:szCs w:val="24"/>
        </w:rPr>
      </w:pPr>
      <w:bookmarkStart w:id="18" w:name="_Toc28359084"/>
      <w:bookmarkStart w:id="19" w:name="_Toc35393794"/>
      <w:bookmarkStart w:id="20" w:name="_Toc28359007"/>
      <w:bookmarkStart w:id="21" w:name="_Toc35393625"/>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5"/>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left="0" w:firstLine="480" w:firstLineChars="200"/>
        <w:rPr>
          <w:rFonts w:hint="eastAsia" w:ascii="黑体" w:hAnsi="黑体" w:cs="宋体"/>
          <w:bCs/>
          <w:sz w:val="24"/>
          <w:szCs w:val="24"/>
        </w:rPr>
      </w:pPr>
      <w:r>
        <w:rPr>
          <w:rFonts w:ascii="仿宋" w:eastAsia="仿宋" w:cs="宋体"/>
          <w:kern w:val="0"/>
          <w:sz w:val="24"/>
          <w:szCs w:val="24"/>
        </w:rPr>
        <w:t>2.其他事项：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bookmarkStart w:id="24" w:name="_Toc28359008"/>
      <w:bookmarkStart w:id="25" w:name="_Toc28359085"/>
      <w:bookmarkStart w:id="26" w:name="_Toc35393627"/>
      <w:bookmarkStart w:id="27" w:name="_Toc35393796"/>
    </w:p>
    <w:p>
      <w:pPr>
        <w:pStyle w:val="5"/>
        <w:spacing w:line="360" w:lineRule="auto"/>
        <w:jc w:val="left"/>
        <w:rPr>
          <w:rFonts w:ascii="黑体" w:hAnsi="黑体" w:cs="宋体"/>
          <w:bCs/>
          <w:sz w:val="24"/>
          <w:szCs w:val="24"/>
        </w:rPr>
      </w:pPr>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hint="eastAsia" w:ascii="仿宋" w:eastAsia="仿宋"/>
          <w:sz w:val="24"/>
          <w:szCs w:val="24"/>
          <w:u w:val="single"/>
          <w:lang w:eastAsia="zh-CN"/>
        </w:rPr>
        <w:t>绍兴市越城区马山街道办事处</w:t>
      </w:r>
      <w:r>
        <w:rPr>
          <w:rFonts w:hint="eastAsia" w:ascii="仿宋" w:eastAsia="仿宋"/>
          <w:sz w:val="24"/>
          <w:szCs w:val="24"/>
          <w:u w:val="single"/>
        </w:rPr>
        <w:t>　　　</w:t>
      </w:r>
    </w:p>
    <w:p>
      <w:pPr>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u w:val="single"/>
        </w:rPr>
        <w:t>　绍兴市越城区鸿滨路366号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单丹红</w:t>
      </w:r>
      <w:r>
        <w:rPr>
          <w:rFonts w:hint="eastAsia" w:ascii="仿宋" w:eastAsia="仿宋"/>
          <w:sz w:val="24"/>
          <w:szCs w:val="24"/>
          <w:u w:val="single"/>
        </w:rPr>
        <w:t xml:space="preserve">　　　　　　 </w:t>
      </w:r>
    </w:p>
    <w:p>
      <w:pPr>
        <w:spacing w:line="360" w:lineRule="auto"/>
        <w:ind w:left="1079" w:leftChars="371" w:hanging="300" w:hangingChars="125"/>
        <w:jc w:val="left"/>
        <w:rPr>
          <w:rFonts w:hint="eastAsia" w:ascii="仿宋" w:eastAsia="仿宋"/>
          <w:sz w:val="24"/>
          <w:szCs w:val="24"/>
          <w:lang w:val="en-US" w:eastAsia="zh-CN"/>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15968735215</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default" w:ascii="仿宋" w:eastAsia="仿宋"/>
          <w:sz w:val="24"/>
          <w:szCs w:val="24"/>
          <w:lang w:val="en-US" w:eastAsia="zh-CN"/>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eastAsia="zh-CN"/>
        </w:rPr>
        <w:t>余超男</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default" w:ascii="仿宋" w:eastAsia="仿宋"/>
          <w:sz w:val="24"/>
          <w:szCs w:val="24"/>
          <w:u w:val="single"/>
          <w:lang w:val="en-US" w:eastAsia="zh-CN"/>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sz w:val="24"/>
          <w:szCs w:val="24"/>
          <w:u w:val="single"/>
        </w:rPr>
        <w:t>　　　89182239</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hint="default" w:ascii="仿宋" w:eastAsia="仿宋"/>
          <w:sz w:val="24"/>
          <w:szCs w:val="24"/>
          <w:lang w:val="en-US" w:eastAsia="zh-CN"/>
        </w:rPr>
      </w:pPr>
      <w:bookmarkStart w:id="30" w:name="_Toc28359087"/>
      <w:bookmarkStart w:id="31" w:name="_Toc28359010"/>
      <w:r>
        <w:rPr>
          <w:rFonts w:hint="eastAsia" w:ascii="仿宋" w:eastAsia="仿宋"/>
          <w:sz w:val="24"/>
          <w:szCs w:val="24"/>
        </w:rPr>
        <w:t>名 称：</w:t>
      </w:r>
      <w:r>
        <w:rPr>
          <w:rFonts w:hint="eastAsia" w:ascii="仿宋" w:eastAsia="仿宋"/>
          <w:sz w:val="24"/>
          <w:szCs w:val="24"/>
          <w:u w:val="single"/>
          <w:lang w:eastAsia="zh-CN"/>
        </w:rPr>
        <w:t>中纬工程管理咨询有限公司</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lang w:val="en-US" w:eastAsia="zh-CN"/>
        </w:rPr>
        <w:t xml:space="preserve"> </w:t>
      </w:r>
      <w:r>
        <w:rPr>
          <w:rFonts w:hint="eastAsia" w:ascii="仿宋" w:eastAsia="仿宋"/>
          <w:sz w:val="24"/>
          <w:szCs w:val="24"/>
          <w:u w:val="single"/>
          <w:lang w:val="en-US" w:eastAsia="zh-CN"/>
        </w:rPr>
        <w:t xml:space="preserve"> </w:t>
      </w:r>
      <w:r>
        <w:rPr>
          <w:rFonts w:hint="eastAsia" w:ascii="仿宋" w:eastAsia="仿宋"/>
          <w:sz w:val="24"/>
          <w:szCs w:val="24"/>
          <w:u w:val="single"/>
          <w:lang w:eastAsia="zh-CN"/>
        </w:rPr>
        <w:t>绍兴市越城区</w:t>
      </w:r>
      <w:r>
        <w:rPr>
          <w:rFonts w:hint="eastAsia" w:ascii="仿宋" w:eastAsia="仿宋"/>
          <w:sz w:val="24"/>
          <w:szCs w:val="24"/>
          <w:u w:val="single"/>
        </w:rPr>
        <w:t>胜利东路435号元城大厦1304室</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王佳</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1</w:t>
      </w:r>
      <w:r>
        <w:rPr>
          <w:rFonts w:hint="eastAsia" w:ascii="仿宋" w:eastAsia="仿宋"/>
          <w:sz w:val="24"/>
          <w:szCs w:val="24"/>
          <w:u w:val="single"/>
        </w:rPr>
        <w:t>5957570287 　　　　</w:t>
      </w:r>
    </w:p>
    <w:p>
      <w:pPr>
        <w:spacing w:line="360" w:lineRule="auto"/>
        <w:ind w:left="1079" w:leftChars="371" w:hanging="300" w:hangingChars="125"/>
        <w:jc w:val="left"/>
        <w:rPr>
          <w:rFonts w:hint="default" w:ascii="仿宋" w:eastAsia="仿宋"/>
          <w:sz w:val="24"/>
          <w:szCs w:val="24"/>
          <w:highlight w:val="none"/>
          <w:lang w:val="en-US" w:eastAsia="zh-CN"/>
        </w:rPr>
      </w:pPr>
      <w:r>
        <w:rPr>
          <w:rFonts w:ascii="仿宋" w:eastAsia="仿宋"/>
          <w:sz w:val="24"/>
          <w:szCs w:val="24"/>
          <w:highlight w:val="none"/>
        </w:rPr>
        <w:t>质疑联系人：</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 xml:space="preserve"> </w:t>
      </w:r>
      <w:r>
        <w:rPr>
          <w:rFonts w:hint="eastAsia" w:ascii="仿宋" w:eastAsia="仿宋"/>
          <w:sz w:val="24"/>
          <w:szCs w:val="24"/>
          <w:highlight w:val="none"/>
          <w:u w:val="single"/>
          <w:lang w:eastAsia="zh-CN"/>
        </w:rPr>
        <w:t>陈佳</w:t>
      </w:r>
      <w:r>
        <w:rPr>
          <w:rFonts w:hint="eastAsia" w:ascii="仿宋" w:eastAsia="仿宋"/>
          <w:sz w:val="24"/>
          <w:szCs w:val="24"/>
          <w:highlight w:val="none"/>
          <w:u w:val="single"/>
          <w:lang w:val="en-US" w:eastAsia="zh-CN"/>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highlight w:val="none"/>
        </w:rPr>
        <w:t>质疑联系方式</w:t>
      </w:r>
      <w:r>
        <w:rPr>
          <w:rFonts w:hint="eastAsia" w:ascii="仿宋" w:eastAsia="仿宋"/>
          <w:sz w:val="24"/>
          <w:szCs w:val="24"/>
          <w:highlight w:val="none"/>
        </w:rPr>
        <w:t>：</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15868872478</w:t>
      </w:r>
      <w:r>
        <w:rPr>
          <w:rFonts w:hint="eastAsia" w:ascii="仿宋" w:eastAsia="仿宋"/>
          <w:sz w:val="24"/>
          <w:szCs w:val="24"/>
          <w:u w:val="single"/>
        </w:rPr>
        <w:t xml:space="preserve">　　 </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ascii="仿宋" w:hAnsi="Times New Roman" w:eastAsia="仿宋" w:cs="Arial"/>
          <w:b/>
          <w:bCs/>
          <w:color w:val="000000"/>
          <w:sz w:val="24"/>
          <w:u w:val="single"/>
        </w:rPr>
        <w:t>采购委托代理</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1"/>
          <w:rFonts w:hint="eastAsia" w:ascii="仿宋" w:eastAsia="仿宋"/>
          <w:spacing w:val="-4"/>
          <w:sz w:val="24"/>
        </w:rPr>
        <w:fldChar w:fldCharType="begin"/>
      </w:r>
      <w:r>
        <w:instrText xml:space="preserve">HYPERLINK "http://www.sxyc.gov.cn/art/2019/9/11/art_1559761_38044415.html"</w:instrText>
      </w:r>
      <w:r>
        <w:rPr>
          <w:rStyle w:val="31"/>
          <w:rFonts w:hint="eastAsia" w:ascii="仿宋" w:eastAsia="仿宋"/>
          <w:spacing w:val="-4"/>
          <w:sz w:val="24"/>
        </w:rPr>
        <w:fldChar w:fldCharType="separate"/>
      </w:r>
      <w:r>
        <w:rPr>
          <w:rStyle w:val="31"/>
          <w:rFonts w:hint="eastAsia" w:ascii="仿宋" w:eastAsia="仿宋"/>
          <w:spacing w:val="-4"/>
          <w:sz w:val="24"/>
        </w:rPr>
        <w:t>http://www.sxyc.gov.cn/art/2019/9/11/art_1559761_38044415.html</w:t>
      </w:r>
      <w:r>
        <w:rPr>
          <w:rStyle w:val="31"/>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1"/>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4"/>
        <w:rPr>
          <w:rFonts w:hint="eastAsia" w:ascii="仿宋"/>
        </w:rPr>
      </w:pPr>
      <w:bookmarkStart w:id="34" w:name="_Toc93172433"/>
      <w:r>
        <w:rPr>
          <w:rFonts w:hint="eastAsia" w:ascii="仿宋"/>
        </w:rPr>
        <w:t>第二章  投标人须知</w:t>
      </w:r>
      <w:bookmarkEnd w:id="34"/>
    </w:p>
    <w:p>
      <w:pPr>
        <w:pStyle w:val="5"/>
        <w:rPr>
          <w:rFonts w:hint="eastAsia" w:ascii="仿宋"/>
        </w:rPr>
      </w:pPr>
      <w:bookmarkStart w:id="35" w:name="_Toc93172434"/>
      <w:r>
        <w:rPr>
          <w:rFonts w:hint="eastAsia" w:ascii="仿宋"/>
        </w:rPr>
        <w:t>一、前附表</w:t>
      </w:r>
      <w:bookmarkEnd w:id="35"/>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lang w:eastAsia="zh-CN"/>
              </w:rPr>
              <w:t>马山街道文化活动中心（红立方）运营服务项目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（不得超过中标合同金额的</w:t>
            </w:r>
            <w:r>
              <w:rPr>
                <w:rFonts w:ascii="仿宋" w:eastAsia="仿宋"/>
                <w:color w:val="000000"/>
                <w:sz w:val="24"/>
                <w:u w:val="single"/>
              </w:rPr>
              <w:t>1</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000000"/>
                <w:sz w:val="24"/>
                <w:szCs w:val="22"/>
                <w:lang w:val="zh-CN"/>
              </w:rPr>
            </w:pPr>
            <w:r>
              <w:rPr>
                <w:rFonts w:hint="eastAsia" w:ascii="仿宋" w:eastAsia="仿宋" w:cs="仿宋_GB2312"/>
                <w:b/>
                <w:bCs/>
                <w:sz w:val="24"/>
              </w:rPr>
              <w:t>采购代理服务费：</w:t>
            </w:r>
            <w:r>
              <w:rPr>
                <w:rFonts w:hint="eastAsia" w:ascii="仿宋" w:eastAsia="仿宋"/>
                <w:color w:val="000000"/>
                <w:sz w:val="24"/>
                <w:szCs w:val="22"/>
                <w:lang w:val="zh-CN"/>
              </w:rPr>
              <w:t>中标人须向招标代理机构交纳代理服务费：</w:t>
            </w:r>
          </w:p>
          <w:p>
            <w:pPr>
              <w:autoSpaceDE w:val="0"/>
              <w:autoSpaceDN w:val="0"/>
              <w:spacing w:line="500" w:lineRule="exact"/>
              <w:textAlignment w:val="bottom"/>
              <w:rPr>
                <w:rFonts w:ascii="仿宋" w:eastAsia="仿宋"/>
                <w:color w:val="000000"/>
                <w:sz w:val="24"/>
                <w:szCs w:val="22"/>
                <w:lang w:val="zh-CN"/>
              </w:rPr>
            </w:pPr>
            <w:r>
              <w:rPr>
                <w:rFonts w:hint="eastAsia" w:ascii="仿宋" w:eastAsia="仿宋"/>
                <w:color w:val="000000"/>
                <w:sz w:val="24"/>
                <w:szCs w:val="22"/>
                <w:lang w:val="zh-CN"/>
              </w:rPr>
              <w:t>（1）以中标通知中确定的中标总金额作为服务费的计算基数，收费标准参照《国家计委关于印发&lt;招标代理服务费管理暂行办法&gt;的通知》（计价格[2002]1980号）收取。</w:t>
            </w:r>
          </w:p>
          <w:p>
            <w:pPr>
              <w:spacing w:line="500" w:lineRule="exact"/>
              <w:jc w:val="left"/>
              <w:rPr>
                <w:rFonts w:hint="eastAsia" w:ascii="仿宋" w:eastAsia="仿宋"/>
                <w:color w:val="000000"/>
                <w:sz w:val="24"/>
                <w:szCs w:val="22"/>
                <w:lang w:val="zh-CN"/>
              </w:rPr>
            </w:pPr>
            <w:r>
              <w:rPr>
                <w:rFonts w:hint="eastAsia" w:ascii="仿宋" w:eastAsia="仿宋"/>
                <w:color w:val="000000"/>
                <w:sz w:val="24"/>
                <w:szCs w:val="22"/>
                <w:lang w:val="zh-CN"/>
              </w:rPr>
              <w:t>收费标准：中标金额在100万以下部分为1.5%，100万至500万部分为</w:t>
            </w:r>
            <w:r>
              <w:rPr>
                <w:rFonts w:hint="eastAsia" w:ascii="仿宋" w:eastAsia="仿宋"/>
                <w:color w:val="000000"/>
                <w:sz w:val="24"/>
                <w:szCs w:val="22"/>
                <w:lang w:val="en-US" w:eastAsia="zh-CN"/>
              </w:rPr>
              <w:t>0.8</w:t>
            </w:r>
            <w:r>
              <w:rPr>
                <w:rFonts w:hint="eastAsia" w:ascii="仿宋" w:eastAsia="仿宋"/>
                <w:color w:val="000000"/>
                <w:sz w:val="24"/>
                <w:szCs w:val="22"/>
                <w:lang w:val="zh-CN"/>
              </w:rPr>
              <w:t>%，500万至1000万部分为0.</w:t>
            </w:r>
            <w:r>
              <w:rPr>
                <w:rFonts w:hint="eastAsia" w:ascii="仿宋" w:eastAsia="仿宋"/>
                <w:color w:val="000000"/>
                <w:sz w:val="24"/>
                <w:szCs w:val="22"/>
                <w:lang w:val="en-US" w:eastAsia="zh-CN"/>
              </w:rPr>
              <w:t>45</w:t>
            </w:r>
            <w:r>
              <w:rPr>
                <w:rFonts w:hint="eastAsia" w:ascii="仿宋" w:eastAsia="仿宋"/>
                <w:color w:val="000000"/>
                <w:sz w:val="24"/>
                <w:szCs w:val="22"/>
                <w:lang w:val="zh-CN"/>
              </w:rPr>
              <w:t>% 。由中标单位向采购代理机构交纳。</w:t>
            </w:r>
          </w:p>
          <w:p>
            <w:pPr>
              <w:spacing w:line="500" w:lineRule="exact"/>
              <w:jc w:val="left"/>
              <w:rPr>
                <w:rFonts w:hint="eastAsia" w:ascii="仿宋" w:eastAsia="仿宋" w:cs="仿宋_GB2312"/>
                <w:sz w:val="24"/>
              </w:rPr>
            </w:pPr>
            <w:r>
              <w:rPr>
                <w:rFonts w:hint="eastAsia" w:ascii="仿宋" w:eastAsia="仿宋"/>
                <w:color w:val="000000"/>
                <w:sz w:val="24"/>
                <w:szCs w:val="22"/>
                <w:lang w:val="zh-CN"/>
              </w:rPr>
              <w:t>（2）领取中标通知书前交纳。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hint="eastAsia" w:cs="仿宋_GB2312" w:asciiTheme="minorEastAsia" w:hAnsiTheme="minorEastAsia" w:eastAsiaTheme="minorEastAsia"/>
                <w:b/>
                <w:bCs/>
                <w:color w:val="000000" w:themeColor="text1"/>
                <w:sz w:val="24"/>
                <w:highlight w:val="none"/>
                <w14:textFill>
                  <w14:solidFill>
                    <w14:schemeClr w14:val="tx1"/>
                  </w14:solidFill>
                </w14:textFill>
              </w:rPr>
              <w:t>本项目所属行业：</w:t>
            </w:r>
            <w:r>
              <w:rPr>
                <w:rFonts w:hint="eastAsia" w:cs="仿宋_GB2312" w:asciiTheme="minorEastAsia" w:hAnsiTheme="minorEastAsia" w:eastAsiaTheme="minorEastAsia"/>
                <w:b/>
                <w:bCs/>
                <w:color w:val="000000" w:themeColor="text1"/>
                <w:sz w:val="24"/>
                <w:highlight w:val="none"/>
                <w:lang w:eastAsia="zh-CN"/>
                <w14:textFill>
                  <w14:solidFill>
                    <w14:schemeClr w14:val="tx1"/>
                  </w14:solidFill>
                </w14:textFill>
              </w:rPr>
              <w:t>其他未列明行业</w:t>
            </w:r>
            <w:r>
              <w:rPr>
                <w:rFonts w:hint="eastAsia" w:cs="仿宋_GB2312" w:asciiTheme="minorEastAsia" w:hAnsiTheme="minorEastAsia" w:eastAsiaTheme="minorEastAsia"/>
                <w:b/>
                <w:bCs/>
                <w:color w:val="000000" w:themeColor="text1"/>
                <w:sz w:val="24"/>
                <w:highlight w:val="none"/>
                <w:lang w:val="en-US" w:eastAsia="zh-CN"/>
                <w14:textFill>
                  <w14:solidFill>
                    <w14:schemeClr w14:val="tx1"/>
                  </w14:solidFill>
                </w14:textFill>
              </w:rPr>
              <w:t xml:space="preserve"> </w:t>
            </w:r>
            <w:r>
              <w:rPr>
                <w:rFonts w:hint="eastAsia" w:ascii="仿宋" w:eastAsia="仿宋" w:cs="仿宋_GB2312"/>
                <w:i w:val="0"/>
                <w:iCs w:val="0"/>
                <w:sz w:val="24"/>
                <w:highlight w:val="none"/>
                <w:u w:val="none"/>
              </w:rPr>
              <w:t>。</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5"/>
        <w:spacing w:line="415" w:lineRule="auto"/>
        <w:jc w:val="center"/>
        <w:rPr>
          <w:rFonts w:hint="eastAsia" w:ascii="仿宋"/>
        </w:rPr>
      </w:pPr>
      <w:bookmarkStart w:id="36" w:name="_Toc93172435"/>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 （浙政发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rPr>
      </w:pPr>
      <w:bookmarkStart w:id="37" w:name="_Toc93172436"/>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240" w:firstLineChars="100"/>
        <w:jc w:val="left"/>
        <w:rPr>
          <w:rFonts w:hint="eastAsia" w:ascii="仿宋" w:eastAsia="仿宋"/>
          <w:color w:val="FF0000"/>
          <w:sz w:val="24"/>
        </w:rPr>
      </w:pPr>
      <w:r>
        <w:rPr>
          <w:rFonts w:hint="eastAsia" w:ascii="仿宋" w:eastAsia="仿宋"/>
          <w:color w:val="FF0000"/>
          <w:sz w:val="24"/>
        </w:rPr>
        <w:t>2.1.</w:t>
      </w:r>
      <w:r>
        <w:rPr>
          <w:rFonts w:ascii="仿宋" w:eastAsia="仿宋"/>
          <w:color w:val="FF0000"/>
          <w:sz w:val="24"/>
        </w:rPr>
        <w:t>5</w:t>
      </w:r>
      <w:r>
        <w:rPr>
          <w:rFonts w:hint="eastAsia" w:ascii="仿宋" w:eastAsia="仿宋"/>
          <w:color w:val="FF0000"/>
          <w:sz w:val="24"/>
        </w:rPr>
        <w:t>.1营业执照或事业单位法人登记证书；</w:t>
      </w:r>
    </w:p>
    <w:p>
      <w:pPr>
        <w:pStyle w:val="2"/>
        <w:ind w:left="0" w:leftChars="0" w:firstLine="240" w:firstLineChars="100"/>
        <w:rPr>
          <w:rFonts w:hint="eastAsia" w:ascii="仿宋" w:eastAsia="仿宋"/>
          <w:color w:val="FF0000"/>
          <w:sz w:val="24"/>
          <w:lang w:val="en-US" w:eastAsia="zh-CN"/>
        </w:rPr>
      </w:pPr>
      <w:r>
        <w:rPr>
          <w:rFonts w:hint="eastAsia" w:ascii="仿宋" w:eastAsia="仿宋"/>
          <w:color w:val="FF0000"/>
          <w:sz w:val="24"/>
          <w:lang w:val="en-US" w:eastAsia="zh-CN"/>
        </w:rPr>
        <w:t>2.1.5.2最近一期财务状况报告；</w:t>
      </w:r>
    </w:p>
    <w:p>
      <w:pPr>
        <w:pStyle w:val="3"/>
        <w:ind w:firstLine="240" w:firstLineChars="100"/>
        <w:rPr>
          <w:rFonts w:hint="eastAsia" w:ascii="仿宋" w:eastAsia="仿宋"/>
          <w:color w:val="FF0000"/>
          <w:sz w:val="24"/>
          <w:lang w:val="en-US" w:eastAsia="zh-CN"/>
        </w:rPr>
      </w:pPr>
      <w:r>
        <w:rPr>
          <w:rFonts w:hint="eastAsia" w:ascii="仿宋" w:eastAsia="仿宋"/>
          <w:color w:val="FF0000"/>
          <w:sz w:val="24"/>
          <w:lang w:val="en-US" w:eastAsia="zh-CN"/>
        </w:rPr>
        <w:t>2.1.5.3依法缴纳税收 材料（完税凭证或税务部门出具的证明）；</w:t>
      </w:r>
    </w:p>
    <w:p>
      <w:pPr>
        <w:pStyle w:val="3"/>
        <w:ind w:firstLine="240" w:firstLineChars="100"/>
        <w:rPr>
          <w:rFonts w:hint="eastAsia" w:ascii="仿宋" w:eastAsia="仿宋"/>
          <w:color w:val="FF0000"/>
          <w:sz w:val="24"/>
          <w:lang w:val="en-US" w:eastAsia="zh-CN"/>
        </w:rPr>
      </w:pPr>
      <w:r>
        <w:rPr>
          <w:rFonts w:hint="eastAsia" w:ascii="仿宋" w:eastAsia="仿宋"/>
          <w:color w:val="FF0000"/>
          <w:sz w:val="24"/>
          <w:lang w:val="en-US" w:eastAsia="zh-CN"/>
        </w:rPr>
        <w:t>2.1.5.4依法缴纳社会保障资金材料（缴纳凭证或人社部门出具的证明）；</w:t>
      </w:r>
    </w:p>
    <w:p>
      <w:pPr>
        <w:snapToGrid w:val="0"/>
        <w:spacing w:line="440" w:lineRule="exact"/>
        <w:ind w:firstLine="240" w:firstLineChars="100"/>
        <w:jc w:val="left"/>
        <w:rPr>
          <w:rFonts w:ascii="仿宋" w:eastAsia="仿宋"/>
          <w:color w:val="FF0000"/>
          <w:sz w:val="24"/>
        </w:rPr>
      </w:pPr>
      <w:r>
        <w:rPr>
          <w:rFonts w:hint="eastAsia" w:ascii="仿宋" w:eastAsia="仿宋"/>
          <w:color w:val="FF0000"/>
          <w:sz w:val="24"/>
        </w:rPr>
        <w:t>2.1.</w:t>
      </w:r>
      <w:r>
        <w:rPr>
          <w:rFonts w:ascii="仿宋" w:eastAsia="仿宋"/>
          <w:color w:val="FF0000"/>
          <w:sz w:val="24"/>
        </w:rPr>
        <w:t>5</w:t>
      </w:r>
      <w:r>
        <w:rPr>
          <w:rFonts w:hint="eastAsia" w:ascii="仿宋" w:eastAsia="仿宋"/>
          <w:color w:val="FF0000"/>
          <w:sz w:val="24"/>
        </w:rPr>
        <w:t>.</w:t>
      </w:r>
      <w:r>
        <w:rPr>
          <w:rFonts w:hint="eastAsia" w:ascii="仿宋" w:eastAsia="仿宋"/>
          <w:color w:val="FF0000"/>
          <w:sz w:val="24"/>
          <w:lang w:val="en-US" w:eastAsia="zh-CN"/>
        </w:rPr>
        <w:t>5</w:t>
      </w:r>
      <w:r>
        <w:rPr>
          <w:rFonts w:hint="eastAsia" w:ascii="仿宋" w:eastAsia="仿宋"/>
          <w:color w:val="FF0000"/>
          <w:sz w:val="24"/>
        </w:rPr>
        <w:t>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7"/>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rPr>
      </w:pPr>
      <w:bookmarkStart w:id="38" w:name="_Toc9317243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7"/>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7"/>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5"/>
        <w:spacing w:line="415" w:lineRule="auto"/>
        <w:jc w:val="center"/>
        <w:rPr>
          <w:rFonts w:hint="eastAsia" w:ascii="仿宋"/>
        </w:rPr>
      </w:pPr>
      <w:bookmarkStart w:id="39" w:name="_Toc93172438"/>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4"/>
        <w:jc w:val="center"/>
        <w:rPr>
          <w:rFonts w:hint="eastAsia" w:ascii="仿宋"/>
        </w:rPr>
      </w:pPr>
      <w:bookmarkStart w:id="40" w:name="_Toc93172439"/>
      <w:r>
        <w:rPr>
          <w:rFonts w:hint="eastAsia" w:ascii="仿宋"/>
        </w:rPr>
        <w:t>第三章  采购需求</w:t>
      </w:r>
      <w:bookmarkEnd w:id="40"/>
    </w:p>
    <w:p>
      <w:pPr>
        <w:pStyle w:val="5"/>
        <w:keepNext/>
        <w:keepLines/>
        <w:pageBreakBefore w:val="0"/>
        <w:widowControl w:val="0"/>
        <w:suppressLineNumbers w:val="0"/>
        <w:suppressAutoHyphens w:val="0"/>
        <w:spacing w:line="415" w:lineRule="auto"/>
        <w:rPr>
          <w:rFonts w:hint="eastAsia" w:ascii="仿宋"/>
          <w:highlight w:val="yellow"/>
        </w:rPr>
      </w:pPr>
      <w:bookmarkStart w:id="41" w:name="_Toc93172440"/>
      <w:r>
        <w:rPr>
          <w:rFonts w:hint="eastAsia" w:ascii="仿宋"/>
        </w:rPr>
        <w:t>一、</w:t>
      </w:r>
      <w:r>
        <w:rPr>
          <w:rFonts w:hint="eastAsia" w:ascii="仿宋"/>
          <w:highlight w:val="yellow"/>
        </w:rPr>
        <w:t>服务清单及要求</w:t>
      </w:r>
      <w:bookmarkEnd w:id="41"/>
    </w:p>
    <w:p>
      <w:pPr>
        <w:spacing w:line="440" w:lineRule="exact"/>
        <w:ind w:firstLine="48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kern w:val="0"/>
          <w:sz w:val="24"/>
          <w:u w:val="single"/>
          <w14:textFill>
            <w14:solidFill>
              <w14:schemeClr w14:val="tx1"/>
            </w14:solidFill>
          </w14:textFill>
        </w:rPr>
        <w:t>马山街道文化活动中心（红立方）运营服务项目</w:t>
      </w:r>
      <w:r>
        <w:rPr>
          <w:rFonts w:hint="eastAsia" w:ascii="宋体" w:hAnsi="宋体"/>
          <w:color w:val="000000" w:themeColor="text1"/>
          <w:kern w:val="0"/>
          <w:sz w:val="24"/>
          <w:u w:val="single"/>
          <w:lang w:eastAsia="zh-CN"/>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马山街道文化活动中心集图书馆、非遗馆、新时代文明实践站、健身室、活动室、会议室等文化活动项目为一体，自对外开放以来，文化活动中心已成为周边群众闲暇时的活动聚集地。为更好地践行新时代文明实践活动，进一步做好</w:t>
      </w:r>
      <w:r>
        <w:rPr>
          <w:rFonts w:hint="eastAsia" w:ascii="宋体" w:hAnsi="宋体"/>
          <w:color w:val="000000" w:themeColor="text1"/>
          <w:sz w:val="24"/>
          <w14:textFill>
            <w14:solidFill>
              <w14:schemeClr w14:val="tx1"/>
            </w14:solidFill>
          </w14:textFill>
        </w:rPr>
        <w:t>服务社会大众</w:t>
      </w:r>
      <w:r>
        <w:rPr>
          <w:rFonts w:hint="eastAsia" w:ascii="宋体" w:hAnsi="宋体"/>
          <w:color w:val="000000" w:themeColor="text1"/>
          <w:sz w:val="24"/>
          <w:lang w:eastAsia="zh-CN"/>
          <w14:textFill>
            <w14:solidFill>
              <w14:schemeClr w14:val="tx1"/>
            </w14:solidFill>
          </w14:textFill>
        </w:rPr>
        <w:t>的</w:t>
      </w:r>
      <w:r>
        <w:rPr>
          <w:rFonts w:hint="eastAsia" w:ascii="宋体" w:hAnsi="宋体"/>
          <w:color w:val="000000" w:themeColor="text1"/>
          <w:sz w:val="24"/>
          <w14:textFill>
            <w14:solidFill>
              <w14:schemeClr w14:val="tx1"/>
            </w14:solidFill>
          </w14:textFill>
        </w:rPr>
        <w:t>需求，</w:t>
      </w:r>
      <w:r>
        <w:rPr>
          <w:rFonts w:hint="eastAsia" w:ascii="宋体" w:hAnsi="宋体"/>
          <w:color w:val="000000" w:themeColor="text1"/>
          <w:sz w:val="24"/>
          <w:lang w:eastAsia="zh-CN"/>
          <w14:textFill>
            <w14:solidFill>
              <w14:schemeClr w14:val="tx1"/>
            </w14:solidFill>
          </w14:textFill>
        </w:rPr>
        <w:t>合理发挥</w:t>
      </w:r>
      <w:r>
        <w:rPr>
          <w:rFonts w:hint="eastAsia" w:ascii="宋体" w:hAnsi="宋体"/>
          <w:color w:val="000000" w:themeColor="text1"/>
          <w:sz w:val="24"/>
          <w14:textFill>
            <w14:solidFill>
              <w14:schemeClr w14:val="tx1"/>
            </w14:solidFill>
          </w14:textFill>
        </w:rPr>
        <w:t>志愿服务团队、马山艺术团、“三团三社”以及社会组织等力量</w:t>
      </w:r>
      <w:r>
        <w:rPr>
          <w:rFonts w:hint="eastAsia" w:ascii="宋体" w:hAnsi="宋体"/>
          <w:color w:val="000000" w:themeColor="text1"/>
          <w:sz w:val="24"/>
          <w:lang w:eastAsia="zh-CN"/>
          <w14:textFill>
            <w14:solidFill>
              <w14:schemeClr w14:val="tx1"/>
            </w14:solidFill>
          </w14:textFill>
        </w:rPr>
        <w:t>，扩大马山街道综合文化宣传和影响力，现马山街道文化活动中心</w:t>
      </w:r>
      <w:r>
        <w:rPr>
          <w:rFonts w:hint="eastAsia" w:ascii="宋体" w:hAnsi="宋体"/>
          <w:color w:val="000000" w:themeColor="text1"/>
          <w:sz w:val="24"/>
          <w14:textFill>
            <w14:solidFill>
              <w14:schemeClr w14:val="tx1"/>
            </w14:solidFill>
          </w14:textFill>
        </w:rPr>
        <w:t>设置运营计划，</w:t>
      </w:r>
      <w:r>
        <w:rPr>
          <w:rFonts w:hint="eastAsia" w:ascii="宋体" w:hAnsi="宋体"/>
          <w:color w:val="000000" w:themeColor="text1"/>
          <w:sz w:val="24"/>
          <w:lang w:eastAsia="zh-CN"/>
          <w14:textFill>
            <w14:solidFill>
              <w14:schemeClr w14:val="tx1"/>
            </w14:solidFill>
          </w14:textFill>
        </w:rPr>
        <w:t>制</w:t>
      </w:r>
      <w:r>
        <w:rPr>
          <w:rFonts w:hint="eastAsia" w:ascii="宋体" w:hAnsi="宋体"/>
          <w:color w:val="000000" w:themeColor="text1"/>
          <w:sz w:val="24"/>
          <w14:textFill>
            <w14:solidFill>
              <w14:schemeClr w14:val="tx1"/>
            </w14:solidFill>
          </w14:textFill>
        </w:rPr>
        <w:t>定标准考核体系，</w:t>
      </w:r>
      <w:r>
        <w:rPr>
          <w:rFonts w:hint="eastAsia" w:ascii="宋体" w:hAnsi="宋体"/>
          <w:color w:val="000000" w:themeColor="text1"/>
          <w:sz w:val="24"/>
          <w:lang w:eastAsia="zh-CN"/>
          <w14:textFill>
            <w14:solidFill>
              <w14:schemeClr w14:val="tx1"/>
            </w14:solidFill>
          </w14:textFill>
        </w:rPr>
        <w:t>打造马山文化品牌</w:t>
      </w:r>
      <w:r>
        <w:rPr>
          <w:rFonts w:hint="eastAsia" w:ascii="宋体" w:hAnsi="宋体"/>
          <w:color w:val="000000" w:themeColor="text1"/>
          <w:sz w:val="24"/>
          <w:lang w:val="en-US" w:eastAsia="zh-CN"/>
          <w14:textFill>
            <w14:solidFill>
              <w14:schemeClr w14:val="tx1"/>
            </w14:solidFill>
          </w14:textFill>
        </w:rPr>
        <w:t>IP，</w:t>
      </w:r>
      <w:r>
        <w:rPr>
          <w:rFonts w:hint="eastAsia" w:ascii="宋体" w:hAnsi="宋体"/>
          <w:color w:val="000000" w:themeColor="text1"/>
          <w:sz w:val="24"/>
          <w14:textFill>
            <w14:solidFill>
              <w14:schemeClr w14:val="tx1"/>
            </w14:solidFill>
          </w14:textFill>
        </w:rPr>
        <w:t>做好</w:t>
      </w:r>
      <w:r>
        <w:rPr>
          <w:rFonts w:hint="eastAsia" w:ascii="宋体" w:hAnsi="宋体"/>
          <w:color w:val="000000" w:themeColor="text1"/>
          <w:sz w:val="24"/>
          <w:lang w:eastAsia="zh-CN"/>
          <w14:textFill>
            <w14:solidFill>
              <w14:schemeClr w14:val="tx1"/>
            </w14:solidFill>
          </w14:textFill>
        </w:rPr>
        <w:t>文化活动中心、红立方</w:t>
      </w:r>
      <w:r>
        <w:rPr>
          <w:rFonts w:hint="eastAsia" w:ascii="宋体" w:hAnsi="宋体"/>
          <w:color w:val="000000" w:themeColor="text1"/>
          <w:sz w:val="24"/>
          <w14:textFill>
            <w14:solidFill>
              <w14:schemeClr w14:val="tx1"/>
            </w14:solidFill>
          </w14:textFill>
        </w:rPr>
        <w:t>的日常管理</w:t>
      </w:r>
      <w:r>
        <w:rPr>
          <w:rFonts w:hint="eastAsia" w:ascii="宋体" w:hAnsi="宋体"/>
          <w:color w:val="000000" w:themeColor="text1"/>
          <w:sz w:val="24"/>
          <w:lang w:eastAsia="zh-CN"/>
          <w14:textFill>
            <w14:solidFill>
              <w14:schemeClr w14:val="tx1"/>
            </w14:solidFill>
          </w14:textFill>
        </w:rPr>
        <w:t>及引流，以马山街道文化活动中心为主，并向辖区内周边社区</w:t>
      </w:r>
      <w:r>
        <w:rPr>
          <w:rFonts w:hint="eastAsia" w:ascii="宋体" w:hAnsi="宋体"/>
          <w:color w:val="000000" w:themeColor="text1"/>
          <w:sz w:val="24"/>
          <w:lang w:val="en-US" w:eastAsia="zh-CN"/>
          <w14:textFill>
            <w14:solidFill>
              <w14:schemeClr w14:val="tx1"/>
            </w14:solidFill>
          </w14:textFill>
        </w:rPr>
        <w:t>/村辐射</w:t>
      </w:r>
      <w:r>
        <w:rPr>
          <w:rFonts w:hint="eastAsia" w:ascii="宋体" w:hAnsi="宋体"/>
          <w:color w:val="000000" w:themeColor="text1"/>
          <w:sz w:val="24"/>
          <w:lang w:eastAsia="zh-CN"/>
          <w14:textFill>
            <w14:solidFill>
              <w14:schemeClr w14:val="tx1"/>
            </w14:solidFill>
          </w14:textFill>
        </w:rPr>
        <w:t>，制定马山街道全年活动规划并配合执行</w:t>
      </w:r>
      <w:r>
        <w:rPr>
          <w:rFonts w:hint="eastAsia" w:ascii="宋体" w:hAnsi="宋体"/>
          <w:color w:val="000000" w:themeColor="text1"/>
          <w:sz w:val="24"/>
          <w14:textFill>
            <w14:solidFill>
              <w14:schemeClr w14:val="tx1"/>
            </w14:solidFill>
          </w14:textFill>
        </w:rPr>
        <w:t>，更好地</w:t>
      </w:r>
      <w:r>
        <w:rPr>
          <w:rFonts w:hint="eastAsia" w:ascii="宋体" w:hAnsi="宋体"/>
          <w:color w:val="000000" w:themeColor="text1"/>
          <w:sz w:val="24"/>
          <w:lang w:eastAsia="zh-CN"/>
          <w14:textFill>
            <w14:solidFill>
              <w14:schemeClr w14:val="tx1"/>
            </w14:solidFill>
          </w14:textFill>
        </w:rPr>
        <w:t>宣传推广新时代文明实践站、文化活动中心、红立方</w:t>
      </w:r>
      <w:r>
        <w:rPr>
          <w:rFonts w:hint="eastAsia" w:ascii="宋体" w:hAnsi="宋体"/>
          <w:color w:val="000000" w:themeColor="text1"/>
          <w:sz w:val="24"/>
          <w14:textFill>
            <w14:solidFill>
              <w14:schemeClr w14:val="tx1"/>
            </w14:solidFill>
          </w14:textFill>
        </w:rPr>
        <w:t>等</w:t>
      </w:r>
      <w:r>
        <w:rPr>
          <w:rFonts w:hint="eastAsia" w:ascii="宋体" w:hAnsi="宋体"/>
          <w:color w:val="000000" w:themeColor="text1"/>
          <w:sz w:val="24"/>
          <w:lang w:eastAsia="zh-CN"/>
          <w14:textFill>
            <w14:solidFill>
              <w14:schemeClr w14:val="tx1"/>
            </w14:solidFill>
          </w14:textFill>
        </w:rPr>
        <w:t>文化</w:t>
      </w:r>
      <w:r>
        <w:rPr>
          <w:rFonts w:hint="eastAsia" w:ascii="宋体" w:hAnsi="宋体"/>
          <w:color w:val="000000" w:themeColor="text1"/>
          <w:sz w:val="24"/>
          <w14:textFill>
            <w14:solidFill>
              <w14:schemeClr w14:val="tx1"/>
            </w14:solidFill>
          </w14:textFill>
        </w:rPr>
        <w:t>品牌。</w:t>
      </w:r>
    </w:p>
    <w:p>
      <w:pPr>
        <w:spacing w:line="440" w:lineRule="exact"/>
        <w:jc w:val="left"/>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活动形式</w:t>
      </w:r>
    </w:p>
    <w:p>
      <w:pPr>
        <w:spacing w:line="440" w:lineRule="exact"/>
        <w:jc w:val="left"/>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.1活动执行部分：</w:t>
      </w:r>
    </w:p>
    <w:p>
      <w:pPr>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.1.1全年开展以</w:t>
      </w:r>
      <w:r>
        <w:rPr>
          <w:rFonts w:hint="eastAsia" w:ascii="宋体" w:hAnsi="宋体"/>
          <w:color w:val="000000" w:themeColor="text1"/>
          <w:sz w:val="24"/>
          <w:lang w:eastAsia="zh-CN"/>
          <w14:textFill>
            <w14:solidFill>
              <w14:schemeClr w14:val="tx1"/>
            </w14:solidFill>
          </w14:textFill>
        </w:rPr>
        <w:t>文化活动中心</w:t>
      </w:r>
      <w:r>
        <w:rPr>
          <w:rFonts w:hint="eastAsia" w:ascii="宋体" w:hAnsi="宋体"/>
          <w:color w:val="000000" w:themeColor="text1"/>
          <w:sz w:val="24"/>
          <w14:textFill>
            <w14:solidFill>
              <w14:schemeClr w14:val="tx1"/>
            </w14:solidFill>
          </w14:textFill>
        </w:rPr>
        <w:t>为地点的系列活动不少于</w:t>
      </w:r>
      <w:r>
        <w:rPr>
          <w:rFonts w:hint="eastAsia" w:ascii="宋体" w:hAnsi="宋体"/>
          <w:color w:val="000000" w:themeColor="text1"/>
          <w:sz w:val="24"/>
          <w:lang w:val="en-US" w:eastAsia="zh-CN"/>
          <w14:textFill>
            <w14:solidFill>
              <w14:schemeClr w14:val="tx1"/>
            </w14:solidFill>
          </w14:textFill>
        </w:rPr>
        <w:t>16</w:t>
      </w:r>
      <w:r>
        <w:rPr>
          <w:rFonts w:hint="eastAsia" w:ascii="宋体" w:hAnsi="宋体"/>
          <w:color w:val="000000" w:themeColor="text1"/>
          <w:sz w:val="24"/>
          <w14:textFill>
            <w14:solidFill>
              <w14:schemeClr w14:val="tx1"/>
            </w14:solidFill>
          </w14:textFill>
        </w:rPr>
        <w:t>场。</w:t>
      </w:r>
    </w:p>
    <w:p>
      <w:pPr>
        <w:spacing w:line="440" w:lineRule="exact"/>
        <w:jc w:val="left"/>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.1.2所有活动需在市级电视媒体播放，利用互联网、移动媒体等新型媒体，通过直播等技术手段，多场景的向外界推广</w:t>
      </w:r>
      <w:r>
        <w:rPr>
          <w:rFonts w:hint="eastAsia" w:ascii="宋体" w:hAnsi="宋体"/>
          <w:sz w:val="24"/>
          <w:lang w:eastAsia="zh-CN"/>
        </w:rPr>
        <w:t>马山街道文化活动中心</w:t>
      </w:r>
      <w:r>
        <w:rPr>
          <w:rFonts w:hint="eastAsia" w:ascii="宋体" w:hAnsi="宋体"/>
          <w:sz w:val="24"/>
        </w:rPr>
        <w:t>的故事，活动场次不少于2场。</w:t>
      </w:r>
    </w:p>
    <w:p>
      <w:pPr>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.1.3结合</w:t>
      </w:r>
      <w:r>
        <w:rPr>
          <w:rFonts w:hint="eastAsia" w:ascii="宋体" w:hAnsi="宋体"/>
          <w:color w:val="000000" w:themeColor="text1"/>
          <w:sz w:val="24"/>
          <w:lang w:eastAsia="zh-CN"/>
          <w14:textFill>
            <w14:solidFill>
              <w14:schemeClr w14:val="tx1"/>
            </w14:solidFill>
          </w14:textFill>
        </w:rPr>
        <w:t>红立方</w:t>
      </w:r>
      <w:r>
        <w:rPr>
          <w:rFonts w:hint="eastAsia" w:ascii="宋体" w:hAnsi="宋体"/>
          <w:color w:val="000000" w:themeColor="text1"/>
          <w:sz w:val="24"/>
          <w14:textFill>
            <w14:solidFill>
              <w14:schemeClr w14:val="tx1"/>
            </w14:solidFill>
          </w14:textFill>
        </w:rPr>
        <w:t>，开展宣传工作。</w:t>
      </w:r>
    </w:p>
    <w:p>
      <w:pPr>
        <w:spacing w:line="440" w:lineRule="exact"/>
        <w:jc w:val="left"/>
        <w:rPr>
          <w:rFonts w:ascii="宋体" w:hAnsi="宋体"/>
          <w:sz w:val="24"/>
        </w:rPr>
      </w:pPr>
      <w:r>
        <w:rPr>
          <w:rFonts w:hint="eastAsia" w:ascii="宋体" w:hAnsi="宋体"/>
          <w:sz w:val="24"/>
        </w:rPr>
        <w:t>1.3.2宣传部分：</w:t>
      </w:r>
    </w:p>
    <w:p>
      <w:pPr>
        <w:spacing w:line="440" w:lineRule="exact"/>
        <w:jc w:val="left"/>
        <w:rPr>
          <w:rFonts w:ascii="宋体" w:hAnsi="宋体"/>
          <w:sz w:val="24"/>
        </w:rPr>
      </w:pPr>
      <w:r>
        <w:rPr>
          <w:rFonts w:hint="eastAsia" w:ascii="宋体" w:hAnsi="宋体"/>
          <w:sz w:val="24"/>
        </w:rPr>
        <w:t>1.3.2.1利用本地电视、纸媒等渠道，宣传系列活动。</w:t>
      </w:r>
    </w:p>
    <w:p>
      <w:pPr>
        <w:spacing w:line="440" w:lineRule="exact"/>
        <w:jc w:val="left"/>
        <w:rPr>
          <w:rFonts w:ascii="宋体" w:hAnsi="宋体"/>
          <w:sz w:val="24"/>
        </w:rPr>
      </w:pPr>
      <w:r>
        <w:rPr>
          <w:rFonts w:hint="eastAsia" w:ascii="宋体" w:hAnsi="宋体"/>
          <w:sz w:val="24"/>
        </w:rPr>
        <w:t>1.3.2.2活动整体宣传将通过央、省、市级媒体的传统媒介+新媒介的主流媒体，进行矩阵式、立体式的渠道分发，覆盖PC、APP等不同形式的全程深度报道。</w:t>
      </w:r>
    </w:p>
    <w:p>
      <w:pPr>
        <w:spacing w:line="440" w:lineRule="exact"/>
        <w:jc w:val="left"/>
        <w:rPr>
          <w:rFonts w:ascii="宋体" w:hAnsi="宋体"/>
          <w:sz w:val="24"/>
        </w:rPr>
      </w:pPr>
      <w:r>
        <w:rPr>
          <w:rFonts w:hint="eastAsia" w:ascii="宋体" w:hAnsi="宋体"/>
          <w:sz w:val="24"/>
        </w:rPr>
        <w:t>1.3.2.3微信朋友圈小视频投放，可根据目标人群属性，通过地域、性别、年龄、手机、婚恋及兴趣等标签进行精准引流，覆盖区域范围内的目标用户群体，引导参加</w:t>
      </w:r>
      <w:r>
        <w:rPr>
          <w:rFonts w:hint="eastAsia" w:ascii="宋体" w:hAnsi="宋体"/>
          <w:sz w:val="24"/>
          <w:lang w:eastAsia="zh-CN"/>
        </w:rPr>
        <w:t>文化活动中心</w:t>
      </w:r>
      <w:r>
        <w:rPr>
          <w:rFonts w:hint="eastAsia" w:ascii="宋体" w:hAnsi="宋体"/>
          <w:sz w:val="24"/>
        </w:rPr>
        <w:t>组织的各项活动。</w:t>
      </w:r>
    </w:p>
    <w:p>
      <w:pPr>
        <w:spacing w:line="440" w:lineRule="exact"/>
        <w:jc w:val="left"/>
        <w:rPr>
          <w:rFonts w:ascii="宋体" w:hAnsi="宋体"/>
          <w:sz w:val="24"/>
        </w:rPr>
      </w:pPr>
      <w:r>
        <w:rPr>
          <w:rFonts w:hint="eastAsia" w:ascii="宋体" w:hAnsi="宋体"/>
          <w:sz w:val="24"/>
        </w:rPr>
        <w:t>1.4运营要求</w:t>
      </w:r>
    </w:p>
    <w:p>
      <w:pPr>
        <w:spacing w:line="44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1.4.1由中标单位负责提供运营人员3人，保洁1人，保安</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人，用于该</w:t>
      </w:r>
      <w:r>
        <w:rPr>
          <w:rFonts w:hint="eastAsia" w:ascii="宋体" w:hAnsi="宋体"/>
          <w:color w:val="000000" w:themeColor="text1"/>
          <w:sz w:val="24"/>
          <w:lang w:eastAsia="zh-CN"/>
          <w14:textFill>
            <w14:solidFill>
              <w14:schemeClr w14:val="tx1"/>
            </w14:solidFill>
          </w14:textFill>
        </w:rPr>
        <w:t>中心</w:t>
      </w:r>
      <w:r>
        <w:rPr>
          <w:rFonts w:hint="eastAsia" w:ascii="宋体" w:hAnsi="宋体"/>
          <w:color w:val="000000" w:themeColor="text1"/>
          <w:sz w:val="24"/>
          <w14:textFill>
            <w14:solidFill>
              <w14:schemeClr w14:val="tx1"/>
            </w14:solidFill>
          </w14:textFill>
        </w:rPr>
        <w:t>的日常运营及管理，全年组织</w:t>
      </w:r>
      <w:r>
        <w:rPr>
          <w:rFonts w:hint="eastAsia" w:ascii="宋体" w:hAnsi="宋体"/>
          <w:color w:val="000000" w:themeColor="text1"/>
          <w:sz w:val="24"/>
          <w:lang w:eastAsia="zh-CN"/>
          <w14:textFill>
            <w14:solidFill>
              <w14:schemeClr w14:val="tx1"/>
            </w14:solidFill>
          </w14:textFill>
        </w:rPr>
        <w:t>公益</w:t>
      </w:r>
      <w:r>
        <w:rPr>
          <w:rFonts w:hint="eastAsia" w:ascii="宋体" w:hAnsi="宋体"/>
          <w:color w:val="000000" w:themeColor="text1"/>
          <w:sz w:val="24"/>
          <w14:textFill>
            <w14:solidFill>
              <w14:schemeClr w14:val="tx1"/>
            </w14:solidFill>
          </w14:textFill>
        </w:rPr>
        <w:t>活动不低于</w:t>
      </w:r>
      <w:r>
        <w:rPr>
          <w:rFonts w:hint="eastAsia" w:ascii="宋体" w:hAnsi="宋体"/>
          <w:color w:val="000000" w:themeColor="text1"/>
          <w:sz w:val="24"/>
          <w:lang w:val="en-US" w:eastAsia="zh-CN"/>
          <w14:textFill>
            <w14:solidFill>
              <w14:schemeClr w14:val="tx1"/>
            </w14:solidFill>
          </w14:textFill>
        </w:rPr>
        <w:t>16</w:t>
      </w:r>
      <w:r>
        <w:rPr>
          <w:rFonts w:hint="eastAsia" w:ascii="宋体" w:hAnsi="宋体"/>
          <w:color w:val="000000" w:themeColor="text1"/>
          <w:sz w:val="24"/>
          <w14:textFill>
            <w14:solidFill>
              <w14:schemeClr w14:val="tx1"/>
            </w14:solidFill>
          </w14:textFill>
        </w:rPr>
        <w:t>场。</w:t>
      </w:r>
      <w:r>
        <w:rPr>
          <w:rFonts w:hint="eastAsia" w:ascii="宋体" w:hAnsi="宋体"/>
          <w:color w:val="000000" w:themeColor="text1"/>
          <w:sz w:val="24"/>
          <w:lang w:eastAsia="zh-CN"/>
          <w14:textFill>
            <w14:solidFill>
              <w14:schemeClr w14:val="tx1"/>
            </w14:solidFill>
          </w14:textFill>
        </w:rPr>
        <w:t>中心工作人</w:t>
      </w:r>
      <w:r>
        <w:rPr>
          <w:rFonts w:hint="eastAsia" w:ascii="宋体" w:hAnsi="宋体"/>
          <w:color w:val="000000" w:themeColor="text1"/>
          <w:sz w:val="24"/>
          <w14:textFill>
            <w14:solidFill>
              <w14:schemeClr w14:val="tx1"/>
            </w14:solidFill>
          </w14:textFill>
        </w:rPr>
        <w:t>员应与中标方建立劳动关系，劳资纠纷由中标方处理。</w:t>
      </w:r>
    </w:p>
    <w:p>
      <w:pPr>
        <w:spacing w:line="440" w:lineRule="exact"/>
        <w:jc w:val="left"/>
        <w:rPr>
          <w:rFonts w:ascii="宋体" w:hAnsi="宋体"/>
          <w:sz w:val="24"/>
        </w:rPr>
      </w:pPr>
      <w:r>
        <w:rPr>
          <w:rFonts w:hint="eastAsia" w:ascii="宋体" w:hAnsi="宋体"/>
          <w:sz w:val="24"/>
        </w:rPr>
        <w:t>1.4.2由合作单位负责做好</w:t>
      </w:r>
      <w:r>
        <w:rPr>
          <w:rFonts w:hint="eastAsia" w:ascii="宋体" w:hAnsi="宋体"/>
          <w:sz w:val="24"/>
          <w:lang w:eastAsia="zh-CN"/>
        </w:rPr>
        <w:t>中心</w:t>
      </w:r>
      <w:r>
        <w:rPr>
          <w:rFonts w:hint="eastAsia" w:ascii="宋体" w:hAnsi="宋体"/>
          <w:sz w:val="24"/>
        </w:rPr>
        <w:t>的正常接待工作，并制作台账资料，作为考核依据。</w:t>
      </w:r>
    </w:p>
    <w:p>
      <w:pPr>
        <w:spacing w:line="440" w:lineRule="exact"/>
        <w:jc w:val="left"/>
        <w:rPr>
          <w:rFonts w:ascii="宋体" w:hAnsi="宋体"/>
          <w:sz w:val="24"/>
        </w:rPr>
      </w:pPr>
      <w:r>
        <w:rPr>
          <w:rFonts w:hint="eastAsia" w:ascii="宋体" w:hAnsi="宋体"/>
          <w:sz w:val="24"/>
        </w:rPr>
        <w:t>1.4.3</w:t>
      </w:r>
      <w:r>
        <w:rPr>
          <w:rFonts w:hint="eastAsia" w:ascii="宋体" w:hAnsi="宋体"/>
          <w:sz w:val="24"/>
          <w:lang w:eastAsia="zh-CN"/>
        </w:rPr>
        <w:t>中心</w:t>
      </w:r>
      <w:r>
        <w:rPr>
          <w:rFonts w:hint="eastAsia" w:ascii="宋体" w:hAnsi="宋体"/>
          <w:sz w:val="24"/>
        </w:rPr>
        <w:t>组织的活动宣传材料，活动现场的图文、视频素材要及时搜集，并于后期进行制作、宣传报道，配合此次体验活动的整体宣传造势。</w:t>
      </w:r>
    </w:p>
    <w:p>
      <w:pPr>
        <w:spacing w:line="440" w:lineRule="exact"/>
        <w:jc w:val="left"/>
        <w:rPr>
          <w:rFonts w:ascii="宋体" w:hAnsi="宋体"/>
          <w:color w:val="FF0000"/>
          <w:sz w:val="24"/>
        </w:rPr>
      </w:pPr>
      <w:r>
        <w:rPr>
          <w:rFonts w:hint="eastAsia" w:ascii="宋体" w:hAnsi="宋体"/>
          <w:color w:val="000000" w:themeColor="text1"/>
          <w:sz w:val="24"/>
          <w14:textFill>
            <w14:solidFill>
              <w14:schemeClr w14:val="tx1"/>
            </w14:solidFill>
          </w14:textFill>
        </w:rPr>
        <w:t>1.4.4运营期间的媒体邀请、宣传广告等项目产出的费用，由合作单位负责。</w:t>
      </w:r>
    </w:p>
    <w:p>
      <w:pPr>
        <w:spacing w:line="440" w:lineRule="exact"/>
        <w:jc w:val="left"/>
        <w:rPr>
          <w:rFonts w:ascii="宋体" w:hAnsi="宋体"/>
          <w:sz w:val="24"/>
        </w:rPr>
      </w:pPr>
      <w:r>
        <w:rPr>
          <w:rFonts w:hint="eastAsia" w:ascii="宋体" w:hAnsi="宋体"/>
          <w:sz w:val="24"/>
        </w:rPr>
        <w:t>1.4.5由合作单位搜集整理各家媒体的相关报道，并形成书面总结，提供给相关单位做留存。</w:t>
      </w:r>
    </w:p>
    <w:p>
      <w:pPr>
        <w:spacing w:line="440" w:lineRule="exact"/>
        <w:jc w:val="left"/>
        <w:rPr>
          <w:rFonts w:ascii="宋体" w:hAnsi="宋体"/>
          <w:sz w:val="24"/>
        </w:rPr>
      </w:pPr>
      <w:r>
        <w:rPr>
          <w:rFonts w:hint="eastAsia" w:ascii="宋体" w:hAnsi="宋体"/>
          <w:sz w:val="24"/>
        </w:rPr>
        <w:t>1.4.5所有活动的文字、图片、视频等资料，</w:t>
      </w:r>
      <w:r>
        <w:rPr>
          <w:rFonts w:hint="eastAsia" w:ascii="宋体" w:hAnsi="宋体"/>
          <w:sz w:val="24"/>
          <w:lang w:eastAsia="zh-CN"/>
        </w:rPr>
        <w:t>马山街道相关部门</w:t>
      </w:r>
      <w:r>
        <w:rPr>
          <w:rFonts w:hint="eastAsia" w:ascii="宋体" w:hAnsi="宋体"/>
          <w:sz w:val="24"/>
        </w:rPr>
        <w:t>可以转载、宣传和再利用。</w:t>
      </w:r>
    </w:p>
    <w:p>
      <w:pPr>
        <w:spacing w:line="440" w:lineRule="exact"/>
        <w:jc w:val="left"/>
        <w:rPr>
          <w:rFonts w:ascii="宋体" w:hAnsi="宋体"/>
          <w:sz w:val="24"/>
        </w:rPr>
      </w:pPr>
      <w:r>
        <w:rPr>
          <w:rFonts w:hint="eastAsia" w:ascii="宋体" w:hAnsi="宋体"/>
          <w:sz w:val="24"/>
        </w:rPr>
        <w:t>1.5服务团队要求</w:t>
      </w:r>
    </w:p>
    <w:p>
      <w:pPr>
        <w:spacing w:line="440" w:lineRule="exact"/>
        <w:jc w:val="left"/>
        <w:rPr>
          <w:rFonts w:ascii="宋体" w:hAnsi="宋体"/>
          <w:sz w:val="24"/>
        </w:rPr>
      </w:pPr>
      <w:r>
        <w:rPr>
          <w:rFonts w:hint="eastAsia" w:ascii="宋体" w:hAnsi="宋体"/>
          <w:color w:val="000000" w:themeColor="text1"/>
          <w:sz w:val="24"/>
          <w14:textFill>
            <w14:solidFill>
              <w14:schemeClr w14:val="tx1"/>
            </w14:solidFill>
          </w14:textFill>
        </w:rPr>
        <w:t>服务团队至少</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人，</w:t>
      </w:r>
      <w:r>
        <w:rPr>
          <w:rFonts w:hint="eastAsia" w:ascii="宋体" w:hAnsi="宋体"/>
          <w:sz w:val="24"/>
        </w:rPr>
        <w:t>要求经验丰富、职责分明、执行力强。</w:t>
      </w:r>
    </w:p>
    <w:p>
      <w:pPr>
        <w:pStyle w:val="2"/>
        <w:rPr>
          <w:rFonts w:hint="eastAsia"/>
        </w:rPr>
      </w:pPr>
    </w:p>
    <w:p>
      <w:pPr>
        <w:spacing w:line="360" w:lineRule="auto"/>
        <w:ind w:firstLine="480" w:firstLineChars="200"/>
        <w:rPr>
          <w:rFonts w:hint="eastAsia" w:ascii="宋体" w:hAnsi="宋体" w:eastAsia="宋体"/>
          <w:sz w:val="24"/>
          <w:highlight w:val="none"/>
          <w:lang w:eastAsia="zh-CN"/>
        </w:rPr>
      </w:pPr>
    </w:p>
    <w:p>
      <w:pPr>
        <w:spacing w:line="460" w:lineRule="exact"/>
        <w:rPr>
          <w:rFonts w:hint="eastAsia" w:ascii="仿宋" w:hAnsi="仿宋" w:eastAsia="仿宋"/>
          <w:sz w:val="24"/>
          <w:highlight w:val="none"/>
        </w:rPr>
        <w:sectPr>
          <w:footerReference r:id="rId12" w:type="first"/>
          <w:headerReference r:id="rId9" w:type="default"/>
          <w:footerReference r:id="rId10" w:type="default"/>
          <w:footerReference r:id="rId11" w:type="even"/>
          <w:pgSz w:w="11906" w:h="16838"/>
          <w:pgMar w:top="1418" w:right="1418" w:bottom="1418" w:left="1418" w:header="1021" w:footer="902" w:gutter="0"/>
          <w:pgNumType w:fmt="decimal" w:start="1"/>
          <w:cols w:space="720" w:num="1"/>
          <w:titlePg/>
          <w:docGrid w:type="lines" w:linePitch="312" w:charSpace="0"/>
        </w:sectPr>
      </w:pPr>
    </w:p>
    <w:p>
      <w:pPr>
        <w:pStyle w:val="5"/>
        <w:rPr>
          <w:highlight w:val="none"/>
        </w:rPr>
      </w:pPr>
      <w:bookmarkStart w:id="42" w:name="_Toc27069"/>
      <w:bookmarkStart w:id="43" w:name="_Toc13136"/>
      <w:bookmarkStart w:id="44" w:name="_Toc4166"/>
      <w:r>
        <w:rPr>
          <w:highlight w:val="none"/>
        </w:rPr>
        <w:t>二、商务要求</w:t>
      </w:r>
      <w:bookmarkEnd w:id="42"/>
      <w:bookmarkEnd w:id="43"/>
      <w:bookmarkEnd w:id="44"/>
    </w:p>
    <w:p>
      <w:pPr>
        <w:widowControl/>
        <w:snapToGrid w:val="0"/>
        <w:spacing w:line="480" w:lineRule="exact"/>
        <w:ind w:firstLine="0"/>
        <w:rPr>
          <w:rFonts w:hint="eastAsia" w:ascii="仿宋" w:eastAsia="仿宋"/>
          <w:b/>
          <w:bCs/>
          <w:color w:val="000000"/>
          <w:kern w:val="0"/>
          <w:sz w:val="24"/>
        </w:rPr>
      </w:pPr>
      <w:r>
        <w:rPr>
          <w:rFonts w:hint="eastAsia" w:ascii="仿宋" w:eastAsia="仿宋"/>
          <w:color w:val="FF0000"/>
          <w:sz w:val="24"/>
          <w:szCs w:val="24"/>
          <w:lang w:val="en-US" w:eastAsia="zh-CN"/>
        </w:rPr>
        <w:t xml:space="preserve"> </w:t>
      </w:r>
      <w:r>
        <w:rPr>
          <w:rFonts w:hint="eastAsia" w:ascii="仿宋" w:eastAsia="仿宋"/>
          <w:b/>
          <w:bCs/>
          <w:color w:val="000000"/>
          <w:kern w:val="0"/>
          <w:sz w:val="24"/>
        </w:rPr>
        <w:t>2.1服务期限</w:t>
      </w:r>
    </w:p>
    <w:p>
      <w:pPr>
        <w:widowControl/>
        <w:snapToGrid w:val="0"/>
        <w:spacing w:line="480" w:lineRule="exact"/>
        <w:rPr>
          <w:rFonts w:hint="eastAsia" w:ascii="宋体" w:hAnsi="宋体" w:eastAsia="宋体"/>
          <w:b/>
          <w:bCs/>
          <w:color w:val="0000FF"/>
          <w:kern w:val="0"/>
          <w:sz w:val="24"/>
          <w:lang w:eastAsia="zh-CN"/>
        </w:rPr>
      </w:pPr>
      <w:r>
        <w:rPr>
          <w:rFonts w:hint="eastAsia" w:ascii="宋体" w:hAnsi="宋体"/>
          <w:b/>
          <w:bCs/>
          <w:color w:val="0000FF"/>
          <w:kern w:val="0"/>
          <w:sz w:val="24"/>
        </w:rPr>
        <w:t>合同签订之日起一年</w:t>
      </w:r>
      <w:r>
        <w:rPr>
          <w:rFonts w:hint="eastAsia" w:ascii="宋体" w:hAnsi="宋体"/>
          <w:b/>
          <w:bCs/>
          <w:color w:val="0000FF"/>
          <w:kern w:val="0"/>
          <w:sz w:val="24"/>
          <w:lang w:eastAsia="zh-CN"/>
        </w:rPr>
        <w:t>。</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2.2技术培训</w:t>
      </w:r>
    </w:p>
    <w:p>
      <w:pPr>
        <w:widowControl/>
        <w:snapToGrid w:val="0"/>
        <w:spacing w:line="480" w:lineRule="exact"/>
        <w:ind w:left="0"/>
        <w:rPr>
          <w:rFonts w:hint="eastAsia" w:ascii="仿宋" w:eastAsia="仿宋"/>
          <w:b/>
          <w:bCs/>
          <w:sz w:val="24"/>
          <w:lang w:val="en-US" w:eastAsia="zh-CN"/>
        </w:rPr>
      </w:pPr>
      <w:r>
        <w:rPr>
          <w:rFonts w:hint="eastAsia" w:ascii="仿宋" w:eastAsia="仿宋"/>
          <w:b/>
          <w:bCs/>
          <w:sz w:val="24"/>
          <w:lang w:val="en-US" w:eastAsia="zh-CN"/>
        </w:rPr>
        <w:t>/</w:t>
      </w:r>
    </w:p>
    <w:p>
      <w:pPr>
        <w:widowControl/>
        <w:snapToGrid w:val="0"/>
        <w:spacing w:line="480" w:lineRule="exact"/>
        <w:ind w:left="0"/>
        <w:rPr>
          <w:rFonts w:hint="eastAsia" w:ascii="仿宋" w:eastAsia="仿宋"/>
          <w:b/>
          <w:bCs/>
          <w:sz w:val="24"/>
        </w:rPr>
      </w:pPr>
      <w:r>
        <w:rPr>
          <w:rFonts w:hint="eastAsia" w:ascii="仿宋" w:eastAsia="仿宋"/>
          <w:b/>
          <w:bCs/>
          <w:sz w:val="24"/>
        </w:rPr>
        <w:t>2.3数量调整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2.4验收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color w:val="000000"/>
          <w:kern w:val="0"/>
          <w:sz w:val="24"/>
          <w:u w:val="none"/>
        </w:rPr>
        <w:t>2.5付款方式</w:t>
      </w:r>
    </w:p>
    <w:p>
      <w:pPr>
        <w:widowControl/>
        <w:snapToGrid w:val="0"/>
        <w:spacing w:line="480" w:lineRule="exact"/>
        <w:ind w:firstLine="482" w:firstLineChars="200"/>
        <w:rPr>
          <w:rFonts w:ascii="宋体" w:hAnsi="宋体"/>
          <w:color w:val="FF0000"/>
          <w:sz w:val="24"/>
          <w:highlight w:val="none"/>
        </w:rPr>
      </w:pPr>
      <w:r>
        <w:rPr>
          <w:rFonts w:hint="eastAsia" w:ascii="仿宋" w:eastAsia="仿宋"/>
          <w:b/>
          <w:bCs/>
          <w:color w:val="FF0000"/>
          <w:kern w:val="0"/>
          <w:sz w:val="24"/>
          <w:u w:val="none"/>
          <w:lang w:val="en-US" w:eastAsia="zh-CN"/>
        </w:rPr>
        <w:t>2023年3月底支付总金额的30%</w:t>
      </w:r>
      <w:r>
        <w:rPr>
          <w:rFonts w:hint="eastAsia" w:ascii="仿宋" w:eastAsia="仿宋"/>
          <w:b/>
          <w:bCs/>
          <w:color w:val="FF0000"/>
          <w:kern w:val="0"/>
          <w:sz w:val="24"/>
          <w:u w:val="none"/>
        </w:rPr>
        <w:t>，</w:t>
      </w:r>
      <w:r>
        <w:rPr>
          <w:rFonts w:hint="eastAsia" w:ascii="仿宋" w:eastAsia="仿宋"/>
          <w:b/>
          <w:bCs/>
          <w:color w:val="FF0000"/>
          <w:kern w:val="0"/>
          <w:sz w:val="24"/>
          <w:u w:val="none"/>
          <w:lang w:eastAsia="zh-CN"/>
        </w:rPr>
        <w:t>剩余费用于完成整个运营项目且</w:t>
      </w:r>
      <w:r>
        <w:rPr>
          <w:rFonts w:hint="eastAsia" w:ascii="仿宋" w:eastAsia="仿宋"/>
          <w:b/>
          <w:bCs/>
          <w:color w:val="FF0000"/>
          <w:kern w:val="0"/>
          <w:sz w:val="24"/>
          <w:u w:val="none"/>
        </w:rPr>
        <w:t>通过采购人验收后1个月内支付所有费用</w:t>
      </w:r>
      <w:r>
        <w:rPr>
          <w:rFonts w:hint="eastAsia" w:ascii="宋体" w:hAnsi="宋体"/>
          <w:color w:val="FF0000"/>
          <w:sz w:val="24"/>
          <w:highlight w:val="none"/>
        </w:rPr>
        <w:t>。</w:t>
      </w:r>
    </w:p>
    <w:p>
      <w:pPr>
        <w:pStyle w:val="17"/>
        <w:spacing w:line="800" w:lineRule="exact"/>
        <w:ind w:firstLine="1807" w:firstLineChars="500"/>
        <w:rPr>
          <w:rFonts w:hint="eastAsia" w:ascii="仿宋" w:hAnsi="仿宋" w:eastAsia="仿宋" w:cs="仿宋"/>
          <w:b/>
          <w:sz w:val="36"/>
          <w:szCs w:val="36"/>
        </w:rPr>
      </w:pPr>
    </w:p>
    <w:p>
      <w:pPr>
        <w:pStyle w:val="17"/>
        <w:spacing w:line="800" w:lineRule="exact"/>
        <w:ind w:firstLine="1807" w:firstLineChars="500"/>
        <w:rPr>
          <w:rFonts w:hint="eastAsia" w:ascii="仿宋" w:hAnsi="仿宋" w:eastAsia="仿宋" w:cs="仿宋"/>
          <w:b/>
          <w:sz w:val="36"/>
          <w:szCs w:val="36"/>
        </w:rPr>
      </w:pPr>
    </w:p>
    <w:p>
      <w:pPr>
        <w:pStyle w:val="17"/>
        <w:spacing w:line="800" w:lineRule="exact"/>
        <w:ind w:firstLine="1807" w:firstLineChars="500"/>
        <w:rPr>
          <w:rFonts w:hint="eastAsia" w:ascii="仿宋" w:hAnsi="仿宋" w:eastAsia="仿宋" w:cs="仿宋"/>
          <w:b/>
          <w:sz w:val="36"/>
          <w:szCs w:val="36"/>
        </w:rPr>
      </w:pPr>
    </w:p>
    <w:p>
      <w:pPr>
        <w:pStyle w:val="17"/>
        <w:spacing w:line="800" w:lineRule="exact"/>
        <w:ind w:firstLine="1807" w:firstLineChars="500"/>
        <w:rPr>
          <w:rFonts w:hint="eastAsia" w:ascii="仿宋" w:hAnsi="仿宋" w:eastAsia="仿宋" w:cs="仿宋"/>
          <w:b/>
          <w:sz w:val="36"/>
          <w:szCs w:val="36"/>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pStyle w:val="4"/>
        <w:keepNext/>
        <w:keepLines/>
        <w:pageBreakBefore w:val="0"/>
        <w:widowControl w:val="0"/>
        <w:suppressLineNumbers w:val="0"/>
        <w:suppressAutoHyphens w:val="0"/>
        <w:spacing w:line="578" w:lineRule="auto"/>
        <w:jc w:val="center"/>
        <w:rPr>
          <w:rFonts w:hint="eastAsia" w:ascii="仿宋"/>
        </w:rPr>
      </w:pPr>
      <w:bookmarkStart w:id="45" w:name="_Toc93172442"/>
      <w:r>
        <w:rPr>
          <w:rFonts w:hint="eastAsia" w:ascii="仿宋"/>
        </w:rPr>
        <w:t>第四章  拟签订合同的主要条款</w:t>
      </w:r>
      <w:bookmarkEnd w:id="45"/>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r>
        <w:rPr>
          <w:rFonts w:hint="eastAsia" w:ascii="仿宋" w:eastAsia="仿宋"/>
          <w:b/>
          <w:bCs/>
          <w:color w:val="FF0000"/>
          <w:kern w:val="0"/>
          <w:sz w:val="24"/>
          <w:u w:val="none"/>
          <w:lang w:val="en-US" w:eastAsia="zh-CN"/>
        </w:rPr>
        <w:t>2023年3月底支付总金额的30%</w:t>
      </w:r>
      <w:r>
        <w:rPr>
          <w:rFonts w:hint="eastAsia" w:ascii="仿宋" w:eastAsia="仿宋"/>
          <w:b/>
          <w:bCs/>
          <w:color w:val="FF0000"/>
          <w:kern w:val="0"/>
          <w:sz w:val="24"/>
          <w:u w:val="none"/>
        </w:rPr>
        <w:t>，</w:t>
      </w:r>
      <w:r>
        <w:rPr>
          <w:rFonts w:hint="eastAsia" w:ascii="仿宋" w:eastAsia="仿宋"/>
          <w:b/>
          <w:bCs/>
          <w:color w:val="FF0000"/>
          <w:kern w:val="0"/>
          <w:sz w:val="24"/>
          <w:u w:val="none"/>
          <w:lang w:eastAsia="zh-CN"/>
        </w:rPr>
        <w:t>剩余费用于完成整个运营项目且</w:t>
      </w:r>
      <w:r>
        <w:rPr>
          <w:rFonts w:hint="eastAsia" w:ascii="仿宋" w:eastAsia="仿宋"/>
          <w:b/>
          <w:bCs/>
          <w:color w:val="FF0000"/>
          <w:kern w:val="0"/>
          <w:sz w:val="24"/>
          <w:u w:val="none"/>
        </w:rPr>
        <w:t>通过采购人验收后1个月内支付所有费用</w:t>
      </w:r>
      <w:r>
        <w:rPr>
          <w:rFonts w:hint="eastAsia" w:ascii="宋体" w:hAnsi="宋体"/>
          <w:color w:val="FF0000"/>
          <w:sz w:val="24"/>
          <w:highlight w:val="none"/>
        </w:rPr>
        <w:t>。</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4"/>
        <w:keepNext/>
        <w:keepLines/>
        <w:pageBreakBefore w:val="0"/>
        <w:widowControl w:val="0"/>
        <w:suppressLineNumbers w:val="0"/>
        <w:suppressAutoHyphens w:val="0"/>
        <w:spacing w:line="578" w:lineRule="auto"/>
        <w:jc w:val="center"/>
        <w:rPr>
          <w:rFonts w:hint="eastAsia" w:ascii="仿宋"/>
        </w:rPr>
      </w:pPr>
      <w:bookmarkStart w:id="46" w:name="_Toc93172443"/>
      <w:r>
        <w:rPr>
          <w:rFonts w:hint="eastAsia" w:ascii="仿宋"/>
        </w:rPr>
        <w:t>第五章  评标办法及标准</w:t>
      </w:r>
      <w:bookmarkEnd w:id="46"/>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70</w:t>
      </w:r>
      <w:r>
        <w:rPr>
          <w:rFonts w:hint="eastAsia" w:ascii="仿宋" w:eastAsia="仿宋"/>
          <w:sz w:val="24"/>
        </w:rPr>
        <w:t>分，价格分</w:t>
      </w:r>
      <w:r>
        <w:rPr>
          <w:rFonts w:hint="eastAsia" w:ascii="仿宋" w:eastAsia="仿宋"/>
          <w:sz w:val="24"/>
          <w:u w:val="single"/>
          <w:lang w:val="en-US" w:eastAsia="zh-CN"/>
        </w:rPr>
        <w:t>30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default" w:ascii="仿宋" w:eastAsia="仿宋"/>
          <w:b/>
          <w:bCs/>
          <w:color w:val="000000"/>
          <w:kern w:val="0"/>
          <w:sz w:val="24"/>
          <w:u w:val="none"/>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r>
        <w:rPr>
          <w:rFonts w:hint="eastAsia" w:ascii="仿宋" w:eastAsia="仿宋"/>
          <w:b/>
          <w:bCs/>
          <w:color w:val="000000"/>
          <w:kern w:val="0"/>
          <w:sz w:val="24"/>
          <w:u w:val="none"/>
          <w:lang w:val="en-US" w:eastAsia="zh-CN"/>
        </w:rPr>
        <w:t>70分</w:t>
      </w:r>
    </w:p>
    <w:tbl>
      <w:tblPr>
        <w:tblStyle w:val="26"/>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594"/>
        <w:gridCol w:w="6296"/>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27" w:type="dxa"/>
            <w:vAlign w:val="center"/>
          </w:tcPr>
          <w:p>
            <w:pPr>
              <w:widowControl/>
              <w:spacing w:line="276" w:lineRule="auto"/>
              <w:jc w:val="center"/>
              <w:rPr>
                <w:rFonts w:ascii="宋体" w:hAnsi="宋体" w:cs="宋体"/>
                <w:sz w:val="24"/>
              </w:rPr>
            </w:pPr>
            <w:r>
              <w:rPr>
                <w:rFonts w:hint="eastAsia" w:ascii="宋体" w:hAnsi="宋体" w:cs="宋体"/>
                <w:sz w:val="24"/>
              </w:rPr>
              <w:t>序号</w:t>
            </w:r>
          </w:p>
        </w:tc>
        <w:tc>
          <w:tcPr>
            <w:tcW w:w="1594" w:type="dxa"/>
            <w:vAlign w:val="center"/>
          </w:tcPr>
          <w:p>
            <w:pPr>
              <w:widowControl/>
              <w:spacing w:line="276" w:lineRule="auto"/>
              <w:jc w:val="center"/>
              <w:rPr>
                <w:rFonts w:ascii="宋体" w:hAnsi="宋体" w:cs="宋体"/>
                <w:color w:val="FF0000"/>
                <w:sz w:val="24"/>
              </w:rPr>
            </w:pPr>
            <w:r>
              <w:rPr>
                <w:rFonts w:hint="eastAsia" w:ascii="宋体" w:hAnsi="宋体" w:cs="宋体"/>
                <w:color w:val="FF0000"/>
                <w:sz w:val="24"/>
              </w:rPr>
              <w:t>项目</w:t>
            </w:r>
          </w:p>
        </w:tc>
        <w:tc>
          <w:tcPr>
            <w:tcW w:w="6296" w:type="dxa"/>
            <w:vAlign w:val="center"/>
          </w:tcPr>
          <w:p>
            <w:pPr>
              <w:widowControl/>
              <w:spacing w:line="276" w:lineRule="auto"/>
              <w:jc w:val="center"/>
              <w:rPr>
                <w:rFonts w:ascii="宋体" w:hAnsi="宋体" w:cs="宋体"/>
                <w:color w:val="FF0000"/>
                <w:sz w:val="24"/>
              </w:rPr>
            </w:pPr>
            <w:r>
              <w:rPr>
                <w:rFonts w:hint="eastAsia" w:ascii="宋体" w:hAnsi="宋体" w:cs="宋体"/>
                <w:color w:val="FF0000"/>
                <w:sz w:val="24"/>
              </w:rPr>
              <w:t>评价内容及评分细则</w:t>
            </w:r>
          </w:p>
        </w:tc>
        <w:tc>
          <w:tcPr>
            <w:tcW w:w="772" w:type="dxa"/>
            <w:vAlign w:val="center"/>
          </w:tcPr>
          <w:p>
            <w:pPr>
              <w:widowControl/>
              <w:spacing w:line="276" w:lineRule="auto"/>
              <w:jc w:val="center"/>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27" w:type="dxa"/>
            <w:vMerge w:val="restart"/>
            <w:vAlign w:val="center"/>
          </w:tcPr>
          <w:p>
            <w:pPr>
              <w:widowControl/>
              <w:spacing w:line="340" w:lineRule="exact"/>
              <w:jc w:val="center"/>
              <w:rPr>
                <w:rFonts w:hint="eastAsia" w:ascii="宋体" w:hAnsi="宋体" w:cs="宋体"/>
                <w:color w:val="FF0000"/>
                <w:sz w:val="18"/>
                <w:szCs w:val="18"/>
                <w:lang w:val="en-US" w:eastAsia="zh-CN"/>
              </w:rPr>
            </w:pPr>
            <w:r>
              <w:rPr>
                <w:rFonts w:hint="eastAsia" w:ascii="宋体" w:hAnsi="宋体" w:cs="宋体"/>
                <w:color w:val="FF0000"/>
                <w:sz w:val="18"/>
                <w:szCs w:val="18"/>
                <w:lang w:val="en-US" w:eastAsia="zh-CN"/>
              </w:rPr>
              <w:t>1</w:t>
            </w:r>
          </w:p>
        </w:tc>
        <w:tc>
          <w:tcPr>
            <w:tcW w:w="1594" w:type="dxa"/>
            <w:vMerge w:val="restart"/>
            <w:vAlign w:val="center"/>
          </w:tcPr>
          <w:p>
            <w:pPr>
              <w:widowControl/>
              <w:spacing w:line="340" w:lineRule="exact"/>
              <w:jc w:val="center"/>
              <w:rPr>
                <w:rFonts w:hint="eastAsia" w:ascii="宋体" w:hAnsi="宋体" w:cs="宋体"/>
                <w:color w:val="FF0000"/>
                <w:sz w:val="18"/>
                <w:szCs w:val="18"/>
                <w:lang w:eastAsia="zh-CN"/>
              </w:rPr>
            </w:pPr>
            <w:r>
              <w:rPr>
                <w:rFonts w:hint="eastAsia" w:ascii="宋体" w:hAnsi="宋体" w:cs="宋体"/>
                <w:color w:val="FF0000"/>
                <w:sz w:val="18"/>
                <w:szCs w:val="18"/>
                <w:lang w:eastAsia="zh-CN"/>
              </w:rPr>
              <w:t>企业实力</w:t>
            </w:r>
          </w:p>
        </w:tc>
        <w:tc>
          <w:tcPr>
            <w:tcW w:w="6296" w:type="dxa"/>
            <w:vAlign w:val="center"/>
          </w:tcPr>
          <w:p>
            <w:pPr>
              <w:widowControl/>
              <w:spacing w:line="340" w:lineRule="exact"/>
              <w:rPr>
                <w:rFonts w:hint="eastAsia" w:ascii="宋体" w:hAnsi="宋体" w:eastAsia="宋体" w:cs="宋体"/>
                <w:color w:val="FF0000"/>
                <w:kern w:val="2"/>
                <w:sz w:val="18"/>
                <w:szCs w:val="18"/>
                <w:lang w:val="en-US" w:eastAsia="zh-CN" w:bidi="ar-SA"/>
              </w:rPr>
            </w:pPr>
            <w:r>
              <w:rPr>
                <w:rFonts w:hint="eastAsia" w:ascii="宋体" w:hAnsi="宋体" w:eastAsia="宋体" w:cs="宋体"/>
                <w:color w:val="FF0000"/>
                <w:kern w:val="2"/>
                <w:sz w:val="18"/>
                <w:szCs w:val="18"/>
                <w:lang w:val="en-US" w:eastAsia="zh-CN" w:bidi="ar-SA"/>
              </w:rPr>
              <w:t>投标单位2019年-至今，参加相关文化类活动并获得省</w:t>
            </w:r>
            <w:r>
              <w:rPr>
                <w:rFonts w:hint="eastAsia" w:ascii="宋体" w:hAnsi="宋体" w:cs="宋体"/>
                <w:color w:val="FF0000"/>
                <w:kern w:val="2"/>
                <w:sz w:val="18"/>
                <w:szCs w:val="18"/>
                <w:lang w:val="en-US" w:eastAsia="zh-CN" w:bidi="ar-SA"/>
              </w:rPr>
              <w:t>（及以上）</w:t>
            </w:r>
            <w:r>
              <w:rPr>
                <w:rFonts w:hint="eastAsia" w:ascii="宋体" w:hAnsi="宋体" w:eastAsia="宋体" w:cs="宋体"/>
                <w:color w:val="FF0000"/>
                <w:kern w:val="2"/>
                <w:sz w:val="18"/>
                <w:szCs w:val="18"/>
                <w:lang w:val="en-US" w:eastAsia="zh-CN" w:bidi="ar-SA"/>
              </w:rPr>
              <w:t>、市、区级荣誉，每提供一份证书分别得3分、2分、1分，最高得</w:t>
            </w:r>
            <w:r>
              <w:rPr>
                <w:rFonts w:hint="eastAsia" w:ascii="宋体" w:hAnsi="宋体" w:cs="宋体"/>
                <w:color w:val="FF0000"/>
                <w:kern w:val="2"/>
                <w:sz w:val="18"/>
                <w:szCs w:val="18"/>
                <w:lang w:val="en-US" w:eastAsia="zh-CN" w:bidi="ar-SA"/>
              </w:rPr>
              <w:t>5</w:t>
            </w:r>
            <w:r>
              <w:rPr>
                <w:rFonts w:hint="eastAsia" w:ascii="宋体" w:hAnsi="宋体" w:eastAsia="宋体" w:cs="宋体"/>
                <w:color w:val="FF0000"/>
                <w:kern w:val="2"/>
                <w:sz w:val="18"/>
                <w:szCs w:val="18"/>
                <w:lang w:val="en-US" w:eastAsia="zh-CN" w:bidi="ar-SA"/>
              </w:rPr>
              <w:t>分。</w:t>
            </w:r>
          </w:p>
          <w:p>
            <w:pPr>
              <w:widowControl/>
              <w:spacing w:line="480" w:lineRule="auto"/>
              <w:rPr>
                <w:rFonts w:hint="eastAsia" w:ascii="宋体" w:hAnsi="宋体" w:cs="宋体"/>
                <w:color w:val="FF0000"/>
                <w:sz w:val="18"/>
                <w:szCs w:val="18"/>
                <w:lang w:val="en-US" w:eastAsia="zh-CN"/>
              </w:rPr>
            </w:pPr>
            <w:r>
              <w:rPr>
                <w:rFonts w:hint="eastAsia" w:ascii="宋体" w:hAnsi="宋体" w:cs="宋体"/>
                <w:b/>
                <w:bCs/>
                <w:color w:val="FF0000"/>
                <w:sz w:val="18"/>
                <w:szCs w:val="18"/>
                <w:lang w:val="en-US" w:eastAsia="zh-CN"/>
              </w:rPr>
              <w:t>注：需提供证明材料并加盖投标单位公章。</w:t>
            </w:r>
          </w:p>
        </w:tc>
        <w:tc>
          <w:tcPr>
            <w:tcW w:w="772" w:type="dxa"/>
            <w:vMerge w:val="restart"/>
            <w:vAlign w:val="center"/>
          </w:tcPr>
          <w:p>
            <w:pPr>
              <w:widowControl/>
              <w:spacing w:line="480" w:lineRule="auto"/>
              <w:jc w:val="center"/>
              <w:rPr>
                <w:rFonts w:hint="eastAsia" w:ascii="宋体" w:hAnsi="宋体" w:cs="宋体"/>
                <w:color w:val="FF0000"/>
                <w:sz w:val="18"/>
                <w:szCs w:val="18"/>
                <w:lang w:val="en-US" w:eastAsia="zh-CN"/>
              </w:rPr>
            </w:pPr>
            <w:r>
              <w:rPr>
                <w:rFonts w:hint="eastAsia" w:ascii="宋体" w:hAnsi="宋体" w:cs="宋体"/>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27" w:type="dxa"/>
            <w:vMerge w:val="continue"/>
            <w:vAlign w:val="center"/>
          </w:tcPr>
          <w:p>
            <w:pPr>
              <w:widowControl/>
              <w:spacing w:line="480" w:lineRule="auto"/>
              <w:rPr>
                <w:rFonts w:hint="eastAsia" w:ascii="宋体" w:hAnsi="宋体" w:cs="宋体"/>
                <w:color w:val="FF0000"/>
                <w:sz w:val="18"/>
                <w:szCs w:val="18"/>
                <w:lang w:val="en-US" w:eastAsia="zh-CN"/>
              </w:rPr>
            </w:pPr>
          </w:p>
        </w:tc>
        <w:tc>
          <w:tcPr>
            <w:tcW w:w="1594" w:type="dxa"/>
            <w:vMerge w:val="continue"/>
            <w:vAlign w:val="center"/>
          </w:tcPr>
          <w:p>
            <w:pPr>
              <w:widowControl/>
              <w:spacing w:line="480" w:lineRule="auto"/>
              <w:rPr>
                <w:rFonts w:hint="eastAsia" w:ascii="宋体" w:hAnsi="宋体" w:cs="宋体"/>
                <w:color w:val="FF0000"/>
                <w:sz w:val="18"/>
                <w:szCs w:val="18"/>
                <w:lang w:val="en-US" w:eastAsia="zh-CN"/>
              </w:rPr>
            </w:pPr>
          </w:p>
        </w:tc>
        <w:tc>
          <w:tcPr>
            <w:tcW w:w="6296" w:type="dxa"/>
            <w:vAlign w:val="center"/>
          </w:tcPr>
          <w:p>
            <w:pPr>
              <w:widowControl/>
              <w:spacing w:line="240" w:lineRule="auto"/>
              <w:rPr>
                <w:rFonts w:hint="eastAsia" w:ascii="宋体" w:hAnsi="宋体" w:cs="宋体"/>
                <w:color w:val="FF0000"/>
                <w:sz w:val="18"/>
                <w:szCs w:val="18"/>
                <w:lang w:val="en-US" w:eastAsia="zh-CN"/>
              </w:rPr>
            </w:pPr>
            <w:r>
              <w:rPr>
                <w:rFonts w:hint="eastAsia" w:ascii="宋体" w:hAnsi="宋体" w:cs="宋体"/>
                <w:color w:val="FF0000"/>
                <w:sz w:val="18"/>
                <w:szCs w:val="18"/>
                <w:lang w:val="en-US" w:eastAsia="zh-CN"/>
              </w:rPr>
              <w:t>根据投标单位2019年-至今，在省（及以上）、市、区各级新闻媒体进行宣传报道情况进行打分，每提供一则报道分别得3分、2分、1分，最高得5分。</w:t>
            </w:r>
          </w:p>
          <w:p>
            <w:pPr>
              <w:widowControl/>
              <w:spacing w:line="240" w:lineRule="auto"/>
              <w:rPr>
                <w:rFonts w:hint="eastAsia" w:ascii="宋体" w:hAnsi="宋体" w:cs="宋体"/>
                <w:color w:val="FF0000"/>
                <w:sz w:val="18"/>
                <w:szCs w:val="18"/>
                <w:lang w:val="en-US" w:eastAsia="zh-CN"/>
              </w:rPr>
            </w:pPr>
            <w:r>
              <w:rPr>
                <w:rFonts w:hint="eastAsia" w:ascii="宋体" w:hAnsi="宋体" w:cs="宋体"/>
                <w:b/>
                <w:bCs/>
                <w:color w:val="FF0000"/>
                <w:sz w:val="18"/>
                <w:szCs w:val="18"/>
                <w:lang w:val="en-US" w:eastAsia="zh-CN"/>
              </w:rPr>
              <w:t>注：需提供证明材料并加盖投标单位公章。</w:t>
            </w:r>
          </w:p>
        </w:tc>
        <w:tc>
          <w:tcPr>
            <w:tcW w:w="772" w:type="dxa"/>
            <w:vMerge w:val="continue"/>
            <w:vAlign w:val="center"/>
          </w:tcPr>
          <w:p>
            <w:pPr>
              <w:widowControl/>
              <w:spacing w:line="480" w:lineRule="auto"/>
              <w:rPr>
                <w:rFonts w:hint="eastAsia" w:ascii="宋体" w:hAnsi="宋体" w:cs="宋体"/>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27" w:type="dxa"/>
            <w:vAlign w:val="center"/>
          </w:tcPr>
          <w:p>
            <w:pPr>
              <w:widowControl/>
              <w:spacing w:line="480" w:lineRule="auto"/>
              <w:ind w:firstLine="180" w:firstLineChars="100"/>
              <w:rPr>
                <w:rFonts w:hint="default" w:ascii="宋体" w:hAnsi="宋体" w:cs="宋体"/>
                <w:color w:val="FF0000"/>
                <w:sz w:val="18"/>
                <w:szCs w:val="18"/>
                <w:lang w:val="en-US" w:eastAsia="zh-CN"/>
              </w:rPr>
            </w:pPr>
            <w:r>
              <w:rPr>
                <w:rFonts w:hint="eastAsia" w:ascii="宋体" w:hAnsi="宋体" w:cs="宋体"/>
                <w:color w:val="FF0000"/>
                <w:sz w:val="18"/>
                <w:szCs w:val="18"/>
                <w:lang w:val="en-US" w:eastAsia="zh-CN"/>
              </w:rPr>
              <w:t>2</w:t>
            </w:r>
          </w:p>
        </w:tc>
        <w:tc>
          <w:tcPr>
            <w:tcW w:w="1594" w:type="dxa"/>
            <w:vAlign w:val="center"/>
          </w:tcPr>
          <w:p>
            <w:pPr>
              <w:widowControl/>
              <w:spacing w:line="240" w:lineRule="auto"/>
              <w:rPr>
                <w:rFonts w:hint="eastAsia" w:ascii="宋体" w:hAnsi="宋体" w:cs="宋体"/>
                <w:color w:val="FF0000"/>
                <w:sz w:val="18"/>
                <w:szCs w:val="18"/>
                <w:lang w:val="en-US" w:eastAsia="zh-CN"/>
              </w:rPr>
            </w:pPr>
            <w:r>
              <w:rPr>
                <w:rFonts w:hint="eastAsia" w:ascii="宋体" w:hAnsi="宋体" w:cs="宋体"/>
                <w:color w:val="FF0000"/>
                <w:sz w:val="18"/>
                <w:szCs w:val="18"/>
                <w:lang w:val="en-US" w:eastAsia="zh-CN"/>
              </w:rPr>
              <w:t>营业执照</w:t>
            </w:r>
          </w:p>
        </w:tc>
        <w:tc>
          <w:tcPr>
            <w:tcW w:w="6296" w:type="dxa"/>
            <w:vAlign w:val="center"/>
          </w:tcPr>
          <w:p>
            <w:pPr>
              <w:widowControl/>
              <w:spacing w:line="240" w:lineRule="auto"/>
              <w:rPr>
                <w:rFonts w:hint="default" w:ascii="宋体" w:hAnsi="宋体" w:cs="宋体"/>
                <w:color w:val="FF0000"/>
                <w:sz w:val="18"/>
                <w:szCs w:val="18"/>
                <w:lang w:val="en-US" w:eastAsia="zh-CN"/>
              </w:rPr>
            </w:pPr>
            <w:r>
              <w:rPr>
                <w:rFonts w:hint="eastAsia" w:ascii="宋体" w:hAnsi="宋体" w:cs="宋体"/>
                <w:color w:val="FF0000"/>
                <w:sz w:val="18"/>
                <w:szCs w:val="18"/>
                <w:lang w:val="en-US" w:eastAsia="zh-CN"/>
              </w:rPr>
              <w:t>营业执照经营范围具有文化、体育、娱乐业项目其中一项得2分，没有则不得分</w:t>
            </w:r>
          </w:p>
        </w:tc>
        <w:tc>
          <w:tcPr>
            <w:tcW w:w="772" w:type="dxa"/>
            <w:vAlign w:val="center"/>
          </w:tcPr>
          <w:p>
            <w:pPr>
              <w:widowControl/>
              <w:spacing w:line="480" w:lineRule="auto"/>
              <w:ind w:firstLine="240" w:firstLineChars="100"/>
              <w:rPr>
                <w:rFonts w:hint="default" w:ascii="宋体" w:hAnsi="宋体" w:cs="宋体"/>
                <w:color w:val="FF0000"/>
                <w:sz w:val="18"/>
                <w:szCs w:val="18"/>
                <w:lang w:val="en-US" w:eastAsia="zh-CN"/>
              </w:rPr>
            </w:pPr>
            <w:r>
              <w:rPr>
                <w:rFonts w:hint="eastAsia" w:ascii="宋体" w:hAnsi="宋体" w:cs="宋体"/>
                <w:color w:val="000000" w:themeColor="text1"/>
                <w:sz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27" w:type="dxa"/>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594" w:type="dxa"/>
            <w:vAlign w:val="center"/>
          </w:tcPr>
          <w:p>
            <w:pPr>
              <w:widowControl/>
              <w:spacing w:line="340" w:lineRule="exact"/>
              <w:jc w:val="center"/>
              <w:rPr>
                <w:rFonts w:ascii="宋体" w:hAnsi="宋体" w:cs="宋体"/>
                <w:color w:val="FF0000"/>
                <w:sz w:val="18"/>
                <w:szCs w:val="18"/>
              </w:rPr>
            </w:pPr>
            <w:r>
              <w:rPr>
                <w:rFonts w:hint="eastAsia" w:ascii="宋体" w:hAnsi="宋体" w:cs="宋体"/>
                <w:color w:val="FF0000"/>
                <w:sz w:val="18"/>
                <w:szCs w:val="18"/>
              </w:rPr>
              <w:t>企业硬件条件</w:t>
            </w:r>
          </w:p>
        </w:tc>
        <w:tc>
          <w:tcPr>
            <w:tcW w:w="6296" w:type="dxa"/>
            <w:vAlign w:val="center"/>
          </w:tcPr>
          <w:p>
            <w:pPr>
              <w:widowControl/>
              <w:spacing w:line="340" w:lineRule="exact"/>
              <w:rPr>
                <w:rFonts w:hint="eastAsia" w:ascii="宋体" w:hAnsi="宋体" w:eastAsia="宋体" w:cs="宋体"/>
                <w:color w:val="FF0000"/>
                <w:sz w:val="18"/>
                <w:szCs w:val="18"/>
                <w:lang w:val="en-US" w:eastAsia="zh-CN"/>
              </w:rPr>
            </w:pPr>
            <w:r>
              <w:rPr>
                <w:rFonts w:hint="eastAsia" w:ascii="宋体" w:hAnsi="宋体" w:cs="宋体"/>
                <w:color w:val="FF0000"/>
                <w:sz w:val="18"/>
                <w:szCs w:val="18"/>
              </w:rPr>
              <w:t>有</w:t>
            </w:r>
            <w:r>
              <w:rPr>
                <w:rFonts w:hint="eastAsia" w:ascii="宋体" w:hAnsi="宋体" w:cs="宋体"/>
                <w:color w:val="FF0000"/>
                <w:sz w:val="18"/>
                <w:szCs w:val="18"/>
                <w:lang w:eastAsia="zh-CN"/>
              </w:rPr>
              <w:t>开展文化类活动所需的硬件设施，有音响、灯光、字幕机等，</w:t>
            </w:r>
            <w:r>
              <w:rPr>
                <w:rFonts w:hint="eastAsia" w:ascii="宋体" w:hAnsi="宋体" w:cs="宋体"/>
                <w:color w:val="FF0000"/>
                <w:sz w:val="18"/>
                <w:szCs w:val="18"/>
                <w:lang w:val="en-US" w:eastAsia="zh-CN"/>
              </w:rPr>
              <w:t xml:space="preserve"> 优（3.1-4分），良（2.1-3分），一般（1-2分）</w:t>
            </w:r>
            <w:r>
              <w:rPr>
                <w:rFonts w:hint="eastAsia" w:ascii="宋体" w:hAnsi="宋体" w:cs="宋体"/>
                <w:color w:val="FF0000"/>
                <w:sz w:val="18"/>
                <w:szCs w:val="18"/>
              </w:rPr>
              <w:t>,没有则不得分。</w:t>
            </w:r>
          </w:p>
          <w:p>
            <w:pPr>
              <w:widowControl/>
              <w:spacing w:line="340" w:lineRule="exact"/>
              <w:rPr>
                <w:rFonts w:ascii="宋体" w:hAnsi="宋体" w:cs="宋体"/>
                <w:b/>
                <w:color w:val="FF0000"/>
                <w:sz w:val="18"/>
                <w:szCs w:val="18"/>
              </w:rPr>
            </w:pPr>
            <w:r>
              <w:rPr>
                <w:rFonts w:hint="eastAsia" w:ascii="宋体" w:hAnsi="宋体" w:cs="宋体"/>
                <w:b/>
                <w:color w:val="FF0000"/>
                <w:sz w:val="18"/>
                <w:szCs w:val="18"/>
              </w:rPr>
              <w:t>注：设备购买（或租赁）合同复印件或设备发票复印件并加盖公章。</w:t>
            </w:r>
          </w:p>
        </w:tc>
        <w:tc>
          <w:tcPr>
            <w:tcW w:w="772" w:type="dxa"/>
            <w:vAlign w:val="center"/>
          </w:tcPr>
          <w:p>
            <w:pPr>
              <w:autoSpaceDE w:val="0"/>
              <w:autoSpaceDN w:val="0"/>
              <w:adjustRightInd w:val="0"/>
              <w:spacing w:line="276"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27" w:type="dxa"/>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594" w:type="dxa"/>
            <w:vAlign w:val="center"/>
          </w:tcPr>
          <w:p>
            <w:pPr>
              <w:widowControl/>
              <w:spacing w:line="340" w:lineRule="exact"/>
              <w:jc w:val="center"/>
              <w:rPr>
                <w:rFonts w:ascii="宋体" w:hAnsi="宋体" w:cs="宋体"/>
                <w:color w:val="FF0000"/>
                <w:sz w:val="18"/>
                <w:szCs w:val="18"/>
              </w:rPr>
            </w:pPr>
            <w:r>
              <w:rPr>
                <w:rFonts w:hint="eastAsia" w:ascii="宋体" w:hAnsi="宋体" w:cs="宋体"/>
                <w:color w:val="FF0000"/>
                <w:sz w:val="18"/>
                <w:szCs w:val="18"/>
              </w:rPr>
              <w:t>管理制度</w:t>
            </w:r>
          </w:p>
        </w:tc>
        <w:tc>
          <w:tcPr>
            <w:tcW w:w="6296" w:type="dxa"/>
            <w:vAlign w:val="center"/>
          </w:tcPr>
          <w:p>
            <w:pPr>
              <w:widowControl/>
              <w:spacing w:line="340" w:lineRule="exact"/>
              <w:rPr>
                <w:rFonts w:ascii="宋体" w:hAnsi="宋体" w:cs="宋体"/>
                <w:color w:val="FF0000"/>
                <w:sz w:val="18"/>
                <w:szCs w:val="18"/>
              </w:rPr>
            </w:pPr>
            <w:r>
              <w:rPr>
                <w:rFonts w:hint="eastAsia" w:ascii="宋体" w:hAnsi="宋体" w:cs="宋体"/>
                <w:color w:val="FF0000"/>
                <w:sz w:val="18"/>
                <w:szCs w:val="18"/>
              </w:rPr>
              <w:t>有完整的文化活动中心、</w:t>
            </w:r>
            <w:r>
              <w:rPr>
                <w:rFonts w:hint="eastAsia" w:ascii="宋体" w:hAnsi="宋体" w:cs="宋体"/>
                <w:color w:val="FF0000"/>
                <w:sz w:val="18"/>
                <w:szCs w:val="18"/>
                <w:lang w:val="en-US" w:eastAsia="zh-Hans"/>
              </w:rPr>
              <w:t>图书馆</w:t>
            </w:r>
            <w:r>
              <w:rPr>
                <w:rFonts w:hint="eastAsia" w:ascii="宋体" w:hAnsi="宋体" w:cs="宋体"/>
                <w:color w:val="FF0000"/>
                <w:sz w:val="18"/>
                <w:szCs w:val="18"/>
              </w:rPr>
              <w:t>管理制度，由评标小组进行综合打分：优（</w:t>
            </w:r>
            <w:r>
              <w:rPr>
                <w:rFonts w:hint="eastAsia" w:ascii="宋体" w:hAnsi="宋体" w:cs="宋体"/>
                <w:color w:val="FF0000"/>
                <w:sz w:val="18"/>
                <w:szCs w:val="18"/>
                <w:lang w:val="en-US" w:eastAsia="zh-CN"/>
              </w:rPr>
              <w:t>2</w:t>
            </w:r>
            <w:r>
              <w:rPr>
                <w:rFonts w:hint="eastAsia" w:ascii="宋体" w:hAnsi="宋体" w:cs="宋体"/>
                <w:color w:val="FF0000"/>
                <w:sz w:val="18"/>
                <w:szCs w:val="18"/>
              </w:rPr>
              <w:t>.1-</w:t>
            </w:r>
            <w:r>
              <w:rPr>
                <w:rFonts w:hint="eastAsia" w:ascii="宋体" w:hAnsi="宋体" w:cs="宋体"/>
                <w:color w:val="FF0000"/>
                <w:sz w:val="18"/>
                <w:szCs w:val="18"/>
                <w:lang w:val="en-US" w:eastAsia="zh-CN"/>
              </w:rPr>
              <w:t>3</w:t>
            </w:r>
            <w:r>
              <w:rPr>
                <w:rFonts w:hint="eastAsia" w:ascii="宋体" w:hAnsi="宋体" w:cs="宋体"/>
                <w:color w:val="FF0000"/>
                <w:sz w:val="18"/>
                <w:szCs w:val="18"/>
              </w:rPr>
              <w:t>分）,良（</w:t>
            </w:r>
            <w:r>
              <w:rPr>
                <w:rFonts w:hint="eastAsia" w:ascii="宋体" w:hAnsi="宋体" w:cs="宋体"/>
                <w:color w:val="FF0000"/>
                <w:sz w:val="18"/>
                <w:szCs w:val="18"/>
                <w:lang w:val="en-US" w:eastAsia="zh-CN"/>
              </w:rPr>
              <w:t>1</w:t>
            </w:r>
            <w:r>
              <w:rPr>
                <w:rFonts w:hint="eastAsia" w:ascii="宋体" w:hAnsi="宋体" w:cs="宋体"/>
                <w:color w:val="FF0000"/>
                <w:sz w:val="18"/>
                <w:szCs w:val="18"/>
              </w:rPr>
              <w:t>.1-</w:t>
            </w:r>
            <w:r>
              <w:rPr>
                <w:rFonts w:hint="eastAsia" w:ascii="宋体" w:hAnsi="宋体" w:cs="宋体"/>
                <w:color w:val="FF0000"/>
                <w:sz w:val="18"/>
                <w:szCs w:val="18"/>
                <w:lang w:val="en-US" w:eastAsia="zh-CN"/>
              </w:rPr>
              <w:t>2</w:t>
            </w:r>
            <w:r>
              <w:rPr>
                <w:rFonts w:hint="eastAsia" w:ascii="宋体" w:hAnsi="宋体" w:cs="宋体"/>
                <w:color w:val="FF0000"/>
                <w:sz w:val="18"/>
                <w:szCs w:val="18"/>
              </w:rPr>
              <w:t>分）,一般（</w:t>
            </w:r>
            <w:r>
              <w:rPr>
                <w:rFonts w:hint="eastAsia" w:ascii="宋体" w:hAnsi="宋体" w:cs="宋体"/>
                <w:color w:val="FF0000"/>
                <w:sz w:val="18"/>
                <w:szCs w:val="18"/>
                <w:lang w:val="en-US" w:eastAsia="zh-CN"/>
              </w:rPr>
              <w:t>0-1</w:t>
            </w:r>
            <w:r>
              <w:rPr>
                <w:rFonts w:hint="eastAsia" w:ascii="宋体" w:hAnsi="宋体" w:cs="宋体"/>
                <w:color w:val="FF0000"/>
                <w:sz w:val="18"/>
                <w:szCs w:val="18"/>
              </w:rPr>
              <w:t>分）,没有则不得分。</w:t>
            </w:r>
          </w:p>
        </w:tc>
        <w:tc>
          <w:tcPr>
            <w:tcW w:w="772" w:type="dxa"/>
            <w:vAlign w:val="center"/>
          </w:tcPr>
          <w:p>
            <w:pPr>
              <w:autoSpaceDE w:val="0"/>
              <w:autoSpaceDN w:val="0"/>
              <w:adjustRightInd w:val="0"/>
              <w:spacing w:line="276" w:lineRule="auto"/>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27" w:type="dxa"/>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1594" w:type="dxa"/>
            <w:vAlign w:val="center"/>
          </w:tcPr>
          <w:p>
            <w:pPr>
              <w:spacing w:line="340" w:lineRule="exact"/>
              <w:jc w:val="center"/>
              <w:rPr>
                <w:rFonts w:ascii="宋体" w:hAnsi="宋体" w:cs="宋体"/>
                <w:color w:val="FF0000"/>
                <w:sz w:val="18"/>
                <w:szCs w:val="18"/>
              </w:rPr>
            </w:pPr>
            <w:r>
              <w:rPr>
                <w:rFonts w:hint="eastAsia" w:ascii="宋体" w:hAnsi="宋体" w:cs="宋体"/>
                <w:color w:val="FF0000"/>
                <w:sz w:val="18"/>
                <w:szCs w:val="18"/>
                <w:lang w:eastAsia="zh-CN"/>
              </w:rPr>
              <w:t>安全承诺及应急预案</w:t>
            </w:r>
          </w:p>
        </w:tc>
        <w:tc>
          <w:tcPr>
            <w:tcW w:w="6296" w:type="dxa"/>
            <w:vAlign w:val="top"/>
          </w:tcPr>
          <w:p>
            <w:pPr>
              <w:widowControl/>
              <w:spacing w:line="340" w:lineRule="exact"/>
              <w:rPr>
                <w:rFonts w:ascii="宋体" w:hAnsi="宋体" w:cs="宋体"/>
                <w:color w:val="FF0000"/>
                <w:sz w:val="18"/>
                <w:szCs w:val="18"/>
              </w:rPr>
            </w:pPr>
            <w:r>
              <w:rPr>
                <w:rFonts w:hint="eastAsia" w:ascii="宋体" w:hAnsi="宋体" w:cs="宋体"/>
                <w:color w:val="FF0000"/>
                <w:sz w:val="18"/>
                <w:szCs w:val="18"/>
                <w:lang w:eastAsia="zh-CN"/>
              </w:rPr>
              <w:t>递交安全承诺书及应急预案，且应急预案制作认真，操作性强。</w:t>
            </w:r>
            <w:r>
              <w:rPr>
                <w:rFonts w:hint="eastAsia" w:ascii="宋体" w:hAnsi="宋体" w:cs="宋体"/>
                <w:color w:val="FF0000"/>
                <w:sz w:val="18"/>
                <w:szCs w:val="18"/>
              </w:rPr>
              <w:t>优（</w:t>
            </w:r>
            <w:r>
              <w:rPr>
                <w:rFonts w:hint="eastAsia" w:ascii="宋体" w:hAnsi="宋体" w:cs="宋体"/>
                <w:color w:val="FF0000"/>
                <w:sz w:val="18"/>
                <w:szCs w:val="18"/>
                <w:lang w:val="en-US" w:eastAsia="zh-CN"/>
              </w:rPr>
              <w:t>2</w:t>
            </w:r>
            <w:r>
              <w:rPr>
                <w:rFonts w:hint="eastAsia" w:ascii="宋体" w:hAnsi="宋体" w:cs="宋体"/>
                <w:color w:val="FF0000"/>
                <w:sz w:val="18"/>
                <w:szCs w:val="18"/>
              </w:rPr>
              <w:t>.1-</w:t>
            </w:r>
            <w:r>
              <w:rPr>
                <w:rFonts w:hint="eastAsia" w:ascii="宋体" w:hAnsi="宋体" w:cs="宋体"/>
                <w:color w:val="FF0000"/>
                <w:sz w:val="18"/>
                <w:szCs w:val="18"/>
                <w:lang w:val="en-US" w:eastAsia="zh-CN"/>
              </w:rPr>
              <w:t>3</w:t>
            </w:r>
            <w:r>
              <w:rPr>
                <w:rFonts w:hint="eastAsia" w:ascii="宋体" w:hAnsi="宋体" w:cs="宋体"/>
                <w:color w:val="FF0000"/>
                <w:sz w:val="18"/>
                <w:szCs w:val="18"/>
              </w:rPr>
              <w:t>分）,良（</w:t>
            </w:r>
            <w:r>
              <w:rPr>
                <w:rFonts w:hint="eastAsia" w:ascii="宋体" w:hAnsi="宋体" w:cs="宋体"/>
                <w:color w:val="FF0000"/>
                <w:sz w:val="18"/>
                <w:szCs w:val="18"/>
                <w:lang w:val="en-US" w:eastAsia="zh-CN"/>
              </w:rPr>
              <w:t>1</w:t>
            </w:r>
            <w:r>
              <w:rPr>
                <w:rFonts w:hint="eastAsia" w:ascii="宋体" w:hAnsi="宋体" w:cs="宋体"/>
                <w:color w:val="FF0000"/>
                <w:sz w:val="18"/>
                <w:szCs w:val="18"/>
              </w:rPr>
              <w:t>.1-</w:t>
            </w:r>
            <w:r>
              <w:rPr>
                <w:rFonts w:hint="eastAsia" w:ascii="宋体" w:hAnsi="宋体" w:cs="宋体"/>
                <w:color w:val="FF0000"/>
                <w:sz w:val="18"/>
                <w:szCs w:val="18"/>
                <w:lang w:val="en-US" w:eastAsia="zh-CN"/>
              </w:rPr>
              <w:t>2</w:t>
            </w:r>
            <w:r>
              <w:rPr>
                <w:rFonts w:hint="eastAsia" w:ascii="宋体" w:hAnsi="宋体" w:cs="宋体"/>
                <w:color w:val="FF0000"/>
                <w:sz w:val="18"/>
                <w:szCs w:val="18"/>
              </w:rPr>
              <w:t>分）,一般（</w:t>
            </w:r>
            <w:r>
              <w:rPr>
                <w:rFonts w:hint="eastAsia" w:ascii="宋体" w:hAnsi="宋体" w:cs="宋体"/>
                <w:color w:val="FF0000"/>
                <w:sz w:val="18"/>
                <w:szCs w:val="18"/>
                <w:lang w:val="en-US" w:eastAsia="zh-CN"/>
              </w:rPr>
              <w:t>0-1</w:t>
            </w:r>
            <w:r>
              <w:rPr>
                <w:rFonts w:hint="eastAsia" w:ascii="宋体" w:hAnsi="宋体" w:cs="宋体"/>
                <w:color w:val="FF0000"/>
                <w:sz w:val="18"/>
                <w:szCs w:val="18"/>
              </w:rPr>
              <w:t>分）,没有则不得分。</w:t>
            </w:r>
          </w:p>
        </w:tc>
        <w:tc>
          <w:tcPr>
            <w:tcW w:w="772" w:type="dxa"/>
            <w:vAlign w:val="center"/>
          </w:tcPr>
          <w:p>
            <w:pPr>
              <w:autoSpaceDE w:val="0"/>
              <w:autoSpaceDN w:val="0"/>
              <w:adjustRightInd w:val="0"/>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Align w:val="center"/>
          </w:tcPr>
          <w:p>
            <w:pPr>
              <w:widowControl/>
              <w:spacing w:line="34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6</w:t>
            </w:r>
          </w:p>
        </w:tc>
        <w:tc>
          <w:tcPr>
            <w:tcW w:w="1594" w:type="dxa"/>
            <w:vAlign w:val="center"/>
          </w:tcPr>
          <w:p>
            <w:pPr>
              <w:spacing w:line="340" w:lineRule="exact"/>
              <w:jc w:val="center"/>
              <w:rPr>
                <w:rFonts w:hint="eastAsia" w:ascii="宋体" w:hAnsi="宋体" w:cs="宋体"/>
                <w:color w:val="FF0000"/>
                <w:sz w:val="18"/>
                <w:szCs w:val="18"/>
              </w:rPr>
            </w:pPr>
            <w:r>
              <w:rPr>
                <w:rFonts w:hint="eastAsia" w:ascii="宋体" w:hAnsi="宋体" w:cs="宋体"/>
                <w:color w:val="FF0000"/>
                <w:sz w:val="18"/>
                <w:szCs w:val="18"/>
              </w:rPr>
              <w:t>运营构思</w:t>
            </w:r>
          </w:p>
        </w:tc>
        <w:tc>
          <w:tcPr>
            <w:tcW w:w="6296" w:type="dxa"/>
            <w:vAlign w:val="top"/>
          </w:tcPr>
          <w:p>
            <w:pPr>
              <w:widowControl/>
              <w:spacing w:line="340" w:lineRule="exact"/>
              <w:rPr>
                <w:rFonts w:hint="eastAsia" w:ascii="宋体" w:hAnsi="宋体" w:cs="宋体"/>
                <w:color w:val="FF0000"/>
                <w:sz w:val="18"/>
                <w:szCs w:val="18"/>
              </w:rPr>
            </w:pPr>
            <w:r>
              <w:rPr>
                <w:rFonts w:hint="eastAsia" w:ascii="宋体" w:hAnsi="宋体" w:cs="宋体"/>
                <w:color w:val="FF0000"/>
                <w:sz w:val="18"/>
                <w:szCs w:val="18"/>
              </w:rPr>
              <w:t>根据投标</w:t>
            </w:r>
            <w:r>
              <w:rPr>
                <w:rFonts w:hint="eastAsia" w:ascii="宋体" w:hAnsi="宋体" w:cs="宋体"/>
                <w:color w:val="FF0000"/>
                <w:sz w:val="18"/>
                <w:szCs w:val="18"/>
                <w:lang w:eastAsia="zh-CN"/>
              </w:rPr>
              <w:t>单位</w:t>
            </w:r>
            <w:r>
              <w:rPr>
                <w:rFonts w:hint="eastAsia" w:ascii="宋体" w:hAnsi="宋体" w:cs="宋体"/>
                <w:color w:val="FF0000"/>
                <w:sz w:val="18"/>
                <w:szCs w:val="18"/>
              </w:rPr>
              <w:t>提供素材制作评审资料，能否做好</w:t>
            </w:r>
            <w:r>
              <w:rPr>
                <w:rFonts w:hint="eastAsia" w:ascii="宋体" w:hAnsi="宋体" w:cs="宋体"/>
                <w:color w:val="FF0000"/>
                <w:sz w:val="18"/>
                <w:szCs w:val="18"/>
                <w:lang w:eastAsia="zh-CN"/>
              </w:rPr>
              <w:t>中心的</w:t>
            </w:r>
            <w:r>
              <w:rPr>
                <w:rFonts w:hint="eastAsia" w:ascii="宋体" w:hAnsi="宋体" w:cs="宋体"/>
                <w:color w:val="FF0000"/>
                <w:sz w:val="18"/>
                <w:szCs w:val="18"/>
              </w:rPr>
              <w:t>日常管理、能否结合属地特色制定活动计划，是否符合</w:t>
            </w:r>
            <w:r>
              <w:rPr>
                <w:rFonts w:hint="eastAsia" w:ascii="宋体" w:hAnsi="宋体" w:cs="宋体"/>
                <w:color w:val="FF0000"/>
                <w:sz w:val="18"/>
                <w:szCs w:val="18"/>
                <w:lang w:eastAsia="zh-CN"/>
              </w:rPr>
              <w:t>中心</w:t>
            </w:r>
            <w:r>
              <w:rPr>
                <w:rFonts w:hint="eastAsia" w:ascii="宋体" w:hAnsi="宋体" w:cs="宋体"/>
                <w:color w:val="FF0000"/>
                <w:sz w:val="18"/>
                <w:szCs w:val="18"/>
              </w:rPr>
              <w:t>引流目的、所表达内容是否涵</w:t>
            </w:r>
            <w:r>
              <w:rPr>
                <w:rFonts w:hint="eastAsia" w:ascii="宋体" w:hAnsi="宋体" w:cs="宋体"/>
                <w:color w:val="FF0000"/>
                <w:sz w:val="18"/>
                <w:szCs w:val="18"/>
                <w:lang w:eastAsia="zh-CN"/>
              </w:rPr>
              <w:t>新时代文明实践站活动</w:t>
            </w:r>
            <w:r>
              <w:rPr>
                <w:rFonts w:hint="eastAsia" w:ascii="宋体" w:hAnsi="宋体" w:cs="宋体"/>
                <w:color w:val="FF0000"/>
                <w:sz w:val="18"/>
                <w:szCs w:val="18"/>
              </w:rPr>
              <w:t>所需要展示的要素定位，根据投标单位提供的资料，由评标小组进行综合打分：优（</w:t>
            </w:r>
            <w:r>
              <w:rPr>
                <w:rFonts w:hint="eastAsia" w:ascii="宋体" w:hAnsi="宋体" w:cs="宋体"/>
                <w:color w:val="FF0000"/>
                <w:sz w:val="18"/>
                <w:szCs w:val="18"/>
                <w:lang w:val="en-US" w:eastAsia="zh-CN"/>
              </w:rPr>
              <w:t>9</w:t>
            </w:r>
            <w:r>
              <w:rPr>
                <w:rFonts w:hint="eastAsia" w:ascii="宋体" w:hAnsi="宋体" w:cs="宋体"/>
                <w:color w:val="FF0000"/>
                <w:sz w:val="18"/>
                <w:szCs w:val="18"/>
              </w:rPr>
              <w:t>.1-1</w:t>
            </w:r>
            <w:r>
              <w:rPr>
                <w:rFonts w:hint="eastAsia" w:ascii="宋体" w:hAnsi="宋体" w:cs="宋体"/>
                <w:color w:val="FF0000"/>
                <w:sz w:val="18"/>
                <w:szCs w:val="18"/>
                <w:lang w:val="en-US" w:eastAsia="zh-CN"/>
              </w:rPr>
              <w:t>2</w:t>
            </w:r>
            <w:r>
              <w:rPr>
                <w:rFonts w:hint="eastAsia" w:ascii="宋体" w:hAnsi="宋体" w:cs="宋体"/>
                <w:color w:val="FF0000"/>
                <w:sz w:val="18"/>
                <w:szCs w:val="18"/>
              </w:rPr>
              <w:t>分）,良（</w:t>
            </w:r>
            <w:r>
              <w:rPr>
                <w:rFonts w:hint="eastAsia" w:ascii="宋体" w:hAnsi="宋体" w:cs="宋体"/>
                <w:color w:val="FF0000"/>
                <w:sz w:val="18"/>
                <w:szCs w:val="18"/>
                <w:lang w:val="en-US" w:eastAsia="zh-CN"/>
              </w:rPr>
              <w:t>4</w:t>
            </w:r>
            <w:r>
              <w:rPr>
                <w:rFonts w:hint="eastAsia" w:ascii="宋体" w:hAnsi="宋体" w:cs="宋体"/>
                <w:color w:val="FF0000"/>
                <w:sz w:val="18"/>
                <w:szCs w:val="18"/>
              </w:rPr>
              <w:t>.1-</w:t>
            </w:r>
            <w:r>
              <w:rPr>
                <w:rFonts w:hint="eastAsia" w:ascii="宋体" w:hAnsi="宋体" w:cs="宋体"/>
                <w:color w:val="FF0000"/>
                <w:sz w:val="18"/>
                <w:szCs w:val="18"/>
                <w:lang w:val="en-US" w:eastAsia="zh-CN"/>
              </w:rPr>
              <w:t>9</w:t>
            </w:r>
            <w:r>
              <w:rPr>
                <w:rFonts w:hint="eastAsia" w:ascii="宋体" w:hAnsi="宋体" w:cs="宋体"/>
                <w:color w:val="FF0000"/>
                <w:sz w:val="18"/>
                <w:szCs w:val="18"/>
              </w:rPr>
              <w:t>分）,一般（1-</w:t>
            </w:r>
            <w:r>
              <w:rPr>
                <w:rFonts w:hint="eastAsia" w:ascii="宋体" w:hAnsi="宋体" w:cs="宋体"/>
                <w:color w:val="FF0000"/>
                <w:sz w:val="18"/>
                <w:szCs w:val="18"/>
                <w:lang w:val="en-US" w:eastAsia="zh-CN"/>
              </w:rPr>
              <w:t>4</w:t>
            </w:r>
            <w:r>
              <w:rPr>
                <w:rFonts w:hint="eastAsia" w:ascii="宋体" w:hAnsi="宋体" w:cs="宋体"/>
                <w:color w:val="FF0000"/>
                <w:sz w:val="18"/>
                <w:szCs w:val="18"/>
              </w:rPr>
              <w:t>分）,没有则不得分。</w:t>
            </w:r>
          </w:p>
        </w:tc>
        <w:tc>
          <w:tcPr>
            <w:tcW w:w="772" w:type="dxa"/>
            <w:vAlign w:val="center"/>
          </w:tcPr>
          <w:p>
            <w:pPr>
              <w:autoSpaceDE w:val="0"/>
              <w:autoSpaceDN w:val="0"/>
              <w:adjustRightInd w:val="0"/>
              <w:spacing w:line="276" w:lineRule="auto"/>
              <w:jc w:val="center"/>
              <w:rPr>
                <w:rFonts w:ascii="宋体" w:hAnsi="宋体" w:cs="宋体"/>
                <w:sz w:val="24"/>
              </w:rPr>
            </w:pPr>
            <w:r>
              <w:rPr>
                <w:rFonts w:hint="eastAsia" w:ascii="宋体" w:hAnsi="宋体" w:cs="宋体"/>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7" w:type="dxa"/>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1594" w:type="dxa"/>
            <w:vAlign w:val="center"/>
          </w:tcPr>
          <w:p>
            <w:pPr>
              <w:widowControl/>
              <w:spacing w:line="340" w:lineRule="exact"/>
              <w:jc w:val="center"/>
              <w:rPr>
                <w:rFonts w:ascii="宋体" w:hAnsi="宋体" w:cs="宋体"/>
                <w:color w:val="FF0000"/>
                <w:sz w:val="18"/>
                <w:szCs w:val="18"/>
              </w:rPr>
            </w:pPr>
            <w:r>
              <w:rPr>
                <w:rFonts w:hint="eastAsia" w:ascii="宋体" w:hAnsi="宋体" w:cs="宋体"/>
                <w:color w:val="FF0000"/>
                <w:sz w:val="18"/>
                <w:szCs w:val="18"/>
              </w:rPr>
              <w:t>方案完整性、可行性、执行性</w:t>
            </w:r>
          </w:p>
        </w:tc>
        <w:tc>
          <w:tcPr>
            <w:tcW w:w="6296" w:type="dxa"/>
            <w:vAlign w:val="center"/>
          </w:tcPr>
          <w:p>
            <w:pPr>
              <w:widowControl/>
              <w:spacing w:line="340" w:lineRule="exact"/>
              <w:rPr>
                <w:rFonts w:ascii="宋体" w:hAnsi="宋体" w:cs="宋体"/>
                <w:color w:val="FF0000"/>
                <w:sz w:val="18"/>
                <w:szCs w:val="18"/>
              </w:rPr>
            </w:pPr>
            <w:r>
              <w:rPr>
                <w:rFonts w:hint="eastAsia" w:ascii="宋体" w:hAnsi="宋体" w:cs="宋体"/>
                <w:color w:val="FF0000"/>
                <w:sz w:val="18"/>
                <w:szCs w:val="18"/>
              </w:rPr>
              <w:t>根据投标</w:t>
            </w:r>
            <w:r>
              <w:rPr>
                <w:rFonts w:hint="eastAsia" w:ascii="宋体" w:hAnsi="宋体" w:cs="宋体"/>
                <w:color w:val="FF0000"/>
                <w:sz w:val="18"/>
                <w:szCs w:val="18"/>
                <w:lang w:eastAsia="zh-CN"/>
              </w:rPr>
              <w:t>单位</w:t>
            </w:r>
            <w:r>
              <w:rPr>
                <w:rFonts w:hint="eastAsia" w:ascii="宋体" w:hAnsi="宋体" w:cs="宋体"/>
                <w:color w:val="FF0000"/>
                <w:sz w:val="18"/>
                <w:szCs w:val="18"/>
              </w:rPr>
              <w:t>团队能力评审，从活动方案有否独到的引流理念；宣传推广综合表现力的情况；宣传表现形式是否新颖，不落俗套；特殊环节的应用等几方面内容，由评标小组进行综合打分：优（7.1-10分）,良（4.1-7分）,一般（1-4分）,没有则不得分。</w:t>
            </w:r>
          </w:p>
        </w:tc>
        <w:tc>
          <w:tcPr>
            <w:tcW w:w="772" w:type="dxa"/>
            <w:vAlign w:val="center"/>
          </w:tcPr>
          <w:p>
            <w:pPr>
              <w:autoSpaceDE w:val="0"/>
              <w:autoSpaceDN w:val="0"/>
              <w:adjustRightInd w:val="0"/>
              <w:spacing w:line="276"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27" w:type="dxa"/>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1594" w:type="dxa"/>
            <w:vAlign w:val="center"/>
          </w:tcPr>
          <w:p>
            <w:pPr>
              <w:widowControl/>
              <w:spacing w:line="340" w:lineRule="exact"/>
              <w:jc w:val="center"/>
              <w:rPr>
                <w:rFonts w:ascii="宋体" w:hAnsi="宋体" w:cs="宋体"/>
                <w:color w:val="FF0000"/>
                <w:sz w:val="18"/>
                <w:szCs w:val="18"/>
              </w:rPr>
            </w:pPr>
            <w:r>
              <w:rPr>
                <w:rFonts w:hint="eastAsia" w:ascii="宋体" w:hAnsi="宋体" w:cs="宋体"/>
                <w:color w:val="FF0000"/>
                <w:sz w:val="18"/>
                <w:szCs w:val="18"/>
              </w:rPr>
              <w:t>进度保证措施</w:t>
            </w:r>
          </w:p>
        </w:tc>
        <w:tc>
          <w:tcPr>
            <w:tcW w:w="6296" w:type="dxa"/>
            <w:vAlign w:val="center"/>
          </w:tcPr>
          <w:p>
            <w:pPr>
              <w:widowControl/>
              <w:spacing w:line="340" w:lineRule="exact"/>
              <w:rPr>
                <w:rFonts w:ascii="宋体" w:hAnsi="宋体" w:cs="宋体"/>
                <w:color w:val="FF0000"/>
                <w:sz w:val="18"/>
                <w:szCs w:val="18"/>
              </w:rPr>
            </w:pPr>
            <w:r>
              <w:rPr>
                <w:rFonts w:hint="eastAsia" w:ascii="宋体" w:hAnsi="宋体" w:cs="宋体"/>
                <w:color w:val="FF0000"/>
                <w:sz w:val="18"/>
                <w:szCs w:val="18"/>
              </w:rPr>
              <w:t>根据投标</w:t>
            </w:r>
            <w:r>
              <w:rPr>
                <w:rFonts w:hint="eastAsia" w:ascii="宋体" w:hAnsi="宋体" w:cs="宋体"/>
                <w:color w:val="FF0000"/>
                <w:sz w:val="18"/>
                <w:szCs w:val="18"/>
                <w:lang w:eastAsia="zh-CN"/>
              </w:rPr>
              <w:t>单位</w:t>
            </w:r>
            <w:r>
              <w:rPr>
                <w:rFonts w:hint="eastAsia" w:ascii="宋体" w:hAnsi="宋体" w:cs="宋体"/>
                <w:color w:val="FF0000"/>
                <w:sz w:val="18"/>
                <w:szCs w:val="18"/>
              </w:rPr>
              <w:t>提供的</w:t>
            </w:r>
            <w:r>
              <w:rPr>
                <w:rFonts w:hint="eastAsia" w:ascii="宋体" w:hAnsi="宋体" w:cs="宋体"/>
                <w:color w:val="FF0000"/>
                <w:sz w:val="18"/>
                <w:szCs w:val="18"/>
                <w:highlight w:val="none"/>
                <w:lang w:val="en-US" w:eastAsia="zh-CN"/>
              </w:rPr>
              <w:t>16</w:t>
            </w:r>
            <w:r>
              <w:rPr>
                <w:rFonts w:hint="eastAsia" w:ascii="宋体" w:hAnsi="宋体" w:cs="宋体"/>
                <w:color w:val="FF0000"/>
                <w:sz w:val="18"/>
                <w:szCs w:val="18"/>
                <w:highlight w:val="none"/>
              </w:rPr>
              <w:t>场活动计</w:t>
            </w:r>
            <w:r>
              <w:rPr>
                <w:rFonts w:hint="eastAsia" w:ascii="宋体" w:hAnsi="宋体" w:cs="宋体"/>
                <w:color w:val="FF0000"/>
                <w:sz w:val="18"/>
                <w:szCs w:val="18"/>
              </w:rPr>
              <w:t>划，运营进度、活动主题安排是否科学、合理，进行评分。优（7.1-10分）,良（4.1-7分）,一般（1-4分）,没有则不得分。</w:t>
            </w:r>
          </w:p>
        </w:tc>
        <w:tc>
          <w:tcPr>
            <w:tcW w:w="772" w:type="dxa"/>
            <w:vAlign w:val="center"/>
          </w:tcPr>
          <w:p>
            <w:pPr>
              <w:autoSpaceDE w:val="0"/>
              <w:autoSpaceDN w:val="0"/>
              <w:adjustRightInd w:val="0"/>
              <w:spacing w:line="276" w:lineRule="auto"/>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27" w:type="dxa"/>
            <w:vMerge w:val="restart"/>
            <w:vAlign w:val="center"/>
          </w:tcPr>
          <w:p>
            <w:pPr>
              <w:widowControl/>
              <w:spacing w:line="34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594" w:type="dxa"/>
            <w:vMerge w:val="restart"/>
            <w:vAlign w:val="center"/>
          </w:tcPr>
          <w:p>
            <w:pPr>
              <w:widowControl/>
              <w:spacing w:line="340" w:lineRule="exact"/>
              <w:jc w:val="center"/>
              <w:rPr>
                <w:rFonts w:ascii="宋体" w:hAnsi="宋体" w:cs="宋体"/>
                <w:color w:val="FF0000"/>
                <w:sz w:val="18"/>
                <w:szCs w:val="18"/>
              </w:rPr>
            </w:pPr>
            <w:r>
              <w:rPr>
                <w:rFonts w:hint="eastAsia" w:ascii="宋体" w:hAnsi="宋体" w:cs="宋体"/>
                <w:color w:val="FF0000"/>
                <w:sz w:val="18"/>
                <w:szCs w:val="18"/>
              </w:rPr>
              <w:t>人员配置</w:t>
            </w:r>
          </w:p>
        </w:tc>
        <w:tc>
          <w:tcPr>
            <w:tcW w:w="6296" w:type="dxa"/>
            <w:vAlign w:val="top"/>
          </w:tcPr>
          <w:p>
            <w:pPr>
              <w:pStyle w:val="2"/>
              <w:ind w:left="0" w:leftChars="0" w:firstLine="0" w:firstLineChars="0"/>
              <w:rPr>
                <w:rFonts w:hint="eastAsia" w:ascii="宋体" w:hAnsi="宋体" w:eastAsia="宋体" w:cs="宋体"/>
                <w:color w:val="FF0000"/>
                <w:kern w:val="0"/>
                <w:sz w:val="18"/>
                <w:szCs w:val="18"/>
                <w:lang w:val="en-US" w:eastAsia="zh-CN" w:bidi="ar-SA"/>
              </w:rPr>
            </w:pPr>
            <w:r>
              <w:rPr>
                <w:rFonts w:hint="eastAsia" w:ascii="宋体" w:hAnsi="宋体" w:cs="宋体"/>
                <w:color w:val="FF0000"/>
                <w:kern w:val="0"/>
                <w:sz w:val="18"/>
                <w:szCs w:val="18"/>
                <w:lang w:val="en-US" w:eastAsia="zh-CN" w:bidi="ar-SA"/>
              </w:rPr>
              <w:t>投标</w:t>
            </w:r>
            <w:r>
              <w:rPr>
                <w:rFonts w:hint="eastAsia" w:ascii="宋体" w:hAnsi="宋体" w:eastAsia="宋体" w:cs="宋体"/>
                <w:color w:val="FF0000"/>
                <w:kern w:val="0"/>
                <w:sz w:val="18"/>
                <w:szCs w:val="18"/>
                <w:lang w:val="en-US" w:eastAsia="zh-CN" w:bidi="ar-SA"/>
              </w:rPr>
              <w:t>单位有5名本单位在职员工得3分，每增加一名得1分，本项最高不超过5分。</w:t>
            </w:r>
          </w:p>
          <w:p>
            <w:pPr>
              <w:widowControl/>
              <w:spacing w:line="340" w:lineRule="exact"/>
              <w:rPr>
                <w:rFonts w:hint="eastAsia"/>
                <w:lang w:val="en-US" w:eastAsia="zh-CN"/>
              </w:rPr>
            </w:pPr>
            <w:r>
              <w:rPr>
                <w:rFonts w:hint="eastAsia" w:ascii="宋体" w:hAnsi="宋体" w:cs="宋体"/>
                <w:b/>
                <w:bCs/>
                <w:color w:val="FF0000"/>
                <w:sz w:val="18"/>
                <w:szCs w:val="18"/>
                <w:lang w:val="en-US" w:eastAsia="zh-CN"/>
              </w:rPr>
              <w:t>注：提供投标人为其在所属社保机构交纳社保的清单或证明，缴费单位和投标单位名称必须一致，并加盖社保缴费证明专用章，不提供该项不得分。</w:t>
            </w:r>
          </w:p>
        </w:tc>
        <w:tc>
          <w:tcPr>
            <w:tcW w:w="772" w:type="dxa"/>
            <w:vMerge w:val="restart"/>
            <w:vAlign w:val="center"/>
          </w:tcPr>
          <w:p>
            <w:pPr>
              <w:autoSpaceDE w:val="0"/>
              <w:autoSpaceDN w:val="0"/>
              <w:adjustRightInd w:val="0"/>
              <w:spacing w:line="276" w:lineRule="auto"/>
              <w:jc w:val="center"/>
              <w:rPr>
                <w:rFonts w:hint="eastAsia" w:ascii="宋体" w:hAnsi="宋体" w:eastAsia="宋体" w:cs="宋体"/>
                <w:sz w:val="24"/>
                <w:lang w:val="en-US" w:eastAsia="zh-CN"/>
              </w:rPr>
            </w:pPr>
            <w:r>
              <w:rPr>
                <w:rFonts w:hint="eastAsia" w:ascii="宋体" w:hAnsi="宋体" w:cs="宋体"/>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27" w:type="dxa"/>
            <w:vMerge w:val="continue"/>
            <w:vAlign w:val="center"/>
          </w:tcPr>
          <w:p>
            <w:pPr>
              <w:pStyle w:val="2"/>
            </w:pPr>
          </w:p>
        </w:tc>
        <w:tc>
          <w:tcPr>
            <w:tcW w:w="1594" w:type="dxa"/>
            <w:vMerge w:val="continue"/>
            <w:vAlign w:val="center"/>
          </w:tcPr>
          <w:p>
            <w:pPr>
              <w:pStyle w:val="2"/>
            </w:pPr>
          </w:p>
        </w:tc>
        <w:tc>
          <w:tcPr>
            <w:tcW w:w="6296" w:type="dxa"/>
            <w:vAlign w:val="center"/>
          </w:tcPr>
          <w:p>
            <w:pPr>
              <w:pStyle w:val="3"/>
              <w:rPr>
                <w:rFonts w:hint="eastAsia"/>
                <w:lang w:val="en-US" w:eastAsia="zh-CN"/>
              </w:rPr>
            </w:pPr>
            <w:r>
              <w:rPr>
                <w:rFonts w:hint="eastAsia" w:ascii="宋体" w:hAnsi="宋体" w:cs="宋体"/>
                <w:color w:val="FF0000"/>
                <w:kern w:val="2"/>
                <w:sz w:val="18"/>
                <w:szCs w:val="18"/>
                <w:lang w:val="en-US" w:eastAsia="zh-CN" w:bidi="ar-SA"/>
              </w:rPr>
              <w:t>投标单位</w:t>
            </w:r>
            <w:r>
              <w:rPr>
                <w:rFonts w:hint="eastAsia" w:ascii="宋体" w:hAnsi="宋体" w:eastAsia="宋体" w:cs="宋体"/>
                <w:color w:val="FF0000"/>
                <w:kern w:val="2"/>
                <w:sz w:val="18"/>
                <w:szCs w:val="18"/>
                <w:lang w:val="en-US" w:eastAsia="zh-CN" w:bidi="ar-SA"/>
              </w:rPr>
              <w:t>主要人员情况，重点评价综合素质、经验。讲解员持初级以上导游证的加2分，团队中人员具有</w:t>
            </w:r>
            <w:r>
              <w:rPr>
                <w:rFonts w:hint="eastAsia" w:ascii="宋体" w:hAnsi="宋体" w:cs="宋体"/>
                <w:color w:val="FF0000"/>
                <w:kern w:val="2"/>
                <w:sz w:val="18"/>
                <w:szCs w:val="18"/>
                <w:lang w:val="en-US" w:eastAsia="zh-CN" w:bidi="ar-SA"/>
              </w:rPr>
              <w:t>文化艺术类</w:t>
            </w:r>
            <w:r>
              <w:rPr>
                <w:rFonts w:hint="eastAsia" w:ascii="宋体" w:hAnsi="宋体" w:eastAsia="宋体" w:cs="宋体"/>
                <w:color w:val="FF0000"/>
                <w:kern w:val="2"/>
                <w:sz w:val="18"/>
                <w:szCs w:val="18"/>
                <w:lang w:val="en-US" w:eastAsia="zh-CN" w:bidi="ar-SA"/>
              </w:rPr>
              <w:t>中级职称</w:t>
            </w:r>
            <w:r>
              <w:rPr>
                <w:rFonts w:hint="eastAsia" w:ascii="宋体" w:hAnsi="宋体" w:cs="宋体"/>
                <w:color w:val="FF0000"/>
                <w:kern w:val="2"/>
                <w:sz w:val="18"/>
                <w:szCs w:val="18"/>
                <w:lang w:val="en-US" w:eastAsia="zh-CN" w:bidi="ar-SA"/>
              </w:rPr>
              <w:t>（或市级非遗传承人）</w:t>
            </w:r>
            <w:r>
              <w:rPr>
                <w:rFonts w:hint="eastAsia" w:ascii="宋体" w:hAnsi="宋体" w:eastAsia="宋体" w:cs="宋体"/>
                <w:color w:val="FF0000"/>
                <w:kern w:val="2"/>
                <w:sz w:val="18"/>
                <w:szCs w:val="18"/>
                <w:lang w:val="en-US" w:eastAsia="zh-CN" w:bidi="ar-SA"/>
              </w:rPr>
              <w:t>的每一名加1分，</w:t>
            </w:r>
            <w:r>
              <w:rPr>
                <w:rFonts w:hint="eastAsia" w:ascii="宋体" w:hAnsi="宋体" w:cs="宋体"/>
                <w:color w:val="FF0000"/>
                <w:kern w:val="2"/>
                <w:sz w:val="18"/>
                <w:szCs w:val="18"/>
                <w:lang w:val="en-US" w:eastAsia="zh-CN" w:bidi="ar-SA"/>
              </w:rPr>
              <w:t>文化艺术类</w:t>
            </w:r>
            <w:r>
              <w:rPr>
                <w:rFonts w:hint="eastAsia" w:ascii="宋体" w:hAnsi="宋体" w:eastAsia="宋体" w:cs="宋体"/>
                <w:color w:val="FF0000"/>
                <w:kern w:val="2"/>
                <w:sz w:val="18"/>
                <w:szCs w:val="18"/>
                <w:lang w:val="en-US" w:eastAsia="zh-CN" w:bidi="ar-SA"/>
              </w:rPr>
              <w:t>副高级职称</w:t>
            </w:r>
            <w:r>
              <w:rPr>
                <w:rFonts w:hint="eastAsia" w:ascii="宋体" w:hAnsi="宋体" w:cs="宋体"/>
                <w:color w:val="FF0000"/>
                <w:kern w:val="2"/>
                <w:sz w:val="18"/>
                <w:szCs w:val="18"/>
                <w:lang w:val="en-US" w:eastAsia="zh-CN" w:bidi="ar-SA"/>
              </w:rPr>
              <w:t>（或省级非遗传承人）</w:t>
            </w:r>
            <w:r>
              <w:rPr>
                <w:rFonts w:hint="eastAsia" w:ascii="宋体" w:hAnsi="宋体" w:eastAsia="宋体" w:cs="宋体"/>
                <w:color w:val="FF0000"/>
                <w:kern w:val="2"/>
                <w:sz w:val="18"/>
                <w:szCs w:val="18"/>
                <w:lang w:val="en-US" w:eastAsia="zh-CN" w:bidi="ar-SA"/>
              </w:rPr>
              <w:t>的每一名加2分，</w:t>
            </w:r>
            <w:r>
              <w:rPr>
                <w:rFonts w:hint="eastAsia" w:ascii="宋体" w:hAnsi="宋体" w:cs="宋体"/>
                <w:color w:val="FF0000"/>
                <w:kern w:val="2"/>
                <w:sz w:val="18"/>
                <w:szCs w:val="18"/>
                <w:lang w:val="en-US" w:eastAsia="zh-CN" w:bidi="ar-SA"/>
              </w:rPr>
              <w:t>文化艺术类</w:t>
            </w:r>
            <w:r>
              <w:rPr>
                <w:rFonts w:hint="eastAsia" w:ascii="宋体" w:hAnsi="宋体" w:eastAsia="宋体" w:cs="宋体"/>
                <w:color w:val="FF0000"/>
                <w:kern w:val="2"/>
                <w:sz w:val="18"/>
                <w:szCs w:val="18"/>
                <w:lang w:val="en-US" w:eastAsia="zh-CN" w:bidi="ar-SA"/>
              </w:rPr>
              <w:t>正高级职称（或国家级非遗传承人）的每一名加3分，最高得</w:t>
            </w:r>
            <w:r>
              <w:rPr>
                <w:rFonts w:hint="eastAsia" w:ascii="宋体" w:hAnsi="宋体" w:cs="宋体"/>
                <w:color w:val="FF0000"/>
                <w:kern w:val="2"/>
                <w:sz w:val="18"/>
                <w:szCs w:val="18"/>
                <w:lang w:val="en-US" w:eastAsia="zh-CN" w:bidi="ar-SA"/>
              </w:rPr>
              <w:t>8</w:t>
            </w:r>
            <w:r>
              <w:rPr>
                <w:rFonts w:hint="eastAsia" w:ascii="宋体" w:hAnsi="宋体" w:eastAsia="宋体" w:cs="宋体"/>
                <w:color w:val="FF0000"/>
                <w:kern w:val="2"/>
                <w:sz w:val="18"/>
                <w:szCs w:val="18"/>
                <w:lang w:val="en-US" w:eastAsia="zh-CN" w:bidi="ar-SA"/>
              </w:rPr>
              <w:t>分。</w:t>
            </w:r>
          </w:p>
        </w:tc>
        <w:tc>
          <w:tcPr>
            <w:tcW w:w="772" w:type="dxa"/>
            <w:vMerge w:val="continue"/>
            <w:vAlign w:val="center"/>
          </w:tcPr>
          <w:p>
            <w:pPr>
              <w:pStyle w:val="2"/>
              <w:rPr>
                <w:rFonts w:hint="eastAsia" w:ascii="宋体" w:hAnsi="宋体" w:cs="宋体"/>
                <w:color w:val="FF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27" w:type="dxa"/>
            <w:vAlign w:val="center"/>
          </w:tcPr>
          <w:p>
            <w:pPr>
              <w:pStyle w:val="2"/>
              <w:tabs>
                <w:tab w:val="center" w:pos="156"/>
              </w:tabs>
              <w:ind w:left="0" w:leftChars="0" w:firstLine="0" w:firstLineChars="0"/>
              <w:jc w:val="center"/>
              <w:rPr>
                <w:rFonts w:hint="eastAsia" w:eastAsia="宋体"/>
                <w:lang w:val="en-US" w:eastAsia="zh-CN"/>
              </w:rPr>
            </w:pPr>
            <w:r>
              <w:rPr>
                <w:rFonts w:hint="eastAsia" w:ascii="宋体" w:hAnsi="宋体" w:eastAsia="宋体" w:cs="宋体"/>
                <w:kern w:val="2"/>
                <w:sz w:val="18"/>
                <w:szCs w:val="18"/>
                <w:lang w:val="en-US" w:eastAsia="zh-CN" w:bidi="ar-SA"/>
              </w:rPr>
              <w:t>10</w:t>
            </w:r>
          </w:p>
        </w:tc>
        <w:tc>
          <w:tcPr>
            <w:tcW w:w="1594" w:type="dxa"/>
            <w:vAlign w:val="center"/>
          </w:tcPr>
          <w:p>
            <w:pPr>
              <w:widowControl/>
              <w:spacing w:line="340" w:lineRule="exact"/>
              <w:jc w:val="center"/>
            </w:pPr>
            <w:r>
              <w:rPr>
                <w:rFonts w:hint="eastAsia" w:ascii="宋体" w:hAnsi="宋体" w:cs="宋体"/>
                <w:color w:val="FF0000"/>
                <w:sz w:val="18"/>
                <w:szCs w:val="18"/>
                <w:lang w:eastAsia="zh-CN"/>
              </w:rPr>
              <w:t>本地化服务</w:t>
            </w:r>
          </w:p>
        </w:tc>
        <w:tc>
          <w:tcPr>
            <w:tcW w:w="6296" w:type="dxa"/>
            <w:vAlign w:val="center"/>
          </w:tcPr>
          <w:p>
            <w:pPr>
              <w:widowControl/>
              <w:spacing w:line="340" w:lineRule="exact"/>
              <w:rPr>
                <w:rFonts w:hint="eastAsia" w:ascii="宋体" w:hAnsi="宋体" w:cs="宋体"/>
                <w:color w:val="FF0000"/>
                <w:kern w:val="2"/>
                <w:sz w:val="18"/>
                <w:szCs w:val="18"/>
                <w:lang w:val="en-US" w:eastAsia="zh-CN" w:bidi="ar-SA"/>
              </w:rPr>
            </w:pPr>
            <w:r>
              <w:rPr>
                <w:rFonts w:hint="eastAsia" w:ascii="宋体" w:hAnsi="宋体" w:cs="宋体"/>
                <w:b w:val="0"/>
                <w:bCs/>
                <w:color w:val="FF0000"/>
                <w:sz w:val="18"/>
                <w:szCs w:val="18"/>
                <w:lang w:eastAsia="zh-CN"/>
              </w:rPr>
              <w:t>根据投标单位是否具有较强的本地化服务能力，在越城区是否拥有常驻服务单位（非本地投标单位在越城区是否有分公司或办事处作为常驻服务单位）以及加强的专业技术队伍，能提供快速的服务响应的具体情况进行打分。</w:t>
            </w:r>
          </w:p>
        </w:tc>
        <w:tc>
          <w:tcPr>
            <w:tcW w:w="772" w:type="dxa"/>
            <w:vAlign w:val="center"/>
          </w:tcPr>
          <w:p>
            <w:pPr>
              <w:autoSpaceDE w:val="0"/>
              <w:autoSpaceDN w:val="0"/>
              <w:adjustRightInd w:val="0"/>
              <w:spacing w:line="276" w:lineRule="auto"/>
              <w:jc w:val="center"/>
              <w:rPr>
                <w:rFonts w:hint="eastAsia" w:ascii="宋体" w:hAnsi="宋体" w:cs="宋体"/>
                <w:color w:val="FF0000"/>
                <w:sz w:val="18"/>
                <w:szCs w:val="18"/>
                <w:lang w:val="en-US" w:eastAsia="zh-CN"/>
              </w:rPr>
            </w:pPr>
            <w:r>
              <w:rPr>
                <w:rFonts w:hint="eastAsia" w:ascii="宋体" w:hAnsi="宋体" w:cs="宋体"/>
                <w:color w:val="000000" w:themeColor="text1"/>
                <w:sz w:val="24"/>
                <w:lang w:val="en-US" w:eastAsia="zh-CN"/>
                <w14:textFill>
                  <w14:solidFill>
                    <w14:schemeClr w14:val="tx1"/>
                  </w14:solidFill>
                </w14:textFill>
              </w:rPr>
              <w:t>3</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lang w:val="en-US" w:eastAsia="zh-CN"/>
        </w:rPr>
        <w:t>30分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30</w:t>
      </w:r>
    </w:p>
    <w:p>
      <w:pPr>
        <w:widowControl/>
        <w:snapToGrid w:val="0"/>
        <w:spacing w:line="480" w:lineRule="exact"/>
        <w:ind w:left="0"/>
        <w:rPr>
          <w:rFonts w:hint="eastAsia" w:ascii="仿宋" w:eastAsia="仿宋"/>
          <w:bCs/>
          <w:iCs/>
          <w:sz w:val="24"/>
          <w:u w:val="single"/>
        </w:rPr>
      </w:pPr>
    </w:p>
    <w:p>
      <w:pPr>
        <w:pStyle w:val="4"/>
        <w:keepNext/>
        <w:keepLines/>
        <w:pageBreakBefore w:val="0"/>
        <w:widowControl w:val="0"/>
        <w:suppressLineNumbers w:val="0"/>
        <w:suppressAutoHyphens w:val="0"/>
        <w:spacing w:line="578" w:lineRule="auto"/>
        <w:jc w:val="center"/>
        <w:rPr>
          <w:rFonts w:hint="eastAsia" w:ascii="仿宋"/>
        </w:rPr>
      </w:pPr>
      <w:bookmarkStart w:id="47" w:name="_Toc93172444"/>
      <w:r>
        <w:rPr>
          <w:rFonts w:hint="eastAsia" w:ascii="仿宋"/>
        </w:rPr>
        <w:t>第六章  投标文件格式附件</w:t>
      </w:r>
      <w:bookmarkEnd w:id="47"/>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rPr>
          <w:rFonts w:hint="eastAsia" w:ascii="仿宋" w:eastAsia="仿宋"/>
          <w:color w:val="000000"/>
          <w:kern w:val="0"/>
          <w:sz w:val="24"/>
          <w:u w:val="non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both"/>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8" w:name="_Toc64369786"/>
      <w:r>
        <w:rPr>
          <w:rFonts w:hint="eastAsia" w:ascii="仿宋" w:eastAsia="仿宋" w:cs="仿宋_GB2312"/>
          <w:sz w:val="30"/>
          <w:szCs w:val="30"/>
        </w:rPr>
        <w:t>目 录</w:t>
      </w:r>
      <w:bookmarkEnd w:id="48"/>
    </w:p>
    <w:p>
      <w:pPr>
        <w:pStyle w:val="37"/>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7"/>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7"/>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7"/>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7"/>
        <w:spacing w:line="360" w:lineRule="auto"/>
        <w:ind w:firstLine="0" w:firstLineChars="0"/>
        <w:jc w:val="left"/>
        <w:rPr>
          <w:rFonts w:hint="eastAsia" w:ascii="仿宋" w:eastAsia="仿宋" w:cs="仿宋_GB2312"/>
        </w:rPr>
      </w:pPr>
      <w:bookmarkStart w:id="49" w:name="_Toc64369787"/>
      <w:r>
        <w:rPr>
          <w:rFonts w:hint="eastAsia" w:ascii="仿宋" w:eastAsia="仿宋" w:cs="仿宋_GB2312"/>
        </w:rPr>
        <w:t>5.1营业执照(或事业法人登记证书)………………………………………（页码）</w:t>
      </w:r>
      <w:bookmarkEnd w:id="49"/>
    </w:p>
    <w:p>
      <w:pPr>
        <w:pStyle w:val="37"/>
        <w:spacing w:line="360" w:lineRule="auto"/>
        <w:ind w:firstLine="0" w:firstLineChars="0"/>
        <w:jc w:val="left"/>
        <w:rPr>
          <w:rFonts w:hint="eastAsia" w:ascii="仿宋" w:eastAsia="仿宋" w:cs="仿宋_GB2312"/>
          <w:lang w:val="en-US" w:eastAsia="zh-CN"/>
        </w:rPr>
      </w:pPr>
      <w:r>
        <w:rPr>
          <w:rFonts w:hint="eastAsia" w:ascii="仿宋" w:eastAsia="仿宋" w:cs="仿宋_GB2312"/>
          <w:lang w:val="en-US" w:eastAsia="zh-CN"/>
        </w:rPr>
        <w:t>5.2最近一期财务状况报告</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lang w:val="en-US" w:eastAsia="zh-CN"/>
        </w:rPr>
      </w:pPr>
      <w:r>
        <w:rPr>
          <w:rFonts w:hint="eastAsia" w:ascii="仿宋" w:eastAsia="仿宋" w:cs="仿宋_GB2312"/>
          <w:lang w:val="en-US" w:eastAsia="zh-CN"/>
        </w:rPr>
        <w:t>5.3依法缴纳税收 材料（完税凭证或税务部门出具的证明）</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lang w:val="en-US" w:eastAsia="zh-CN"/>
        </w:rPr>
      </w:pPr>
      <w:r>
        <w:rPr>
          <w:rFonts w:hint="eastAsia" w:ascii="仿宋" w:eastAsia="仿宋" w:cs="仿宋_GB2312"/>
          <w:lang w:val="en-US" w:eastAsia="zh-CN"/>
        </w:rPr>
        <w:t>5.4依法缴纳社会保障资金材料（缴纳凭证或人社部门出具的证明）</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rPr>
      </w:pPr>
      <w:r>
        <w:rPr>
          <w:rFonts w:hint="eastAsia" w:ascii="仿宋" w:eastAsia="仿宋" w:cs="仿宋_GB2312"/>
        </w:rPr>
        <w:t>5.</w:t>
      </w:r>
      <w:r>
        <w:rPr>
          <w:rFonts w:hint="eastAsia" w:ascii="仿宋" w:eastAsia="仿宋" w:cs="仿宋_GB2312"/>
          <w:lang w:val="en-US" w:eastAsia="zh-CN"/>
        </w:rPr>
        <w:t>5</w:t>
      </w:r>
      <w:r>
        <w:rPr>
          <w:rFonts w:hint="eastAsia" w:ascii="仿宋" w:eastAsia="仿宋" w:cs="仿宋_GB2312"/>
        </w:rPr>
        <w:t>特定资格条件证明材料（如有）…………………………………（页码）</w:t>
      </w:r>
    </w:p>
    <w:p>
      <w:pPr>
        <w:pStyle w:val="37"/>
        <w:spacing w:line="360" w:lineRule="auto"/>
        <w:ind w:left="0" w:leftChars="0"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7"/>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2"/>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2"/>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2"/>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2"/>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2"/>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2"/>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p>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10"/>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10"/>
        <w:overflowPunct w:val="0"/>
        <w:spacing w:line="460" w:lineRule="exact"/>
        <w:ind w:firstLine="513" w:firstLineChars="214"/>
        <w:rPr>
          <w:rFonts w:hint="eastAsia" w:ascii="仿宋" w:eastAsia="仿宋"/>
          <w:sz w:val="24"/>
          <w:szCs w:val="24"/>
        </w:rPr>
      </w:pPr>
    </w:p>
    <w:p>
      <w:pPr>
        <w:pStyle w:val="10"/>
        <w:overflowPunct w:val="0"/>
        <w:spacing w:line="460" w:lineRule="exact"/>
        <w:ind w:firstLine="513" w:firstLineChars="214"/>
        <w:rPr>
          <w:rFonts w:hint="eastAsia" w:ascii="仿宋" w:eastAsia="仿宋"/>
          <w:sz w:val="24"/>
          <w:szCs w:val="24"/>
        </w:rPr>
      </w:pPr>
    </w:p>
    <w:tbl>
      <w:tblPr>
        <w:tblStyle w:val="26"/>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2"/>
        <w:spacing w:after="50" w:afterLines="0" w:line="440" w:lineRule="exact"/>
        <w:ind w:left="0" w:firstLine="0" w:firstLineChars="0"/>
        <w:rPr>
          <w:rFonts w:hint="eastAsia" w:ascii="仿宋" w:eastAsia="仿宋"/>
          <w:b/>
          <w:bCs/>
          <w:sz w:val="28"/>
          <w:szCs w:val="28"/>
        </w:rPr>
      </w:pPr>
    </w:p>
    <w:p>
      <w:pPr>
        <w:pStyle w:val="32"/>
        <w:spacing w:after="50" w:afterLines="0" w:line="440" w:lineRule="exact"/>
        <w:ind w:left="0" w:firstLine="0" w:firstLineChars="0"/>
        <w:rPr>
          <w:rFonts w:hint="eastAsia" w:ascii="仿宋" w:eastAsia="仿宋"/>
          <w:b/>
          <w:bCs/>
          <w:sz w:val="28"/>
          <w:szCs w:val="28"/>
        </w:rPr>
      </w:pPr>
    </w:p>
    <w:p>
      <w:pPr>
        <w:pStyle w:val="32"/>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ind w:left="840"/>
        <w:jc w:val="left"/>
        <w:rPr>
          <w:rFonts w:ascii="仿宋" w:eastAsia="仿宋"/>
          <w:b/>
          <w:bCs/>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bookmarkStart w:id="50" w:name="_Hlk523382353"/>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50"/>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7"/>
        <w:spacing w:line="360" w:lineRule="auto"/>
        <w:ind w:firstLine="0" w:firstLineChars="0"/>
        <w:jc w:val="left"/>
        <w:rPr>
          <w:rFonts w:hint="eastAsia" w:ascii="仿宋" w:eastAsia="仿宋" w:cs="仿宋_GB2312"/>
        </w:rPr>
      </w:pPr>
      <w:bookmarkStart w:id="51"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1"/>
    </w:p>
    <w:p>
      <w:pPr>
        <w:pStyle w:val="37"/>
        <w:spacing w:line="360" w:lineRule="auto"/>
        <w:ind w:firstLine="0" w:firstLineChars="0"/>
        <w:jc w:val="left"/>
        <w:rPr>
          <w:rFonts w:hint="eastAsia" w:ascii="仿宋" w:eastAsia="仿宋" w:cs="仿宋_GB2312"/>
        </w:rPr>
      </w:pPr>
      <w:bookmarkStart w:id="52" w:name="_Toc64369790"/>
      <w:r>
        <w:rPr>
          <w:rFonts w:hint="eastAsia" w:ascii="仿宋" w:eastAsia="仿宋" w:cs="仿宋_GB2312"/>
        </w:rPr>
        <w:t>2.技术响应表…………………………………………………………………（页码）</w:t>
      </w:r>
      <w:bookmarkEnd w:id="52"/>
    </w:p>
    <w:p>
      <w:pPr>
        <w:pStyle w:val="37"/>
        <w:spacing w:line="360" w:lineRule="auto"/>
        <w:ind w:firstLine="0" w:firstLineChars="0"/>
        <w:jc w:val="left"/>
        <w:rPr>
          <w:rFonts w:hint="eastAsia" w:ascii="仿宋" w:eastAsia="仿宋" w:cs="仿宋_GB2312"/>
        </w:rPr>
      </w:pPr>
      <w:bookmarkStart w:id="53" w:name="_Toc64369791"/>
      <w:r>
        <w:rPr>
          <w:rFonts w:hint="eastAsia" w:ascii="仿宋" w:eastAsia="仿宋" w:cs="仿宋_GB2312"/>
        </w:rPr>
        <w:t>3.商务响应表…………………………………………………………………（页码）</w:t>
      </w:r>
      <w:bookmarkEnd w:id="53"/>
    </w:p>
    <w:p>
      <w:pPr>
        <w:pStyle w:val="37"/>
        <w:spacing w:line="360" w:lineRule="auto"/>
        <w:ind w:firstLine="0" w:firstLineChars="0"/>
        <w:jc w:val="left"/>
        <w:rPr>
          <w:rFonts w:hint="eastAsia" w:ascii="仿宋" w:eastAsia="仿宋" w:cs="仿宋_GB2312"/>
        </w:rPr>
      </w:pPr>
      <w:bookmarkStart w:id="54"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4"/>
    </w:p>
    <w:p>
      <w:pPr>
        <w:pStyle w:val="37"/>
        <w:spacing w:line="360" w:lineRule="auto"/>
        <w:ind w:firstLine="0" w:firstLineChars="0"/>
        <w:jc w:val="left"/>
        <w:rPr>
          <w:rFonts w:hint="eastAsia" w:ascii="仿宋" w:eastAsia="仿宋" w:cs="仿宋_GB2312"/>
        </w:rPr>
      </w:pPr>
      <w:bookmarkStart w:id="55"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5"/>
    </w:p>
    <w:p>
      <w:pPr>
        <w:pStyle w:val="37"/>
        <w:spacing w:line="360" w:lineRule="auto"/>
        <w:ind w:firstLine="0" w:firstLineChars="0"/>
        <w:jc w:val="left"/>
        <w:rPr>
          <w:rFonts w:ascii="仿宋" w:eastAsia="仿宋" w:cs="仿宋_GB2312"/>
        </w:rPr>
      </w:pPr>
      <w:bookmarkStart w:id="56"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5"/>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7"/>
        <w:spacing w:line="360" w:lineRule="auto"/>
        <w:ind w:firstLine="0" w:firstLineChars="0"/>
        <w:jc w:val="left"/>
        <w:rPr>
          <w:rFonts w:hint="eastAsia" w:ascii="仿宋" w:eastAsia="仿宋" w:cs="仿宋_GB2312"/>
        </w:rPr>
      </w:pPr>
      <w:bookmarkStart w:id="57"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7"/>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rPr>
      </w:pPr>
      <w:bookmarkStart w:id="58"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5"/>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6"/>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59" w:name="_Toc64369807"/>
            <w:r>
              <w:rPr>
                <w:rFonts w:hint="eastAsia" w:ascii="仿宋" w:eastAsia="仿宋"/>
                <w:spacing w:val="20"/>
                <w:sz w:val="24"/>
                <w:szCs w:val="24"/>
              </w:rPr>
              <w:t>服务部分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0" w:name="_Toc64369800"/>
            <w:r>
              <w:rPr>
                <w:rFonts w:hint="eastAsia" w:ascii="仿宋" w:eastAsia="仿宋"/>
                <w:spacing w:val="20"/>
                <w:sz w:val="24"/>
                <w:szCs w:val="24"/>
              </w:rPr>
              <w:t>序号</w:t>
            </w:r>
            <w:bookmarkEnd w:id="60"/>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1" w:name="_Toc64369801"/>
            <w:bookmarkStart w:id="62"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1"/>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2"/>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3"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4" w:name="_Toc64369804"/>
            <w:r>
              <w:rPr>
                <w:rFonts w:hint="eastAsia" w:ascii="仿宋" w:eastAsia="仿宋"/>
                <w:spacing w:val="20"/>
                <w:sz w:val="24"/>
                <w:szCs w:val="24"/>
              </w:rPr>
              <w:t>1</w:t>
            </w:r>
            <w:bookmarkEnd w:id="64"/>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5" w:name="_Toc64369805"/>
            <w:r>
              <w:rPr>
                <w:rFonts w:hint="eastAsia" w:ascii="仿宋" w:eastAsia="仿宋"/>
                <w:spacing w:val="20"/>
                <w:sz w:val="24"/>
                <w:szCs w:val="24"/>
              </w:rPr>
              <w:t>2</w:t>
            </w:r>
            <w:bookmarkEnd w:id="65"/>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6" w:name="_Toc64369806"/>
            <w:bookmarkEnd w:id="66"/>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7"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7"/>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8" w:name="_Toc64369808"/>
            <w:r>
              <w:rPr>
                <w:rFonts w:hint="eastAsia" w:ascii="仿宋" w:eastAsia="仿宋"/>
                <w:spacing w:val="20"/>
                <w:sz w:val="24"/>
                <w:szCs w:val="24"/>
              </w:rPr>
              <w:t>序号</w:t>
            </w:r>
            <w:bookmarkEnd w:id="6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9" w:name="_Toc64369809"/>
            <w:bookmarkStart w:id="70"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9"/>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0"/>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71"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2" w:name="_Toc64369814"/>
            <w:r>
              <w:rPr>
                <w:rFonts w:hint="eastAsia" w:ascii="仿宋" w:eastAsia="仿宋"/>
                <w:spacing w:val="20"/>
                <w:sz w:val="24"/>
                <w:szCs w:val="24"/>
              </w:rPr>
              <w:t>…</w:t>
            </w:r>
            <w:bookmarkEnd w:id="72"/>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3" w:name="_Toc64369815"/>
            <w:r>
              <w:rPr>
                <w:rFonts w:hint="eastAsia" w:ascii="仿宋" w:eastAsia="仿宋" w:cs="仿宋_GB2312"/>
                <w:spacing w:val="20"/>
                <w:sz w:val="28"/>
                <w:szCs w:val="28"/>
              </w:rPr>
              <w:t>类别</w:t>
            </w:r>
            <w:bookmarkEnd w:id="73"/>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4" w:name="_Toc64369816"/>
            <w:r>
              <w:rPr>
                <w:rFonts w:hint="eastAsia" w:ascii="仿宋" w:eastAsia="仿宋" w:cs="仿宋_GB2312"/>
                <w:sz w:val="30"/>
                <w:szCs w:val="30"/>
              </w:rPr>
              <w:t>采购文件要求</w:t>
            </w:r>
            <w:bookmarkEnd w:id="74"/>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5" w:name="_Toc64369817"/>
            <w:r>
              <w:rPr>
                <w:rFonts w:hint="eastAsia" w:ascii="仿宋" w:eastAsia="仿宋" w:cs="仿宋_GB2312"/>
                <w:sz w:val="30"/>
                <w:szCs w:val="30"/>
              </w:rPr>
              <w:t>投标文件响应</w:t>
            </w:r>
            <w:bookmarkEnd w:id="75"/>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6" w:name="_Toc64369818"/>
            <w:r>
              <w:rPr>
                <w:rFonts w:hint="eastAsia" w:ascii="仿宋" w:eastAsia="仿宋" w:cs="仿宋_GB2312"/>
                <w:sz w:val="30"/>
                <w:szCs w:val="30"/>
              </w:rPr>
              <w:t>偏离情况</w:t>
            </w:r>
            <w:bookmarkEnd w:id="7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77" w:name="_Toc64369819"/>
            <w:bookmarkStart w:id="78" w:name="_Toc64369823"/>
            <w:r>
              <w:rPr>
                <w:rFonts w:hint="eastAsia" w:ascii="仿宋" w:eastAsia="仿宋"/>
                <w:spacing w:val="20"/>
                <w:sz w:val="28"/>
                <w:szCs w:val="28"/>
              </w:rPr>
              <w:t>付款方式</w:t>
            </w:r>
            <w:bookmarkEnd w:id="77"/>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9"/>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9"/>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7"/>
        <w:spacing w:line="360" w:lineRule="auto"/>
        <w:ind w:firstLine="0" w:firstLineChars="0"/>
        <w:jc w:val="center"/>
        <w:rPr>
          <w:rFonts w:hint="eastAsia" w:ascii="仿宋" w:eastAsia="仿宋" w:cs="仿宋_GB2312"/>
        </w:rPr>
      </w:pPr>
      <w:bookmarkStart w:id="79" w:name="_Toc64369825"/>
      <w:r>
        <w:rPr>
          <w:rFonts w:hint="eastAsia" w:ascii="仿宋" w:eastAsia="仿宋" w:cs="仿宋_GB2312"/>
        </w:rPr>
        <w:t>目 录</w:t>
      </w:r>
      <w:bookmarkEnd w:id="79"/>
    </w:p>
    <w:p>
      <w:pPr>
        <w:pStyle w:val="37"/>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7"/>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13"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0" w:name="_Toc64369826"/>
      <w:r>
        <w:rPr>
          <w:rFonts w:hint="eastAsia" w:ascii="仿宋" w:eastAsia="仿宋"/>
          <w:sz w:val="24"/>
        </w:rPr>
        <w:t xml:space="preserve">法定代表人或其授权代表签字（或盖章）：            </w:t>
      </w:r>
      <w:bookmarkEnd w:id="80"/>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1" w:name="_Toc64369827"/>
      <w:r>
        <w:rPr>
          <w:rFonts w:hint="eastAsia" w:ascii="仿宋" w:eastAsia="仿宋"/>
          <w:sz w:val="24"/>
        </w:rPr>
        <w:t>日期：    年   月   日</w:t>
      </w:r>
      <w:bookmarkEnd w:id="81"/>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suppressLineNumbers w:val="0"/>
        <w:suppressAutoHyphens w:val="0"/>
        <w:spacing w:line="578" w:lineRule="auto"/>
        <w:jc w:val="center"/>
        <w:rPr>
          <w:rFonts w:hint="eastAsia" w:ascii="仿宋"/>
        </w:rPr>
      </w:pPr>
      <w:bookmarkStart w:id="82" w:name="_Toc93172445"/>
      <w:r>
        <w:rPr>
          <w:rFonts w:hint="eastAsia" w:ascii="仿宋"/>
        </w:rPr>
        <w:t>第七章  询问、质疑及投诉</w:t>
      </w:r>
      <w:bookmarkEnd w:id="82"/>
    </w:p>
    <w:p>
      <w:pPr>
        <w:pStyle w:val="17"/>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3" w:name="_Toc93172446"/>
      <w:r>
        <w:rPr>
          <w:rFonts w:hint="eastAsia" w:ascii="仿宋"/>
        </w:rPr>
        <w:t>一、供应商询问</w:t>
      </w:r>
      <w:bookmarkEnd w:id="83"/>
      <w:bookmarkStart w:id="86" w:name="_GoBack"/>
      <w:bookmarkEnd w:id="86"/>
    </w:p>
    <w:p>
      <w:pPr>
        <w:pStyle w:val="17"/>
        <w:spacing w:line="360" w:lineRule="auto"/>
        <w:ind w:left="0"/>
        <w:rPr>
          <w:rFonts w:hint="eastAsia" w:ascii="仿宋" w:eastAsia="仿宋"/>
          <w:sz w:val="24"/>
        </w:rPr>
      </w:pPr>
      <w:bookmarkStart w:id="84"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84"/>
    </w:p>
    <w:p>
      <w:pPr>
        <w:pStyle w:val="17"/>
        <w:spacing w:line="360" w:lineRule="auto"/>
        <w:ind w:left="0"/>
        <w:rPr>
          <w:rFonts w:hint="eastAsia" w:ascii="仿宋" w:eastAsia="仿宋"/>
          <w:b/>
          <w:bCs/>
          <w:sz w:val="24"/>
        </w:rPr>
      </w:pPr>
      <w:r>
        <w:rPr>
          <w:rFonts w:hint="eastAsia" w:ascii="仿宋" w:eastAsia="仿宋"/>
          <w:b/>
          <w:bCs/>
          <w:sz w:val="24"/>
        </w:rPr>
        <w:t>2.1质疑有效期：</w:t>
      </w:r>
    </w:p>
    <w:p>
      <w:pPr>
        <w:pStyle w:val="17"/>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ind w:left="0"/>
        <w:rPr>
          <w:rFonts w:hint="eastAsia" w:ascii="仿宋" w:eastAsia="仿宋"/>
          <w:b/>
          <w:bCs/>
          <w:sz w:val="24"/>
        </w:rPr>
      </w:pPr>
      <w:r>
        <w:rPr>
          <w:rFonts w:hint="eastAsia" w:ascii="仿宋" w:eastAsia="仿宋"/>
          <w:b/>
          <w:bCs/>
          <w:sz w:val="24"/>
        </w:rPr>
        <w:t>2.2质疑主体的有效性：</w:t>
      </w:r>
    </w:p>
    <w:p>
      <w:pPr>
        <w:pStyle w:val="17"/>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7"/>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7"/>
        <w:spacing w:line="360" w:lineRule="auto"/>
        <w:ind w:left="0"/>
        <w:rPr>
          <w:rFonts w:hint="eastAsia" w:ascii="仿宋" w:eastAsia="仿宋"/>
          <w:b/>
          <w:bCs/>
          <w:sz w:val="24"/>
        </w:rPr>
      </w:pPr>
      <w:r>
        <w:rPr>
          <w:rFonts w:hint="eastAsia" w:ascii="仿宋" w:eastAsia="仿宋"/>
          <w:b/>
          <w:bCs/>
          <w:sz w:val="24"/>
        </w:rPr>
        <w:t>2.3质疑的答复</w:t>
      </w:r>
    </w:p>
    <w:p>
      <w:pPr>
        <w:pStyle w:val="17"/>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85" w:name="_Toc93172448"/>
      <w:r>
        <w:rPr>
          <w:rFonts w:hint="eastAsia" w:ascii="仿宋"/>
        </w:rPr>
        <w:t>三、供应商投诉</w:t>
      </w:r>
      <w:bookmarkEnd w:id="85"/>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separate"/>
    </w:r>
    <w:r>
      <w:rPr>
        <w:rStyle w:val="29"/>
      </w:rPr>
      <w:t>4</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zI3MzJiMzEyNjgwZjFlNGE4OWY3ZmJkYWJmNTMxOTYifQ=="/>
  </w:docVars>
  <w:rsids>
    <w:rsidRoot w:val="00000000"/>
    <w:rsid w:val="00B52CFB"/>
    <w:rsid w:val="054144F3"/>
    <w:rsid w:val="076D72E3"/>
    <w:rsid w:val="088540B8"/>
    <w:rsid w:val="09DA5992"/>
    <w:rsid w:val="118A2366"/>
    <w:rsid w:val="13D529D6"/>
    <w:rsid w:val="151E3862"/>
    <w:rsid w:val="15C11534"/>
    <w:rsid w:val="18275AD4"/>
    <w:rsid w:val="19FB0CBC"/>
    <w:rsid w:val="1A840CB2"/>
    <w:rsid w:val="1AD55F02"/>
    <w:rsid w:val="1B68116C"/>
    <w:rsid w:val="1C7036B8"/>
    <w:rsid w:val="1D0667CC"/>
    <w:rsid w:val="1F18098B"/>
    <w:rsid w:val="1F574BE7"/>
    <w:rsid w:val="22C365EA"/>
    <w:rsid w:val="25610E04"/>
    <w:rsid w:val="29785CBC"/>
    <w:rsid w:val="2AE35581"/>
    <w:rsid w:val="2B2A28C5"/>
    <w:rsid w:val="2E3D6F6B"/>
    <w:rsid w:val="33BB11E2"/>
    <w:rsid w:val="35537FE8"/>
    <w:rsid w:val="35F473F5"/>
    <w:rsid w:val="366C0B20"/>
    <w:rsid w:val="3A2B6706"/>
    <w:rsid w:val="3BD74C8E"/>
    <w:rsid w:val="42637745"/>
    <w:rsid w:val="45E23CE1"/>
    <w:rsid w:val="462F1473"/>
    <w:rsid w:val="48BD520B"/>
    <w:rsid w:val="4AC06B06"/>
    <w:rsid w:val="4FDC094C"/>
    <w:rsid w:val="50570CBE"/>
    <w:rsid w:val="549A7E9F"/>
    <w:rsid w:val="54DD2919"/>
    <w:rsid w:val="59875B96"/>
    <w:rsid w:val="5C4E644E"/>
    <w:rsid w:val="5E3B784C"/>
    <w:rsid w:val="5F8217E8"/>
    <w:rsid w:val="60C912DE"/>
    <w:rsid w:val="62E71513"/>
    <w:rsid w:val="64E7076B"/>
    <w:rsid w:val="70F6048B"/>
    <w:rsid w:val="71892A39"/>
    <w:rsid w:val="77DA6570"/>
    <w:rsid w:val="7DA16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6">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next w:val="3"/>
    <w:qFormat/>
    <w:uiPriority w:val="0"/>
    <w:pPr>
      <w:spacing w:line="360" w:lineRule="auto"/>
      <w:ind w:firstLine="200" w:firstLineChars="200"/>
    </w:pPr>
    <w:rPr>
      <w:sz w:val="24"/>
      <w:szCs w:val="22"/>
      <w:lang w:val="zh-CN"/>
    </w:rPr>
  </w:style>
  <w:style w:type="paragraph" w:styleId="3">
    <w:name w:val="Body Text"/>
    <w:basedOn w:val="1"/>
    <w:qFormat/>
    <w:uiPriority w:val="0"/>
    <w:pPr>
      <w:spacing w:line="360" w:lineRule="auto"/>
    </w:pPr>
    <w:rPr>
      <w:kern w:val="0"/>
      <w:sz w:val="20"/>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paragraph" w:customStyle="1" w:styleId="32">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3">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4">
    <w:name w:val="正文文字 7"/>
    <w:basedOn w:val="1"/>
    <w:next w:val="1"/>
    <w:qFormat/>
    <w:uiPriority w:val="0"/>
    <w:pPr>
      <w:ind w:left="240"/>
    </w:pPr>
    <w:rPr>
      <w:sz w:val="20"/>
    </w:rPr>
  </w:style>
  <w:style w:type="paragraph" w:customStyle="1" w:styleId="35">
    <w:name w:val="正文文字 8"/>
    <w:basedOn w:val="1"/>
    <w:next w:val="1"/>
    <w:qFormat/>
    <w:uiPriority w:val="0"/>
    <w:pPr>
      <w:numPr>
        <w:ilvl w:val="1"/>
        <w:numId w:val="2"/>
      </w:numPr>
      <w:ind w:left="805"/>
    </w:pPr>
    <w:rPr>
      <w:sz w:val="16"/>
    </w:rPr>
  </w:style>
  <w:style w:type="paragraph" w:customStyle="1" w:styleId="36">
    <w:name w:val="列出段落1"/>
    <w:next w:val="34"/>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50</Pages>
  <Words>21968</Words>
  <Characters>23699</Characters>
  <Lines>1498</Lines>
  <Paragraphs>801</Paragraphs>
  <TotalTime>11</TotalTime>
  <ScaleCrop>false</ScaleCrop>
  <LinksUpToDate>false</LinksUpToDate>
  <CharactersWithSpaces>25977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2020-02-27T03:07:00Z</cp:lastPrinted>
  <dcterms:modified xsi:type="dcterms:W3CDTF">2022-08-05T01:08:19Z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617FC41C479145FE8AFF290DEC508160</vt:lpwstr>
  </property>
</Properties>
</file>