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line="360" w:lineRule="auto"/>
        <w:jc w:val="center"/>
        <w:rPr>
          <w:rFonts w:hint="default" w:ascii="宋体" w:hAnsi="宋体" w:cs="宋体"/>
          <w:b/>
          <w:color w:val="auto"/>
          <w:sz w:val="44"/>
          <w:szCs w:val="44"/>
          <w:highlight w:val="none"/>
          <w:lang w:val="zh-CN"/>
        </w:rPr>
      </w:pPr>
      <w:r>
        <w:rPr>
          <w:rFonts w:hint="eastAsia" w:ascii="宋体" w:hAnsi="宋体" w:cs="宋体"/>
          <w:b/>
          <w:color w:val="auto"/>
          <w:sz w:val="44"/>
          <w:szCs w:val="44"/>
          <w:highlight w:val="none"/>
          <w:lang w:val="zh-CN"/>
        </w:rPr>
        <w:t>长兴县环境保护监测站应急及常规监测能力提升项目</w:t>
      </w: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3"/>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utoSpaceDE w:val="0"/>
        <w:autoSpaceDN w:val="0"/>
        <w:spacing w:before="120" w:line="360" w:lineRule="auto"/>
        <w:jc w:val="center"/>
        <w:rPr>
          <w:rFonts w:hint="default" w:ascii="宋体" w:hAnsi="宋体" w:cs="宋体"/>
          <w:color w:val="auto"/>
          <w:sz w:val="84"/>
          <w:szCs w:val="84"/>
          <w:highlight w:val="none"/>
          <w:lang w:val="zh-CN"/>
        </w:rPr>
      </w:pPr>
      <w:r>
        <w:rPr>
          <w:rFonts w:ascii="宋体" w:hAnsi="宋体" w:cs="宋体"/>
          <w:color w:val="auto"/>
          <w:sz w:val="84"/>
          <w:szCs w:val="84"/>
          <w:highlight w:val="none"/>
          <w:lang w:val="zh-CN"/>
        </w:rPr>
        <w:t>招</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件</w:t>
      </w:r>
    </w:p>
    <w:p>
      <w:pPr>
        <w:spacing w:line="360" w:lineRule="auto"/>
        <w:jc w:val="center"/>
        <w:rPr>
          <w:rFonts w:hint="default" w:ascii="宋体" w:hAnsi="宋体" w:cs="宋体"/>
          <w:b/>
          <w:color w:val="auto"/>
          <w:sz w:val="36"/>
          <w:szCs w:val="36"/>
          <w:highlight w:val="none"/>
        </w:rPr>
      </w:pPr>
    </w:p>
    <w:p>
      <w:pPr>
        <w:pStyle w:val="4"/>
        <w:rPr>
          <w:rFonts w:hint="default"/>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3"/>
        <w:rPr>
          <w:rFonts w:hint="default" w:ascii="宋体" w:hAnsi="宋体" w:cs="宋体"/>
          <w:color w:val="auto"/>
          <w:highlight w:val="none"/>
        </w:rPr>
      </w:pP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项目编号：</w:t>
      </w:r>
      <w:r>
        <w:rPr>
          <w:rFonts w:hint="eastAsia" w:hAnsi="宋体" w:cs="宋体"/>
          <w:b/>
          <w:bCs/>
          <w:color w:val="auto"/>
          <w:sz w:val="30"/>
          <w:szCs w:val="30"/>
          <w:highlight w:val="none"/>
          <w:lang w:eastAsia="zh-CN"/>
        </w:rPr>
        <w:t>ZJJWCG-2022-013</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项目名称：</w:t>
      </w:r>
      <w:r>
        <w:rPr>
          <w:rFonts w:hint="eastAsia" w:hAnsi="宋体" w:cs="宋体"/>
          <w:b/>
          <w:bCs/>
          <w:color w:val="auto"/>
          <w:sz w:val="30"/>
          <w:szCs w:val="30"/>
          <w:highlight w:val="none"/>
          <w:lang w:eastAsia="zh-CN"/>
        </w:rPr>
        <w:t>长兴县环境保护监测站应急及常规监测能力提升项目</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采 购 人：</w:t>
      </w:r>
      <w:r>
        <w:rPr>
          <w:rFonts w:hint="eastAsia" w:hAnsi="宋体" w:cs="宋体"/>
          <w:b/>
          <w:bCs/>
          <w:color w:val="auto"/>
          <w:sz w:val="30"/>
          <w:szCs w:val="30"/>
          <w:highlight w:val="none"/>
          <w:lang w:eastAsia="zh-CN"/>
        </w:rPr>
        <w:t xml:space="preserve"> 长兴县环境保护监测站 </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采购代理机构：</w:t>
      </w:r>
      <w:r>
        <w:rPr>
          <w:rFonts w:hint="eastAsia" w:hAnsi="宋体" w:cs="宋体"/>
          <w:b/>
          <w:bCs/>
          <w:color w:val="auto"/>
          <w:sz w:val="30"/>
          <w:szCs w:val="30"/>
          <w:highlight w:val="none"/>
          <w:lang w:eastAsia="zh-CN"/>
        </w:rPr>
        <w:t>东方经纬项目管理有限公司</w:t>
      </w:r>
    </w:p>
    <w:p>
      <w:pPr>
        <w:autoSpaceDE w:val="0"/>
        <w:autoSpaceDN w:val="0"/>
        <w:spacing w:before="120"/>
        <w:jc w:val="center"/>
        <w:rPr>
          <w:rFonts w:hint="default" w:ascii="宋体" w:hAnsi="宋体" w:cs="宋体"/>
          <w:color w:val="auto"/>
          <w:sz w:val="30"/>
          <w:highlight w:val="none"/>
          <w:lang w:val="zh-CN"/>
        </w:rPr>
      </w:pP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 xml:space="preserve">二○二二 年 </w:t>
      </w:r>
      <w:r>
        <w:rPr>
          <w:rFonts w:hint="eastAsia" w:ascii="宋体" w:hAnsi="宋体" w:cs="宋体"/>
          <w:b/>
          <w:snapToGrid w:val="0"/>
          <w:color w:val="auto"/>
          <w:spacing w:val="20"/>
          <w:kern w:val="0"/>
          <w:sz w:val="30"/>
          <w:szCs w:val="30"/>
          <w:highlight w:val="none"/>
          <w:lang w:val="en-US" w:eastAsia="zh-CN"/>
        </w:rPr>
        <w:t>七</w:t>
      </w:r>
      <w:r>
        <w:rPr>
          <w:rFonts w:ascii="宋体" w:hAnsi="宋体" w:cs="宋体"/>
          <w:b/>
          <w:snapToGrid w:val="0"/>
          <w:color w:val="auto"/>
          <w:spacing w:val="20"/>
          <w:kern w:val="0"/>
          <w:sz w:val="30"/>
          <w:szCs w:val="30"/>
          <w:highlight w:val="none"/>
        </w:rPr>
        <w:t xml:space="preserve"> 月</w:t>
      </w:r>
      <w:bookmarkEnd w:id="0"/>
    </w:p>
    <w:p>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p>
    <w:p>
      <w:pPr>
        <w:rPr>
          <w:rFonts w:hint="default" w:ascii="宋体" w:hAnsi="宋体" w:cs="宋体"/>
          <w:color w:val="auto"/>
          <w:highlight w:val="none"/>
        </w:rPr>
      </w:pPr>
    </w:p>
    <w:p>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pPr>
        <w:autoSpaceDE w:val="0"/>
        <w:autoSpaceDN w:val="0"/>
        <w:spacing w:before="120" w:after="120" w:line="400" w:lineRule="exact"/>
        <w:jc w:val="center"/>
        <w:rPr>
          <w:rFonts w:hint="default" w:ascii="宋体" w:hAnsi="宋体" w:cs="宋体"/>
          <w:color w:val="auto"/>
          <w:sz w:val="32"/>
          <w:szCs w:val="32"/>
          <w:highlight w:val="none"/>
          <w:lang w:val="zh-CN"/>
        </w:rPr>
      </w:pPr>
    </w:p>
    <w:p>
      <w:pPr>
        <w:autoSpaceDE w:val="0"/>
        <w:autoSpaceDN w:val="0"/>
        <w:spacing w:before="120" w:after="120" w:line="400" w:lineRule="exact"/>
        <w:jc w:val="center"/>
        <w:rPr>
          <w:rFonts w:hint="default" w:ascii="宋体" w:hAnsi="宋体" w:cs="宋体"/>
          <w:color w:val="auto"/>
          <w:sz w:val="32"/>
          <w:szCs w:val="32"/>
          <w:highlight w:val="none"/>
          <w:lang w:val="zh-CN"/>
        </w:rPr>
      </w:pPr>
    </w:p>
    <w:p>
      <w:pPr>
        <w:rPr>
          <w:rFonts w:hint="default" w:ascii="宋体" w:hAnsi="宋体" w:cs="宋体"/>
          <w:color w:val="auto"/>
          <w:highlight w:val="none"/>
        </w:rPr>
      </w:pP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8"/>
          <w:rFonts w:hint="eastAsia" w:cs="宋体"/>
          <w:color w:val="auto"/>
          <w:sz w:val="24"/>
          <w:szCs w:val="24"/>
          <w:highlight w:val="none"/>
        </w:rPr>
        <w:t>第一章  招标公告</w:t>
      </w:r>
      <w:r>
        <w:rPr>
          <w:rFonts w:cs="宋体"/>
          <w:color w:val="auto"/>
          <w:sz w:val="24"/>
          <w:szCs w:val="24"/>
          <w:highlight w:val="none"/>
        </w:rPr>
        <w:tab/>
      </w:r>
      <w:r>
        <w:rPr>
          <w:rFonts w:cs="宋体"/>
          <w:color w:val="auto"/>
          <w:sz w:val="24"/>
          <w:szCs w:val="24"/>
          <w:highlight w:val="none"/>
        </w:rPr>
        <w:t>2</w:t>
      </w:r>
      <w:r>
        <w:rPr>
          <w:rFonts w:cs="宋体"/>
          <w:color w:val="auto"/>
          <w:sz w:val="24"/>
          <w:szCs w:val="24"/>
          <w:highlight w:val="none"/>
        </w:rPr>
        <w:fldChar w:fldCharType="end"/>
      </w: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8"/>
          <w:rFonts w:hint="eastAsia" w:cs="宋体"/>
          <w:color w:val="auto"/>
          <w:sz w:val="24"/>
          <w:szCs w:val="24"/>
          <w:highlight w:val="none"/>
        </w:rPr>
        <w:t>第二章  采购需求</w:t>
      </w:r>
      <w:r>
        <w:rPr>
          <w:rFonts w:cs="宋体"/>
          <w:color w:val="auto"/>
          <w:sz w:val="24"/>
          <w:szCs w:val="24"/>
          <w:highlight w:val="none"/>
        </w:rPr>
        <w:tab/>
      </w:r>
      <w:r>
        <w:rPr>
          <w:rFonts w:cs="宋体"/>
          <w:color w:val="auto"/>
          <w:sz w:val="24"/>
          <w:szCs w:val="24"/>
          <w:highlight w:val="none"/>
        </w:rPr>
        <w:t>5</w:t>
      </w:r>
      <w:r>
        <w:rPr>
          <w:rFonts w:cs="宋体"/>
          <w:color w:val="auto"/>
          <w:sz w:val="24"/>
          <w:szCs w:val="24"/>
          <w:highlight w:val="none"/>
        </w:rPr>
        <w:fldChar w:fldCharType="end"/>
      </w:r>
    </w:p>
    <w:p>
      <w:pPr>
        <w:pStyle w:val="18"/>
        <w:spacing w:line="480" w:lineRule="auto"/>
        <w:rPr>
          <w:rFonts w:hint="default" w:cs="宋体"/>
          <w:b w:val="0"/>
          <w:color w:val="auto"/>
          <w:sz w:val="24"/>
          <w:szCs w:val="24"/>
          <w:highlight w:val="none"/>
          <w:lang w:val="en-US"/>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8"/>
          <w:rFonts w:hint="eastAsia" w:cs="宋体"/>
          <w:color w:val="auto"/>
          <w:sz w:val="24"/>
          <w:szCs w:val="24"/>
          <w:highlight w:val="none"/>
        </w:rPr>
        <w:t>第三章  投标人须知</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18</w:t>
      </w:r>
    </w:p>
    <w:p>
      <w:pPr>
        <w:pStyle w:val="18"/>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8"/>
          <w:rFonts w:hint="eastAsia" w:cs="宋体"/>
          <w:color w:val="auto"/>
          <w:sz w:val="24"/>
          <w:szCs w:val="24"/>
          <w:highlight w:val="none"/>
        </w:rPr>
        <w:t>第四章  评标方法及评分标准</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33</w:t>
      </w:r>
    </w:p>
    <w:p>
      <w:pPr>
        <w:pStyle w:val="18"/>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8"/>
          <w:rFonts w:hint="eastAsia" w:cs="宋体"/>
          <w:color w:val="auto"/>
          <w:sz w:val="24"/>
          <w:szCs w:val="24"/>
          <w:highlight w:val="none"/>
        </w:rPr>
        <w:t>第五章  合同主要条款</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35</w:t>
      </w: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8"/>
          <w:rFonts w:hint="eastAsia" w:cs="宋体"/>
          <w:color w:val="auto"/>
          <w:sz w:val="24"/>
          <w:szCs w:val="24"/>
          <w:highlight w:val="none"/>
        </w:rPr>
        <w:t>第六章　投标文件格式</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38</w:t>
      </w:r>
    </w:p>
    <w:p>
      <w:pPr>
        <w:spacing w:line="480" w:lineRule="auto"/>
        <w:rPr>
          <w:rFonts w:hint="default"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tabs>
          <w:tab w:val="left" w:pos="5691"/>
        </w:tabs>
        <w:jc w:val="left"/>
        <w:rPr>
          <w:rFonts w:hint="default"/>
          <w:color w:val="auto"/>
          <w:highlight w:val="none"/>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color w:val="auto"/>
          <w:highlight w:val="none"/>
        </w:rPr>
        <w:tab/>
      </w:r>
    </w:p>
    <w:p>
      <w:pPr>
        <w:pStyle w:val="4"/>
        <w:numPr>
          <w:ilvl w:val="0"/>
          <w:numId w:val="3"/>
        </w:numPr>
        <w:spacing w:before="0" w:after="0"/>
        <w:rPr>
          <w:rFonts w:ascii="宋体" w:hAnsi="宋体" w:eastAsia="宋体" w:cs="宋体"/>
          <w:color w:val="auto"/>
          <w:sz w:val="30"/>
          <w:szCs w:val="30"/>
          <w:highlight w:val="none"/>
        </w:rPr>
      </w:pPr>
      <w:bookmarkStart w:id="1" w:name="_Toc423016462"/>
      <w:r>
        <w:rPr>
          <w:rFonts w:hint="eastAsia" w:ascii="宋体" w:hAnsi="宋体" w:eastAsia="宋体" w:cs="宋体"/>
          <w:color w:val="auto"/>
          <w:sz w:val="30"/>
          <w:szCs w:val="30"/>
          <w:highlight w:val="none"/>
        </w:rPr>
        <w:t xml:space="preserve"> 招标公告</w:t>
      </w:r>
      <w:bookmarkEnd w:id="1"/>
    </w:p>
    <w:p>
      <w:pPr>
        <w:pStyle w:val="3"/>
        <w:rPr>
          <w:rFonts w:hint="default"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3" name="文本框 2"/>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default" w:ascii="宋体" w:hAnsi="宋体" w:cs="宋体"/>
                                <w:color w:val="auto"/>
                              </w:rPr>
                            </w:pPr>
                            <w:r>
                              <w:rPr>
                                <w:rFonts w:ascii="宋体" w:hAnsi="宋体" w:cs="宋体"/>
                                <w:color w:val="auto"/>
                              </w:rPr>
                              <w:t>项目概况</w:t>
                            </w:r>
                          </w:p>
                          <w:p>
                            <w:pPr>
                              <w:ind w:firstLine="420" w:firstLineChars="200"/>
                              <w:jc w:val="left"/>
                              <w:rPr>
                                <w:rFonts w:hint="default" w:ascii="宋体" w:hAnsi="宋体" w:cs="宋体"/>
                                <w:color w:val="auto"/>
                              </w:rPr>
                            </w:pPr>
                            <w:r>
                              <w:rPr>
                                <w:rFonts w:hint="eastAsia" w:ascii="宋体" w:hAnsi="宋体" w:cs="宋体"/>
                                <w:color w:val="auto"/>
                                <w:u w:val="single"/>
                                <w:lang w:eastAsia="zh-CN"/>
                              </w:rPr>
                              <w:t>长兴县环境保护监测站应急及常规监测能力提升项目</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获取（下载）招标文件，并于</w:t>
                            </w:r>
                            <w:r>
                              <w:rPr>
                                <w:rFonts w:hint="eastAsia" w:ascii="宋体" w:hAnsi="宋体" w:cs="宋体"/>
                                <w:color w:val="auto"/>
                                <w:u w:val="single"/>
                                <w:lang w:eastAsia="zh-CN"/>
                              </w:rPr>
                              <w:t>2022年08月02日09：00</w:t>
                            </w:r>
                            <w:r>
                              <w:rPr>
                                <w:rFonts w:ascii="宋体" w:hAnsi="宋体" w:cs="宋体"/>
                                <w:color w:val="auto"/>
                              </w:rPr>
                              <w:t>（北京时间）前递交（上传）投标文件。</w:t>
                            </w:r>
                          </w:p>
                        </w:txbxContent>
                      </wps:txbx>
                      <wps:bodyPr upright="1"/>
                    </wps:wsp>
                  </a:graphicData>
                </a:graphic>
              </wp:anchor>
            </w:drawing>
          </mc:Choice>
          <mc:Fallback>
            <w:pict>
              <v:shape id="文本框 2" o:spid="_x0000_s1026" o:spt="202" type="#_x0000_t202" style="position:absolute;left:0pt;margin-left:2.35pt;margin-top:0.95pt;height:68.2pt;width:461.25pt;z-index:251659264;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zzWvBw0CAAA2BAAADgAAAGRycy9lMm9Eb2MueG1srVNLjhMx&#10;EN0jcQfLe9KdQDKZVjojQQgbBEgDB3Bsd7cl/+Ry0p0LwA1YsWHPuXIOyk4m82ORBb1wl+3n53qv&#10;youbwWiykwGUszUdj0pKpOVOKNvW9NvX9as5JRCZFUw7K2u6l0Bvli9fLHpfyYnrnBYyECSxUPW+&#10;pl2MvioK4J00DEbOS4ubjQuGRZyGthCB9chudDEpy1nRuyB8cFwC4OrquElPjOESQtc0isuV41sj&#10;bTyyBqlZREnQKQ90mbNtGsnj56YBGYmuKSqNecRLMN6ksVguWNUG5jvFTymwS1J4oskwZfHSM9WK&#10;RUa2QT2jMooHB66JI+5McRSSHUEV4/KJN7cd8zJrQavBn02H/0fLP+2+BKJETV9TYpnBgh9+/jj8&#10;+nP4/Z1Mkj29hwpRtx5xcXjrBmyau3XAxaR6aIJJf9RDcB/N3Z/NlUMkHBen8+nV/GpKCce9+Ww2&#10;fpPdL+5P+wDxg3SGpKCmAYuXPWW7jxAxE4TeQdJl4LQSa6V1noR2804HsmNY6HX+UpJ45BFMW9LX&#10;9Ho6SXkw7N4GuwZD49EBsG2+79EJeEhc5u9fxCmxFYPumEBmSDBWGRVlyFEnmXhvBYl7jy5bfFw0&#10;JWOkoERLfIspysjIlL4Eieq0RZGpRMdSpCgOmwFpUrhxYo9l2/qg2g4tzYXLcGyn7M6p9VO/Ppxn&#10;0vvnv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NY90dUAAAAHAQAADwAAAAAAAAABACAAAAAi&#10;AAAAZHJzL2Rvd25yZXYueG1sUEsBAhQAFAAAAAgAh07iQM81rwcNAgAANgQAAA4AAAAAAAAAAQAg&#10;AAAAJAEAAGRycy9lMm9Eb2MueG1sUEsFBgAAAAAGAAYAWQEAAKMFAAAAAA==&#10;">
                <v:fill on="t" focussize="0,0"/>
                <v:stroke color="#000000" joinstyle="miter"/>
                <v:imagedata o:title=""/>
                <o:lock v:ext="edit" aspectratio="f"/>
                <v:textbox>
                  <w:txbxContent>
                    <w:p>
                      <w:pPr>
                        <w:ind w:firstLine="420" w:firstLineChars="200"/>
                        <w:rPr>
                          <w:rFonts w:hint="default" w:ascii="宋体" w:hAnsi="宋体" w:cs="宋体"/>
                          <w:color w:val="auto"/>
                        </w:rPr>
                      </w:pPr>
                      <w:r>
                        <w:rPr>
                          <w:rFonts w:ascii="宋体" w:hAnsi="宋体" w:cs="宋体"/>
                          <w:color w:val="auto"/>
                        </w:rPr>
                        <w:t>项目概况</w:t>
                      </w:r>
                    </w:p>
                    <w:p>
                      <w:pPr>
                        <w:ind w:firstLine="420" w:firstLineChars="200"/>
                        <w:jc w:val="left"/>
                        <w:rPr>
                          <w:rFonts w:hint="default" w:ascii="宋体" w:hAnsi="宋体" w:cs="宋体"/>
                          <w:color w:val="auto"/>
                        </w:rPr>
                      </w:pPr>
                      <w:r>
                        <w:rPr>
                          <w:rFonts w:hint="eastAsia" w:ascii="宋体" w:hAnsi="宋体" w:cs="宋体"/>
                          <w:color w:val="auto"/>
                          <w:u w:val="single"/>
                          <w:lang w:eastAsia="zh-CN"/>
                        </w:rPr>
                        <w:t>长兴县环境保护监测站应急及常规监测能力提升项目</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获取（下载）招标文件，并于</w:t>
                      </w:r>
                      <w:r>
                        <w:rPr>
                          <w:rFonts w:hint="eastAsia" w:ascii="宋体" w:hAnsi="宋体" w:cs="宋体"/>
                          <w:color w:val="auto"/>
                          <w:u w:val="single"/>
                          <w:lang w:eastAsia="zh-CN"/>
                        </w:rPr>
                        <w:t>2022年08月02日09：00</w:t>
                      </w:r>
                      <w:r>
                        <w:rPr>
                          <w:rFonts w:ascii="宋体" w:hAnsi="宋体" w:cs="宋体"/>
                          <w:color w:val="auto"/>
                        </w:rPr>
                        <w:t>（北京时间）前递交（上传）投标文件。</w:t>
                      </w:r>
                    </w:p>
                  </w:txbxContent>
                </v:textbox>
              </v:shape>
            </w:pict>
          </mc:Fallback>
        </mc:AlternateContent>
      </w:r>
    </w:p>
    <w:p>
      <w:pPr>
        <w:pStyle w:val="3"/>
        <w:rPr>
          <w:rFonts w:hint="default" w:ascii="宋体" w:hAnsi="宋体" w:cs="宋体"/>
          <w:color w:val="auto"/>
          <w:sz w:val="52"/>
          <w:szCs w:val="52"/>
          <w:highlight w:val="none"/>
        </w:rPr>
      </w:pPr>
    </w:p>
    <w:p>
      <w:pPr>
        <w:keepNext w:val="0"/>
        <w:keepLines w:val="0"/>
        <w:pageBreakBefore w:val="0"/>
        <w:widowControl/>
        <w:kinsoku/>
        <w:wordWrap/>
        <w:overflowPunct/>
        <w:topLinePunct w:val="0"/>
        <w:autoSpaceDE/>
        <w:autoSpaceDN/>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ZJJWCG-2022-013</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项目名称：</w:t>
      </w:r>
      <w:r>
        <w:rPr>
          <w:rFonts w:hint="eastAsia" w:ascii="宋体" w:hAnsi="宋体" w:cs="宋体"/>
          <w:color w:val="auto"/>
          <w:highlight w:val="none"/>
          <w:lang w:eastAsia="zh-CN"/>
        </w:rPr>
        <w:t>长兴县环境保护监测站应急及常规监测能力提升项目</w:t>
      </w:r>
      <w:r>
        <w:rPr>
          <w:rFonts w:ascii="宋体" w:hAnsi="宋体" w:cs="宋体"/>
          <w:color w:val="auto"/>
          <w:highlight w:val="none"/>
        </w:rPr>
        <w:t xml:space="preserve"> </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采购方式：公开招标</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eastAsia="zh-CN"/>
        </w:rPr>
        <w:t>2880000</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eastAsia="zh-CN"/>
        </w:rPr>
        <w:t>2880000</w:t>
      </w:r>
    </w:p>
    <w:p>
      <w:pPr>
        <w:keepNext w:val="0"/>
        <w:keepLines w:val="0"/>
        <w:pageBreakBefore w:val="0"/>
        <w:widowControl/>
        <w:kinsoku/>
        <w:wordWrap/>
        <w:overflowPunct/>
        <w:topLinePunct w:val="0"/>
        <w:autoSpaceDE/>
        <w:autoSpaceDN/>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7"/>
        <w:gridCol w:w="681"/>
        <w:gridCol w:w="643"/>
        <w:gridCol w:w="1097"/>
        <w:gridCol w:w="360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标项序号</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数量</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单位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预算金额</w:t>
            </w:r>
          </w:p>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（元）</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color w:val="auto"/>
                <w:szCs w:val="21"/>
                <w:highlight w:val="none"/>
              </w:rPr>
            </w:pPr>
            <w:r>
              <w:rPr>
                <w:rFonts w:ascii="宋体" w:hAnsi="宋体" w:cs="宋体"/>
                <w:color w:val="auto"/>
                <w:szCs w:val="21"/>
                <w:highlight w:val="none"/>
              </w:rPr>
              <w:t>1</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szCs w:val="21"/>
                <w:highlight w:val="none"/>
              </w:rPr>
            </w:pPr>
            <w:r>
              <w:rPr>
                <w:rFonts w:hint="eastAsia" w:ascii="宋体" w:hAnsi="宋体" w:cs="宋体"/>
                <w:color w:val="auto"/>
                <w:highlight w:val="none"/>
                <w:lang w:eastAsia="zh-CN"/>
              </w:rPr>
              <w:t>长兴县环境保护监测站应急及常规监测能力提升项目</w:t>
            </w:r>
            <w:r>
              <w:rPr>
                <w:rFonts w:ascii="宋体" w:hAnsi="宋体" w:cs="宋体"/>
                <w:color w:val="auto"/>
                <w:highlight w:val="none"/>
              </w:rPr>
              <w:t xml:space="preserve"> </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批</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2880000</w:t>
            </w:r>
          </w:p>
        </w:tc>
        <w:tc>
          <w:tcPr>
            <w:tcW w:w="360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cs="宋体"/>
                <w:color w:val="auto"/>
                <w:kern w:val="0"/>
                <w:szCs w:val="21"/>
                <w:highlight w:val="none"/>
              </w:rPr>
            </w:pPr>
            <w:r>
              <w:rPr>
                <w:rFonts w:hint="eastAsia"/>
                <w:color w:val="auto"/>
                <w:kern w:val="0"/>
                <w:szCs w:val="21"/>
                <w:highlight w:val="none"/>
                <w:lang w:eastAsia="zh-CN"/>
              </w:rPr>
              <w:t>完成便携式藻分类分析仪、便携式非甲烷总烃监测仪、便携式分光光度计等仪器的供货、运输、安装调试等需做的所有工作。</w:t>
            </w:r>
            <w:r>
              <w:rPr>
                <w:color w:val="auto"/>
                <w:kern w:val="0"/>
                <w:szCs w:val="21"/>
                <w:highlight w:val="none"/>
              </w:rPr>
              <w:t>具体</w:t>
            </w:r>
            <w:r>
              <w:rPr>
                <w:rFonts w:hint="eastAsia"/>
                <w:color w:val="auto"/>
                <w:kern w:val="0"/>
                <w:szCs w:val="21"/>
                <w:highlight w:val="none"/>
                <w:lang w:eastAsia="zh-CN"/>
              </w:rPr>
              <w:t>采购</w:t>
            </w:r>
            <w:r>
              <w:rPr>
                <w:color w:val="auto"/>
                <w:kern w:val="0"/>
                <w:szCs w:val="21"/>
                <w:highlight w:val="none"/>
              </w:rPr>
              <w:t>清单、详细技术参数及要求、商务要求等详见招标文件第二章《采购需求》。</w:t>
            </w:r>
          </w:p>
        </w:tc>
        <w:tc>
          <w:tcPr>
            <w:tcW w:w="697" w:type="dxa"/>
            <w:vAlign w:val="center"/>
          </w:tcPr>
          <w:p>
            <w:pPr>
              <w:spacing w:line="360" w:lineRule="exact"/>
              <w:jc w:val="center"/>
              <w:rPr>
                <w:rFonts w:hint="default" w:ascii="宋体" w:hAnsi="宋体" w:cs="宋体"/>
                <w:color w:val="auto"/>
                <w:kern w:val="0"/>
                <w:szCs w:val="21"/>
                <w:highlight w:val="none"/>
              </w:rPr>
            </w:pPr>
          </w:p>
        </w:tc>
      </w:tr>
    </w:tbl>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合同履行期限：详见招标文件。</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eastAsia"/>
          <w:color w:val="auto"/>
          <w:kern w:val="0"/>
          <w:szCs w:val="21"/>
          <w:highlight w:val="none"/>
        </w:rPr>
      </w:pPr>
      <w:r>
        <w:rPr>
          <w:rFonts w:hint="eastAsia"/>
          <w:color w:val="auto"/>
          <w:kern w:val="0"/>
          <w:szCs w:val="21"/>
          <w:highlight w:val="none"/>
        </w:rPr>
        <w:t>本项目（否）接受联合体投标。</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bookmarkStart w:id="2" w:name="_Toc28359080"/>
      <w:bookmarkStart w:id="3" w:name="_Toc35393622"/>
      <w:bookmarkStart w:id="4" w:name="_Toc28359003"/>
      <w:bookmarkStart w:id="5" w:name="_Toc35393791"/>
      <w:r>
        <w:rPr>
          <w:rFonts w:ascii="宋体" w:hAnsi="宋体" w:cs="宋体"/>
          <w:b/>
          <w:bCs/>
          <w:color w:val="auto"/>
          <w:kern w:val="0"/>
          <w:szCs w:val="21"/>
          <w:highlight w:val="none"/>
        </w:rPr>
        <w:t>二、申请人的资格要求</w:t>
      </w:r>
      <w:bookmarkEnd w:id="2"/>
      <w:bookmarkEnd w:id="3"/>
      <w:bookmarkEnd w:id="4"/>
      <w:bookmarkEnd w:id="5"/>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bookmarkStart w:id="6" w:name="_Toc28359081"/>
      <w:bookmarkStart w:id="7" w:name="_Toc28359004"/>
      <w:r>
        <w:rPr>
          <w:rFonts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2.落实政府采购政策需满足的资格要求：</w:t>
      </w:r>
      <w:r>
        <w:rPr>
          <w:rFonts w:hint="eastAsia" w:ascii="宋体" w:hAnsi="宋体" w:cs="宋体"/>
          <w:color w:val="auto"/>
          <w:kern w:val="0"/>
          <w:szCs w:val="21"/>
          <w:highlight w:val="none"/>
          <w:lang w:eastAsia="zh-CN"/>
        </w:rPr>
        <w:t>无</w:t>
      </w:r>
      <w:r>
        <w:rPr>
          <w:rFonts w:ascii="宋体" w:hAnsi="宋体" w:cs="宋体"/>
          <w:color w:val="auto"/>
          <w:kern w:val="0"/>
          <w:szCs w:val="21"/>
          <w:highlight w:val="none"/>
        </w:rPr>
        <w:t>。</w:t>
      </w:r>
    </w:p>
    <w:p>
      <w:pPr>
        <w:pStyle w:val="2"/>
        <w:keepNext w:val="0"/>
        <w:keepLines w:val="0"/>
        <w:pageBreakBefore w:val="0"/>
        <w:kinsoku/>
        <w:wordWrap/>
        <w:overflowPunct/>
        <w:topLinePunct w:val="0"/>
        <w:bidi w:val="0"/>
        <w:adjustRightInd/>
        <w:snapToGrid/>
        <w:spacing w:after="0" w:line="310" w:lineRule="exact"/>
        <w:ind w:firstLineChars="200"/>
        <w:textAlignment w:val="auto"/>
        <w:rPr>
          <w:rFonts w:hint="eastAsia" w:ascii="宋体" w:hAnsi="宋体" w:eastAsia="宋体" w:cs="宋体"/>
          <w:color w:val="auto"/>
          <w:szCs w:val="21"/>
          <w:highlight w:val="none"/>
          <w:lang w:eastAsia="zh-CN"/>
        </w:rPr>
      </w:pPr>
      <w:bookmarkStart w:id="8" w:name="_Toc35393623"/>
      <w:bookmarkStart w:id="9" w:name="_Toc35393792"/>
      <w:r>
        <w:rPr>
          <w:rFonts w:ascii="宋体" w:hAnsi="宋体" w:cs="宋体"/>
          <w:color w:val="auto"/>
          <w:kern w:val="0"/>
          <w:szCs w:val="21"/>
          <w:highlight w:val="none"/>
        </w:rPr>
        <w:t>3.本项目的特定资格要求：</w:t>
      </w:r>
      <w:bookmarkEnd w:id="6"/>
      <w:bookmarkEnd w:id="7"/>
      <w:bookmarkEnd w:id="8"/>
      <w:bookmarkEnd w:id="9"/>
      <w:r>
        <w:rPr>
          <w:rFonts w:hint="eastAsia" w:ascii="宋体" w:hAnsi="宋体" w:cs="宋体"/>
          <w:color w:val="auto"/>
          <w:kern w:val="0"/>
          <w:szCs w:val="21"/>
          <w:highlight w:val="none"/>
          <w:lang w:eastAsia="zh-CN"/>
        </w:rPr>
        <w:t>无。</w:t>
      </w:r>
    </w:p>
    <w:p>
      <w:pPr>
        <w:keepNext w:val="0"/>
        <w:keepLines w:val="0"/>
        <w:pageBreakBefore w:val="0"/>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三、获取</w:t>
      </w:r>
      <w:r>
        <w:rPr>
          <w:rFonts w:hint="eastAsia" w:ascii="宋体" w:hAnsi="宋体" w:cs="宋体"/>
          <w:b/>
          <w:bCs/>
          <w:color w:val="auto"/>
          <w:kern w:val="0"/>
          <w:szCs w:val="21"/>
          <w:highlight w:val="none"/>
          <w:lang w:val="en-US" w:eastAsia="zh-CN"/>
        </w:rPr>
        <w:t>招标</w:t>
      </w:r>
      <w:r>
        <w:rPr>
          <w:rFonts w:ascii="宋体" w:hAnsi="宋体" w:cs="宋体"/>
          <w:b/>
          <w:bCs/>
          <w:color w:val="auto"/>
          <w:kern w:val="0"/>
          <w:szCs w:val="21"/>
          <w:highlight w:val="none"/>
        </w:rPr>
        <w:t>文件</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5"/>
          <w:rFonts w:ascii="宋体" w:hAnsi="宋体" w:cs="宋体"/>
          <w:color w:val="auto"/>
          <w:szCs w:val="21"/>
          <w:highlight w:val="none"/>
        </w:rPr>
        <w:t>政府采购云平台（www.zcygov.cn）。</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纸质版招标文件。</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4.售价（元）：0</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bookmarkStart w:id="10" w:name="_Toc28359082"/>
      <w:bookmarkStart w:id="11" w:name="_Toc28359005"/>
      <w:bookmarkStart w:id="12" w:name="_Toc35393793"/>
      <w:bookmarkStart w:id="13" w:name="_Toc35393624"/>
      <w:r>
        <w:rPr>
          <w:rFonts w:ascii="宋体" w:hAnsi="宋体" w:cs="宋体"/>
          <w:color w:val="auto"/>
          <w:kern w:val="0"/>
          <w:szCs w:val="21"/>
          <w:highlight w:val="none"/>
        </w:rPr>
        <w:t>6.采购项目信息发布网址：“浙江省政府采购网”（http://zfcg.czt.zj.gov.cn/）、“长兴县公共资源交易中心网 ”（http://ggzy.zjcx.gov.cn:8081/cxweb/）</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bookmarkStart w:id="14" w:name="_Toc28359007"/>
      <w:bookmarkStart w:id="15" w:name="_Toc28359084"/>
      <w:bookmarkStart w:id="16" w:name="_Toc35393625"/>
      <w:bookmarkStart w:id="17" w:name="_Toc35393794"/>
      <w:r>
        <w:rPr>
          <w:rFonts w:ascii="宋体" w:hAnsi="宋体" w:cs="宋体"/>
          <w:color w:val="auto"/>
          <w:kern w:val="0"/>
          <w:szCs w:val="21"/>
          <w:highlight w:val="none"/>
        </w:rPr>
        <w:t>1.</w:t>
      </w:r>
      <w:r>
        <w:rPr>
          <w:rFonts w:hint="eastAsia" w:ascii="宋体" w:hAnsi="宋体" w:cs="宋体"/>
          <w:color w:val="auto"/>
          <w:kern w:val="0"/>
          <w:szCs w:val="21"/>
          <w:highlight w:val="none"/>
        </w:rPr>
        <w:t>提交投标文件截止时间</w:t>
      </w:r>
      <w:r>
        <w:rPr>
          <w:rFonts w:ascii="宋体" w:hAnsi="宋体" w:cs="宋体"/>
          <w:color w:val="auto"/>
          <w:kern w:val="0"/>
          <w:szCs w:val="21"/>
          <w:highlight w:val="none"/>
        </w:rPr>
        <w:t>：</w:t>
      </w:r>
      <w:r>
        <w:rPr>
          <w:rFonts w:hint="eastAsia" w:ascii="宋体" w:hAnsi="宋体" w:cs="宋体"/>
          <w:color w:val="auto"/>
          <w:kern w:val="0"/>
          <w:szCs w:val="21"/>
          <w:highlight w:val="none"/>
          <w:lang w:eastAsia="zh-CN"/>
        </w:rPr>
        <w:t>2022年08月02日09：00</w:t>
      </w:r>
      <w:r>
        <w:rPr>
          <w:rFonts w:ascii="宋体" w:hAnsi="宋体" w:cs="宋体"/>
          <w:color w:val="auto"/>
          <w:kern w:val="0"/>
          <w:szCs w:val="21"/>
          <w:highlight w:val="none"/>
        </w:rPr>
        <w:t>（北京时间）。</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投标</w:t>
      </w:r>
      <w:r>
        <w:rPr>
          <w:rFonts w:ascii="宋体" w:hAnsi="宋体" w:cs="宋体"/>
          <w:color w:val="auto"/>
          <w:kern w:val="0"/>
          <w:szCs w:val="21"/>
          <w:highlight w:val="none"/>
        </w:rPr>
        <w:t>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开标</w:t>
      </w:r>
      <w:r>
        <w:rPr>
          <w:rFonts w:ascii="宋体" w:hAnsi="宋体" w:cs="宋体"/>
          <w:color w:val="auto"/>
          <w:kern w:val="0"/>
          <w:szCs w:val="21"/>
          <w:highlight w:val="none"/>
        </w:rPr>
        <w:t>时间：</w:t>
      </w:r>
      <w:r>
        <w:rPr>
          <w:rFonts w:hint="eastAsia" w:ascii="宋体" w:hAnsi="宋体" w:cs="宋体"/>
          <w:color w:val="auto"/>
          <w:kern w:val="0"/>
          <w:szCs w:val="21"/>
          <w:highlight w:val="none"/>
          <w:lang w:eastAsia="zh-CN"/>
        </w:rPr>
        <w:t>2022年08月02日09：00</w:t>
      </w:r>
      <w:r>
        <w:rPr>
          <w:rFonts w:ascii="宋体" w:hAnsi="宋体" w:cs="宋体"/>
          <w:color w:val="auto"/>
          <w:kern w:val="0"/>
          <w:szCs w:val="21"/>
          <w:highlight w:val="none"/>
        </w:rPr>
        <w:t>（北京时间）。</w:t>
      </w:r>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开标</w:t>
      </w:r>
      <w:r>
        <w:rPr>
          <w:rFonts w:ascii="宋体" w:hAnsi="宋体" w:cs="宋体"/>
          <w:color w:val="auto"/>
          <w:kern w:val="0"/>
          <w:szCs w:val="21"/>
          <w:highlight w:val="none"/>
        </w:rPr>
        <w:t>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五</w:t>
      </w:r>
      <w:r>
        <w:rPr>
          <w:rFonts w:ascii="宋体" w:hAnsi="宋体" w:cs="宋体"/>
          <w:b/>
          <w:bCs/>
          <w:color w:val="auto"/>
          <w:kern w:val="0"/>
          <w:szCs w:val="21"/>
          <w:highlight w:val="none"/>
        </w:rPr>
        <w:t>、公告期限</w:t>
      </w:r>
      <w:bookmarkEnd w:id="14"/>
      <w:bookmarkEnd w:id="15"/>
      <w:bookmarkEnd w:id="16"/>
      <w:bookmarkEnd w:id="17"/>
    </w:p>
    <w:p>
      <w:pPr>
        <w:keepNext w:val="0"/>
        <w:keepLines w:val="0"/>
        <w:pageBreakBefore w:val="0"/>
        <w:widowControl/>
        <w:kinsoku/>
        <w:wordWrap/>
        <w:overflowPunct/>
        <w:topLinePunct w:val="0"/>
        <w:bidi w:val="0"/>
        <w:adjustRightInd/>
        <w:snapToGrid/>
        <w:spacing w:line="31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自本公告发布之日起5个工作日。</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bookmarkStart w:id="18" w:name="_Toc35393795"/>
      <w:bookmarkStart w:id="19" w:name="_Toc35393626"/>
      <w:r>
        <w:rPr>
          <w:rFonts w:hint="eastAsia" w:ascii="宋体" w:hAnsi="宋体" w:cs="宋体"/>
          <w:b/>
          <w:bCs/>
          <w:color w:val="auto"/>
          <w:kern w:val="0"/>
          <w:szCs w:val="21"/>
          <w:highlight w:val="none"/>
          <w:lang w:val="en-US" w:eastAsia="zh-CN"/>
        </w:rPr>
        <w:t>六</w:t>
      </w:r>
      <w:r>
        <w:rPr>
          <w:rFonts w:ascii="宋体" w:hAnsi="宋体" w:cs="宋体"/>
          <w:b/>
          <w:bCs/>
          <w:color w:val="auto"/>
          <w:kern w:val="0"/>
          <w:szCs w:val="21"/>
          <w:highlight w:val="none"/>
        </w:rPr>
        <w:t>、其他补充事宜</w:t>
      </w:r>
      <w:bookmarkEnd w:id="18"/>
      <w:bookmarkEnd w:id="19"/>
    </w:p>
    <w:p>
      <w:pPr>
        <w:pStyle w:val="2"/>
        <w:keepNext w:val="0"/>
        <w:keepLines w:val="0"/>
        <w:pageBreakBefore w:val="0"/>
        <w:kinsoku/>
        <w:wordWrap/>
        <w:overflowPunct/>
        <w:topLinePunct w:val="0"/>
        <w:bidi w:val="0"/>
        <w:adjustRightInd/>
        <w:snapToGrid/>
        <w:spacing w:after="0" w:line="310"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1.投标保证金：无。</w:t>
      </w:r>
    </w:p>
    <w:p>
      <w:pPr>
        <w:pStyle w:val="2"/>
        <w:keepNext w:val="0"/>
        <w:keepLines w:val="0"/>
        <w:pageBreakBefore w:val="0"/>
        <w:kinsoku/>
        <w:wordWrap/>
        <w:overflowPunct/>
        <w:topLinePunct w:val="0"/>
        <w:bidi w:val="0"/>
        <w:adjustRightInd/>
        <w:snapToGrid/>
        <w:spacing w:after="0" w:line="310" w:lineRule="exact"/>
        <w:ind w:firstLine="422" w:firstLineChars="200"/>
        <w:textAlignment w:val="auto"/>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ascii="宋体" w:hAnsi="宋体" w:cs="宋体"/>
          <w:b/>
          <w:bCs/>
          <w:color w:val="auto"/>
          <w:kern w:val="0"/>
          <w:szCs w:val="21"/>
          <w:highlight w:val="none"/>
          <w:lang w:val="zh-CN"/>
        </w:rPr>
        <w:t>投标说明</w:t>
      </w:r>
    </w:p>
    <w:p>
      <w:pPr>
        <w:keepNext w:val="0"/>
        <w:keepLines w:val="0"/>
        <w:pageBreakBefore w:val="0"/>
        <w:kinsoku/>
        <w:wordWrap/>
        <w:overflowPunct/>
        <w:topLinePunct w:val="0"/>
        <w:autoSpaceDE w:val="0"/>
        <w:autoSpaceDN w:val="0"/>
        <w:bidi w:val="0"/>
        <w:adjustRightInd/>
        <w:snapToGrid/>
        <w:spacing w:line="31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pPr>
        <w:keepNext w:val="0"/>
        <w:keepLines w:val="0"/>
        <w:pageBreakBefore w:val="0"/>
        <w:kinsoku/>
        <w:wordWrap/>
        <w:overflowPunct/>
        <w:topLinePunct w:val="0"/>
        <w:autoSpaceDE w:val="0"/>
        <w:autoSpaceDN w:val="0"/>
        <w:bidi w:val="0"/>
        <w:adjustRightInd/>
        <w:snapToGrid/>
        <w:spacing w:line="31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ascii="宋体" w:hAnsi="宋体" w:cs="宋体"/>
          <w:color w:val="auto"/>
          <w:szCs w:val="21"/>
          <w:highlight w:val="none"/>
          <w:lang w:val="zh-CN"/>
        </w:rPr>
        <w:t>http://www.zjzfcg.gov.cn/bidClientTemplate/2019-05-27/12945.html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）。完成CA数字证书办理预计一周左右，建议各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pPr>
        <w:pStyle w:val="2"/>
        <w:keepNext w:val="0"/>
        <w:keepLines w:val="0"/>
        <w:pageBreakBefore w:val="0"/>
        <w:kinsoku/>
        <w:wordWrap/>
        <w:overflowPunct/>
        <w:topLinePunct w:val="0"/>
        <w:bidi w:val="0"/>
        <w:adjustRightInd/>
        <w:snapToGrid/>
        <w:spacing w:after="0" w:line="310" w:lineRule="exact"/>
        <w:ind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ascii="宋体" w:hAnsi="宋体" w:cs="宋体"/>
          <w:color w:val="auto"/>
          <w:szCs w:val="21"/>
          <w:highlight w:val="none"/>
          <w:lang w:val="zh-CN"/>
        </w:rPr>
        <w:t>http://zfcg.czt.zj.gov.cn/bidClientTemplate/2019-09-24/12975.html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），电子投标制作具体流程详见“政采云供应商项目采购-电子招投标操作指南”（请</w:t>
      </w:r>
      <w:r>
        <w:rPr>
          <w:rFonts w:ascii="宋体" w:hAnsi="宋体" w:cs="宋体"/>
          <w:color w:val="auto"/>
          <w:szCs w:val="21"/>
          <w:highlight w:val="none"/>
        </w:rPr>
        <w:t>潜在投标人</w:t>
      </w:r>
      <w:r>
        <w:rPr>
          <w:rFonts w:ascii="宋体" w:hAnsi="宋体" w:cs="宋体"/>
          <w:color w:val="auto"/>
          <w:szCs w:val="21"/>
          <w:highlight w:val="none"/>
          <w:lang w:val="zh-CN"/>
        </w:rPr>
        <w:t>点击链接https://help.zcygov.cn/web/site_2/2018/12-28/2573.html）以获取最新操作指南。</w:t>
      </w:r>
    </w:p>
    <w:p>
      <w:pPr>
        <w:pStyle w:val="2"/>
        <w:keepNext w:val="0"/>
        <w:keepLines w:val="0"/>
        <w:pageBreakBefore w:val="0"/>
        <w:kinsoku/>
        <w:wordWrap/>
        <w:overflowPunct/>
        <w:topLinePunct w:val="0"/>
        <w:bidi w:val="0"/>
        <w:adjustRightInd/>
        <w:snapToGrid/>
        <w:spacing w:after="0" w:line="310" w:lineRule="exact"/>
        <w:ind w:firstLine="422" w:firstLineChars="200"/>
        <w:textAlignment w:val="auto"/>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因本次开标为全流程电子开评标，请各投标人自备可联网的电脑及CA锁。政采云平台在线报价操作失败的，投标人应通过指定的电子邮箱或电话及时联系采购代理机构。</w:t>
      </w:r>
    </w:p>
    <w:p>
      <w:pPr>
        <w:pStyle w:val="2"/>
        <w:keepNext w:val="0"/>
        <w:keepLines w:val="0"/>
        <w:pageBreakBefore w:val="0"/>
        <w:kinsoku/>
        <w:wordWrap/>
        <w:overflowPunct/>
        <w:topLinePunct w:val="0"/>
        <w:bidi w:val="0"/>
        <w:adjustRightInd/>
        <w:snapToGrid/>
        <w:spacing w:after="0" w:line="310" w:lineRule="exact"/>
        <w:ind w:firstLine="422" w:firstLineChars="200"/>
        <w:textAlignment w:val="auto"/>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提交（上传）投标文件说明</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keepNext w:val="0"/>
        <w:keepLines w:val="0"/>
        <w:pageBreakBefore w:val="0"/>
        <w:kinsoku/>
        <w:wordWrap/>
        <w:overflowPunct/>
        <w:topLinePunct w:val="0"/>
        <w:autoSpaceDE w:val="0"/>
        <w:autoSpaceDN w:val="0"/>
        <w:bidi w:val="0"/>
        <w:adjustRightInd/>
        <w:snapToGrid/>
        <w:spacing w:line="310" w:lineRule="exact"/>
        <w:ind w:firstLine="480"/>
        <w:jc w:val="left"/>
        <w:textAlignment w:val="auto"/>
        <w:rPr>
          <w:rFonts w:hint="default" w:ascii="宋体" w:cs="宋体"/>
          <w:color w:val="auto"/>
          <w:szCs w:val="21"/>
          <w:highlight w:val="none"/>
          <w:lang w:val="zh-CN"/>
        </w:rPr>
      </w:pPr>
      <w:r>
        <w:rPr>
          <w:rFonts w:asci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。考虑疫情情况，U盘备份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东方经纬项目管理有限公司</w:t>
      </w:r>
      <w:r>
        <w:rPr>
          <w:rFonts w:ascii="宋体" w:cs="宋体"/>
          <w:color w:val="auto"/>
          <w:szCs w:val="21"/>
          <w:highlight w:val="none"/>
          <w:lang w:val="zh-CN"/>
        </w:rPr>
        <w:t>（长兴县金荣大厦19楼1916室），收件人：邱工，联系电话：0572-6038878/13587907418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2022年08月01日17:00时前</w:t>
      </w:r>
      <w:r>
        <w:rPr>
          <w:rFonts w:asci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keepNext w:val="0"/>
        <w:keepLines w:val="0"/>
        <w:pageBreakBefore w:val="0"/>
        <w:kinsoku/>
        <w:wordWrap/>
        <w:overflowPunct/>
        <w:topLinePunct w:val="0"/>
        <w:autoSpaceDE w:val="0"/>
        <w:autoSpaceDN w:val="0"/>
        <w:bidi w:val="0"/>
        <w:adjustRightInd/>
        <w:snapToGrid/>
        <w:spacing w:line="31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snapToGrid/>
        <w:spacing w:line="31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snapToGrid/>
        <w:spacing w:line="310" w:lineRule="exact"/>
        <w:ind w:firstLine="422" w:firstLineChars="200"/>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w:t>
      </w:r>
      <w:r>
        <w:rPr>
          <w:rFonts w:ascii="宋体" w:hAnsi="宋体" w:cs="宋体"/>
          <w:b/>
          <w:bCs/>
          <w:color w:val="auto"/>
          <w:szCs w:val="21"/>
          <w:highlight w:val="none"/>
          <w:lang w:val="zh-CN"/>
        </w:rPr>
        <w:t>质疑</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cs="宋体"/>
          <w:color w:val="auto"/>
          <w:szCs w:val="21"/>
          <w:highlight w:val="none"/>
          <w:lang w:val="zh-CN"/>
        </w:rPr>
      </w:pPr>
      <w:r>
        <w:rPr>
          <w:rFonts w:ascii="宋体" w:cs="宋体"/>
          <w:color w:val="auto"/>
          <w:szCs w:val="21"/>
          <w:highlight w:val="none"/>
          <w:lang w:val="zh-CN"/>
        </w:rPr>
        <w:t>投标人认为招标文件使自己的权益受到损害的，可以自下载招标文件之日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val="0"/>
        <w:autoSpaceDN w:val="0"/>
        <w:bidi w:val="0"/>
        <w:adjustRightInd/>
        <w:snapToGrid/>
        <w:spacing w:line="310" w:lineRule="exact"/>
        <w:ind w:firstLine="422" w:firstLineChars="20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w:t>
      </w:r>
      <w:r>
        <w:rPr>
          <w:rFonts w:ascii="宋体" w:hAnsi="宋体" w:cs="宋体"/>
          <w:b/>
          <w:bCs/>
          <w:color w:val="auto"/>
          <w:szCs w:val="21"/>
          <w:highlight w:val="none"/>
          <w:lang w:val="zh-CN"/>
        </w:rPr>
        <w:t>需要落实的政府采购政策</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ascii="宋体" w:cs="宋体"/>
          <w:color w:val="auto"/>
          <w:szCs w:val="21"/>
          <w:highlight w:val="none"/>
        </w:rPr>
      </w:pPr>
      <w:bookmarkStart w:id="20" w:name="_Toc35393627"/>
      <w:bookmarkStart w:id="21" w:name="_Toc28359008"/>
      <w:bookmarkStart w:id="22" w:name="_Toc35393796"/>
      <w:bookmarkStart w:id="23" w:name="_Toc28359085"/>
      <w:r>
        <w:rPr>
          <w:rFonts w:hint="eastAsia" w:ascii="宋体" w:cs="宋体"/>
          <w:color w:val="auto"/>
          <w:szCs w:val="21"/>
          <w:highlight w:val="none"/>
        </w:rPr>
        <w:t>本项目执行促进中小企业发展（监狱企业、残疾人福利性单位视同小型、微型企业），优先采购节能产品，优先采购环境标志产品、政府采购金融服务政策。</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8</w:t>
      </w:r>
      <w:r>
        <w:rPr>
          <w:rFonts w:ascii="宋体" w:hAnsi="宋体" w:cs="宋体"/>
          <w:b/>
          <w:bCs/>
          <w:color w:val="auto"/>
          <w:kern w:val="0"/>
          <w:szCs w:val="21"/>
          <w:highlight w:val="none"/>
        </w:rPr>
        <w:t>.政府采购金融服务</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办理流程：政采云平台线上发起申请——银行审批给出额度利率——贷款发放。</w:t>
      </w:r>
    </w:p>
    <w:p>
      <w:pPr>
        <w:keepNext w:val="0"/>
        <w:keepLines w:val="0"/>
        <w:pageBreakBefore w:val="0"/>
        <w:kinsoku/>
        <w:wordWrap/>
        <w:overflowPunct/>
        <w:topLinePunct w:val="0"/>
        <w:autoSpaceDE w:val="0"/>
        <w:autoSpaceDN w:val="0"/>
        <w:bidi w:val="0"/>
        <w:adjustRightInd/>
        <w:snapToGrid/>
        <w:spacing w:line="310"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操作方式：登录政采云平台（</w:t>
      </w:r>
      <w:r>
        <w:rPr>
          <w:rFonts w:ascii="宋体" w:hAnsi="Times New Roman" w:cs="宋体"/>
          <w:color w:val="auto"/>
          <w:szCs w:val="21"/>
          <w:highlight w:val="none"/>
        </w:rPr>
        <w:fldChar w:fldCharType="begin"/>
      </w:r>
      <w:r>
        <w:rPr>
          <w:rFonts w:ascii="宋体" w:hAnsi="Times New Roman" w:cs="宋体"/>
          <w:color w:val="auto"/>
          <w:szCs w:val="21"/>
          <w:highlight w:val="none"/>
        </w:rPr>
        <w:instrText xml:space="preserve">INCLUDEPICTURE \d "C:\\Users\\Administrator\\AppData\\Roaming\\Tencent\\QQTempSys\\%W@GJ$ACOF(TYDYECOKVDYB.png" \* MERGEFORMATINET </w:instrText>
      </w:r>
      <w:r>
        <w:rPr>
          <w:rFonts w:ascii="宋体" w:hAnsi="Times New Roman" w:cs="宋体"/>
          <w:color w:val="auto"/>
          <w:szCs w:val="21"/>
          <w:highlight w:val="none"/>
        </w:rPr>
        <w:fldChar w:fldCharType="separate"/>
      </w:r>
      <w:r>
        <w:rPr>
          <w:rFonts w:ascii="宋体" w:hAnsi="Times New Roman" w:cs="宋体"/>
          <w:color w:val="auto"/>
          <w:szCs w:val="21"/>
          <w:highlight w:val="none"/>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ascii="宋体" w:hAnsi="Times New Roman" w:cs="宋体"/>
          <w:color w:val="auto"/>
          <w:szCs w:val="21"/>
          <w:highlight w:val="none"/>
        </w:rPr>
        <w:fldChar w:fldCharType="end"/>
      </w:r>
      <w:r>
        <w:rPr>
          <w:rFonts w:ascii="宋体" w:hAnsi="Times New Roman" w:cs="宋体"/>
          <w:color w:val="auto"/>
          <w:szCs w:val="21"/>
          <w:highlight w:val="none"/>
        </w:rPr>
        <w:t>https://www.zcygov.cn/）——点击右上角金融服务（</w:t>
      </w:r>
      <w:r>
        <w:rPr>
          <w:rFonts w:ascii="宋体" w:hAnsi="Times New Roman" w:cs="宋体"/>
          <w:color w:val="auto"/>
          <w:szCs w:val="21"/>
          <w:highlight w:val="none"/>
        </w:rPr>
        <w:fldChar w:fldCharType="begin"/>
      </w:r>
      <w:r>
        <w:rPr>
          <w:rFonts w:ascii="宋体" w:hAnsi="Times New Roman" w:cs="宋体"/>
          <w:color w:val="auto"/>
          <w:szCs w:val="21"/>
          <w:highlight w:val="none"/>
        </w:rPr>
        <w:instrText xml:space="preserve">INCLUDEPICTURE \d "C:\\Users\\Administrator\\AppData\\Roaming\\Tencent\\QQTempSys\\%W@GJ$ACOF(TYDYECOKVDYB.png" \* MERGEFORMATINET </w:instrText>
      </w:r>
      <w:r>
        <w:rPr>
          <w:rFonts w:ascii="宋体" w:hAnsi="Times New Roman" w:cs="宋体"/>
          <w:color w:val="auto"/>
          <w:szCs w:val="21"/>
          <w:highlight w:val="none"/>
        </w:rPr>
        <w:fldChar w:fldCharType="separate"/>
      </w:r>
      <w:r>
        <w:rPr>
          <w:rFonts w:ascii="宋体" w:hAnsi="Times New Roman" w:cs="宋体"/>
          <w:color w:val="auto"/>
          <w:szCs w:val="21"/>
          <w:highlight w:val="none"/>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ascii="宋体" w:hAnsi="Times New Roman" w:cs="宋体"/>
          <w:color w:val="auto"/>
          <w:szCs w:val="21"/>
          <w:highlight w:val="none"/>
        </w:rPr>
        <w:fldChar w:fldCharType="end"/>
      </w:r>
      <w:r>
        <w:rPr>
          <w:rFonts w:ascii="宋体" w:hAnsi="Times New Roman" w:cs="宋体"/>
          <w:color w:val="auto"/>
          <w:szCs w:val="21"/>
          <w:highlight w:val="none"/>
        </w:rPr>
        <w:t>https://jinrong.zcygov.cn/）——选择融资服务——选择银行及产品——线上直接申请。</w:t>
      </w:r>
    </w:p>
    <w:bookmarkEnd w:id="20"/>
    <w:bookmarkEnd w:id="21"/>
    <w:bookmarkEnd w:id="22"/>
    <w:bookmarkEnd w:id="23"/>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9.其他说明</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bidi w:val="0"/>
        <w:adjustRightInd/>
        <w:snapToGrid/>
        <w:spacing w:line="310" w:lineRule="exact"/>
        <w:ind w:firstLine="422" w:firstLineChars="200"/>
        <w:textAlignment w:val="auto"/>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七</w:t>
      </w:r>
      <w:r>
        <w:rPr>
          <w:rFonts w:ascii="宋体" w:hAnsi="宋体" w:cs="宋体"/>
          <w:b/>
          <w:bCs/>
          <w:color w:val="auto"/>
          <w:kern w:val="0"/>
          <w:szCs w:val="21"/>
          <w:highlight w:val="none"/>
        </w:rPr>
        <w:t>、</w:t>
      </w:r>
      <w:r>
        <w:rPr>
          <w:rFonts w:hint="eastAsia" w:ascii="宋体" w:hAnsi="宋体" w:cs="宋体"/>
          <w:b/>
          <w:bCs/>
          <w:color w:val="auto"/>
          <w:kern w:val="0"/>
          <w:szCs w:val="21"/>
          <w:highlight w:val="none"/>
        </w:rPr>
        <w:t>对本次采购提出询问、质疑、投诉，请按以下方式联系</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val="zh-CN"/>
        </w:rPr>
        <w:t xml:space="preserve">长兴县环境保护监测站 </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地址：长兴县兴国商务楼2号楼4楼</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项目联系人（询问）：汪</w:t>
      </w:r>
      <w:r>
        <w:rPr>
          <w:rFonts w:hint="eastAsia" w:ascii="宋体" w:hAnsi="宋体" w:cs="宋体"/>
          <w:color w:val="auto"/>
          <w:kern w:val="0"/>
          <w:szCs w:val="21"/>
          <w:highlight w:val="none"/>
          <w:lang w:eastAsia="zh-CN"/>
        </w:rPr>
        <w:t>先生</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项目联系方式（询问）：15167233400</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cs="宋体"/>
          <w:color w:val="auto"/>
          <w:kern w:val="0"/>
          <w:szCs w:val="21"/>
          <w:highlight w:val="none"/>
          <w:lang w:eastAsia="zh-CN"/>
        </w:rPr>
        <w:t>钱女士</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质疑联系方式：15858297568</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东方经纬项目管理有限公司</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地址：长兴县金荣大厦19楼1916室</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传真：0572-6038878</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ascii="宋体" w:hAnsi="宋体" w:cs="宋体"/>
          <w:color w:val="auto"/>
          <w:szCs w:val="21"/>
          <w:highlight w:val="none"/>
          <w:lang w:val="zh-CN"/>
        </w:rPr>
        <w:t>黄工、邱工</w:t>
      </w:r>
      <w:r>
        <w:rPr>
          <w:rFonts w:ascii="宋体" w:hAnsi="宋体" w:cs="宋体"/>
          <w:color w:val="auto"/>
          <w:kern w:val="0"/>
          <w:szCs w:val="21"/>
          <w:highlight w:val="none"/>
        </w:rPr>
        <w:t xml:space="preserve"> </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 xml:space="preserve">项目联系方式（询问）：0572-6038878/13587907418 </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李工</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质疑联系方式：0572-6038878</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地址：长兴县太湖街道建设商务楼</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传真：/</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pPr>
        <w:keepNext w:val="0"/>
        <w:keepLines w:val="0"/>
        <w:pageBreakBefore w:val="0"/>
        <w:widowControl/>
        <w:kinsoku/>
        <w:wordWrap/>
        <w:overflowPunct/>
        <w:topLinePunct w:val="0"/>
        <w:bidi w:val="0"/>
        <w:adjustRightInd/>
        <w:snapToGrid/>
        <w:spacing w:line="31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pPr>
        <w:keepNext w:val="0"/>
        <w:keepLines w:val="0"/>
        <w:pageBreakBefore w:val="0"/>
        <w:widowControl/>
        <w:kinsoku/>
        <w:wordWrap/>
        <w:overflowPunct/>
        <w:topLinePunct w:val="0"/>
        <w:bidi w:val="0"/>
        <w:adjustRightInd/>
        <w:snapToGrid/>
        <w:spacing w:line="310" w:lineRule="exact"/>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bidi w:val="0"/>
        <w:adjustRightInd/>
        <w:snapToGrid/>
        <w:spacing w:line="31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bookmarkStart w:id="24" w:name="_Toc423016463"/>
    </w:p>
    <w:bookmarkEnd w:id="24"/>
    <w:p>
      <w:pPr>
        <w:pStyle w:val="4"/>
        <w:numPr>
          <w:ilvl w:val="0"/>
          <w:numId w:val="3"/>
        </w:numPr>
        <w:spacing w:before="0" w:after="0"/>
        <w:rPr>
          <w:rFonts w:ascii="宋体" w:hAnsi="宋体" w:eastAsia="宋体" w:cs="宋体"/>
          <w:color w:val="auto"/>
          <w:sz w:val="30"/>
          <w:szCs w:val="30"/>
          <w:highlight w:val="none"/>
        </w:rPr>
      </w:pPr>
      <w:bookmarkStart w:id="25" w:name="_Toc423016464"/>
      <w:r>
        <w:rPr>
          <w:rFonts w:hint="eastAsia" w:ascii="宋体" w:hAnsi="宋体" w:eastAsia="宋体" w:cs="宋体"/>
          <w:color w:val="auto"/>
          <w:sz w:val="30"/>
          <w:szCs w:val="30"/>
          <w:highlight w:val="none"/>
        </w:rPr>
        <w:t xml:space="preserve"> 采购需求</w:t>
      </w:r>
    </w:p>
    <w:p>
      <w:pPr>
        <w:autoSpaceDE w:val="0"/>
        <w:autoSpaceDN w:val="0"/>
        <w:spacing w:line="300" w:lineRule="exact"/>
        <w:ind w:firstLine="422" w:firstLineChars="200"/>
        <w:outlineLvl w:val="0"/>
        <w:rPr>
          <w:rFonts w:hint="default" w:ascii="宋体" w:hAnsi="宋体" w:cs="宋体"/>
          <w:b/>
          <w:color w:val="auto"/>
          <w:szCs w:val="21"/>
          <w:highlight w:val="none"/>
        </w:rPr>
      </w:pPr>
      <w:r>
        <w:rPr>
          <w:rFonts w:ascii="宋体" w:hAnsi="宋体" w:cs="宋体"/>
          <w:b/>
          <w:color w:val="auto"/>
          <w:szCs w:val="21"/>
          <w:highlight w:val="none"/>
        </w:rPr>
        <w:t>一、总则</w:t>
      </w:r>
    </w:p>
    <w:p>
      <w:pPr>
        <w:pStyle w:val="13"/>
        <w:spacing w:line="300" w:lineRule="exact"/>
        <w:ind w:firstLine="482"/>
        <w:rPr>
          <w:rFonts w:hAnsi="宋体" w:cs="宋体"/>
          <w:color w:val="auto"/>
          <w:highlight w:val="none"/>
        </w:rPr>
      </w:pPr>
      <w:r>
        <w:rPr>
          <w:rFonts w:hint="eastAsia" w:hAnsi="宋体" w:cs="宋体"/>
          <w:color w:val="auto"/>
          <w:highlight w:val="none"/>
        </w:rPr>
        <w:t>1.本技术规范要求提出的是最低限度的基本技术要求，并未对所有技术细节作出规定，也未完全陈述与之有关的规范和标准。投标人应提供符合本技术要求和国家标准、行业标准的优质产品。</w:t>
      </w:r>
    </w:p>
    <w:p>
      <w:pPr>
        <w:pStyle w:val="13"/>
        <w:spacing w:line="300" w:lineRule="exact"/>
        <w:ind w:firstLine="482"/>
        <w:rPr>
          <w:rFonts w:hAnsi="宋体" w:cs="宋体" w:eastAsiaTheme="minorEastAsia"/>
          <w:color w:val="auto"/>
          <w:highlight w:val="none"/>
        </w:rPr>
      </w:pPr>
      <w:r>
        <w:rPr>
          <w:rFonts w:hint="eastAsia" w:hAnsi="宋体" w:cs="宋体"/>
          <w:color w:val="auto"/>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投标人提供的产品等完全满足本招标文件和有关国家技术标准的要求。如有异议，都应在技术响应表中予以明确。</w:t>
      </w:r>
    </w:p>
    <w:p>
      <w:pPr>
        <w:pStyle w:val="30"/>
        <w:tabs>
          <w:tab w:val="left" w:pos="1219"/>
        </w:tabs>
        <w:spacing w:line="300" w:lineRule="exact"/>
        <w:jc w:val="left"/>
        <w:rPr>
          <w:rFonts w:hint="default" w:ascii="宋体" w:hAnsi="宋体" w:cs="宋体" w:eastAsiaTheme="minorEastAsia"/>
          <w:color w:val="auto"/>
          <w:szCs w:val="21"/>
          <w:highlight w:val="none"/>
        </w:rPr>
      </w:pPr>
      <w:r>
        <w:rPr>
          <w:rFonts w:ascii="宋体" w:hAnsi="宋体" w:cs="宋体" w:eastAsiaTheme="minorEastAsia"/>
          <w:color w:val="auto"/>
          <w:szCs w:val="21"/>
          <w:highlight w:val="none"/>
        </w:rPr>
        <w:t>3.投标人提供的文件，包括图纸、说明、使用手册等，均应使用国际单位制(SI)。所有文件、工程图纸及相互通讯，均应使用中文。若文件为英文，应同时附中文说明。</w:t>
      </w:r>
    </w:p>
    <w:p>
      <w:pPr>
        <w:pStyle w:val="13"/>
        <w:spacing w:line="300" w:lineRule="exact"/>
        <w:ind w:firstLine="420" w:firstLineChars="200"/>
        <w:rPr>
          <w:rFonts w:hAnsi="宋体"/>
          <w:color w:val="auto"/>
          <w:highlight w:val="none"/>
        </w:rPr>
      </w:pPr>
      <w:r>
        <w:rPr>
          <w:rFonts w:hint="eastAsia" w:hAnsi="宋体"/>
          <w:color w:val="auto"/>
          <w:highlight w:val="none"/>
        </w:rPr>
        <w:t>4.技术要求及标准的执行</w:t>
      </w:r>
    </w:p>
    <w:p>
      <w:pPr>
        <w:pStyle w:val="13"/>
        <w:spacing w:line="300" w:lineRule="exact"/>
        <w:ind w:firstLine="420" w:firstLineChars="200"/>
        <w:rPr>
          <w:rFonts w:hAnsi="宋体"/>
          <w:color w:val="auto"/>
          <w:highlight w:val="none"/>
        </w:rPr>
      </w:pPr>
      <w:r>
        <w:rPr>
          <w:rFonts w:hint="eastAsia" w:hAnsi="宋体"/>
          <w:color w:val="auto"/>
          <w:highlight w:val="none"/>
        </w:rPr>
        <w:t>投标人提供的产品及服务应标明所执行的质量标准，若同一标准已颁发新标准，则按最新标准执行。若同一产品同时有几个标准（国际标准、国家标准、行业标准、企业标准等），则按最高层次的标准执行。</w:t>
      </w:r>
    </w:p>
    <w:p>
      <w:pPr>
        <w:autoSpaceDE w:val="0"/>
        <w:autoSpaceDN w:val="0"/>
        <w:spacing w:line="300" w:lineRule="exact"/>
        <w:ind w:firstLine="420" w:firstLineChars="200"/>
        <w:textAlignment w:val="bottom"/>
        <w:rPr>
          <w:rFonts w:hint="default" w:hAnsi="宋体"/>
          <w:color w:val="auto"/>
          <w:szCs w:val="21"/>
          <w:highlight w:val="none"/>
        </w:rPr>
      </w:pPr>
      <w:r>
        <w:rPr>
          <w:rFonts w:hAnsi="宋体"/>
          <w:color w:val="auto"/>
          <w:szCs w:val="21"/>
          <w:highlight w:val="none"/>
        </w:rPr>
        <w:t>投标人须按国家有关规定及标准完成本项目的</w:t>
      </w:r>
      <w:r>
        <w:rPr>
          <w:rFonts w:hint="eastAsia" w:hAnsi="宋体"/>
          <w:color w:val="auto"/>
          <w:szCs w:val="21"/>
          <w:highlight w:val="none"/>
        </w:rPr>
        <w:t>供货、安装、调试、技术培训、检验、通过有关部门验收、维保期服务、产品终身维修等各项工作</w:t>
      </w:r>
      <w:r>
        <w:rPr>
          <w:rFonts w:hAnsi="宋体"/>
          <w:color w:val="auto"/>
          <w:szCs w:val="21"/>
          <w:highlight w:val="none"/>
        </w:rPr>
        <w:t>，并保证投标产品使用的安全性能与检测结果的可靠性。如中标，中标人及制造商对</w:t>
      </w:r>
      <w:r>
        <w:rPr>
          <w:rFonts w:hint="eastAsia" w:hAnsi="宋体"/>
          <w:color w:val="auto"/>
          <w:szCs w:val="21"/>
          <w:highlight w:val="none"/>
          <w:lang w:eastAsia="zh-CN"/>
        </w:rPr>
        <w:t>中标</w:t>
      </w:r>
      <w:r>
        <w:rPr>
          <w:rFonts w:hAnsi="宋体"/>
          <w:color w:val="auto"/>
          <w:szCs w:val="21"/>
          <w:highlight w:val="none"/>
        </w:rPr>
        <w:t>产品使用的安全性能与可靠性负全部责任。中标人须随产品提供使用说明书与维保卡。投标人提供相关数据与说明，投标文件须对下列要求作出实质性回应。</w:t>
      </w:r>
    </w:p>
    <w:p>
      <w:pPr>
        <w:autoSpaceDE w:val="0"/>
        <w:autoSpaceDN w:val="0"/>
        <w:spacing w:line="32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lang w:eastAsia="zh-CN"/>
        </w:rPr>
        <w:t>二</w:t>
      </w:r>
      <w:r>
        <w:rPr>
          <w:rFonts w:hint="eastAsia" w:ascii="宋体" w:hAnsi="宋体"/>
          <w:b/>
          <w:color w:val="auto"/>
          <w:szCs w:val="21"/>
          <w:highlight w:val="none"/>
        </w:rPr>
        <w:t>、采购清单及要求</w:t>
      </w:r>
    </w:p>
    <w:tbl>
      <w:tblPr>
        <w:tblStyle w:val="25"/>
        <w:tblW w:w="9558" w:type="dxa"/>
        <w:jc w:val="center"/>
        <w:tblLayout w:type="fixed"/>
        <w:tblCellMar>
          <w:top w:w="0" w:type="dxa"/>
          <w:left w:w="108" w:type="dxa"/>
          <w:bottom w:w="0" w:type="dxa"/>
          <w:right w:w="108" w:type="dxa"/>
        </w:tblCellMar>
      </w:tblPr>
      <w:tblGrid>
        <w:gridCol w:w="678"/>
        <w:gridCol w:w="1110"/>
        <w:gridCol w:w="5730"/>
        <w:gridCol w:w="675"/>
        <w:gridCol w:w="690"/>
        <w:gridCol w:w="675"/>
      </w:tblGrid>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序号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设备名称</w:t>
            </w:r>
          </w:p>
        </w:tc>
        <w:tc>
          <w:tcPr>
            <w:tcW w:w="5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技术参数及要求</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单位</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一</w:t>
            </w:r>
          </w:p>
        </w:tc>
        <w:tc>
          <w:tcPr>
            <w:tcW w:w="888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应急设备</w:t>
            </w: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便携式藻分类分析仪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（一）仪器用途</w:t>
            </w:r>
          </w:p>
          <w:p>
            <w:pPr>
              <w:pStyle w:val="24"/>
              <w:spacing w:line="240" w:lineRule="auto"/>
              <w:ind w:firstLine="0" w:firstLineChars="0"/>
              <w:jc w:val="left"/>
              <w:rPr>
                <w:color w:val="auto"/>
                <w:highlight w:val="none"/>
              </w:rPr>
            </w:pPr>
            <w:r>
              <w:rPr>
                <w:rFonts w:hint="eastAsia"/>
                <w:color w:val="auto"/>
                <w:highlight w:val="none"/>
              </w:rPr>
              <w:t>用于野外现场对叶绿素进行定量分析以及对各类藻进行定性定量分析。能够实现对藻的分类检测，区分蓝藻/蓝细菌、绿藻、硅藻/甲藻、隐藻等并检测其浓度。</w:t>
            </w:r>
          </w:p>
          <w:p>
            <w:pPr>
              <w:pStyle w:val="24"/>
              <w:spacing w:line="240" w:lineRule="auto"/>
              <w:ind w:firstLine="0" w:firstLineChars="0"/>
              <w:jc w:val="left"/>
              <w:rPr>
                <w:color w:val="auto"/>
                <w:highlight w:val="none"/>
              </w:rPr>
            </w:pPr>
            <w:r>
              <w:rPr>
                <w:rFonts w:hint="eastAsia"/>
                <w:color w:val="auto"/>
                <w:highlight w:val="none"/>
              </w:rPr>
              <w:t>（二）技术参数</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1.测量参数：总的叶绿素总量a/总藻密度、绿藻浓度/密度、蓝藻浓度/密度、硅甲藻浓度/密度、隐藻浓度/密度；</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b/>
                <w:bCs/>
                <w:color w:val="auto"/>
                <w:highlight w:val="none"/>
              </w:rPr>
              <w:t>（本条款作为现场性能验收条款，需提供供应商参数响应承诺函，验收不通过，将视投标人为虚假中标）</w:t>
            </w:r>
          </w:p>
          <w:p>
            <w:pPr>
              <w:pStyle w:val="24"/>
              <w:spacing w:line="240" w:lineRule="auto"/>
              <w:ind w:firstLine="0" w:firstLineChars="0"/>
              <w:jc w:val="left"/>
              <w:rPr>
                <w:color w:val="auto"/>
                <w:highlight w:val="none"/>
              </w:rPr>
            </w:pPr>
            <w:r>
              <w:rPr>
                <w:rFonts w:hint="eastAsia"/>
                <w:color w:val="auto"/>
                <w:highlight w:val="none"/>
              </w:rPr>
              <w:t>2.测量范围：0-200mg/L（测量结果可显示为细胞计数的藻密度、转换系数可调）；</w:t>
            </w:r>
          </w:p>
          <w:p>
            <w:pPr>
              <w:pStyle w:val="24"/>
              <w:spacing w:line="240" w:lineRule="auto"/>
              <w:ind w:firstLine="0" w:firstLineChars="0"/>
              <w:jc w:val="left"/>
              <w:rPr>
                <w:color w:val="auto"/>
                <w:highlight w:val="none"/>
              </w:rPr>
            </w:pPr>
            <w:r>
              <w:rPr>
                <w:rFonts w:hint="eastAsia"/>
                <w:color w:val="auto"/>
                <w:highlight w:val="none"/>
              </w:rPr>
              <w:t>3.测量方法：荧光指纹谱图分析法，采用七波长测量；</w:t>
            </w:r>
          </w:p>
          <w:p>
            <w:pPr>
              <w:pStyle w:val="24"/>
              <w:spacing w:line="240" w:lineRule="auto"/>
              <w:ind w:firstLine="0" w:firstLineChars="0"/>
              <w:jc w:val="left"/>
              <w:rPr>
                <w:color w:val="auto"/>
                <w:highlight w:val="none"/>
              </w:rPr>
            </w:pPr>
            <w:r>
              <w:rPr>
                <w:rFonts w:hint="eastAsia"/>
                <w:color w:val="auto"/>
                <w:highlight w:val="none"/>
              </w:rPr>
              <w:t>4.测量时间：≤3秒；</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5.分辨率：≤0.1μg/L；</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6.精度：≤0.3 ug/L（总藻）；</w:t>
            </w:r>
          </w:p>
          <w:p>
            <w:pPr>
              <w:pStyle w:val="24"/>
              <w:spacing w:line="240" w:lineRule="auto"/>
              <w:ind w:firstLine="0" w:firstLineChars="0"/>
              <w:jc w:val="left"/>
              <w:rPr>
                <w:color w:val="auto"/>
                <w:highlight w:val="none"/>
              </w:rPr>
            </w:pPr>
            <w:r>
              <w:rPr>
                <w:rFonts w:hint="eastAsia"/>
                <w:color w:val="auto"/>
                <w:highlight w:val="none"/>
              </w:rPr>
              <w:t>7.检出限：≤0.4 ug/L（单一藻）；</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8.电压：12V；</w:t>
            </w:r>
          </w:p>
          <w:p>
            <w:pPr>
              <w:pStyle w:val="24"/>
              <w:spacing w:line="240" w:lineRule="auto"/>
              <w:ind w:firstLine="0" w:firstLineChars="0"/>
              <w:jc w:val="left"/>
              <w:rPr>
                <w:color w:val="auto"/>
                <w:highlight w:val="none"/>
              </w:rPr>
            </w:pPr>
            <w:r>
              <w:rPr>
                <w:rFonts w:hint="eastAsia"/>
                <w:color w:val="auto"/>
                <w:highlight w:val="none"/>
              </w:rPr>
              <w:t>9.电池容量：≥3000mAh</w:t>
            </w:r>
          </w:p>
          <w:p>
            <w:pPr>
              <w:pStyle w:val="24"/>
              <w:spacing w:line="240" w:lineRule="auto"/>
              <w:ind w:firstLine="0" w:firstLineChars="0"/>
              <w:jc w:val="left"/>
              <w:rPr>
                <w:color w:val="auto"/>
                <w:highlight w:val="none"/>
              </w:rPr>
            </w:pPr>
            <w:r>
              <w:rPr>
                <w:rFonts w:hint="eastAsia"/>
                <w:color w:val="auto"/>
                <w:highlight w:val="none"/>
              </w:rPr>
              <w:t xml:space="preserve">10.数据存储：内置数据存储不少于250万个数据，存储量不小于512MB，并可扩容 </w:t>
            </w:r>
          </w:p>
          <w:p>
            <w:pPr>
              <w:pStyle w:val="24"/>
              <w:spacing w:line="240" w:lineRule="auto"/>
              <w:ind w:firstLine="0" w:firstLineChars="0"/>
              <w:jc w:val="left"/>
              <w:rPr>
                <w:color w:val="auto"/>
                <w:highlight w:val="none"/>
              </w:rPr>
            </w:pPr>
            <w:r>
              <w:rPr>
                <w:rFonts w:hint="eastAsia"/>
                <w:color w:val="auto"/>
                <w:highlight w:val="none"/>
              </w:rPr>
              <w:t>11.藻密度：可自动估算总藻密度</w:t>
            </w:r>
          </w:p>
          <w:p>
            <w:pPr>
              <w:pStyle w:val="24"/>
              <w:spacing w:line="240" w:lineRule="auto"/>
              <w:ind w:firstLine="0" w:firstLineChars="0"/>
              <w:jc w:val="left"/>
              <w:rPr>
                <w:color w:val="auto"/>
                <w:highlight w:val="none"/>
              </w:rPr>
            </w:pPr>
            <w:r>
              <w:rPr>
                <w:rFonts w:hint="eastAsia"/>
                <w:color w:val="auto"/>
                <w:highlight w:val="none"/>
              </w:rPr>
              <w:t>12.配置：</w:t>
            </w:r>
          </w:p>
          <w:p>
            <w:pPr>
              <w:pStyle w:val="24"/>
              <w:spacing w:line="240" w:lineRule="auto"/>
              <w:ind w:firstLine="0" w:firstLineChars="0"/>
              <w:jc w:val="left"/>
              <w:rPr>
                <w:color w:val="auto"/>
                <w:highlight w:val="none"/>
              </w:rPr>
            </w:pPr>
            <w:r>
              <w:rPr>
                <w:rFonts w:hint="eastAsia" w:ascii="Calibri" w:hAnsi="Calibri" w:cs="Calibri"/>
                <w:color w:val="auto"/>
                <w:highlight w:val="none"/>
              </w:rPr>
              <w:t>（1）</w:t>
            </w:r>
            <w:r>
              <w:rPr>
                <w:rFonts w:hint="eastAsia"/>
                <w:color w:val="auto"/>
                <w:highlight w:val="none"/>
              </w:rPr>
              <w:t>藻类分析仪主机：1套</w:t>
            </w:r>
          </w:p>
          <w:p>
            <w:pPr>
              <w:pStyle w:val="24"/>
              <w:spacing w:line="240" w:lineRule="auto"/>
              <w:ind w:firstLine="0" w:firstLineChars="0"/>
              <w:jc w:val="left"/>
              <w:rPr>
                <w:color w:val="auto"/>
                <w:highlight w:val="none"/>
              </w:rPr>
            </w:pPr>
            <w:r>
              <w:rPr>
                <w:rFonts w:hint="eastAsia" w:ascii="Calibri" w:hAnsi="Calibri" w:cs="Calibri"/>
                <w:color w:val="auto"/>
                <w:highlight w:val="none"/>
              </w:rPr>
              <w:t>（2）</w:t>
            </w:r>
            <w:r>
              <w:rPr>
                <w:rFonts w:hint="eastAsia"/>
                <w:color w:val="auto"/>
                <w:highlight w:val="none"/>
              </w:rPr>
              <w:t>数据分析存储终端：1套</w:t>
            </w:r>
          </w:p>
          <w:p>
            <w:pPr>
              <w:pStyle w:val="24"/>
              <w:spacing w:line="240" w:lineRule="auto"/>
              <w:ind w:firstLine="0" w:firstLineChars="0"/>
              <w:jc w:val="left"/>
              <w:rPr>
                <w:color w:val="auto"/>
                <w:highlight w:val="none"/>
              </w:rPr>
            </w:pPr>
            <w:r>
              <w:rPr>
                <w:rFonts w:hint="eastAsia" w:ascii="Calibri" w:hAnsi="Calibri" w:cs="Calibri"/>
                <w:color w:val="auto"/>
                <w:highlight w:val="none"/>
              </w:rPr>
              <w:t>（3）</w:t>
            </w:r>
            <w:r>
              <w:rPr>
                <w:rFonts w:hint="eastAsia"/>
                <w:color w:val="auto"/>
                <w:highlight w:val="none"/>
              </w:rPr>
              <w:t>设备便携专用箱：1套</w:t>
            </w:r>
          </w:p>
          <w:p>
            <w:pPr>
              <w:pStyle w:val="24"/>
              <w:spacing w:line="240" w:lineRule="auto"/>
              <w:ind w:firstLine="0" w:firstLineChars="0"/>
              <w:jc w:val="left"/>
              <w:rPr>
                <w:color w:val="auto"/>
                <w:highlight w:val="none"/>
              </w:rPr>
            </w:pPr>
            <w:r>
              <w:rPr>
                <w:rFonts w:hint="eastAsia"/>
                <w:color w:val="auto"/>
                <w:highlight w:val="none"/>
              </w:rPr>
              <w:t>（4）充电套装设备：1套</w:t>
            </w:r>
          </w:p>
          <w:p>
            <w:pPr>
              <w:pStyle w:val="24"/>
              <w:spacing w:line="240" w:lineRule="auto"/>
              <w:ind w:firstLine="0" w:firstLineChars="0"/>
              <w:jc w:val="left"/>
              <w:rPr>
                <w:color w:val="auto"/>
                <w:highlight w:val="none"/>
              </w:rPr>
            </w:pPr>
            <w:r>
              <w:rPr>
                <w:rFonts w:hint="eastAsia"/>
                <w:color w:val="auto"/>
                <w:highlight w:val="none"/>
              </w:rPr>
              <w:t>（5）转换电缆：1套</w:t>
            </w:r>
          </w:p>
          <w:p>
            <w:pPr>
              <w:pStyle w:val="24"/>
              <w:spacing w:line="240" w:lineRule="auto"/>
              <w:ind w:firstLine="0" w:firstLineChars="0"/>
              <w:jc w:val="left"/>
              <w:rPr>
                <w:color w:val="auto"/>
                <w:highlight w:val="none"/>
              </w:rPr>
            </w:pPr>
            <w:r>
              <w:rPr>
                <w:rFonts w:hint="eastAsia"/>
                <w:color w:val="auto"/>
                <w:highlight w:val="none"/>
              </w:rPr>
              <w:t>（6）USB下载电缆：1套</w:t>
            </w:r>
          </w:p>
          <w:p>
            <w:pPr>
              <w:pStyle w:val="24"/>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（三）其他要求</w:t>
            </w:r>
          </w:p>
          <w:p>
            <w:pPr>
              <w:pStyle w:val="24"/>
              <w:spacing w:line="240" w:lineRule="auto"/>
              <w:ind w:firstLine="0" w:firstLineChars="0"/>
              <w:jc w:val="left"/>
              <w:rPr>
                <w:b/>
                <w:bCs/>
                <w:color w:val="auto"/>
                <w:highlight w:val="none"/>
              </w:rPr>
            </w:pPr>
            <w:r>
              <w:rPr>
                <w:rFonts w:hint="eastAsia" w:ascii="宋体" w:hAnsi="宋体" w:cs="宋体"/>
                <w:b/>
                <w:bCs/>
                <w:color w:val="auto"/>
                <w:highlight w:val="none"/>
              </w:rPr>
              <w:t>▲</w:t>
            </w:r>
            <w:r>
              <w:rPr>
                <w:rFonts w:hint="eastAsia"/>
                <w:b/>
                <w:bCs/>
                <w:color w:val="auto"/>
                <w:highlight w:val="none"/>
              </w:rPr>
              <w:t>1.需另配备与</w:t>
            </w:r>
            <w:r>
              <w:rPr>
                <w:rFonts w:hint="eastAsia"/>
                <w:b/>
                <w:bCs/>
                <w:color w:val="auto"/>
                <w:highlight w:val="none"/>
                <w:lang w:eastAsia="zh-CN"/>
              </w:rPr>
              <w:t>便携式藻分类分析仪</w:t>
            </w:r>
            <w:r>
              <w:rPr>
                <w:rFonts w:hint="eastAsia"/>
                <w:b/>
                <w:bCs/>
                <w:color w:val="auto"/>
                <w:highlight w:val="none"/>
              </w:rPr>
              <w:t>配套使用的可携带笔记本一台及电缆线20米，保证采购人现场实时监测</w:t>
            </w:r>
            <w:r>
              <w:rPr>
                <w:rFonts w:hint="eastAsia" w:ascii="宋体" w:hAnsi="宋体" w:cs="宋体"/>
                <w:b/>
                <w:bCs/>
                <w:color w:val="auto"/>
                <w:kern w:val="0"/>
                <w:szCs w:val="21"/>
                <w:highlight w:val="none"/>
                <w:lang w:eastAsia="zh-CN"/>
              </w:rPr>
              <w:t>便携式藻分类分析仪</w:t>
            </w:r>
            <w:r>
              <w:rPr>
                <w:rFonts w:hint="eastAsia" w:ascii="宋体" w:hAnsi="宋体" w:cs="宋体"/>
                <w:b/>
                <w:bCs/>
                <w:color w:val="auto"/>
                <w:kern w:val="0"/>
                <w:szCs w:val="21"/>
                <w:highlight w:val="none"/>
              </w:rPr>
              <w:t>的监测数据。</w:t>
            </w:r>
          </w:p>
          <w:p>
            <w:pPr>
              <w:pStyle w:val="24"/>
              <w:spacing w:line="240" w:lineRule="auto"/>
              <w:ind w:firstLine="0" w:firstLineChars="0"/>
              <w:jc w:val="left"/>
              <w:rPr>
                <w:color w:val="auto"/>
                <w:highlight w:val="none"/>
              </w:rPr>
            </w:pPr>
            <w:r>
              <w:rPr>
                <w:rFonts w:hint="eastAsia"/>
                <w:color w:val="auto"/>
                <w:highlight w:val="none"/>
              </w:rPr>
              <w:t xml:space="preserve">2.若投标人提供的货物不是投标人自己制造的，中标后应当提供货物制造商或其指定代理出具响应本次招标的投标货物的正式授权书。 </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b/>
                <w:bCs/>
                <w:color w:val="auto"/>
                <w:kern w:val="0"/>
                <w:szCs w:val="21"/>
                <w:highlight w:val="none"/>
              </w:rPr>
              <w:t>允许进口</w:t>
            </w: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2</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便携式非甲烷总烃监测仪</w:t>
            </w:r>
            <w:r>
              <w:rPr>
                <w:rFonts w:ascii="宋体" w:hAnsi="宋体" w:cs="宋体"/>
                <w:b/>
                <w:bCs/>
                <w:color w:val="auto"/>
                <w:kern w:val="0"/>
                <w:szCs w:val="21"/>
                <w:highlight w:val="none"/>
              </w:rPr>
              <w:t>（核心产品）</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（一）基本要求</w:t>
            </w:r>
          </w:p>
          <w:p>
            <w:pPr>
              <w:pStyle w:val="24"/>
              <w:spacing w:line="240" w:lineRule="auto"/>
              <w:ind w:firstLine="0" w:firstLineChars="0"/>
              <w:jc w:val="left"/>
              <w:rPr>
                <w:b/>
                <w:bCs/>
                <w:strike/>
                <w:color w:val="auto"/>
                <w:highlight w:val="none"/>
              </w:rPr>
            </w:pPr>
            <w:r>
              <w:rPr>
                <w:rFonts w:hint="eastAsia"/>
                <w:color w:val="auto"/>
                <w:highlight w:val="none"/>
              </w:rPr>
              <w:t>1.监测项目：固定污染源、厂界无组织、环境空气中的总烃、甲烷和非甲烷总烃，同时可扩展苯系物（苯、甲苯、乙苯、二甲苯等特征因子），甲烷和苯系物的分离采用色谱分离技术。</w:t>
            </w:r>
            <w:r>
              <w:rPr>
                <w:b/>
                <w:bCs/>
                <w:color w:val="auto"/>
                <w:szCs w:val="21"/>
                <w:highlight w:val="none"/>
              </w:rPr>
              <w:t>（</w:t>
            </w:r>
            <w:r>
              <w:rPr>
                <w:rFonts w:hint="eastAsia"/>
                <w:b/>
                <w:bCs/>
                <w:color w:val="auto"/>
                <w:szCs w:val="21"/>
                <w:highlight w:val="none"/>
              </w:rPr>
              <w:t>投标文件中</w:t>
            </w:r>
            <w:r>
              <w:rPr>
                <w:b/>
                <w:bCs/>
                <w:color w:val="auto"/>
                <w:szCs w:val="21"/>
                <w:highlight w:val="none"/>
                <w:lang w:eastAsia="zh-Hans"/>
              </w:rPr>
              <w:t>提供省级或省级以上计量检测机构出具的</w:t>
            </w:r>
            <w:r>
              <w:rPr>
                <w:rFonts w:hint="eastAsia"/>
                <w:b/>
                <w:bCs/>
                <w:color w:val="auto"/>
                <w:highlight w:val="none"/>
              </w:rPr>
              <w:t>CMA检测</w:t>
            </w:r>
            <w:r>
              <w:rPr>
                <w:b/>
                <w:bCs/>
                <w:color w:val="auto"/>
                <w:szCs w:val="21"/>
                <w:highlight w:val="none"/>
                <w:lang w:eastAsia="zh-Hans"/>
              </w:rPr>
              <w:t>报告复印件</w:t>
            </w:r>
            <w:r>
              <w:rPr>
                <w:b/>
                <w:bCs/>
                <w:color w:val="auto"/>
                <w:szCs w:val="21"/>
                <w:highlight w:val="none"/>
              </w:rPr>
              <w:t>）</w:t>
            </w:r>
          </w:p>
          <w:p>
            <w:pPr>
              <w:pStyle w:val="24"/>
              <w:spacing w:line="240" w:lineRule="auto"/>
              <w:ind w:firstLine="0" w:firstLineChars="0"/>
              <w:jc w:val="left"/>
              <w:rPr>
                <w:color w:val="auto"/>
                <w:highlight w:val="none"/>
              </w:rPr>
            </w:pPr>
            <w:r>
              <w:rPr>
                <w:rFonts w:hint="eastAsia"/>
                <w:color w:val="auto"/>
                <w:highlight w:val="none"/>
              </w:rPr>
              <w:t>2.检测器：FID检测器，具有火焰温度判断和熄火保护功能，能实时监测火焰状态，当检测到火焰熄灭故障状态后发出报警并一键自动点火。</w:t>
            </w:r>
          </w:p>
          <w:p>
            <w:pPr>
              <w:pStyle w:val="24"/>
              <w:spacing w:line="240" w:lineRule="auto"/>
              <w:ind w:firstLine="0" w:firstLineChars="0"/>
              <w:jc w:val="left"/>
              <w:rPr>
                <w:color w:val="auto"/>
                <w:highlight w:val="none"/>
              </w:rPr>
            </w:pPr>
            <w:r>
              <w:rPr>
                <w:rFonts w:hint="eastAsia"/>
                <w:color w:val="auto"/>
                <w:highlight w:val="none"/>
              </w:rPr>
              <w:t>3.高集成度：色谱分析模块、FID检测器、电池模块、载气瓶、氢气瓶、标气瓶全部集成于一台主机内部。</w:t>
            </w:r>
            <w:r>
              <w:rPr>
                <w:rFonts w:hint="eastAsia"/>
                <w:b/>
                <w:bCs/>
                <w:color w:val="auto"/>
                <w:highlight w:val="none"/>
              </w:rPr>
              <w:t>（投标文件中提供省级或省级以上计量检测机构出具的CMA检测报告复印件）</w:t>
            </w:r>
          </w:p>
          <w:p>
            <w:pPr>
              <w:pStyle w:val="24"/>
              <w:spacing w:line="240" w:lineRule="auto"/>
              <w:ind w:firstLine="0" w:firstLineChars="0"/>
              <w:jc w:val="left"/>
              <w:rPr>
                <w:color w:val="auto"/>
                <w:highlight w:val="none"/>
              </w:rPr>
            </w:pPr>
            <w:r>
              <w:rPr>
                <w:rFonts w:hint="eastAsia"/>
                <w:color w:val="auto"/>
                <w:highlight w:val="none"/>
              </w:rPr>
              <w:t>4.全程高温伴热：样品采集部件及流路应具备全程加热和保温功能，加热温度不低于120℃，且高于烟气温度20℃以上，实际温度可在仪器中显示。</w:t>
            </w:r>
          </w:p>
          <w:p>
            <w:pPr>
              <w:pStyle w:val="24"/>
              <w:spacing w:line="240" w:lineRule="auto"/>
              <w:ind w:firstLine="0" w:firstLineChars="0"/>
              <w:jc w:val="left"/>
              <w:rPr>
                <w:color w:val="auto"/>
                <w:highlight w:val="none"/>
              </w:rPr>
            </w:pPr>
            <w:r>
              <w:rPr>
                <w:rFonts w:hint="eastAsia"/>
                <w:color w:val="auto"/>
                <w:highlight w:val="none"/>
              </w:rPr>
              <w:t>5.采样管路采用不锈钢管路设计，采样探头前端设计可快速拆卸滤芯，滤芯精度≤5μm，主机进样口具有颗粒物过滤器，过滤器至少能过滤（0.5~1）μm粒径的颗粒物，所有滤料的材质应不吸附并不与气态污染物发生反应。</w:t>
            </w:r>
          </w:p>
          <w:p>
            <w:pPr>
              <w:pStyle w:val="24"/>
              <w:spacing w:line="240" w:lineRule="auto"/>
              <w:ind w:firstLine="0" w:firstLineChars="0"/>
              <w:jc w:val="left"/>
              <w:rPr>
                <w:b/>
                <w:bCs/>
                <w:color w:val="auto"/>
                <w:highlight w:val="none"/>
              </w:rPr>
            </w:pPr>
            <w:r>
              <w:rPr>
                <w:rFonts w:hint="eastAsia"/>
                <w:color w:val="auto"/>
                <w:highlight w:val="none"/>
              </w:rPr>
              <w:t>6.样品采集部件应具有专门设计的除液态水装置，可除液态水。</w:t>
            </w:r>
            <w:r>
              <w:rPr>
                <w:rFonts w:hint="eastAsia"/>
                <w:b/>
                <w:bCs/>
                <w:color w:val="auto"/>
                <w:highlight w:val="none"/>
              </w:rPr>
              <w:t>（投标文件中提供省级或省级以上计量检测机构出具的CMA检测报告复印件）</w:t>
            </w:r>
          </w:p>
          <w:p>
            <w:pPr>
              <w:pStyle w:val="24"/>
              <w:spacing w:line="240" w:lineRule="auto"/>
              <w:ind w:firstLine="0" w:firstLineChars="0"/>
              <w:jc w:val="left"/>
              <w:rPr>
                <w:color w:val="auto"/>
                <w:highlight w:val="none"/>
              </w:rPr>
            </w:pPr>
            <w:r>
              <w:rPr>
                <w:rFonts w:hint="eastAsia"/>
                <w:color w:val="auto"/>
                <w:highlight w:val="none"/>
              </w:rPr>
              <w:t>★7.供气要求：内置可充放自密封高压气瓶（包括载气、氢气和标气），内置气瓶体积不超过300mL，耐压不小于2000psi，充气时间小于5s。</w:t>
            </w:r>
            <w:r>
              <w:rPr>
                <w:rFonts w:hint="eastAsia"/>
                <w:b/>
                <w:bCs/>
                <w:color w:val="auto"/>
                <w:highlight w:val="none"/>
              </w:rPr>
              <w:t>（投标文件中提供省级或省级以上计量检测机构出具的CMA检测报告复印件）</w:t>
            </w:r>
          </w:p>
          <w:p>
            <w:pPr>
              <w:pStyle w:val="24"/>
              <w:spacing w:line="240" w:lineRule="auto"/>
              <w:ind w:firstLine="0" w:firstLineChars="0"/>
              <w:jc w:val="left"/>
              <w:rPr>
                <w:color w:val="auto"/>
                <w:highlight w:val="none"/>
              </w:rPr>
            </w:pPr>
            <w:r>
              <w:rPr>
                <w:rFonts w:hint="eastAsia"/>
                <w:color w:val="auto"/>
                <w:highlight w:val="none"/>
              </w:rPr>
              <w:t>8.氢气和氮气高压气瓶正常运行的连续工作时间不小于3小时，标准气体高压气瓶正常运行的连续工作时间不小于1小时。</w:t>
            </w:r>
          </w:p>
          <w:p>
            <w:pPr>
              <w:pStyle w:val="24"/>
              <w:spacing w:line="240" w:lineRule="auto"/>
              <w:ind w:firstLine="0" w:firstLineChars="0"/>
              <w:jc w:val="left"/>
              <w:rPr>
                <w:color w:val="auto"/>
                <w:highlight w:val="none"/>
              </w:rPr>
            </w:pPr>
            <w:r>
              <w:rPr>
                <w:rFonts w:hint="eastAsia"/>
                <w:color w:val="auto"/>
                <w:highlight w:val="none"/>
              </w:rPr>
              <w:t>9.供电要求：具有直接电池供电和市电供电两种形式。</w:t>
            </w:r>
          </w:p>
          <w:p>
            <w:pPr>
              <w:pStyle w:val="24"/>
              <w:spacing w:line="240" w:lineRule="auto"/>
              <w:ind w:firstLine="0" w:firstLineChars="0"/>
              <w:jc w:val="left"/>
              <w:rPr>
                <w:strike/>
                <w:color w:val="auto"/>
                <w:highlight w:val="none"/>
              </w:rPr>
            </w:pPr>
            <w:r>
              <w:rPr>
                <w:rFonts w:hint="eastAsia"/>
                <w:color w:val="auto"/>
                <w:highlight w:val="none"/>
              </w:rPr>
              <w:t>10.电池连续工作时间不小于7h。</w:t>
            </w:r>
            <w:r>
              <w:rPr>
                <w:rFonts w:hint="eastAsia"/>
                <w:b/>
                <w:color w:val="auto"/>
                <w:highlight w:val="none"/>
              </w:rPr>
              <w:t>（</w:t>
            </w:r>
            <w:r>
              <w:rPr>
                <w:rFonts w:hint="eastAsia"/>
                <w:b/>
                <w:bCs/>
                <w:color w:val="auto"/>
                <w:highlight w:val="none"/>
              </w:rPr>
              <w:t>投标文件中提供</w:t>
            </w:r>
            <w:r>
              <w:rPr>
                <w:rFonts w:hint="eastAsia"/>
                <w:b/>
                <w:color w:val="auto"/>
                <w:highlight w:val="none"/>
              </w:rPr>
              <w:t>省级或省级以上计量检测机构出具的CMA检测报告复印件）</w:t>
            </w:r>
          </w:p>
          <w:p>
            <w:pPr>
              <w:pStyle w:val="24"/>
              <w:spacing w:line="240" w:lineRule="auto"/>
              <w:ind w:firstLine="0" w:firstLineChars="0"/>
              <w:jc w:val="left"/>
              <w:rPr>
                <w:strike/>
                <w:color w:val="auto"/>
                <w:highlight w:val="none"/>
              </w:rPr>
            </w:pPr>
            <w:r>
              <w:rPr>
                <w:rFonts w:hint="eastAsia"/>
                <w:color w:val="auto"/>
                <w:highlight w:val="none"/>
              </w:rPr>
              <w:t>11.质控要求：内置不少于4条单点校准曲线和多点校准曲线，校准曲线可在仪器运行时进行切换。</w:t>
            </w:r>
            <w:r>
              <w:rPr>
                <w:rFonts w:hint="eastAsia"/>
                <w:b/>
                <w:color w:val="auto"/>
                <w:highlight w:val="none"/>
              </w:rPr>
              <w:t>（</w:t>
            </w:r>
            <w:r>
              <w:rPr>
                <w:rFonts w:hint="eastAsia"/>
                <w:b/>
                <w:bCs/>
                <w:color w:val="auto"/>
                <w:highlight w:val="none"/>
              </w:rPr>
              <w:t>投标文件中提供</w:t>
            </w:r>
            <w:r>
              <w:rPr>
                <w:rFonts w:hint="eastAsia"/>
                <w:b/>
                <w:color w:val="auto"/>
                <w:highlight w:val="none"/>
              </w:rPr>
              <w:t>省级或省级以上计量检测机构出具的CMA检测报告复印件）</w:t>
            </w:r>
          </w:p>
          <w:p>
            <w:pPr>
              <w:pStyle w:val="24"/>
              <w:spacing w:line="240" w:lineRule="auto"/>
              <w:ind w:firstLine="0" w:firstLineChars="0"/>
              <w:jc w:val="left"/>
              <w:rPr>
                <w:color w:val="auto"/>
                <w:highlight w:val="none"/>
              </w:rPr>
            </w:pPr>
            <w:r>
              <w:rPr>
                <w:rFonts w:hint="eastAsia"/>
                <w:color w:val="auto"/>
                <w:highlight w:val="none"/>
              </w:rPr>
              <w:t>★12.仪器具有预抽和反吹功能，采用定量环定量。</w:t>
            </w:r>
            <w:r>
              <w:rPr>
                <w:rFonts w:hint="eastAsia"/>
                <w:b/>
                <w:bCs/>
                <w:color w:val="auto"/>
                <w:highlight w:val="none"/>
              </w:rPr>
              <w:t>（投标文件中提供省级或省级以上计量检测机构出具的CMA检测报告复印件）</w:t>
            </w:r>
          </w:p>
          <w:p>
            <w:pPr>
              <w:pStyle w:val="24"/>
              <w:spacing w:line="240" w:lineRule="auto"/>
              <w:ind w:firstLine="0" w:firstLineChars="0"/>
              <w:jc w:val="left"/>
              <w:rPr>
                <w:color w:val="auto"/>
                <w:highlight w:val="none"/>
              </w:rPr>
            </w:pPr>
            <w:r>
              <w:rPr>
                <w:rFonts w:hint="eastAsia"/>
                <w:color w:val="auto"/>
                <w:highlight w:val="none"/>
              </w:rPr>
              <w:t>13.主机分析软件要求：</w:t>
            </w:r>
          </w:p>
          <w:p>
            <w:pPr>
              <w:pStyle w:val="24"/>
              <w:spacing w:line="240" w:lineRule="auto"/>
              <w:ind w:firstLine="0" w:firstLineChars="0"/>
              <w:jc w:val="left"/>
              <w:rPr>
                <w:color w:val="auto"/>
                <w:highlight w:val="none"/>
              </w:rPr>
            </w:pPr>
            <w:r>
              <w:rPr>
                <w:rFonts w:hint="eastAsia"/>
                <w:color w:val="auto"/>
                <w:highlight w:val="none"/>
              </w:rPr>
              <w:t>（1）主机采用内置不可拆卸彩色触控大屏，不小于7英寸；</w:t>
            </w:r>
          </w:p>
          <w:p>
            <w:pPr>
              <w:pStyle w:val="24"/>
              <w:spacing w:line="240" w:lineRule="auto"/>
              <w:ind w:firstLine="0" w:firstLineChars="0"/>
              <w:jc w:val="left"/>
              <w:rPr>
                <w:color w:val="auto"/>
                <w:highlight w:val="none"/>
              </w:rPr>
            </w:pPr>
            <w:r>
              <w:rPr>
                <w:rFonts w:hint="eastAsia"/>
                <w:color w:val="auto"/>
                <w:highlight w:val="none"/>
              </w:rPr>
              <w:t>（2）软件全中文数据采集、记录和处理控制界面，具有实时浓度显示、方法选择、参数监控、校准曲线建立、历史数据和谱图查询、峰窗口设置等功能；</w:t>
            </w:r>
          </w:p>
          <w:p>
            <w:pPr>
              <w:pStyle w:val="24"/>
              <w:spacing w:line="240" w:lineRule="auto"/>
              <w:ind w:firstLine="0" w:firstLineChars="0"/>
              <w:jc w:val="left"/>
              <w:rPr>
                <w:color w:val="auto"/>
                <w:highlight w:val="none"/>
              </w:rPr>
            </w:pPr>
            <w:r>
              <w:rPr>
                <w:rFonts w:hint="eastAsia"/>
                <w:color w:val="auto"/>
                <w:highlight w:val="none"/>
              </w:rPr>
              <w:t>（3）软件应能够显示实时数据和实时谱图，需具备查询至少30天历史数据和谱图的功能，并能以报表或报告形式输出；</w:t>
            </w:r>
          </w:p>
          <w:p>
            <w:pPr>
              <w:pStyle w:val="24"/>
              <w:spacing w:line="240" w:lineRule="auto"/>
              <w:ind w:firstLine="0" w:firstLineChars="0"/>
              <w:jc w:val="left"/>
              <w:rPr>
                <w:color w:val="auto"/>
                <w:highlight w:val="none"/>
              </w:rPr>
            </w:pPr>
            <w:r>
              <w:rPr>
                <w:rFonts w:hint="eastAsia"/>
                <w:color w:val="auto"/>
                <w:highlight w:val="none"/>
              </w:rPr>
              <w:t>（4）仪器断电故障后，应能自动保存数据；恢复供电后系统可自动启动，恢复运行状态并正常开始工作。</w:t>
            </w:r>
          </w:p>
          <w:p>
            <w:pPr>
              <w:pStyle w:val="24"/>
              <w:spacing w:line="240" w:lineRule="auto"/>
              <w:ind w:firstLine="0" w:firstLineChars="0"/>
              <w:jc w:val="left"/>
              <w:rPr>
                <w:color w:val="auto"/>
                <w:highlight w:val="none"/>
              </w:rPr>
            </w:pPr>
            <w:r>
              <w:rPr>
                <w:rFonts w:hint="eastAsia"/>
                <w:color w:val="auto"/>
                <w:highlight w:val="none"/>
              </w:rPr>
              <w:t>14.移动工作站软件要求：</w:t>
            </w:r>
          </w:p>
          <w:p>
            <w:pPr>
              <w:pStyle w:val="24"/>
              <w:spacing w:line="240" w:lineRule="auto"/>
              <w:ind w:firstLine="0" w:firstLineChars="0"/>
              <w:jc w:val="left"/>
              <w:rPr>
                <w:color w:val="auto"/>
                <w:highlight w:val="none"/>
              </w:rPr>
            </w:pPr>
            <w:r>
              <w:rPr>
                <w:rFonts w:hint="eastAsia"/>
                <w:color w:val="auto"/>
                <w:highlight w:val="none"/>
              </w:rPr>
              <w:t>（1）分析仪可通过WI-FI连接至移动工作站（Windows系统），用户可在移动工作站对仪器进行控制，具有数据分析、历史谱图查询、仪器控制等功能。</w:t>
            </w:r>
            <w:r>
              <w:rPr>
                <w:rFonts w:hint="eastAsia"/>
                <w:b/>
                <w:bCs/>
                <w:color w:val="auto"/>
                <w:highlight w:val="none"/>
              </w:rPr>
              <w:t>（投标文件中提供软件界面截图）</w:t>
            </w:r>
          </w:p>
          <w:p>
            <w:pPr>
              <w:pStyle w:val="24"/>
              <w:spacing w:line="240" w:lineRule="auto"/>
              <w:ind w:firstLine="0" w:firstLineChars="0"/>
              <w:jc w:val="left"/>
              <w:rPr>
                <w:color w:val="auto"/>
                <w:highlight w:val="none"/>
              </w:rPr>
            </w:pPr>
            <w:r>
              <w:rPr>
                <w:rFonts w:hint="eastAsia"/>
                <w:color w:val="auto"/>
                <w:highlight w:val="none"/>
              </w:rPr>
              <w:t>（2）软件全中文控制界面，需具备仪器运行、参数设置、查看测试结果、数据导出等功能，操作简单便捷。</w:t>
            </w:r>
          </w:p>
          <w:p>
            <w:pPr>
              <w:pStyle w:val="24"/>
              <w:spacing w:line="240" w:lineRule="auto"/>
              <w:ind w:firstLine="0" w:firstLineChars="0"/>
              <w:jc w:val="left"/>
              <w:rPr>
                <w:color w:val="auto"/>
                <w:highlight w:val="none"/>
              </w:rPr>
            </w:pPr>
            <w:r>
              <w:rPr>
                <w:rFonts w:hint="eastAsia"/>
                <w:color w:val="auto"/>
                <w:highlight w:val="none"/>
              </w:rPr>
              <w:t>15.整机采用一体化设计：甲烷测试模块、总烃测试模块和苯系物测试模块采用一体化设计，集成于同一主机箱内，减少分体带来的携带和操作不便。</w:t>
            </w:r>
          </w:p>
          <w:p>
            <w:pPr>
              <w:pStyle w:val="24"/>
              <w:spacing w:line="240" w:lineRule="auto"/>
              <w:ind w:firstLine="0" w:firstLineChars="0"/>
              <w:jc w:val="left"/>
              <w:rPr>
                <w:color w:val="auto"/>
                <w:highlight w:val="none"/>
              </w:rPr>
            </w:pPr>
            <w:r>
              <w:rPr>
                <w:rFonts w:hint="eastAsia"/>
                <w:color w:val="auto"/>
                <w:highlight w:val="none"/>
              </w:rPr>
              <w:t>16.现场操作便捷性：可现场无工具进行仪器电池、各种气瓶和伴热管的安装与替换。</w:t>
            </w:r>
          </w:p>
          <w:p>
            <w:pPr>
              <w:pStyle w:val="24"/>
              <w:spacing w:line="240" w:lineRule="auto"/>
              <w:ind w:firstLine="0" w:firstLineChars="0"/>
              <w:jc w:val="left"/>
              <w:rPr>
                <w:color w:val="auto"/>
                <w:highlight w:val="none"/>
              </w:rPr>
            </w:pPr>
            <w:r>
              <w:rPr>
                <w:rFonts w:hint="eastAsia"/>
                <w:color w:val="auto"/>
                <w:highlight w:val="none"/>
              </w:rPr>
              <w:t>17.数据传输功能：主机测试数据可以通过无线WI-FI及时把所测结果导出到客户端平台，远程掌握现场工况。</w:t>
            </w:r>
          </w:p>
          <w:p>
            <w:pPr>
              <w:pStyle w:val="24"/>
              <w:spacing w:line="240" w:lineRule="auto"/>
              <w:ind w:firstLine="0" w:firstLineChars="0"/>
              <w:jc w:val="left"/>
              <w:rPr>
                <w:color w:val="auto"/>
                <w:highlight w:val="none"/>
              </w:rPr>
            </w:pPr>
            <w:r>
              <w:rPr>
                <w:rFonts w:hint="eastAsia"/>
                <w:color w:val="auto"/>
                <w:highlight w:val="none"/>
              </w:rPr>
              <w:t>18.仪器可通过蓝牙或WI-FI连接打印机，实时打印总烃、甲烷、非甲烷、苯系物浓度数据。</w:t>
            </w:r>
          </w:p>
          <w:p>
            <w:pPr>
              <w:pStyle w:val="24"/>
              <w:spacing w:line="240" w:lineRule="auto"/>
              <w:ind w:firstLine="0" w:firstLineChars="0"/>
              <w:jc w:val="left"/>
              <w:rPr>
                <w:color w:val="auto"/>
                <w:highlight w:val="none"/>
              </w:rPr>
            </w:pPr>
            <w:r>
              <w:rPr>
                <w:rFonts w:hint="eastAsia"/>
                <w:color w:val="auto"/>
                <w:highlight w:val="none"/>
              </w:rPr>
              <w:t>★19.仪器可连接便携式温压流湿氧测试仪，可同时测量并显示含湿量、烟气温度、流速、静压、氧含量等参数结果，自动计算干基值浓度、湿基值浓度和排放量的数据。</w:t>
            </w:r>
            <w:r>
              <w:rPr>
                <w:rFonts w:hint="eastAsia"/>
                <w:b/>
                <w:bCs/>
                <w:color w:val="auto"/>
                <w:highlight w:val="none"/>
              </w:rPr>
              <w:t>（投标文件中提供省级或省级以上计量检测机构出具的CMA检测报告复印件）</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（二）技术参数</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1.便携式非甲烷总烃监测仪指标要求</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（1）</w:t>
            </w:r>
            <w:r>
              <w:rPr>
                <w:rFonts w:ascii="Times New Roman" w:hAnsi="Times New Roman" w:eastAsia="宋体"/>
                <w:b w:val="0"/>
                <w:bCs w:val="0"/>
                <w:color w:val="auto"/>
                <w:spacing w:val="-4"/>
                <w:kern w:val="2"/>
                <w:sz w:val="18"/>
                <w:szCs w:val="22"/>
                <w:highlight w:val="none"/>
              </w:rPr>
              <w:t>工作条件</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环境温度：(0~40)℃；相对湿度：≤85%；大气压：（80~106）kPa</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（2）</w:t>
            </w:r>
            <w:r>
              <w:rPr>
                <w:rFonts w:ascii="Times New Roman" w:hAnsi="Times New Roman" w:eastAsia="宋体"/>
                <w:b w:val="0"/>
                <w:bCs w:val="0"/>
                <w:color w:val="auto"/>
                <w:spacing w:val="-4"/>
                <w:kern w:val="2"/>
                <w:sz w:val="18"/>
                <w:szCs w:val="22"/>
                <w:highlight w:val="none"/>
              </w:rPr>
              <w:t>检出限</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≤0.1ppm（非甲烷总烃），≤0.1ppm（苯系物）</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（3）</w:t>
            </w:r>
            <w:r>
              <w:rPr>
                <w:rFonts w:ascii="Times New Roman" w:hAnsi="Times New Roman" w:eastAsia="宋体"/>
                <w:b w:val="0"/>
                <w:bCs w:val="0"/>
                <w:color w:val="auto"/>
                <w:spacing w:val="-4"/>
                <w:kern w:val="2"/>
                <w:sz w:val="18"/>
                <w:szCs w:val="22"/>
                <w:highlight w:val="none"/>
              </w:rPr>
              <w:t>采样流量</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≥0.5 L/min</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（4）</w:t>
            </w:r>
            <w:r>
              <w:rPr>
                <w:rFonts w:ascii="Times New Roman" w:hAnsi="Times New Roman" w:eastAsia="宋体"/>
                <w:b w:val="0"/>
                <w:bCs w:val="0"/>
                <w:color w:val="auto"/>
                <w:spacing w:val="-4"/>
                <w:kern w:val="2"/>
                <w:sz w:val="18"/>
                <w:szCs w:val="22"/>
                <w:highlight w:val="none"/>
              </w:rPr>
              <w:t>分析周期</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≤2 min（非甲烷总烃），≤5 min（苯系物）</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（5）</w:t>
            </w:r>
            <w:r>
              <w:rPr>
                <w:rFonts w:ascii="Times New Roman" w:hAnsi="Times New Roman" w:eastAsia="宋体"/>
                <w:b w:val="0"/>
                <w:bCs w:val="0"/>
                <w:color w:val="auto"/>
                <w:spacing w:val="-4"/>
                <w:kern w:val="2"/>
                <w:sz w:val="18"/>
                <w:szCs w:val="22"/>
                <w:highlight w:val="none"/>
              </w:rPr>
              <w:t>FID检测限</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≤5.0×10</w:t>
            </w:r>
            <w:r>
              <w:rPr>
                <w:rFonts w:ascii="Times New Roman" w:hAnsi="Times New Roman" w:eastAsia="宋体"/>
                <w:b w:val="0"/>
                <w:bCs w:val="0"/>
                <w:color w:val="auto"/>
                <w:spacing w:val="-4"/>
                <w:kern w:val="2"/>
                <w:sz w:val="18"/>
                <w:szCs w:val="22"/>
                <w:highlight w:val="none"/>
                <w:vertAlign w:val="superscript"/>
              </w:rPr>
              <w:t>-10</w:t>
            </w:r>
            <w:r>
              <w:rPr>
                <w:rFonts w:ascii="Times New Roman" w:hAnsi="Times New Roman" w:eastAsia="宋体"/>
                <w:b w:val="0"/>
                <w:bCs w:val="0"/>
                <w:color w:val="auto"/>
                <w:spacing w:val="-4"/>
                <w:kern w:val="2"/>
                <w:sz w:val="18"/>
                <w:szCs w:val="22"/>
                <w:highlight w:val="none"/>
              </w:rPr>
              <w:t xml:space="preserve"> g/s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（6）</w:t>
            </w:r>
            <w:r>
              <w:rPr>
                <w:rFonts w:ascii="Times New Roman" w:hAnsi="Times New Roman" w:eastAsia="宋体"/>
                <w:b w:val="0"/>
                <w:bCs w:val="0"/>
                <w:color w:val="auto"/>
                <w:spacing w:val="-4"/>
                <w:kern w:val="2"/>
                <w:sz w:val="18"/>
                <w:szCs w:val="22"/>
                <w:highlight w:val="none"/>
              </w:rPr>
              <w:t>量程</w:t>
            </w:r>
            <w:r>
              <w:rPr>
                <w:rFonts w:ascii="Times New Roman" w:hAnsi="Times New Roman" w:eastAsia="宋体"/>
                <w:b w:val="0"/>
                <w:bCs w:val="0"/>
                <w:color w:val="auto"/>
                <w:spacing w:val="-4"/>
                <w:kern w:val="2"/>
                <w:sz w:val="18"/>
                <w:szCs w:val="22"/>
                <w:highlight w:val="none"/>
              </w:rPr>
              <w:tab/>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0.1~30000 mg/m</w:t>
            </w:r>
            <w:r>
              <w:rPr>
                <w:rFonts w:ascii="Times New Roman" w:hAnsi="Times New Roman" w:eastAsia="宋体"/>
                <w:b w:val="0"/>
                <w:bCs w:val="0"/>
                <w:color w:val="auto"/>
                <w:spacing w:val="-4"/>
                <w:kern w:val="2"/>
                <w:sz w:val="18"/>
                <w:szCs w:val="22"/>
                <w:highlight w:val="none"/>
                <w:vertAlign w:val="superscript"/>
              </w:rPr>
              <w:t>3</w:t>
            </w:r>
            <w:r>
              <w:rPr>
                <w:rFonts w:ascii="Times New Roman" w:hAnsi="Times New Roman" w:eastAsia="宋体"/>
                <w:b w:val="0"/>
                <w:bCs w:val="0"/>
                <w:color w:val="auto"/>
                <w:spacing w:val="-4"/>
                <w:kern w:val="2"/>
                <w:sz w:val="18"/>
                <w:szCs w:val="22"/>
                <w:highlight w:val="none"/>
              </w:rPr>
              <w:t>（非甲烷总烃），0.1~1000ppm（苯系物）</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（7）</w:t>
            </w:r>
            <w:r>
              <w:rPr>
                <w:rFonts w:ascii="Times New Roman" w:hAnsi="Times New Roman" w:eastAsia="宋体"/>
                <w:b w:val="0"/>
                <w:bCs w:val="0"/>
                <w:color w:val="auto"/>
                <w:spacing w:val="-4"/>
                <w:kern w:val="2"/>
                <w:sz w:val="18"/>
                <w:szCs w:val="22"/>
                <w:highlight w:val="none"/>
              </w:rPr>
              <w:t>定性重复性</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≤1%（非甲烷总烃），≤2%（苯系物）</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（8）</w:t>
            </w:r>
            <w:r>
              <w:rPr>
                <w:rFonts w:ascii="Times New Roman" w:hAnsi="Times New Roman" w:eastAsia="宋体"/>
                <w:b w:val="0"/>
                <w:bCs w:val="0"/>
                <w:color w:val="auto"/>
                <w:spacing w:val="-4"/>
                <w:kern w:val="2"/>
                <w:sz w:val="18"/>
                <w:szCs w:val="22"/>
                <w:highlight w:val="none"/>
              </w:rPr>
              <w:t>定量重复性</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≤2%（非甲烷总烃），≤3%（苯系物）</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（9）</w:t>
            </w:r>
            <w:r>
              <w:rPr>
                <w:rFonts w:ascii="Times New Roman" w:hAnsi="Times New Roman" w:eastAsia="宋体"/>
                <w:b w:val="0"/>
                <w:bCs w:val="0"/>
                <w:color w:val="auto"/>
                <w:spacing w:val="-4"/>
                <w:kern w:val="2"/>
                <w:sz w:val="18"/>
                <w:szCs w:val="22"/>
                <w:highlight w:val="none"/>
              </w:rPr>
              <w:t>线性误差</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≤1%FS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（10）</w:t>
            </w:r>
            <w:r>
              <w:rPr>
                <w:rFonts w:ascii="Times New Roman" w:hAnsi="Times New Roman" w:eastAsia="宋体"/>
                <w:b w:val="0"/>
                <w:bCs w:val="0"/>
                <w:color w:val="auto"/>
                <w:spacing w:val="-4"/>
                <w:kern w:val="2"/>
                <w:sz w:val="18"/>
                <w:szCs w:val="22"/>
                <w:highlight w:val="none"/>
              </w:rPr>
              <w:t>仪器间平行性</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≤1%</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（11）</w:t>
            </w:r>
            <w:r>
              <w:rPr>
                <w:rFonts w:ascii="Times New Roman" w:hAnsi="Times New Roman" w:eastAsia="宋体"/>
                <w:b w:val="0"/>
                <w:bCs w:val="0"/>
                <w:color w:val="auto"/>
                <w:spacing w:val="-4"/>
                <w:kern w:val="2"/>
                <w:sz w:val="18"/>
                <w:szCs w:val="22"/>
                <w:highlight w:val="none"/>
              </w:rPr>
              <w:t>重量</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整机（含电池、氢气瓶、载气瓶和标气瓶）重量小于17kg</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2.便携式温压流湿氧测试仪指标要求</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（1）</w:t>
            </w:r>
            <w:r>
              <w:rPr>
                <w:rFonts w:ascii="Times New Roman" w:hAnsi="Times New Roman" w:eastAsia="宋体"/>
                <w:b w:val="0"/>
                <w:bCs w:val="0"/>
                <w:color w:val="auto"/>
                <w:spacing w:val="-4"/>
                <w:kern w:val="2"/>
                <w:sz w:val="18"/>
                <w:szCs w:val="22"/>
                <w:highlight w:val="none"/>
              </w:rPr>
              <w:t>含湿量</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测量范围（0~50）%，分辨率0.01%，误差≤±3%F.S.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（2）</w:t>
            </w:r>
            <w:r>
              <w:rPr>
                <w:rFonts w:ascii="Times New Roman" w:hAnsi="Times New Roman" w:eastAsia="宋体"/>
                <w:b w:val="0"/>
                <w:bCs w:val="0"/>
                <w:color w:val="auto"/>
                <w:spacing w:val="-4"/>
                <w:kern w:val="2"/>
                <w:sz w:val="18"/>
                <w:szCs w:val="22"/>
                <w:highlight w:val="none"/>
              </w:rPr>
              <w:t>氧含量</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测量范围（0~50）%，分辨率0.01%，误差≤±3%F.S.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（3）</w:t>
            </w:r>
            <w:r>
              <w:rPr>
                <w:rFonts w:ascii="Times New Roman" w:hAnsi="Times New Roman" w:eastAsia="宋体"/>
                <w:b w:val="0"/>
                <w:bCs w:val="0"/>
                <w:color w:val="auto"/>
                <w:spacing w:val="-4"/>
                <w:kern w:val="2"/>
                <w:sz w:val="18"/>
                <w:szCs w:val="22"/>
                <w:highlight w:val="none"/>
              </w:rPr>
              <w:t>烟气流速</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测量范围（0~45）m/s，分辨率0.1m, 误差≤±0.5m/s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（4）</w:t>
            </w:r>
            <w:r>
              <w:rPr>
                <w:rFonts w:ascii="Times New Roman" w:hAnsi="Times New Roman" w:eastAsia="宋体"/>
                <w:b w:val="0"/>
                <w:bCs w:val="0"/>
                <w:color w:val="auto"/>
                <w:spacing w:val="-4"/>
                <w:kern w:val="2"/>
                <w:sz w:val="18"/>
                <w:szCs w:val="22"/>
                <w:highlight w:val="none"/>
              </w:rPr>
              <w:t>烟气温度</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测量范围（0-300）℃，分辨率0.01℃，误差≤±3℃</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（5）</w:t>
            </w:r>
            <w:r>
              <w:rPr>
                <w:rFonts w:ascii="Times New Roman" w:hAnsi="Times New Roman" w:eastAsia="宋体"/>
                <w:b w:val="0"/>
                <w:bCs w:val="0"/>
                <w:color w:val="auto"/>
                <w:spacing w:val="-4"/>
                <w:kern w:val="2"/>
                <w:sz w:val="18"/>
                <w:szCs w:val="22"/>
                <w:highlight w:val="none"/>
              </w:rPr>
              <w:t>烟气动压</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测量范围（0-160）kPa，分辨率1Pa，误差≤±3%F.S.</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（6）</w:t>
            </w:r>
            <w:r>
              <w:rPr>
                <w:rFonts w:ascii="Times New Roman" w:hAnsi="Times New Roman" w:eastAsia="宋体"/>
                <w:b w:val="0"/>
                <w:bCs w:val="0"/>
                <w:color w:val="auto"/>
                <w:spacing w:val="-4"/>
                <w:kern w:val="2"/>
                <w:sz w:val="18"/>
                <w:szCs w:val="22"/>
                <w:highlight w:val="none"/>
              </w:rPr>
              <w:t>烟气静压</w:t>
            </w:r>
            <w:r>
              <w:rPr>
                <w:rFonts w:hint="eastAsia" w:ascii="Times New Roman" w:hAnsi="Times New Roman" w:eastAsia="宋体"/>
                <w:b w:val="0"/>
                <w:bCs w:val="0"/>
                <w:color w:val="auto"/>
                <w:spacing w:val="-4"/>
                <w:kern w:val="2"/>
                <w:sz w:val="18"/>
                <w:szCs w:val="22"/>
                <w:highlight w:val="none"/>
              </w:rPr>
              <w:t>：</w:t>
            </w:r>
            <w:r>
              <w:rPr>
                <w:rFonts w:ascii="Times New Roman" w:hAnsi="Times New Roman" w:eastAsia="宋体"/>
                <w:b w:val="0"/>
                <w:bCs w:val="0"/>
                <w:color w:val="auto"/>
                <w:spacing w:val="-4"/>
                <w:kern w:val="2"/>
                <w:sz w:val="18"/>
                <w:szCs w:val="22"/>
                <w:highlight w:val="none"/>
              </w:rPr>
              <w:t>测量范围（-30~+30）kPa，分辨率0.001kPa，误差≤±3%F.S.</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（7）</w:t>
            </w:r>
            <w:r>
              <w:rPr>
                <w:rFonts w:hint="default" w:ascii="Times New Roman" w:hAnsi="Times New Roman"/>
                <w:color w:val="auto"/>
                <w:spacing w:val="-4"/>
                <w:sz w:val="18"/>
                <w:highlight w:val="none"/>
              </w:rPr>
              <w:t>采样管温度</w:t>
            </w:r>
            <w:r>
              <w:rPr>
                <w:rFonts w:ascii="Times New Roman" w:hAnsi="Times New Roman"/>
                <w:color w:val="auto"/>
                <w:spacing w:val="-4"/>
                <w:sz w:val="18"/>
                <w:highlight w:val="none"/>
              </w:rPr>
              <w:t>：</w:t>
            </w:r>
            <w:r>
              <w:rPr>
                <w:rFonts w:hint="default" w:ascii="Times New Roman" w:hAnsi="Times New Roman"/>
                <w:color w:val="auto"/>
                <w:spacing w:val="-4"/>
                <w:sz w:val="18"/>
                <w:highlight w:val="none"/>
              </w:rPr>
              <w:t>设置范围（100~180）℃，分辨率0.1℃，误差≤±3℃</w:t>
            </w:r>
          </w:p>
          <w:p>
            <w:pPr>
              <w:pStyle w:val="4"/>
              <w:keepNext w:val="0"/>
              <w:keepLines w:val="0"/>
              <w:spacing w:before="0" w:after="0" w:line="240" w:lineRule="auto"/>
              <w:jc w:val="both"/>
              <w:rPr>
                <w:rFonts w:ascii="Times New Roman" w:hAnsi="Times New Roman" w:eastAsia="宋体"/>
                <w:b w:val="0"/>
                <w:bCs w:val="0"/>
                <w:color w:val="auto"/>
                <w:spacing w:val="-4"/>
                <w:kern w:val="2"/>
                <w:sz w:val="18"/>
                <w:szCs w:val="22"/>
                <w:highlight w:val="none"/>
              </w:rPr>
            </w:pPr>
            <w:r>
              <w:rPr>
                <w:rFonts w:hint="eastAsia" w:ascii="Times New Roman" w:hAnsi="Times New Roman" w:eastAsia="宋体"/>
                <w:b w:val="0"/>
                <w:bCs w:val="0"/>
                <w:color w:val="auto"/>
                <w:spacing w:val="-4"/>
                <w:kern w:val="2"/>
                <w:sz w:val="18"/>
                <w:szCs w:val="22"/>
                <w:highlight w:val="none"/>
              </w:rPr>
              <w:t>3.</w:t>
            </w:r>
            <w:r>
              <w:rPr>
                <w:rFonts w:ascii="Times New Roman" w:hAnsi="Times New Roman" w:eastAsia="宋体"/>
                <w:b w:val="0"/>
                <w:bCs w:val="0"/>
                <w:color w:val="auto"/>
                <w:spacing w:val="-4"/>
                <w:kern w:val="2"/>
                <w:sz w:val="18"/>
                <w:szCs w:val="22"/>
                <w:highlight w:val="none"/>
              </w:rPr>
              <w:t>单套配置要求</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（1）</w:t>
            </w:r>
            <w:r>
              <w:rPr>
                <w:rFonts w:hint="default" w:ascii="Times New Roman" w:hAnsi="Times New Roman"/>
                <w:color w:val="auto"/>
                <w:spacing w:val="-4"/>
                <w:sz w:val="18"/>
                <w:highlight w:val="none"/>
              </w:rPr>
              <w:t>分析仪主机（含色谱分离模块）及控制软件</w:t>
            </w:r>
            <w:r>
              <w:rPr>
                <w:color w:val="auto"/>
                <w:highlight w:val="none"/>
              </w:rPr>
              <w:t>：</w:t>
            </w:r>
            <w:r>
              <w:rPr>
                <w:rFonts w:hint="default" w:ascii="Times New Roman" w:hAnsi="Times New Roman"/>
                <w:color w:val="auto"/>
                <w:spacing w:val="-4"/>
                <w:sz w:val="18"/>
                <w:highlight w:val="none"/>
              </w:rPr>
              <w:t>1套</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（2）</w:t>
            </w:r>
            <w:r>
              <w:rPr>
                <w:rFonts w:hint="default" w:ascii="Times New Roman" w:hAnsi="Times New Roman"/>
                <w:color w:val="auto"/>
                <w:spacing w:val="-4"/>
                <w:sz w:val="18"/>
                <w:highlight w:val="none"/>
              </w:rPr>
              <w:t>反复充放式气瓶以及充放气装置</w:t>
            </w:r>
            <w:r>
              <w:rPr>
                <w:color w:val="auto"/>
                <w:highlight w:val="none"/>
              </w:rPr>
              <w:t>：</w:t>
            </w:r>
            <w:r>
              <w:rPr>
                <w:rFonts w:hint="default" w:ascii="Times New Roman" w:hAnsi="Times New Roman"/>
                <w:color w:val="auto"/>
                <w:spacing w:val="-4"/>
                <w:sz w:val="18"/>
                <w:highlight w:val="none"/>
              </w:rPr>
              <w:t>1套</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（3）</w:t>
            </w:r>
            <w:r>
              <w:rPr>
                <w:rFonts w:hint="default" w:ascii="Times New Roman" w:hAnsi="Times New Roman"/>
                <w:color w:val="auto"/>
                <w:spacing w:val="-4"/>
                <w:sz w:val="18"/>
                <w:highlight w:val="none"/>
              </w:rPr>
              <w:t>电池以及适配器</w:t>
            </w:r>
            <w:r>
              <w:rPr>
                <w:color w:val="auto"/>
                <w:highlight w:val="none"/>
              </w:rPr>
              <w:t>：</w:t>
            </w:r>
            <w:r>
              <w:rPr>
                <w:rFonts w:hint="default" w:ascii="Times New Roman" w:hAnsi="Times New Roman"/>
                <w:color w:val="auto"/>
                <w:spacing w:val="-4"/>
                <w:sz w:val="18"/>
                <w:highlight w:val="none"/>
              </w:rPr>
              <w:t>1套</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（4）</w:t>
            </w:r>
            <w:r>
              <w:rPr>
                <w:rFonts w:hint="default" w:ascii="Times New Roman" w:hAnsi="Times New Roman"/>
                <w:color w:val="auto"/>
                <w:spacing w:val="-4"/>
                <w:sz w:val="18"/>
                <w:highlight w:val="none"/>
              </w:rPr>
              <w:t>温度可调采样伴热管线</w:t>
            </w:r>
            <w:r>
              <w:rPr>
                <w:color w:val="auto"/>
                <w:highlight w:val="none"/>
              </w:rPr>
              <w:t>：</w:t>
            </w:r>
            <w:r>
              <w:rPr>
                <w:rFonts w:hint="default" w:ascii="Times New Roman" w:hAnsi="Times New Roman"/>
                <w:color w:val="auto"/>
                <w:spacing w:val="-4"/>
                <w:sz w:val="18"/>
                <w:highlight w:val="none"/>
              </w:rPr>
              <w:t>1套</w:t>
            </w:r>
          </w:p>
          <w:p>
            <w:pPr>
              <w:rPr>
                <w:rFonts w:hint="default" w:ascii="Times New Roman" w:hAnsi="Times New Roman"/>
                <w:strike/>
                <w:color w:val="auto"/>
                <w:spacing w:val="-4"/>
                <w:sz w:val="18"/>
                <w:highlight w:val="none"/>
              </w:rPr>
            </w:pPr>
            <w:r>
              <w:rPr>
                <w:rFonts w:ascii="Times New Roman" w:hAnsi="Times New Roman"/>
                <w:color w:val="auto"/>
                <w:spacing w:val="-4"/>
                <w:sz w:val="18"/>
                <w:highlight w:val="none"/>
              </w:rPr>
              <w:t>（5）</w:t>
            </w:r>
            <w:r>
              <w:rPr>
                <w:rFonts w:hint="default" w:ascii="Times New Roman" w:hAnsi="Times New Roman"/>
                <w:color w:val="auto"/>
                <w:spacing w:val="-4"/>
                <w:sz w:val="18"/>
                <w:highlight w:val="none"/>
              </w:rPr>
              <w:t>移动工作站</w:t>
            </w:r>
            <w:r>
              <w:rPr>
                <w:color w:val="auto"/>
                <w:highlight w:val="none"/>
              </w:rPr>
              <w:t>：</w:t>
            </w:r>
            <w:r>
              <w:rPr>
                <w:rFonts w:hint="default" w:ascii="Times New Roman" w:hAnsi="Times New Roman"/>
                <w:color w:val="auto"/>
                <w:spacing w:val="-4"/>
                <w:sz w:val="18"/>
                <w:highlight w:val="none"/>
              </w:rPr>
              <w:t>1台</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w:t>
            </w:r>
            <w:r>
              <w:rPr>
                <w:rFonts w:hint="default" w:ascii="Times New Roman" w:hAnsi="Times New Roman"/>
                <w:color w:val="auto"/>
                <w:spacing w:val="-4"/>
                <w:sz w:val="18"/>
                <w:highlight w:val="none"/>
              </w:rPr>
              <w:t>6</w:t>
            </w:r>
            <w:r>
              <w:rPr>
                <w:rFonts w:ascii="Times New Roman" w:hAnsi="Times New Roman"/>
                <w:color w:val="auto"/>
                <w:spacing w:val="-4"/>
                <w:sz w:val="18"/>
                <w:highlight w:val="none"/>
              </w:rPr>
              <w:t>）</w:t>
            </w:r>
            <w:r>
              <w:rPr>
                <w:rFonts w:hint="default" w:ascii="Times New Roman" w:hAnsi="Times New Roman"/>
                <w:color w:val="auto"/>
                <w:spacing w:val="-4"/>
                <w:sz w:val="18"/>
                <w:highlight w:val="none"/>
              </w:rPr>
              <w:t>便携式温压流湿氧测试仪</w:t>
            </w:r>
            <w:r>
              <w:rPr>
                <w:color w:val="auto"/>
                <w:highlight w:val="none"/>
              </w:rPr>
              <w:t>：</w:t>
            </w:r>
            <w:r>
              <w:rPr>
                <w:rFonts w:hint="default" w:ascii="Times New Roman" w:hAnsi="Times New Roman"/>
                <w:color w:val="auto"/>
                <w:spacing w:val="-4"/>
                <w:sz w:val="18"/>
                <w:highlight w:val="none"/>
              </w:rPr>
              <w:t>1台</w:t>
            </w:r>
          </w:p>
          <w:p>
            <w:pPr>
              <w:pStyle w:val="24"/>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（三）其他要求</w:t>
            </w:r>
          </w:p>
          <w:p>
            <w:pPr>
              <w:pStyle w:val="4"/>
              <w:keepNext w:val="0"/>
              <w:keepLines w:val="0"/>
              <w:spacing w:before="0" w:after="0" w:line="240" w:lineRule="auto"/>
              <w:jc w:val="both"/>
              <w:rPr>
                <w:color w:val="auto"/>
                <w:highlight w:val="none"/>
              </w:rPr>
            </w:pPr>
            <w:r>
              <w:rPr>
                <w:rFonts w:hint="eastAsia" w:ascii="Times New Roman" w:hAnsi="Times New Roman" w:eastAsia="宋体"/>
                <w:b w:val="0"/>
                <w:bCs w:val="0"/>
                <w:color w:val="auto"/>
                <w:spacing w:val="-4"/>
                <w:kern w:val="2"/>
                <w:sz w:val="18"/>
                <w:szCs w:val="22"/>
                <w:highlight w:val="none"/>
              </w:rPr>
              <w:t xml:space="preserve">若投标人提供的货物不是投标人自己制造的，中标后应当提供货物制造商或其指定代理出具响应本次招标的投标货物的正式授权书。 </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3</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便携式分光光度计</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1.用途：适用于多种测量场合使用。适合市政污水自来水、饮用水、锅炉水、冷却水、水处理、环境监测和工业过程监测。</w:t>
            </w:r>
          </w:p>
          <w:p>
            <w:pPr>
              <w:pStyle w:val="24"/>
              <w:spacing w:line="240" w:lineRule="auto"/>
              <w:ind w:firstLine="0" w:firstLineChars="0"/>
              <w:jc w:val="left"/>
              <w:rPr>
                <w:color w:val="auto"/>
                <w:highlight w:val="none"/>
              </w:rPr>
            </w:pPr>
            <w:r>
              <w:rPr>
                <w:rFonts w:hint="eastAsia"/>
                <w:color w:val="auto"/>
                <w:highlight w:val="none"/>
              </w:rPr>
              <w:t>2.工作条件</w:t>
            </w:r>
          </w:p>
          <w:p>
            <w:pPr>
              <w:pStyle w:val="24"/>
              <w:spacing w:line="240" w:lineRule="auto"/>
              <w:ind w:firstLine="0" w:firstLineChars="0"/>
              <w:jc w:val="left"/>
              <w:rPr>
                <w:color w:val="auto"/>
                <w:highlight w:val="none"/>
              </w:rPr>
            </w:pPr>
            <w:r>
              <w:rPr>
                <w:rFonts w:hint="eastAsia"/>
                <w:color w:val="auto"/>
                <w:highlight w:val="none"/>
              </w:rPr>
              <w:t>（1）电源：标配AA电池，4节，选配外置电源110–240 VAC，50/60 Hz</w:t>
            </w:r>
          </w:p>
          <w:p>
            <w:pPr>
              <w:pStyle w:val="24"/>
              <w:spacing w:line="240" w:lineRule="auto"/>
              <w:ind w:firstLine="0" w:firstLineChars="0"/>
              <w:jc w:val="left"/>
              <w:rPr>
                <w:color w:val="auto"/>
                <w:highlight w:val="none"/>
              </w:rPr>
            </w:pPr>
            <w:r>
              <w:rPr>
                <w:rFonts w:hint="eastAsia"/>
                <w:color w:val="auto"/>
                <w:highlight w:val="none"/>
              </w:rPr>
              <w:t>（2）温度：10 ~ 40℃</w:t>
            </w:r>
          </w:p>
          <w:p>
            <w:pPr>
              <w:pStyle w:val="24"/>
              <w:spacing w:line="240" w:lineRule="auto"/>
              <w:ind w:firstLine="0" w:firstLineChars="0"/>
              <w:jc w:val="left"/>
              <w:rPr>
                <w:color w:val="auto"/>
                <w:highlight w:val="none"/>
              </w:rPr>
            </w:pPr>
            <w:r>
              <w:rPr>
                <w:rFonts w:hint="eastAsia"/>
                <w:color w:val="auto"/>
                <w:highlight w:val="none"/>
              </w:rPr>
              <w:t>（3）湿度：最大相对湿度80%（非冷凝）</w:t>
            </w:r>
          </w:p>
          <w:p>
            <w:pPr>
              <w:pStyle w:val="24"/>
              <w:spacing w:line="240" w:lineRule="auto"/>
              <w:ind w:firstLine="0" w:firstLineChars="0"/>
              <w:jc w:val="left"/>
              <w:rPr>
                <w:color w:val="auto"/>
                <w:highlight w:val="none"/>
              </w:rPr>
            </w:pPr>
            <w:r>
              <w:rPr>
                <w:rFonts w:hint="eastAsia"/>
                <w:color w:val="auto"/>
                <w:highlight w:val="none"/>
              </w:rPr>
              <w:t>3.技术性能指标：</w:t>
            </w:r>
          </w:p>
          <w:p>
            <w:pPr>
              <w:pStyle w:val="24"/>
              <w:spacing w:line="240" w:lineRule="auto"/>
              <w:ind w:firstLine="0" w:firstLineChars="0"/>
              <w:jc w:val="left"/>
              <w:rPr>
                <w:color w:val="auto"/>
                <w:highlight w:val="none"/>
              </w:rPr>
            </w:pPr>
            <w:r>
              <w:rPr>
                <w:rFonts w:hint="eastAsia"/>
                <w:color w:val="auto"/>
                <w:highlight w:val="none"/>
              </w:rPr>
              <w:t>（1）测量模式：浓度(mg/L等)、吸光度（Abs）、透过率（%）</w:t>
            </w:r>
          </w:p>
          <w:p>
            <w:pPr>
              <w:pStyle w:val="24"/>
              <w:spacing w:line="240" w:lineRule="auto"/>
              <w:ind w:firstLine="0" w:firstLineChars="0"/>
              <w:jc w:val="left"/>
              <w:rPr>
                <w:color w:val="auto"/>
                <w:highlight w:val="none"/>
              </w:rPr>
            </w:pPr>
            <w:r>
              <w:rPr>
                <w:rFonts w:hint="eastAsia"/>
                <w:color w:val="auto"/>
                <w:highlight w:val="none"/>
              </w:rPr>
              <w:t>（2）预置曲线：≥260条；</w:t>
            </w:r>
          </w:p>
          <w:p>
            <w:pPr>
              <w:pStyle w:val="24"/>
              <w:spacing w:line="240" w:lineRule="auto"/>
              <w:ind w:firstLine="0" w:firstLineChars="0"/>
              <w:jc w:val="left"/>
              <w:rPr>
                <w:color w:val="auto"/>
                <w:highlight w:val="none"/>
              </w:rPr>
            </w:pPr>
            <w:r>
              <w:rPr>
                <w:rFonts w:hint="eastAsia"/>
                <w:color w:val="auto"/>
                <w:highlight w:val="none"/>
              </w:rPr>
              <w:t>（3）用户自建曲线：≥50条；</w:t>
            </w:r>
          </w:p>
          <w:p>
            <w:pPr>
              <w:pStyle w:val="24"/>
              <w:spacing w:line="240" w:lineRule="auto"/>
              <w:ind w:firstLine="0" w:firstLineChars="0"/>
              <w:jc w:val="left"/>
              <w:rPr>
                <w:color w:val="auto"/>
                <w:highlight w:val="none"/>
              </w:rPr>
            </w:pPr>
            <w:r>
              <w:rPr>
                <w:rFonts w:hint="eastAsia"/>
                <w:color w:val="auto"/>
                <w:highlight w:val="none"/>
              </w:rPr>
              <w:t>（4）光度计测量范围：0~3.0Abs</w:t>
            </w:r>
          </w:p>
          <w:p>
            <w:pPr>
              <w:pStyle w:val="24"/>
              <w:spacing w:line="240" w:lineRule="auto"/>
              <w:ind w:firstLine="0" w:firstLineChars="0"/>
              <w:jc w:val="left"/>
              <w:rPr>
                <w:color w:val="auto"/>
                <w:highlight w:val="none"/>
              </w:rPr>
            </w:pPr>
            <w:r>
              <w:rPr>
                <w:rFonts w:hint="eastAsia"/>
                <w:color w:val="auto"/>
                <w:highlight w:val="none"/>
              </w:rPr>
              <w:t>（5）光度计准确度：±0.003Abs @ 0.0~0.5 Abs</w:t>
            </w:r>
          </w:p>
          <w:p>
            <w:pPr>
              <w:pStyle w:val="24"/>
              <w:spacing w:line="240" w:lineRule="auto"/>
              <w:ind w:firstLine="0" w:firstLineChars="0"/>
              <w:jc w:val="left"/>
              <w:rPr>
                <w:color w:val="auto"/>
                <w:highlight w:val="none"/>
              </w:rPr>
            </w:pPr>
            <w:r>
              <w:rPr>
                <w:rFonts w:hint="eastAsia"/>
                <w:color w:val="auto"/>
                <w:highlight w:val="none"/>
              </w:rPr>
              <w:t>（6）光度计线性：&lt; 0.5%（0.5~2.0 Abs）</w:t>
            </w:r>
          </w:p>
          <w:p>
            <w:pPr>
              <w:pStyle w:val="24"/>
              <w:spacing w:line="240" w:lineRule="auto"/>
              <w:ind w:firstLine="0" w:firstLineChars="0"/>
              <w:jc w:val="left"/>
              <w:rPr>
                <w:color w:val="auto"/>
                <w:highlight w:val="none"/>
              </w:rPr>
            </w:pPr>
            <w:r>
              <w:rPr>
                <w:rFonts w:hint="eastAsia"/>
                <w:color w:val="auto"/>
                <w:highlight w:val="none"/>
              </w:rPr>
              <w:t>（7）杂散光：&lt; 0.1T% @ 340nm，NaNO</w:t>
            </w:r>
            <w:r>
              <w:rPr>
                <w:rFonts w:hint="eastAsia"/>
                <w:color w:val="auto"/>
                <w:highlight w:val="none"/>
                <w:vertAlign w:val="subscript"/>
              </w:rPr>
              <w:t>2</w:t>
            </w:r>
          </w:p>
          <w:p>
            <w:pPr>
              <w:pStyle w:val="24"/>
              <w:spacing w:line="240" w:lineRule="auto"/>
              <w:ind w:firstLine="0" w:firstLineChars="0"/>
              <w:jc w:val="left"/>
              <w:rPr>
                <w:color w:val="auto"/>
                <w:highlight w:val="none"/>
              </w:rPr>
            </w:pPr>
            <w:r>
              <w:rPr>
                <w:rFonts w:hint="eastAsia"/>
                <w:color w:val="auto"/>
                <w:highlight w:val="none"/>
              </w:rPr>
              <w:t>（8）数据储存量：≥500条，符合GLP；</w:t>
            </w:r>
          </w:p>
          <w:p>
            <w:pPr>
              <w:pStyle w:val="24"/>
              <w:spacing w:line="240" w:lineRule="auto"/>
              <w:ind w:firstLine="0" w:firstLineChars="0"/>
              <w:jc w:val="left"/>
              <w:rPr>
                <w:color w:val="auto"/>
                <w:highlight w:val="none"/>
              </w:rPr>
            </w:pPr>
            <w:r>
              <w:rPr>
                <w:rFonts w:hint="eastAsia"/>
                <w:color w:val="auto"/>
                <w:highlight w:val="none"/>
              </w:rPr>
              <w:t>（9）显示：LCD，带背光；比色瓶尺寸：方形10 x 10 mm，1英寸；圆形13mm/16mm/1英寸；</w:t>
            </w:r>
          </w:p>
          <w:p>
            <w:pPr>
              <w:pStyle w:val="24"/>
              <w:spacing w:line="240" w:lineRule="auto"/>
              <w:ind w:firstLine="0" w:firstLineChars="0"/>
              <w:jc w:val="left"/>
              <w:rPr>
                <w:color w:val="auto"/>
                <w:highlight w:val="none"/>
              </w:rPr>
            </w:pPr>
            <w:r>
              <w:rPr>
                <w:rFonts w:hint="eastAsia"/>
                <w:color w:val="auto"/>
                <w:highlight w:val="none"/>
              </w:rPr>
              <w:t>（10）供电方式：标配AA电池，4节，选配外置电源110–240 VAC，50/60 Hz</w:t>
            </w:r>
          </w:p>
          <w:p>
            <w:pPr>
              <w:pStyle w:val="24"/>
              <w:spacing w:line="240" w:lineRule="auto"/>
              <w:ind w:firstLine="0" w:firstLineChars="0"/>
              <w:jc w:val="left"/>
              <w:rPr>
                <w:color w:val="auto"/>
                <w:highlight w:val="none"/>
              </w:rPr>
            </w:pPr>
            <w:r>
              <w:rPr>
                <w:rFonts w:hint="eastAsia"/>
                <w:color w:val="auto"/>
                <w:highlight w:val="none"/>
              </w:rPr>
              <w:t>（11）波长范围：340~800 nm</w:t>
            </w:r>
          </w:p>
          <w:p>
            <w:pPr>
              <w:pStyle w:val="24"/>
              <w:spacing w:line="240" w:lineRule="auto"/>
              <w:ind w:firstLine="0" w:firstLineChars="0"/>
              <w:jc w:val="left"/>
              <w:rPr>
                <w:color w:val="auto"/>
                <w:highlight w:val="none"/>
              </w:rPr>
            </w:pPr>
            <w:r>
              <w:rPr>
                <w:rFonts w:hint="eastAsia"/>
                <w:color w:val="auto"/>
                <w:highlight w:val="none"/>
              </w:rPr>
              <w:t>（12）波长选择：自动；</w:t>
            </w:r>
          </w:p>
          <w:p>
            <w:pPr>
              <w:pStyle w:val="24"/>
              <w:spacing w:line="240" w:lineRule="auto"/>
              <w:ind w:firstLine="0" w:firstLineChars="0"/>
              <w:jc w:val="left"/>
              <w:rPr>
                <w:color w:val="auto"/>
                <w:highlight w:val="none"/>
              </w:rPr>
            </w:pPr>
            <w:r>
              <w:rPr>
                <w:rFonts w:hint="eastAsia"/>
                <w:color w:val="auto"/>
                <w:highlight w:val="none"/>
              </w:rPr>
              <w:t>（13）波长准确性：±2nm；</w:t>
            </w:r>
          </w:p>
          <w:p>
            <w:pPr>
              <w:pStyle w:val="24"/>
              <w:spacing w:line="240" w:lineRule="auto"/>
              <w:ind w:firstLine="0" w:firstLineChars="0"/>
              <w:jc w:val="left"/>
              <w:rPr>
                <w:color w:val="auto"/>
                <w:highlight w:val="none"/>
              </w:rPr>
            </w:pPr>
            <w:r>
              <w:rPr>
                <w:rFonts w:hint="eastAsia"/>
                <w:color w:val="auto"/>
                <w:highlight w:val="none"/>
              </w:rPr>
              <w:t>（14）波长重复性：±0.1nm；</w:t>
            </w:r>
          </w:p>
          <w:p>
            <w:pPr>
              <w:pStyle w:val="24"/>
              <w:spacing w:line="240" w:lineRule="auto"/>
              <w:ind w:firstLine="0" w:firstLineChars="0"/>
              <w:jc w:val="left"/>
              <w:rPr>
                <w:color w:val="auto"/>
                <w:highlight w:val="none"/>
              </w:rPr>
            </w:pPr>
            <w:r>
              <w:rPr>
                <w:rFonts w:hint="eastAsia"/>
                <w:color w:val="auto"/>
                <w:highlight w:val="none"/>
              </w:rPr>
              <w:t>（15）光谱带宽：5nm；</w:t>
            </w:r>
          </w:p>
          <w:p>
            <w:pPr>
              <w:pStyle w:val="24"/>
              <w:spacing w:line="240" w:lineRule="auto"/>
              <w:ind w:firstLine="0" w:firstLineChars="0"/>
              <w:jc w:val="left"/>
              <w:rPr>
                <w:color w:val="auto"/>
                <w:highlight w:val="none"/>
              </w:rPr>
            </w:pPr>
            <w:r>
              <w:rPr>
                <w:rFonts w:hint="eastAsia"/>
                <w:color w:val="auto"/>
                <w:highlight w:val="none"/>
              </w:rPr>
              <w:t>（16）光度计测量范围：0~ 3.0</w:t>
            </w:r>
          </w:p>
          <w:p>
            <w:pPr>
              <w:pStyle w:val="24"/>
              <w:spacing w:line="240" w:lineRule="auto"/>
              <w:ind w:firstLine="0" w:firstLineChars="0"/>
              <w:jc w:val="left"/>
              <w:rPr>
                <w:color w:val="auto"/>
                <w:highlight w:val="none"/>
              </w:rPr>
            </w:pPr>
            <w:r>
              <w:rPr>
                <w:rFonts w:hint="eastAsia"/>
                <w:color w:val="auto"/>
                <w:highlight w:val="none"/>
              </w:rPr>
              <w:t>（17）数据线接口：min USB接口，选配；</w:t>
            </w:r>
          </w:p>
          <w:p>
            <w:pPr>
              <w:pStyle w:val="24"/>
              <w:spacing w:line="240" w:lineRule="auto"/>
              <w:ind w:firstLine="0" w:firstLineChars="0"/>
              <w:jc w:val="left"/>
              <w:rPr>
                <w:color w:val="auto"/>
                <w:highlight w:val="none"/>
              </w:rPr>
            </w:pPr>
            <w:r>
              <w:rPr>
                <w:rFonts w:hint="eastAsia"/>
                <w:color w:val="auto"/>
                <w:highlight w:val="none"/>
              </w:rPr>
              <w:t>（18）操作语言：多国语言，含中文；</w:t>
            </w:r>
          </w:p>
          <w:p>
            <w:pPr>
              <w:pStyle w:val="24"/>
              <w:spacing w:line="240" w:lineRule="auto"/>
              <w:ind w:firstLine="0" w:firstLineChars="0"/>
              <w:jc w:val="left"/>
              <w:rPr>
                <w:color w:val="auto"/>
                <w:highlight w:val="none"/>
              </w:rPr>
            </w:pPr>
            <w:r>
              <w:rPr>
                <w:rFonts w:hint="eastAsia"/>
                <w:color w:val="auto"/>
                <w:highlight w:val="none"/>
              </w:rPr>
              <w:t>（19）防护等级：≥IP67</w:t>
            </w:r>
          </w:p>
          <w:p>
            <w:pPr>
              <w:pStyle w:val="24"/>
              <w:spacing w:line="240" w:lineRule="auto"/>
              <w:ind w:firstLine="0" w:firstLineChars="0"/>
              <w:jc w:val="left"/>
              <w:rPr>
                <w:color w:val="auto"/>
                <w:highlight w:val="none"/>
              </w:rPr>
            </w:pPr>
            <w:r>
              <w:rPr>
                <w:rFonts w:hint="eastAsia"/>
                <w:color w:val="auto"/>
                <w:highlight w:val="none"/>
              </w:rPr>
              <w:t>4.配置要求（标准配置）</w:t>
            </w:r>
          </w:p>
          <w:p>
            <w:pPr>
              <w:pStyle w:val="24"/>
              <w:spacing w:line="240" w:lineRule="auto"/>
              <w:ind w:firstLine="0" w:firstLineChars="0"/>
              <w:jc w:val="left"/>
              <w:rPr>
                <w:color w:val="auto"/>
                <w:highlight w:val="none"/>
              </w:rPr>
            </w:pPr>
            <w:r>
              <w:rPr>
                <w:rFonts w:hint="eastAsia"/>
                <w:color w:val="auto"/>
                <w:highlight w:val="none"/>
              </w:rPr>
              <w:t>（1）仪器主机</w:t>
            </w:r>
          </w:p>
          <w:p>
            <w:pPr>
              <w:pStyle w:val="24"/>
              <w:spacing w:line="240" w:lineRule="auto"/>
              <w:ind w:firstLine="0" w:firstLineChars="0"/>
              <w:jc w:val="left"/>
              <w:rPr>
                <w:color w:val="auto"/>
                <w:highlight w:val="none"/>
              </w:rPr>
            </w:pPr>
            <w:r>
              <w:rPr>
                <w:rFonts w:hint="eastAsia"/>
                <w:color w:val="auto"/>
                <w:highlight w:val="none"/>
              </w:rPr>
              <w:t>（2）AA电池*4</w:t>
            </w:r>
          </w:p>
          <w:p>
            <w:pPr>
              <w:pStyle w:val="24"/>
              <w:spacing w:line="240" w:lineRule="auto"/>
              <w:ind w:firstLine="0" w:firstLineChars="0"/>
              <w:jc w:val="left"/>
              <w:rPr>
                <w:color w:val="auto"/>
                <w:highlight w:val="none"/>
              </w:rPr>
            </w:pPr>
            <w:r>
              <w:rPr>
                <w:rFonts w:hint="eastAsia"/>
                <w:color w:val="auto"/>
                <w:highlight w:val="none"/>
              </w:rPr>
              <w:t>（3）比色皿适配器，4个</w:t>
            </w:r>
          </w:p>
          <w:p>
            <w:pPr>
              <w:pStyle w:val="24"/>
              <w:spacing w:line="240" w:lineRule="auto"/>
              <w:ind w:firstLine="0" w:firstLineChars="0"/>
              <w:jc w:val="left"/>
              <w:rPr>
                <w:color w:val="auto"/>
                <w:highlight w:val="none"/>
              </w:rPr>
            </w:pPr>
            <w:r>
              <w:rPr>
                <w:rFonts w:hint="eastAsia"/>
                <w:color w:val="auto"/>
                <w:highlight w:val="none"/>
              </w:rPr>
              <w:t>（4）1英寸比色池（10mL，2只）</w:t>
            </w:r>
          </w:p>
          <w:p>
            <w:pPr>
              <w:pStyle w:val="24"/>
              <w:spacing w:line="240" w:lineRule="auto"/>
              <w:ind w:firstLine="0" w:firstLineChars="0"/>
              <w:jc w:val="left"/>
              <w:rPr>
                <w:color w:val="auto"/>
                <w:highlight w:val="none"/>
              </w:rPr>
            </w:pPr>
            <w:r>
              <w:rPr>
                <w:rFonts w:hint="eastAsia"/>
                <w:color w:val="auto"/>
                <w:highlight w:val="none"/>
              </w:rPr>
              <w:t>（5）基础用户手册</w:t>
            </w:r>
          </w:p>
          <w:p>
            <w:pPr>
              <w:pStyle w:val="24"/>
              <w:spacing w:line="240" w:lineRule="auto"/>
              <w:ind w:firstLine="0" w:firstLineChars="0"/>
              <w:jc w:val="left"/>
              <w:rPr>
                <w:color w:val="auto"/>
                <w:highlight w:val="none"/>
              </w:rPr>
            </w:pPr>
            <w:r>
              <w:rPr>
                <w:rFonts w:hint="eastAsia"/>
                <w:color w:val="auto"/>
                <w:highlight w:val="none"/>
              </w:rPr>
              <w:t>（6）电源模块</w:t>
            </w:r>
          </w:p>
          <w:p>
            <w:pPr>
              <w:pStyle w:val="24"/>
              <w:spacing w:line="240" w:lineRule="auto"/>
              <w:ind w:firstLine="0" w:firstLineChars="0"/>
              <w:jc w:val="left"/>
              <w:rPr>
                <w:color w:val="auto"/>
                <w:highlight w:val="none"/>
              </w:rPr>
            </w:pPr>
            <w:r>
              <w:rPr>
                <w:rFonts w:hint="eastAsia"/>
                <w:color w:val="auto"/>
                <w:highlight w:val="none"/>
              </w:rPr>
              <w:t>（7）USB模块</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b/>
                <w:bCs/>
                <w:color w:val="auto"/>
                <w:kern w:val="0"/>
                <w:szCs w:val="21"/>
                <w:highlight w:val="none"/>
              </w:rPr>
              <w:t>允许进口</w:t>
            </w: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4</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便携式浊度仪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 xml:space="preserve">1.用途：具有实验室浊度仪的优越性能，既可用于野外测试，又可用于实验室的水质分析，可广泛应用于饮用水、废水、纯水、工业水及环境水的浊度值测量。 </w:t>
            </w:r>
          </w:p>
          <w:p>
            <w:pPr>
              <w:pStyle w:val="24"/>
              <w:spacing w:line="240" w:lineRule="auto"/>
              <w:ind w:firstLine="0" w:firstLineChars="0"/>
              <w:jc w:val="left"/>
              <w:rPr>
                <w:color w:val="auto"/>
                <w:highlight w:val="none"/>
              </w:rPr>
            </w:pPr>
            <w:r>
              <w:rPr>
                <w:rFonts w:hint="eastAsia"/>
                <w:color w:val="auto"/>
                <w:highlight w:val="none"/>
              </w:rPr>
              <w:t>2.工作条件：</w:t>
            </w:r>
          </w:p>
          <w:p>
            <w:pPr>
              <w:pStyle w:val="24"/>
              <w:spacing w:line="240" w:lineRule="auto"/>
              <w:ind w:firstLine="0" w:firstLineChars="0"/>
              <w:jc w:val="left"/>
              <w:rPr>
                <w:color w:val="auto"/>
                <w:highlight w:val="none"/>
              </w:rPr>
            </w:pPr>
            <w:r>
              <w:rPr>
                <w:rFonts w:hint="eastAsia"/>
                <w:color w:val="auto"/>
                <w:highlight w:val="none"/>
              </w:rPr>
              <w:t>（1）电源要求：110~230 Vac，50/60 Hz (交流电或者USB+电源模块)；4节AA电池；可充电镍氢电池（用于USB+电源模块）</w:t>
            </w:r>
          </w:p>
          <w:p>
            <w:pPr>
              <w:pStyle w:val="24"/>
              <w:spacing w:line="240" w:lineRule="auto"/>
              <w:ind w:firstLine="0" w:firstLineChars="0"/>
              <w:jc w:val="left"/>
              <w:rPr>
                <w:color w:val="auto"/>
                <w:highlight w:val="none"/>
              </w:rPr>
            </w:pPr>
            <w:r>
              <w:rPr>
                <w:rFonts w:hint="eastAsia"/>
                <w:color w:val="auto"/>
                <w:highlight w:val="none"/>
              </w:rPr>
              <w:t>（2）操作温度：0~50℃</w:t>
            </w:r>
          </w:p>
          <w:p>
            <w:pPr>
              <w:pStyle w:val="24"/>
              <w:spacing w:line="240" w:lineRule="auto"/>
              <w:ind w:firstLine="0" w:firstLineChars="0"/>
              <w:jc w:val="left"/>
              <w:rPr>
                <w:color w:val="auto"/>
                <w:highlight w:val="none"/>
              </w:rPr>
            </w:pPr>
            <w:r>
              <w:rPr>
                <w:rFonts w:hint="eastAsia"/>
                <w:color w:val="auto"/>
                <w:highlight w:val="none"/>
              </w:rPr>
              <w:t>（3）湿度：非冷凝，0~90%（30℃），0~80%（40℃），0~70%（50℃）</w:t>
            </w:r>
          </w:p>
          <w:p>
            <w:pPr>
              <w:pStyle w:val="24"/>
              <w:spacing w:line="240" w:lineRule="auto"/>
              <w:ind w:firstLine="0" w:firstLineChars="0"/>
              <w:jc w:val="left"/>
              <w:rPr>
                <w:color w:val="auto"/>
                <w:highlight w:val="none"/>
              </w:rPr>
            </w:pPr>
            <w:r>
              <w:rPr>
                <w:rFonts w:hint="eastAsia"/>
                <w:color w:val="auto"/>
                <w:highlight w:val="none"/>
              </w:rPr>
              <w:t>3.技术性能指标：</w:t>
            </w:r>
          </w:p>
          <w:p>
            <w:pPr>
              <w:pStyle w:val="24"/>
              <w:spacing w:line="240" w:lineRule="auto"/>
              <w:ind w:firstLine="0" w:firstLineChars="0"/>
              <w:jc w:val="left"/>
              <w:rPr>
                <w:color w:val="auto"/>
                <w:highlight w:val="none"/>
              </w:rPr>
            </w:pPr>
            <w:r>
              <w:rPr>
                <w:rFonts w:hint="eastAsia"/>
                <w:color w:val="auto"/>
                <w:highlight w:val="none"/>
              </w:rPr>
              <w:t>（1）符合标准： 满足USEPA 方法180.1 的要求</w:t>
            </w:r>
          </w:p>
          <w:p>
            <w:pPr>
              <w:pStyle w:val="24"/>
              <w:spacing w:line="240" w:lineRule="auto"/>
              <w:ind w:firstLine="0" w:firstLineChars="0"/>
              <w:jc w:val="left"/>
              <w:rPr>
                <w:color w:val="auto"/>
                <w:highlight w:val="none"/>
              </w:rPr>
            </w:pPr>
            <w:r>
              <w:rPr>
                <w:rFonts w:hint="eastAsia"/>
                <w:color w:val="auto"/>
                <w:highlight w:val="none"/>
              </w:rPr>
              <w:t>（2）光源：钨灯</w:t>
            </w:r>
          </w:p>
          <w:p>
            <w:pPr>
              <w:pStyle w:val="24"/>
              <w:spacing w:line="240" w:lineRule="auto"/>
              <w:ind w:firstLine="0" w:firstLineChars="0"/>
              <w:jc w:val="left"/>
              <w:rPr>
                <w:color w:val="auto"/>
                <w:highlight w:val="none"/>
              </w:rPr>
            </w:pPr>
            <w:r>
              <w:rPr>
                <w:rFonts w:hint="eastAsia"/>
                <w:color w:val="auto"/>
                <w:highlight w:val="none"/>
              </w:rPr>
              <w:t>（3）检测器：硅光电检测器</w:t>
            </w:r>
          </w:p>
          <w:p>
            <w:pPr>
              <w:pStyle w:val="24"/>
              <w:spacing w:line="240" w:lineRule="auto"/>
              <w:ind w:firstLine="0" w:firstLineChars="0"/>
              <w:jc w:val="left"/>
              <w:rPr>
                <w:color w:val="auto"/>
                <w:highlight w:val="none"/>
              </w:rPr>
            </w:pPr>
            <w:r>
              <w:rPr>
                <w:rFonts w:hint="eastAsia"/>
                <w:color w:val="auto"/>
                <w:highlight w:val="none"/>
              </w:rPr>
              <w:t>（4）测量范围：0~1000 NTU</w:t>
            </w:r>
          </w:p>
          <w:p>
            <w:pPr>
              <w:pStyle w:val="24"/>
              <w:spacing w:line="240" w:lineRule="auto"/>
              <w:ind w:firstLine="0" w:firstLineChars="0"/>
              <w:jc w:val="left"/>
              <w:rPr>
                <w:color w:val="auto"/>
                <w:highlight w:val="none"/>
              </w:rPr>
            </w:pPr>
            <w:r>
              <w:rPr>
                <w:rFonts w:hint="eastAsia"/>
                <w:color w:val="auto"/>
                <w:highlight w:val="none"/>
              </w:rPr>
              <w:t>（5）准确度：读数的± 2%+杂散光</w:t>
            </w:r>
          </w:p>
          <w:p>
            <w:pPr>
              <w:pStyle w:val="24"/>
              <w:spacing w:line="240" w:lineRule="auto"/>
              <w:ind w:firstLine="0" w:firstLineChars="0"/>
              <w:jc w:val="left"/>
              <w:rPr>
                <w:color w:val="auto"/>
                <w:highlight w:val="none"/>
              </w:rPr>
            </w:pPr>
            <w:r>
              <w:rPr>
                <w:rFonts w:hint="eastAsia"/>
                <w:color w:val="auto"/>
                <w:highlight w:val="none"/>
              </w:rPr>
              <w:t>（6）可重复性：读数的± 1%或者0.01NTU，取大者</w:t>
            </w:r>
          </w:p>
          <w:p>
            <w:pPr>
              <w:pStyle w:val="24"/>
              <w:spacing w:line="240" w:lineRule="auto"/>
              <w:ind w:firstLine="0" w:firstLineChars="0"/>
              <w:jc w:val="left"/>
              <w:rPr>
                <w:color w:val="auto"/>
                <w:highlight w:val="none"/>
              </w:rPr>
            </w:pPr>
            <w:r>
              <w:rPr>
                <w:rFonts w:hint="eastAsia"/>
                <w:color w:val="auto"/>
                <w:highlight w:val="none"/>
              </w:rPr>
              <w:t>（7）分辨率：在最低测量范围时为0.01NTU</w:t>
            </w:r>
          </w:p>
          <w:p>
            <w:pPr>
              <w:pStyle w:val="24"/>
              <w:spacing w:line="240" w:lineRule="auto"/>
              <w:ind w:firstLine="0" w:firstLineChars="0"/>
              <w:jc w:val="left"/>
              <w:rPr>
                <w:color w:val="auto"/>
                <w:highlight w:val="none"/>
              </w:rPr>
            </w:pPr>
            <w:r>
              <w:rPr>
                <w:rFonts w:hint="eastAsia"/>
                <w:color w:val="auto"/>
                <w:highlight w:val="none"/>
              </w:rPr>
              <w:t>（8）杂散光：&lt;0.02NTU</w:t>
            </w:r>
          </w:p>
          <w:p>
            <w:pPr>
              <w:pStyle w:val="24"/>
              <w:spacing w:line="240" w:lineRule="auto"/>
              <w:ind w:firstLine="0" w:firstLineChars="0"/>
              <w:jc w:val="left"/>
              <w:rPr>
                <w:color w:val="auto"/>
                <w:highlight w:val="none"/>
              </w:rPr>
            </w:pPr>
            <w:r>
              <w:rPr>
                <w:rFonts w:hint="eastAsia"/>
                <w:color w:val="auto"/>
                <w:highlight w:val="none"/>
              </w:rPr>
              <w:t>（9）具有信号平均功能</w:t>
            </w:r>
          </w:p>
          <w:p>
            <w:pPr>
              <w:pStyle w:val="24"/>
              <w:spacing w:line="240" w:lineRule="auto"/>
              <w:ind w:firstLine="0" w:firstLineChars="0"/>
              <w:jc w:val="left"/>
              <w:rPr>
                <w:color w:val="auto"/>
                <w:highlight w:val="none"/>
              </w:rPr>
            </w:pPr>
            <w:r>
              <w:rPr>
                <w:rFonts w:hint="eastAsia"/>
                <w:color w:val="auto"/>
                <w:highlight w:val="none"/>
              </w:rPr>
              <w:t>（10）双检测器光学系统，可消除色度、光波动、杂散光等的干扰</w:t>
            </w:r>
          </w:p>
          <w:p>
            <w:pPr>
              <w:pStyle w:val="24"/>
              <w:spacing w:line="240" w:lineRule="auto"/>
              <w:ind w:firstLine="0" w:firstLineChars="0"/>
              <w:jc w:val="left"/>
              <w:rPr>
                <w:color w:val="auto"/>
                <w:highlight w:val="none"/>
              </w:rPr>
            </w:pPr>
            <w:r>
              <w:rPr>
                <w:rFonts w:hint="eastAsia"/>
                <w:color w:val="auto"/>
                <w:highlight w:val="none"/>
              </w:rPr>
              <w:t>（11）具有多种语言选择，其中包括了中文</w:t>
            </w:r>
          </w:p>
          <w:p>
            <w:pPr>
              <w:pStyle w:val="24"/>
              <w:spacing w:line="240" w:lineRule="auto"/>
              <w:ind w:firstLine="0" w:firstLineChars="0"/>
              <w:jc w:val="left"/>
              <w:rPr>
                <w:color w:val="auto"/>
                <w:highlight w:val="none"/>
              </w:rPr>
            </w:pPr>
            <w:r>
              <w:rPr>
                <w:rFonts w:hint="eastAsia"/>
                <w:color w:val="auto"/>
                <w:highlight w:val="none"/>
              </w:rPr>
              <w:t>（12）具有屏幕在线帮助指引功能，使校准、验证等更简单</w:t>
            </w:r>
          </w:p>
          <w:p>
            <w:pPr>
              <w:pStyle w:val="24"/>
              <w:spacing w:line="240" w:lineRule="auto"/>
              <w:ind w:firstLine="0" w:firstLineChars="0"/>
              <w:jc w:val="left"/>
              <w:rPr>
                <w:color w:val="auto"/>
                <w:highlight w:val="none"/>
              </w:rPr>
            </w:pPr>
            <w:r>
              <w:rPr>
                <w:rFonts w:hint="eastAsia"/>
                <w:color w:val="auto"/>
                <w:highlight w:val="none"/>
              </w:rPr>
              <w:t>（13）USB数据传输，无需软件进行数据下载</w:t>
            </w:r>
          </w:p>
          <w:p>
            <w:pPr>
              <w:pStyle w:val="24"/>
              <w:spacing w:line="240" w:lineRule="auto"/>
              <w:ind w:firstLine="0" w:firstLineChars="0"/>
              <w:jc w:val="left"/>
              <w:rPr>
                <w:color w:val="auto"/>
                <w:highlight w:val="none"/>
              </w:rPr>
            </w:pPr>
            <w:r>
              <w:rPr>
                <w:rFonts w:hint="eastAsia"/>
                <w:color w:val="auto"/>
                <w:highlight w:val="none"/>
              </w:rPr>
              <w:t>（14）创新的RST（快速沉淀浊度）模式，即使样品发生快速沉淀，仍然能读出正确的浊度值。</w:t>
            </w:r>
          </w:p>
          <w:p>
            <w:pPr>
              <w:pStyle w:val="24"/>
              <w:spacing w:line="240" w:lineRule="auto"/>
              <w:ind w:firstLine="0" w:firstLineChars="0"/>
              <w:jc w:val="left"/>
              <w:rPr>
                <w:color w:val="auto"/>
                <w:highlight w:val="none"/>
              </w:rPr>
            </w:pPr>
            <w:r>
              <w:rPr>
                <w:rFonts w:hint="eastAsia"/>
                <w:color w:val="auto"/>
                <w:highlight w:val="none"/>
              </w:rPr>
              <w:t>（15）仪器防护等级：≥IP67</w:t>
            </w:r>
          </w:p>
          <w:p>
            <w:pPr>
              <w:pStyle w:val="24"/>
              <w:spacing w:line="240" w:lineRule="auto"/>
              <w:ind w:firstLine="0" w:firstLineChars="0"/>
              <w:jc w:val="left"/>
              <w:rPr>
                <w:color w:val="auto"/>
                <w:highlight w:val="none"/>
              </w:rPr>
            </w:pPr>
            <w:r>
              <w:rPr>
                <w:rFonts w:hint="eastAsia"/>
                <w:color w:val="auto"/>
                <w:highlight w:val="none"/>
              </w:rPr>
              <w:t>4.配置要求（基本配置）：主机、6个样品池、装在密封小瓶中的StablCal 一级标准液、10NTU的一级验证标准液、硅油、4节碱性电池、用户手册</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便携式多参数分析仪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1.用途：仪器</w:t>
            </w:r>
            <w:r>
              <w:rPr>
                <w:color w:val="auto"/>
                <w:highlight w:val="none"/>
              </w:rPr>
              <w:t>可测定多种参数，例如pH 值、电导率、溶解氧。可以现场使用，自动检测标准程序和校准提醒。可以将样品ID，用户ID 和电极序列号联系起来，可存储100000 个数据记录。可用于市政污水、工业污水、饮用水、环境监测、教育、科研等领域的水质分析。</w:t>
            </w:r>
          </w:p>
          <w:p>
            <w:pPr>
              <w:pStyle w:val="24"/>
              <w:spacing w:line="240" w:lineRule="auto"/>
              <w:ind w:firstLine="0" w:firstLineChars="0"/>
              <w:jc w:val="left"/>
              <w:rPr>
                <w:color w:val="auto"/>
                <w:highlight w:val="none"/>
              </w:rPr>
            </w:pPr>
            <w:r>
              <w:rPr>
                <w:rFonts w:hint="eastAsia"/>
                <w:color w:val="auto"/>
                <w:highlight w:val="none"/>
              </w:rPr>
              <w:t>2.工作条件</w:t>
            </w:r>
          </w:p>
          <w:p>
            <w:pPr>
              <w:pStyle w:val="24"/>
              <w:spacing w:line="240" w:lineRule="auto"/>
              <w:ind w:firstLine="0" w:firstLineChars="0"/>
              <w:jc w:val="left"/>
              <w:rPr>
                <w:color w:val="auto"/>
                <w:highlight w:val="none"/>
              </w:rPr>
            </w:pPr>
            <w:r>
              <w:rPr>
                <w:rFonts w:hint="eastAsia"/>
                <w:color w:val="auto"/>
                <w:highlight w:val="none"/>
              </w:rPr>
              <w:t>（1）</w:t>
            </w:r>
            <w:r>
              <w:rPr>
                <w:color w:val="auto"/>
                <w:highlight w:val="none"/>
              </w:rPr>
              <w:t>电源要求 ：提供两种供电模式</w:t>
            </w:r>
          </w:p>
          <w:p>
            <w:pPr>
              <w:pStyle w:val="24"/>
              <w:spacing w:line="240" w:lineRule="auto"/>
              <w:ind w:firstLine="0" w:firstLineChars="0"/>
              <w:jc w:val="left"/>
              <w:rPr>
                <w:color w:val="auto"/>
                <w:highlight w:val="none"/>
              </w:rPr>
            </w:pPr>
            <w:r>
              <w:rPr>
                <w:rFonts w:hint="eastAsia" w:ascii="宋体" w:hAnsi="宋体"/>
                <w:color w:val="auto"/>
                <w:highlight w:val="none"/>
              </w:rPr>
              <w:t>①</w:t>
            </w:r>
            <w:r>
              <w:rPr>
                <w:color w:val="auto"/>
                <w:highlight w:val="none"/>
              </w:rPr>
              <w:t>内部的可充电锂离子电池</w:t>
            </w:r>
            <w:r>
              <w:rPr>
                <w:rFonts w:hint="eastAsia"/>
                <w:color w:val="auto"/>
                <w:highlight w:val="none"/>
              </w:rPr>
              <w:t>，</w:t>
            </w:r>
            <w:r>
              <w:rPr>
                <w:color w:val="auto"/>
                <w:highlight w:val="none"/>
              </w:rPr>
              <w:t>18650 型（直径18 mm x 长度65mm，圆柱形），3.7VDC，3400mAh</w:t>
            </w:r>
          </w:p>
          <w:p>
            <w:pPr>
              <w:pStyle w:val="24"/>
              <w:spacing w:line="240" w:lineRule="auto"/>
              <w:ind w:firstLine="0" w:firstLineChars="0"/>
              <w:jc w:val="left"/>
              <w:rPr>
                <w:color w:val="auto"/>
                <w:highlight w:val="none"/>
              </w:rPr>
            </w:pPr>
            <w:r>
              <w:rPr>
                <w:rFonts w:hint="eastAsia" w:ascii="宋体" w:hAnsi="宋体"/>
                <w:color w:val="auto"/>
                <w:highlight w:val="none"/>
              </w:rPr>
              <w:t>②</w:t>
            </w:r>
            <w:r>
              <w:rPr>
                <w:color w:val="auto"/>
                <w:highlight w:val="none"/>
              </w:rPr>
              <w:t>外置Class II USB电源适配器：100–240 VAC、50/60 Hz 输入；5VDC@2USB电源适配器输出</w:t>
            </w:r>
            <w:r>
              <w:rPr>
                <w:rFonts w:hint="eastAsia"/>
                <w:color w:val="auto"/>
                <w:highlight w:val="none"/>
              </w:rPr>
              <w:t>。</w:t>
            </w:r>
          </w:p>
          <w:p>
            <w:pPr>
              <w:rPr>
                <w:rFonts w:hint="default" w:ascii="Times New Roman" w:hAnsi="Times New Roman"/>
                <w:color w:val="auto"/>
                <w:spacing w:val="-4"/>
                <w:sz w:val="18"/>
                <w:highlight w:val="none"/>
              </w:rPr>
            </w:pPr>
            <w:r>
              <w:rPr>
                <w:rFonts w:ascii="Times New Roman" w:hAnsi="Times New Roman"/>
                <w:color w:val="auto"/>
                <w:spacing w:val="-4"/>
                <w:sz w:val="18"/>
                <w:highlight w:val="none"/>
              </w:rPr>
              <w:t>（2）存储温度：-</w:t>
            </w:r>
            <w:r>
              <w:rPr>
                <w:rFonts w:hint="default" w:ascii="Times New Roman" w:hAnsi="Times New Roman"/>
                <w:color w:val="auto"/>
                <w:spacing w:val="-4"/>
                <w:sz w:val="18"/>
                <w:highlight w:val="none"/>
              </w:rPr>
              <w:t>20</w:t>
            </w:r>
            <w:r>
              <w:rPr>
                <w:color w:val="auto"/>
                <w:sz w:val="18"/>
                <w:szCs w:val="18"/>
                <w:highlight w:val="none"/>
              </w:rPr>
              <w:t>～ 60 °C，最高9</w:t>
            </w:r>
            <w:r>
              <w:rPr>
                <w:rFonts w:hint="default"/>
                <w:color w:val="auto"/>
                <w:sz w:val="18"/>
                <w:szCs w:val="18"/>
                <w:highlight w:val="none"/>
              </w:rPr>
              <w:t>0%</w:t>
            </w:r>
            <w:r>
              <w:rPr>
                <w:color w:val="auto"/>
                <w:sz w:val="18"/>
                <w:szCs w:val="18"/>
                <w:highlight w:val="none"/>
              </w:rPr>
              <w:t>相对湿度（无冷凝）</w:t>
            </w:r>
          </w:p>
          <w:p>
            <w:pPr>
              <w:pStyle w:val="24"/>
              <w:spacing w:line="240" w:lineRule="auto"/>
              <w:ind w:firstLine="0" w:firstLineChars="0"/>
              <w:jc w:val="left"/>
              <w:rPr>
                <w:color w:val="auto"/>
                <w:highlight w:val="none"/>
              </w:rPr>
            </w:pPr>
            <w:r>
              <w:rPr>
                <w:rFonts w:hint="eastAsia"/>
                <w:color w:val="auto"/>
                <w:highlight w:val="none"/>
              </w:rPr>
              <w:t>（3）工作温度： 0 ～ 60 °C</w:t>
            </w:r>
          </w:p>
          <w:p>
            <w:pPr>
              <w:pStyle w:val="24"/>
              <w:spacing w:line="240" w:lineRule="auto"/>
              <w:ind w:firstLine="0" w:firstLineChars="0"/>
              <w:jc w:val="left"/>
              <w:rPr>
                <w:color w:val="auto"/>
                <w:highlight w:val="none"/>
              </w:rPr>
            </w:pPr>
            <w:r>
              <w:rPr>
                <w:rFonts w:hint="eastAsia"/>
                <w:color w:val="auto"/>
                <w:highlight w:val="none"/>
              </w:rPr>
              <w:t>（4）工作湿度： ≤90% (无冷凝)</w:t>
            </w:r>
          </w:p>
          <w:p>
            <w:pPr>
              <w:pStyle w:val="24"/>
              <w:spacing w:line="240" w:lineRule="auto"/>
              <w:ind w:firstLine="0" w:firstLineChars="0"/>
              <w:jc w:val="left"/>
              <w:rPr>
                <w:color w:val="auto"/>
                <w:highlight w:val="none"/>
              </w:rPr>
            </w:pPr>
            <w:r>
              <w:rPr>
                <w:rFonts w:hint="eastAsia"/>
                <w:color w:val="auto"/>
                <w:highlight w:val="none"/>
              </w:rPr>
              <w:t>3.技术性能指标</w:t>
            </w:r>
          </w:p>
          <w:p>
            <w:pPr>
              <w:pStyle w:val="24"/>
              <w:spacing w:line="240" w:lineRule="auto"/>
              <w:ind w:firstLine="0" w:firstLineChars="0"/>
              <w:jc w:val="left"/>
              <w:rPr>
                <w:color w:val="auto"/>
                <w:highlight w:val="none"/>
              </w:rPr>
            </w:pPr>
            <w:r>
              <w:rPr>
                <w:rFonts w:hint="eastAsia"/>
                <w:color w:val="auto"/>
                <w:highlight w:val="none"/>
              </w:rPr>
              <w:t>（1）语言：提供多国语言，其中包括中文</w:t>
            </w:r>
          </w:p>
          <w:p>
            <w:pPr>
              <w:pStyle w:val="24"/>
              <w:spacing w:line="240" w:lineRule="auto"/>
              <w:ind w:firstLine="0" w:firstLineChars="0"/>
              <w:jc w:val="left"/>
              <w:rPr>
                <w:color w:val="auto"/>
                <w:highlight w:val="none"/>
              </w:rPr>
            </w:pPr>
            <w:r>
              <w:rPr>
                <w:rFonts w:hint="eastAsia"/>
                <w:color w:val="auto"/>
                <w:highlight w:val="none"/>
              </w:rPr>
              <w:t>（2）显示：可同时显示如下</w:t>
            </w:r>
            <w:r>
              <w:rPr>
                <w:color w:val="auto"/>
                <w:highlight w:val="none"/>
              </w:rPr>
              <w:t>3</w:t>
            </w:r>
            <w:r>
              <w:rPr>
                <w:rFonts w:hint="eastAsia"/>
                <w:color w:val="auto"/>
                <w:highlight w:val="none"/>
              </w:rPr>
              <w:t>个电极的测量读数</w:t>
            </w:r>
          </w:p>
          <w:p>
            <w:pPr>
              <w:pStyle w:val="24"/>
              <w:spacing w:line="240" w:lineRule="auto"/>
              <w:ind w:firstLine="0" w:firstLineChars="0"/>
              <w:jc w:val="left"/>
              <w:rPr>
                <w:color w:val="auto"/>
                <w:highlight w:val="none"/>
              </w:rPr>
            </w:pPr>
            <w:r>
              <w:rPr>
                <w:rFonts w:hint="eastAsia"/>
                <w:color w:val="auto"/>
                <w:highlight w:val="none"/>
              </w:rPr>
              <w:t>①pH电极：pH、mV、温度</w:t>
            </w:r>
          </w:p>
          <w:p>
            <w:pPr>
              <w:pStyle w:val="24"/>
              <w:spacing w:line="240" w:lineRule="auto"/>
              <w:ind w:firstLine="0" w:firstLineChars="0"/>
              <w:jc w:val="left"/>
              <w:rPr>
                <w:color w:val="auto"/>
                <w:highlight w:val="none"/>
              </w:rPr>
            </w:pPr>
            <w:r>
              <w:rPr>
                <w:rFonts w:hint="eastAsia"/>
                <w:color w:val="auto"/>
                <w:highlight w:val="none"/>
              </w:rPr>
              <w:t>②溶解氧电极：溶解氧、压力、温度</w:t>
            </w:r>
          </w:p>
          <w:p>
            <w:pPr>
              <w:pStyle w:val="24"/>
              <w:spacing w:line="240" w:lineRule="auto"/>
              <w:ind w:firstLine="0" w:firstLineChars="0"/>
              <w:jc w:val="left"/>
              <w:rPr>
                <w:color w:val="auto"/>
                <w:highlight w:val="none"/>
              </w:rPr>
            </w:pPr>
            <w:r>
              <w:rPr>
                <w:color w:val="auto"/>
                <w:highlight w:val="none"/>
              </w:rPr>
              <w:fldChar w:fldCharType="begin"/>
            </w:r>
            <w:r>
              <w:rPr>
                <w:color w:val="auto"/>
                <w:highlight w:val="none"/>
              </w:rPr>
              <w:instrText xml:space="preserve"> = 3 \* GB3 </w:instrText>
            </w:r>
            <w:r>
              <w:rPr>
                <w:color w:val="auto"/>
                <w:highlight w:val="none"/>
              </w:rPr>
              <w:fldChar w:fldCharType="separate"/>
            </w:r>
            <w:r>
              <w:rPr>
                <w:rFonts w:hint="eastAsia" w:ascii="宋体" w:hAnsi="宋体" w:cs="宋体"/>
                <w:color w:val="auto"/>
                <w:highlight w:val="none"/>
              </w:rPr>
              <w:t>③</w:t>
            </w:r>
            <w:r>
              <w:rPr>
                <w:color w:val="auto"/>
                <w:highlight w:val="none"/>
              </w:rPr>
              <w:fldChar w:fldCharType="end"/>
            </w:r>
            <w:r>
              <w:rPr>
                <w:color w:val="auto"/>
                <w:highlight w:val="none"/>
              </w:rPr>
              <w:t>电导率电极：电导率、盐度、总溶解固体、温度</w:t>
            </w:r>
          </w:p>
          <w:p>
            <w:pPr>
              <w:pStyle w:val="24"/>
              <w:spacing w:line="240" w:lineRule="auto"/>
              <w:ind w:firstLine="0" w:firstLineChars="0"/>
              <w:jc w:val="left"/>
              <w:rPr>
                <w:color w:val="auto"/>
                <w:highlight w:val="none"/>
              </w:rPr>
            </w:pPr>
            <w:r>
              <w:rPr>
                <w:rFonts w:hint="eastAsia"/>
                <w:color w:val="auto"/>
                <w:highlight w:val="none"/>
              </w:rPr>
              <w:t>（3）数据内存： 100,00</w:t>
            </w:r>
            <w:r>
              <w:rPr>
                <w:color w:val="auto"/>
                <w:highlight w:val="none"/>
              </w:rPr>
              <w:t>0</w:t>
            </w:r>
            <w:r>
              <w:rPr>
                <w:rFonts w:hint="eastAsia"/>
                <w:color w:val="auto"/>
                <w:highlight w:val="none"/>
              </w:rPr>
              <w:t xml:space="preserve"> 组数据</w:t>
            </w:r>
          </w:p>
          <w:p>
            <w:pPr>
              <w:pStyle w:val="24"/>
              <w:spacing w:line="240" w:lineRule="auto"/>
              <w:ind w:firstLine="0" w:firstLineChars="0"/>
              <w:jc w:val="left"/>
              <w:rPr>
                <w:color w:val="auto"/>
                <w:highlight w:val="none"/>
              </w:rPr>
            </w:pPr>
            <w:r>
              <w:rPr>
                <w:rFonts w:hint="eastAsia"/>
                <w:color w:val="auto"/>
                <w:highlight w:val="none"/>
              </w:rPr>
              <w:t>（4）数据存储： 在“按下即读”模式和间隔测量模式时可自动存储。在“连续测量”模式时需手动存储。</w:t>
            </w:r>
          </w:p>
          <w:p>
            <w:pPr>
              <w:pStyle w:val="24"/>
              <w:spacing w:line="240" w:lineRule="auto"/>
              <w:ind w:firstLine="0" w:firstLineChars="0"/>
              <w:jc w:val="left"/>
              <w:rPr>
                <w:color w:val="auto"/>
                <w:highlight w:val="none"/>
              </w:rPr>
            </w:pPr>
            <w:r>
              <w:rPr>
                <w:rFonts w:hint="eastAsia"/>
                <w:color w:val="auto"/>
                <w:highlight w:val="none"/>
              </w:rPr>
              <w:t>（5）数据传输：通过USB接口连接到至PC或USB存储设备。</w:t>
            </w:r>
          </w:p>
          <w:p>
            <w:pPr>
              <w:pStyle w:val="24"/>
              <w:spacing w:line="240" w:lineRule="auto"/>
              <w:ind w:firstLine="0" w:firstLineChars="0"/>
              <w:jc w:val="left"/>
              <w:rPr>
                <w:color w:val="auto"/>
                <w:highlight w:val="none"/>
              </w:rPr>
            </w:pPr>
            <w:r>
              <w:rPr>
                <w:rFonts w:hint="eastAsia"/>
                <w:color w:val="auto"/>
                <w:highlight w:val="none"/>
              </w:rPr>
              <w:t>（6）温度校正：关闭、自动和手动（取决于特定参数）</w:t>
            </w:r>
          </w:p>
          <w:p>
            <w:pPr>
              <w:pStyle w:val="24"/>
              <w:spacing w:line="240" w:lineRule="auto"/>
              <w:ind w:firstLine="0" w:firstLineChars="0"/>
              <w:jc w:val="left"/>
              <w:rPr>
                <w:color w:val="auto"/>
                <w:highlight w:val="none"/>
              </w:rPr>
            </w:pPr>
            <w:r>
              <w:rPr>
                <w:rFonts w:hint="eastAsia"/>
                <w:color w:val="auto"/>
                <w:highlight w:val="none"/>
              </w:rPr>
              <w:t>（7）外壳防护等级：≥IP67（安装了电池盒后）</w:t>
            </w:r>
          </w:p>
          <w:p>
            <w:pPr>
              <w:pStyle w:val="24"/>
              <w:spacing w:line="240" w:lineRule="auto"/>
              <w:ind w:firstLine="0" w:firstLineChars="0"/>
              <w:jc w:val="left"/>
              <w:rPr>
                <w:color w:val="auto"/>
                <w:highlight w:val="none"/>
              </w:rPr>
            </w:pPr>
            <w:r>
              <w:rPr>
                <w:rFonts w:hint="eastAsia"/>
                <w:color w:val="auto"/>
                <w:highlight w:val="none"/>
              </w:rPr>
              <w:t>（8）尺寸：不大于22 x 9.7 x 6.3厘米</w:t>
            </w:r>
          </w:p>
          <w:p>
            <w:pPr>
              <w:pStyle w:val="24"/>
              <w:spacing w:line="240" w:lineRule="auto"/>
              <w:ind w:firstLine="0" w:firstLineChars="0"/>
              <w:jc w:val="left"/>
              <w:rPr>
                <w:color w:val="auto"/>
                <w:highlight w:val="none"/>
              </w:rPr>
            </w:pPr>
            <w:r>
              <w:rPr>
                <w:rFonts w:hint="eastAsia"/>
                <w:color w:val="auto"/>
                <w:highlight w:val="none"/>
              </w:rPr>
              <w:t>（9）重量：不大于5</w:t>
            </w:r>
            <w:r>
              <w:rPr>
                <w:color w:val="auto"/>
                <w:highlight w:val="none"/>
              </w:rPr>
              <w:t>70</w:t>
            </w:r>
            <w:r>
              <w:rPr>
                <w:rFonts w:hint="eastAsia"/>
                <w:color w:val="auto"/>
                <w:highlight w:val="none"/>
              </w:rPr>
              <w:t>g</w:t>
            </w:r>
          </w:p>
          <w:p>
            <w:pPr>
              <w:pStyle w:val="24"/>
              <w:spacing w:line="240" w:lineRule="auto"/>
              <w:ind w:firstLine="0" w:firstLineChars="0"/>
              <w:jc w:val="left"/>
              <w:rPr>
                <w:color w:val="auto"/>
                <w:highlight w:val="none"/>
              </w:rPr>
            </w:pPr>
            <w:r>
              <w:rPr>
                <w:rFonts w:hint="eastAsia"/>
                <w:color w:val="auto"/>
                <w:highlight w:val="none"/>
              </w:rPr>
              <w:t>（1</w:t>
            </w:r>
            <w:r>
              <w:rPr>
                <w:color w:val="auto"/>
                <w:highlight w:val="none"/>
              </w:rPr>
              <w:t>0</w:t>
            </w:r>
            <w:r>
              <w:rPr>
                <w:rFonts w:hint="eastAsia"/>
                <w:color w:val="auto"/>
                <w:highlight w:val="none"/>
              </w:rPr>
              <w:t>）可同时监测p</w:t>
            </w:r>
            <w:r>
              <w:rPr>
                <w:color w:val="auto"/>
                <w:highlight w:val="none"/>
              </w:rPr>
              <w:t>H</w:t>
            </w:r>
            <w:r>
              <w:rPr>
                <w:rFonts w:hint="eastAsia"/>
                <w:color w:val="auto"/>
                <w:highlight w:val="none"/>
              </w:rPr>
              <w:t>值、溶解氧和电导率。</w:t>
            </w:r>
          </w:p>
          <w:p>
            <w:pPr>
              <w:pStyle w:val="24"/>
              <w:spacing w:line="240" w:lineRule="auto"/>
              <w:ind w:firstLine="0" w:firstLineChars="0"/>
              <w:jc w:val="left"/>
              <w:rPr>
                <w:color w:val="auto"/>
                <w:highlight w:val="none"/>
              </w:rPr>
            </w:pPr>
            <w:r>
              <w:rPr>
                <w:rFonts w:hint="eastAsia"/>
                <w:color w:val="auto"/>
                <w:highlight w:val="none"/>
              </w:rPr>
              <w:t>4.电极技术性能指标</w:t>
            </w:r>
          </w:p>
          <w:p>
            <w:pPr>
              <w:pStyle w:val="24"/>
              <w:spacing w:line="240" w:lineRule="auto"/>
              <w:ind w:firstLine="0" w:firstLineChars="0"/>
              <w:jc w:val="left"/>
              <w:rPr>
                <w:color w:val="auto"/>
                <w:highlight w:val="none"/>
              </w:rPr>
            </w:pPr>
            <w:r>
              <w:rPr>
                <w:rFonts w:hint="eastAsia"/>
                <w:color w:val="auto"/>
                <w:highlight w:val="none"/>
              </w:rPr>
              <w:t>（1）电导率电极</w:t>
            </w:r>
          </w:p>
          <w:p>
            <w:pPr>
              <w:pStyle w:val="24"/>
              <w:spacing w:line="240" w:lineRule="auto"/>
              <w:ind w:firstLine="0" w:firstLineChars="0"/>
              <w:jc w:val="left"/>
              <w:rPr>
                <w:color w:val="auto"/>
                <w:highlight w:val="none"/>
              </w:rPr>
            </w:pPr>
            <w:r>
              <w:rPr>
                <w:rFonts w:hint="eastAsia"/>
                <w:color w:val="auto"/>
                <w:highlight w:val="none"/>
              </w:rPr>
              <w:t>①量程：</w:t>
            </w:r>
            <w:r>
              <w:rPr>
                <w:color w:val="auto"/>
                <w:highlight w:val="none"/>
              </w:rPr>
              <w:t>0.01 μS/cm ～ 200.0 mS/cm</w:t>
            </w:r>
          </w:p>
          <w:p>
            <w:pPr>
              <w:pStyle w:val="24"/>
              <w:spacing w:line="240" w:lineRule="auto"/>
              <w:ind w:firstLine="0" w:firstLineChars="0"/>
              <w:jc w:val="left"/>
              <w:rPr>
                <w:color w:val="auto"/>
                <w:highlight w:val="none"/>
              </w:rPr>
            </w:pPr>
            <w:r>
              <w:rPr>
                <w:rFonts w:hint="eastAsia"/>
                <w:color w:val="auto"/>
                <w:highlight w:val="none"/>
              </w:rPr>
              <w:t>②分辨率：</w:t>
            </w:r>
            <w:r>
              <w:rPr>
                <w:color w:val="auto"/>
                <w:highlight w:val="none"/>
              </w:rPr>
              <w:t>0.01 μS/cm（最大0.05μS/cm）</w:t>
            </w:r>
          </w:p>
          <w:p>
            <w:pPr>
              <w:pStyle w:val="24"/>
              <w:spacing w:line="240" w:lineRule="auto"/>
              <w:ind w:firstLine="0" w:firstLineChars="0"/>
              <w:jc w:val="left"/>
              <w:rPr>
                <w:color w:val="auto"/>
                <w:highlight w:val="none"/>
              </w:rPr>
            </w:pPr>
            <w:r>
              <w:rPr>
                <w:rFonts w:hint="eastAsia"/>
                <w:color w:val="auto"/>
                <w:highlight w:val="none"/>
              </w:rPr>
              <w:t>（2）pH电极</w:t>
            </w:r>
          </w:p>
          <w:p>
            <w:pPr>
              <w:pStyle w:val="24"/>
              <w:spacing w:line="240" w:lineRule="auto"/>
              <w:ind w:firstLine="0" w:firstLineChars="0"/>
              <w:jc w:val="left"/>
              <w:rPr>
                <w:color w:val="auto"/>
                <w:highlight w:val="none"/>
              </w:rPr>
            </w:pPr>
            <w:r>
              <w:rPr>
                <w:rFonts w:hint="eastAsia"/>
                <w:color w:val="auto"/>
                <w:highlight w:val="none"/>
              </w:rPr>
              <w:t>①量程：0～14（除标准凝胶电极）</w:t>
            </w:r>
          </w:p>
          <w:p>
            <w:pPr>
              <w:pStyle w:val="24"/>
              <w:spacing w:line="240" w:lineRule="auto"/>
              <w:ind w:firstLine="0" w:firstLineChars="0"/>
              <w:jc w:val="left"/>
              <w:rPr>
                <w:color w:val="auto"/>
                <w:highlight w:val="none"/>
              </w:rPr>
            </w:pPr>
            <w:r>
              <w:rPr>
                <w:rFonts w:hint="eastAsia"/>
                <w:color w:val="auto"/>
                <w:highlight w:val="none"/>
              </w:rPr>
              <w:t xml:space="preserve">        2～14（标准凝胶电极）</w:t>
            </w:r>
          </w:p>
          <w:p>
            <w:pPr>
              <w:pStyle w:val="24"/>
              <w:spacing w:line="240" w:lineRule="auto"/>
              <w:ind w:firstLine="0" w:firstLineChars="0"/>
              <w:jc w:val="left"/>
              <w:rPr>
                <w:color w:val="auto"/>
                <w:highlight w:val="none"/>
              </w:rPr>
            </w:pPr>
            <w:r>
              <w:rPr>
                <w:rFonts w:hint="eastAsia"/>
                <w:color w:val="auto"/>
                <w:highlight w:val="none"/>
              </w:rPr>
              <w:t>②分辨率：0.1/0.01/0.001可选</w:t>
            </w:r>
          </w:p>
          <w:p>
            <w:pPr>
              <w:pStyle w:val="24"/>
              <w:spacing w:line="240" w:lineRule="auto"/>
              <w:ind w:firstLine="0" w:firstLineChars="0"/>
              <w:jc w:val="left"/>
              <w:rPr>
                <w:color w:val="auto"/>
                <w:highlight w:val="none"/>
              </w:rPr>
            </w:pPr>
            <w:r>
              <w:rPr>
                <w:rFonts w:hint="eastAsia"/>
                <w:color w:val="auto"/>
                <w:highlight w:val="none"/>
              </w:rPr>
              <w:t>③精度：pH电极0.02，</w:t>
            </w:r>
            <w:r>
              <w:rPr>
                <w:color w:val="auto"/>
                <w:highlight w:val="none"/>
              </w:rPr>
              <w:t>Ph</w:t>
            </w:r>
            <w:r>
              <w:rPr>
                <w:rFonts w:hint="eastAsia"/>
                <w:color w:val="auto"/>
                <w:highlight w:val="none"/>
              </w:rPr>
              <w:t>超纯电极0</w:t>
            </w:r>
            <w:r>
              <w:rPr>
                <w:color w:val="auto"/>
                <w:highlight w:val="none"/>
              </w:rPr>
              <w:t>.01</w:t>
            </w:r>
          </w:p>
          <w:p>
            <w:pPr>
              <w:pStyle w:val="24"/>
              <w:spacing w:line="240" w:lineRule="auto"/>
              <w:ind w:firstLine="0" w:firstLineChars="0"/>
              <w:jc w:val="left"/>
              <w:rPr>
                <w:color w:val="auto"/>
                <w:highlight w:val="none"/>
              </w:rPr>
            </w:pPr>
            <w:r>
              <w:rPr>
                <w:rFonts w:hint="eastAsia"/>
                <w:color w:val="auto"/>
                <w:highlight w:val="none"/>
              </w:rPr>
              <w:t>（3）溶解氧电极</w:t>
            </w:r>
          </w:p>
          <w:p>
            <w:pPr>
              <w:pStyle w:val="24"/>
              <w:spacing w:line="240" w:lineRule="auto"/>
              <w:ind w:firstLine="0" w:firstLineChars="0"/>
              <w:jc w:val="left"/>
              <w:rPr>
                <w:color w:val="auto"/>
                <w:highlight w:val="none"/>
              </w:rPr>
            </w:pPr>
            <w:r>
              <w:rPr>
                <w:rFonts w:hint="eastAsia"/>
                <w:color w:val="auto"/>
                <w:highlight w:val="none"/>
              </w:rPr>
              <w:t>①量程:  0.0</w:t>
            </w:r>
            <w:r>
              <w:rPr>
                <w:color w:val="auto"/>
                <w:highlight w:val="none"/>
              </w:rPr>
              <w:t>5</w:t>
            </w:r>
            <w:r>
              <w:rPr>
                <w:rFonts w:hint="eastAsia"/>
                <w:color w:val="auto"/>
                <w:highlight w:val="none"/>
              </w:rPr>
              <w:t>–20.0 mg/L</w:t>
            </w:r>
          </w:p>
          <w:p>
            <w:pPr>
              <w:pStyle w:val="24"/>
              <w:spacing w:line="240" w:lineRule="auto"/>
              <w:ind w:firstLine="688" w:firstLineChars="400"/>
              <w:jc w:val="left"/>
              <w:rPr>
                <w:color w:val="auto"/>
                <w:highlight w:val="none"/>
              </w:rPr>
            </w:pPr>
            <w:r>
              <w:rPr>
                <w:color w:val="auto"/>
                <w:highlight w:val="none"/>
              </w:rPr>
              <w:t>1</w:t>
            </w:r>
            <w:r>
              <w:rPr>
                <w:rFonts w:hint="eastAsia"/>
                <w:color w:val="auto"/>
                <w:highlight w:val="none"/>
              </w:rPr>
              <w:t>–200% 饱和度</w:t>
            </w:r>
          </w:p>
          <w:p>
            <w:pPr>
              <w:pStyle w:val="24"/>
              <w:spacing w:line="240" w:lineRule="auto"/>
              <w:ind w:firstLine="0" w:firstLineChars="0"/>
              <w:jc w:val="left"/>
              <w:rPr>
                <w:color w:val="auto"/>
                <w:highlight w:val="none"/>
              </w:rPr>
            </w:pPr>
            <w:r>
              <w:rPr>
                <w:rFonts w:hint="eastAsia"/>
                <w:color w:val="auto"/>
                <w:highlight w:val="none"/>
              </w:rPr>
              <w:t>②分辨率：≤0.01 mg/L</w:t>
            </w:r>
          </w:p>
          <w:p>
            <w:pPr>
              <w:pStyle w:val="24"/>
              <w:spacing w:line="240" w:lineRule="auto"/>
              <w:ind w:firstLine="0" w:firstLineChars="0"/>
              <w:jc w:val="left"/>
              <w:rPr>
                <w:color w:val="auto"/>
                <w:highlight w:val="none"/>
              </w:rPr>
            </w:pPr>
            <w:r>
              <w:rPr>
                <w:rFonts w:hint="eastAsia"/>
                <w:color w:val="auto"/>
                <w:highlight w:val="none"/>
              </w:rPr>
              <w:t>③溶解氧的准确度： 在 0.1–8 mg/L时，为 ±0.1 mg/L</w:t>
            </w:r>
          </w:p>
          <w:p>
            <w:pPr>
              <w:pStyle w:val="24"/>
              <w:spacing w:line="240" w:lineRule="auto"/>
              <w:ind w:firstLine="1548" w:firstLineChars="900"/>
              <w:jc w:val="left"/>
              <w:rPr>
                <w:color w:val="auto"/>
                <w:highlight w:val="none"/>
              </w:rPr>
            </w:pPr>
            <w:r>
              <w:rPr>
                <w:rFonts w:hint="eastAsia"/>
                <w:color w:val="auto"/>
                <w:highlight w:val="none"/>
              </w:rPr>
              <w:t>大于8.0 mg/L时，为 ±0.2 mg/L</w:t>
            </w:r>
          </w:p>
          <w:p>
            <w:pPr>
              <w:pStyle w:val="24"/>
              <w:spacing w:line="240" w:lineRule="auto"/>
              <w:ind w:firstLine="0" w:firstLineChars="0"/>
              <w:jc w:val="left"/>
              <w:rPr>
                <w:color w:val="auto"/>
                <w:highlight w:val="none"/>
              </w:rPr>
            </w:pPr>
            <w:r>
              <w:rPr>
                <w:rFonts w:hint="eastAsia"/>
                <w:color w:val="auto"/>
                <w:highlight w:val="none"/>
              </w:rPr>
              <w:t>5.仪器配置：主机，pH电极带3m电缆，溶解氧电极带3m电缆，电导率电极带3m电缆。现场组件背包一个。</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bCs/>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6</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便携式测油仪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1.标准依据：《水质 石油类和动植物油类的测定 红外分光光度法》（HJ 637-2018）</w:t>
            </w:r>
          </w:p>
          <w:p>
            <w:pPr>
              <w:pStyle w:val="24"/>
              <w:spacing w:line="240" w:lineRule="auto"/>
              <w:ind w:firstLine="0" w:firstLineChars="0"/>
              <w:jc w:val="left"/>
              <w:rPr>
                <w:color w:val="auto"/>
                <w:highlight w:val="none"/>
              </w:rPr>
            </w:pPr>
            <w:r>
              <w:rPr>
                <w:rFonts w:hint="eastAsia"/>
                <w:color w:val="auto"/>
                <w:highlight w:val="none"/>
              </w:rPr>
              <w:t>2.保管方式：便携手提式 主机和应急装备分别单独一个便携箱</w:t>
            </w:r>
          </w:p>
          <w:p>
            <w:pPr>
              <w:pStyle w:val="24"/>
              <w:spacing w:line="240" w:lineRule="auto"/>
              <w:ind w:firstLine="0" w:firstLineChars="0"/>
              <w:jc w:val="left"/>
              <w:rPr>
                <w:color w:val="auto"/>
                <w:highlight w:val="none"/>
              </w:rPr>
            </w:pPr>
            <w:r>
              <w:rPr>
                <w:rFonts w:hint="eastAsia"/>
                <w:color w:val="auto"/>
                <w:highlight w:val="none"/>
              </w:rPr>
              <w:t>3.定性方式：动态连续扫描特征吸收谱图（标准3.1要求能显示特征吸收）</w:t>
            </w:r>
          </w:p>
          <w:p>
            <w:pPr>
              <w:pStyle w:val="24"/>
              <w:spacing w:line="240" w:lineRule="auto"/>
              <w:ind w:firstLine="0" w:firstLineChars="0"/>
              <w:jc w:val="left"/>
              <w:rPr>
                <w:color w:val="auto"/>
                <w:highlight w:val="none"/>
              </w:rPr>
            </w:pPr>
            <w:r>
              <w:rPr>
                <w:rFonts w:hint="eastAsia"/>
                <w:color w:val="auto"/>
                <w:highlight w:val="none"/>
              </w:rPr>
              <w:t>4.萃取剂：四氯乙烯、四氯化碳、氟利昂等</w:t>
            </w:r>
          </w:p>
          <w:p>
            <w:pPr>
              <w:pStyle w:val="24"/>
              <w:spacing w:line="240" w:lineRule="auto"/>
              <w:ind w:firstLine="0" w:firstLineChars="0"/>
              <w:jc w:val="left"/>
              <w:rPr>
                <w:color w:val="auto"/>
                <w:highlight w:val="none"/>
              </w:rPr>
            </w:pPr>
            <w:r>
              <w:rPr>
                <w:rFonts w:hint="eastAsia"/>
                <w:color w:val="auto"/>
                <w:highlight w:val="none"/>
              </w:rPr>
              <w:t>5.现场运行时间：连续运行时长不小于8小时</w:t>
            </w:r>
          </w:p>
          <w:p>
            <w:pPr>
              <w:pStyle w:val="24"/>
              <w:spacing w:line="240" w:lineRule="auto"/>
              <w:ind w:firstLine="0" w:firstLineChars="0"/>
              <w:jc w:val="left"/>
              <w:rPr>
                <w:b/>
                <w:bCs/>
                <w:color w:val="auto"/>
                <w:highlight w:val="none"/>
              </w:rPr>
            </w:pPr>
            <w:r>
              <w:rPr>
                <w:rFonts w:hint="eastAsia"/>
                <w:color w:val="auto"/>
                <w:highlight w:val="none"/>
              </w:rPr>
              <w:t>★6.萃取剂验证报告：</w:t>
            </w:r>
            <w:r>
              <w:rPr>
                <w:rFonts w:hint="eastAsia"/>
                <w:b/>
                <w:bCs/>
                <w:color w:val="auto"/>
                <w:highlight w:val="none"/>
              </w:rPr>
              <w:t>投标文件中提供国家级权威机构出具的测油仪在新国标中使用四氯乙烯的监测报告。</w:t>
            </w:r>
          </w:p>
          <w:p>
            <w:pPr>
              <w:pStyle w:val="24"/>
              <w:spacing w:line="240" w:lineRule="auto"/>
              <w:ind w:firstLine="0" w:firstLineChars="0"/>
              <w:jc w:val="left"/>
              <w:rPr>
                <w:color w:val="auto"/>
                <w:highlight w:val="none"/>
              </w:rPr>
            </w:pPr>
            <w:r>
              <w:rPr>
                <w:rFonts w:hint="eastAsia"/>
                <w:color w:val="auto"/>
                <w:highlight w:val="none"/>
              </w:rPr>
              <w:t>7.试剂检测：具有建立本底平台功能，可检测试剂质量是否合格。</w:t>
            </w:r>
          </w:p>
          <w:p>
            <w:pPr>
              <w:pStyle w:val="24"/>
              <w:spacing w:line="240" w:lineRule="auto"/>
              <w:ind w:firstLine="0" w:firstLineChars="0"/>
              <w:jc w:val="left"/>
              <w:rPr>
                <w:color w:val="auto"/>
                <w:highlight w:val="none"/>
              </w:rPr>
            </w:pPr>
            <w:r>
              <w:rPr>
                <w:rFonts w:hint="eastAsia"/>
                <w:color w:val="auto"/>
                <w:highlight w:val="none"/>
              </w:rPr>
              <w:t>8.测量结果依据：ρ=X·A</w:t>
            </w:r>
            <w:r>
              <w:rPr>
                <w:rFonts w:hint="eastAsia"/>
                <w:color w:val="auto"/>
                <w:highlight w:val="none"/>
                <w:vertAlign w:val="subscript"/>
              </w:rPr>
              <w:t>2930</w:t>
            </w:r>
            <w:r>
              <w:rPr>
                <w:rFonts w:hint="eastAsia"/>
                <w:color w:val="auto"/>
                <w:highlight w:val="none"/>
              </w:rPr>
              <w:t>+Y·A</w:t>
            </w:r>
            <w:r>
              <w:rPr>
                <w:rFonts w:hint="eastAsia"/>
                <w:color w:val="auto"/>
                <w:highlight w:val="none"/>
                <w:vertAlign w:val="subscript"/>
              </w:rPr>
              <w:t>2960</w:t>
            </w:r>
            <w:r>
              <w:rPr>
                <w:rFonts w:hint="eastAsia"/>
                <w:color w:val="auto"/>
                <w:highlight w:val="none"/>
              </w:rPr>
              <w:t>+Z·(A</w:t>
            </w:r>
            <w:r>
              <w:rPr>
                <w:rFonts w:hint="eastAsia"/>
                <w:color w:val="auto"/>
                <w:highlight w:val="none"/>
                <w:vertAlign w:val="subscript"/>
              </w:rPr>
              <w:t>3030</w:t>
            </w:r>
            <w:r>
              <w:rPr>
                <w:rFonts w:hint="eastAsia"/>
                <w:color w:val="auto"/>
                <w:highlight w:val="none"/>
              </w:rPr>
              <w:t>-A</w:t>
            </w:r>
            <w:r>
              <w:rPr>
                <w:rFonts w:hint="eastAsia"/>
                <w:color w:val="auto"/>
                <w:highlight w:val="none"/>
                <w:vertAlign w:val="subscript"/>
              </w:rPr>
              <w:t>2930</w:t>
            </w:r>
            <w:r>
              <w:rPr>
                <w:rFonts w:hint="eastAsia"/>
                <w:color w:val="auto"/>
                <w:highlight w:val="none"/>
              </w:rPr>
              <w:t>÷F)（标准9.1要求使用校正系数，按照标准公式计算浓度值，不使用标准曲线）</w:t>
            </w:r>
          </w:p>
          <w:p>
            <w:pPr>
              <w:pStyle w:val="24"/>
              <w:spacing w:line="240" w:lineRule="auto"/>
              <w:ind w:firstLine="0" w:firstLineChars="0"/>
              <w:jc w:val="left"/>
              <w:rPr>
                <w:color w:val="auto"/>
                <w:highlight w:val="none"/>
              </w:rPr>
            </w:pPr>
            <w:r>
              <w:rPr>
                <w:rFonts w:hint="eastAsia"/>
                <w:color w:val="auto"/>
                <w:highlight w:val="none"/>
              </w:rPr>
              <w:t>9.非标油品准确度</w:t>
            </w:r>
          </w:p>
          <w:p>
            <w:pPr>
              <w:pStyle w:val="24"/>
              <w:spacing w:line="240" w:lineRule="auto"/>
              <w:ind w:firstLine="0" w:firstLineChars="0"/>
              <w:jc w:val="left"/>
              <w:rPr>
                <w:color w:val="auto"/>
                <w:highlight w:val="none"/>
              </w:rPr>
            </w:pPr>
            <w:r>
              <w:rPr>
                <w:rFonts w:hint="eastAsia"/>
                <w:color w:val="auto"/>
                <w:highlight w:val="none"/>
              </w:rPr>
              <w:t>（1）任意碳氢比：±10% （标准8.1要求使用同一背景，测量20mg/L正十六、20mg/L异辛烷和100mg/L苯；</w:t>
            </w:r>
          </w:p>
          <w:p>
            <w:pPr>
              <w:pStyle w:val="24"/>
              <w:spacing w:line="240" w:lineRule="auto"/>
              <w:ind w:firstLine="0" w:firstLineChars="0"/>
              <w:jc w:val="left"/>
              <w:rPr>
                <w:color w:val="auto"/>
                <w:highlight w:val="none"/>
              </w:rPr>
            </w:pPr>
            <w:r>
              <w:rPr>
                <w:rFonts w:hint="eastAsia"/>
                <w:color w:val="auto"/>
                <w:highlight w:val="none"/>
              </w:rPr>
              <w:t xml:space="preserve">（2） CH准确度：100mg/L±10%（国标中8.1.1要求在同一套系数下不使用标准曲线测量苯）； </w:t>
            </w:r>
          </w:p>
          <w:p>
            <w:pPr>
              <w:pStyle w:val="24"/>
              <w:spacing w:line="240" w:lineRule="auto"/>
              <w:ind w:firstLine="0" w:firstLineChars="0"/>
              <w:jc w:val="left"/>
              <w:rPr>
                <w:color w:val="auto"/>
                <w:highlight w:val="none"/>
              </w:rPr>
            </w:pPr>
            <w:r>
              <w:rPr>
                <w:rFonts w:hint="eastAsia"/>
                <w:color w:val="auto"/>
                <w:highlight w:val="none"/>
              </w:rPr>
              <w:t>（3）CH</w:t>
            </w:r>
            <w:r>
              <w:rPr>
                <w:rFonts w:hint="eastAsia"/>
                <w:color w:val="auto"/>
                <w:highlight w:val="none"/>
                <w:vertAlign w:val="subscript"/>
              </w:rPr>
              <w:t>2</w:t>
            </w:r>
            <w:r>
              <w:rPr>
                <w:rFonts w:hint="eastAsia"/>
                <w:color w:val="auto"/>
                <w:highlight w:val="none"/>
              </w:rPr>
              <w:t xml:space="preserve">准确度：20mg/L±10%（国标中8.1.1要求在同一套系数下不使用标准曲线测量正十六烷）； </w:t>
            </w:r>
          </w:p>
          <w:p>
            <w:pPr>
              <w:pStyle w:val="24"/>
              <w:spacing w:line="240" w:lineRule="auto"/>
              <w:ind w:firstLine="0" w:firstLineChars="0"/>
              <w:jc w:val="left"/>
              <w:rPr>
                <w:color w:val="auto"/>
                <w:highlight w:val="none"/>
              </w:rPr>
            </w:pPr>
            <w:r>
              <w:rPr>
                <w:rFonts w:hint="eastAsia"/>
                <w:color w:val="auto"/>
                <w:highlight w:val="none"/>
              </w:rPr>
              <w:t>（4）CH</w:t>
            </w:r>
            <w:r>
              <w:rPr>
                <w:rFonts w:hint="eastAsia"/>
                <w:color w:val="auto"/>
                <w:highlight w:val="none"/>
                <w:vertAlign w:val="subscript"/>
              </w:rPr>
              <w:t>3</w:t>
            </w:r>
            <w:r>
              <w:rPr>
                <w:rFonts w:hint="eastAsia"/>
                <w:color w:val="auto"/>
                <w:highlight w:val="none"/>
              </w:rPr>
              <w:t xml:space="preserve">准确度：20mg/L±10%（国标中8.1.1要求在同一套系数下不使用标准曲线测量异辛烷）； </w:t>
            </w:r>
          </w:p>
          <w:p>
            <w:pPr>
              <w:pStyle w:val="24"/>
              <w:spacing w:line="240" w:lineRule="auto"/>
              <w:ind w:firstLine="0" w:firstLineChars="0"/>
              <w:jc w:val="left"/>
              <w:rPr>
                <w:color w:val="auto"/>
                <w:highlight w:val="none"/>
              </w:rPr>
            </w:pPr>
            <w:r>
              <w:rPr>
                <w:rFonts w:hint="eastAsia"/>
                <w:color w:val="auto"/>
                <w:highlight w:val="none"/>
              </w:rPr>
              <w:t>10.萃取剂纯度影响：采用建立本底背景平台功能，消除萃取剂纯度对测量的影响</w:t>
            </w:r>
          </w:p>
          <w:p>
            <w:pPr>
              <w:pStyle w:val="24"/>
              <w:spacing w:line="240" w:lineRule="auto"/>
              <w:ind w:firstLine="0" w:firstLineChars="0"/>
              <w:jc w:val="left"/>
              <w:rPr>
                <w:color w:val="auto"/>
                <w:highlight w:val="none"/>
              </w:rPr>
            </w:pPr>
            <w:r>
              <w:rPr>
                <w:rFonts w:hint="eastAsia"/>
                <w:color w:val="auto"/>
                <w:highlight w:val="none"/>
              </w:rPr>
              <w:t>11.污水方法检出限：≤0.004mg/L油</w:t>
            </w:r>
          </w:p>
          <w:p>
            <w:pPr>
              <w:pStyle w:val="24"/>
              <w:spacing w:line="240" w:lineRule="auto"/>
              <w:ind w:firstLine="0" w:firstLineChars="0"/>
              <w:jc w:val="left"/>
              <w:rPr>
                <w:color w:val="auto"/>
                <w:highlight w:val="none"/>
              </w:rPr>
            </w:pPr>
            <w:r>
              <w:rPr>
                <w:rFonts w:hint="eastAsia"/>
                <w:color w:val="auto"/>
                <w:highlight w:val="none"/>
              </w:rPr>
              <w:t>12.仪器检出限：0.04mg/L石油类标准溶液</w:t>
            </w:r>
          </w:p>
          <w:p>
            <w:pPr>
              <w:pStyle w:val="24"/>
              <w:spacing w:line="240" w:lineRule="auto"/>
              <w:ind w:firstLine="0" w:firstLineChars="0"/>
              <w:jc w:val="left"/>
              <w:rPr>
                <w:color w:val="auto"/>
                <w:highlight w:val="none"/>
              </w:rPr>
            </w:pPr>
            <w:r>
              <w:rPr>
                <w:rFonts w:hint="eastAsia"/>
                <w:color w:val="auto"/>
                <w:highlight w:val="none"/>
              </w:rPr>
              <w:t>13.样品测量范围：0～100%油</w:t>
            </w:r>
          </w:p>
          <w:p>
            <w:pPr>
              <w:pStyle w:val="24"/>
              <w:spacing w:line="240" w:lineRule="auto"/>
              <w:ind w:firstLine="0" w:firstLineChars="0"/>
              <w:jc w:val="left"/>
              <w:rPr>
                <w:color w:val="auto"/>
                <w:highlight w:val="none"/>
              </w:rPr>
            </w:pPr>
            <w:r>
              <w:rPr>
                <w:rFonts w:hint="eastAsia"/>
                <w:color w:val="auto"/>
                <w:highlight w:val="none"/>
              </w:rPr>
              <w:t>14.准确度：＜2%</w:t>
            </w:r>
          </w:p>
          <w:p>
            <w:pPr>
              <w:pStyle w:val="24"/>
              <w:spacing w:line="240" w:lineRule="auto"/>
              <w:ind w:firstLine="0" w:firstLineChars="0"/>
              <w:jc w:val="left"/>
              <w:rPr>
                <w:color w:val="auto"/>
                <w:highlight w:val="none"/>
              </w:rPr>
            </w:pPr>
            <w:r>
              <w:rPr>
                <w:rFonts w:hint="eastAsia"/>
                <w:color w:val="auto"/>
                <w:highlight w:val="none"/>
              </w:rPr>
              <w:t>15.标准溶液量程：0.01～100mg/L石油类标准溶液（4cm石英比色皿）</w:t>
            </w:r>
          </w:p>
          <w:p>
            <w:pPr>
              <w:pStyle w:val="24"/>
              <w:spacing w:line="240" w:lineRule="auto"/>
              <w:ind w:firstLine="0" w:firstLineChars="0"/>
              <w:jc w:val="left"/>
              <w:rPr>
                <w:color w:val="auto"/>
                <w:highlight w:val="none"/>
              </w:rPr>
            </w:pPr>
            <w:r>
              <w:rPr>
                <w:rFonts w:hint="eastAsia"/>
                <w:color w:val="auto"/>
                <w:highlight w:val="none"/>
              </w:rPr>
              <w:t>16.精密度：＜0.8%（50mg/L石油类标准溶液测量11次）</w:t>
            </w:r>
          </w:p>
          <w:p>
            <w:pPr>
              <w:pStyle w:val="24"/>
              <w:spacing w:line="240" w:lineRule="auto"/>
              <w:ind w:firstLine="0" w:firstLineChars="0"/>
              <w:jc w:val="left"/>
              <w:rPr>
                <w:color w:val="auto"/>
                <w:highlight w:val="none"/>
              </w:rPr>
            </w:pPr>
            <w:r>
              <w:rPr>
                <w:rFonts w:hint="eastAsia"/>
                <w:color w:val="auto"/>
                <w:highlight w:val="none"/>
              </w:rPr>
              <w:t>17.吸光度范围：0.00000～2.00000AU对数刻度（符合朗伯-比尔定律）</w:t>
            </w:r>
          </w:p>
          <w:p>
            <w:pPr>
              <w:pStyle w:val="24"/>
              <w:spacing w:line="240" w:lineRule="auto"/>
              <w:ind w:firstLine="0" w:firstLineChars="0"/>
              <w:jc w:val="left"/>
              <w:rPr>
                <w:color w:val="auto"/>
                <w:highlight w:val="none"/>
              </w:rPr>
            </w:pPr>
            <w:r>
              <w:rPr>
                <w:rFonts w:hint="eastAsia"/>
                <w:color w:val="auto"/>
                <w:highlight w:val="none"/>
              </w:rPr>
              <w:t>18.吸光度误差：±1%（谱图显示吸光度与参与计算吸光度的误差）</w:t>
            </w:r>
          </w:p>
          <w:p>
            <w:pPr>
              <w:pStyle w:val="24"/>
              <w:spacing w:line="240" w:lineRule="auto"/>
              <w:ind w:firstLine="0" w:firstLineChars="0"/>
              <w:jc w:val="left"/>
              <w:rPr>
                <w:color w:val="auto"/>
                <w:highlight w:val="none"/>
              </w:rPr>
            </w:pPr>
            <w:r>
              <w:rPr>
                <w:rFonts w:hint="eastAsia"/>
                <w:color w:val="auto"/>
                <w:highlight w:val="none"/>
              </w:rPr>
              <w:t>19.最小刻度：吸光度0.008AU、波长2.5nm</w:t>
            </w:r>
          </w:p>
          <w:p>
            <w:pPr>
              <w:pStyle w:val="24"/>
              <w:spacing w:line="240" w:lineRule="auto"/>
              <w:ind w:firstLine="0" w:firstLineChars="0"/>
              <w:jc w:val="left"/>
              <w:rPr>
                <w:color w:val="auto"/>
                <w:highlight w:val="none"/>
              </w:rPr>
            </w:pPr>
            <w:r>
              <w:rPr>
                <w:rFonts w:hint="eastAsia"/>
                <w:color w:val="auto"/>
                <w:highlight w:val="none"/>
              </w:rPr>
              <w:t>20.防干扰功能：自动去干扰计算测量结果</w:t>
            </w:r>
          </w:p>
          <w:p>
            <w:pPr>
              <w:pStyle w:val="24"/>
              <w:spacing w:line="240" w:lineRule="auto"/>
              <w:ind w:firstLine="0" w:firstLineChars="0"/>
              <w:jc w:val="left"/>
              <w:rPr>
                <w:color w:val="auto"/>
                <w:highlight w:val="none"/>
              </w:rPr>
            </w:pPr>
            <w:r>
              <w:rPr>
                <w:rFonts w:hint="eastAsia"/>
                <w:color w:val="auto"/>
                <w:highlight w:val="none"/>
              </w:rPr>
              <w:t>21.溯源功能：不同浓度和油品的比对功能</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22.红外光源：红光（避免杂散光影响红外区测量）</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23.特征扫描速度：≤60秒</w:t>
            </w:r>
          </w:p>
          <w:p>
            <w:pPr>
              <w:pStyle w:val="24"/>
              <w:spacing w:line="240" w:lineRule="auto"/>
              <w:ind w:firstLine="0" w:firstLineChars="0"/>
              <w:jc w:val="left"/>
              <w:rPr>
                <w:color w:val="auto"/>
                <w:highlight w:val="none"/>
              </w:rPr>
            </w:pPr>
            <w:r>
              <w:rPr>
                <w:rFonts w:hint="eastAsia"/>
                <w:color w:val="auto"/>
                <w:highlight w:val="none"/>
              </w:rPr>
              <w:t>24.零点稳定度：无漂移</w:t>
            </w:r>
          </w:p>
          <w:p>
            <w:pPr>
              <w:pStyle w:val="24"/>
              <w:spacing w:line="240" w:lineRule="auto"/>
              <w:ind w:firstLine="0" w:firstLineChars="0"/>
              <w:jc w:val="left"/>
              <w:rPr>
                <w:color w:val="auto"/>
                <w:highlight w:val="none"/>
              </w:rPr>
            </w:pPr>
            <w:r>
              <w:rPr>
                <w:rFonts w:hint="eastAsia"/>
                <w:color w:val="auto"/>
                <w:highlight w:val="none"/>
              </w:rPr>
              <w:t>25.防护等级：≥IP65</w:t>
            </w:r>
          </w:p>
          <w:p>
            <w:pPr>
              <w:pStyle w:val="24"/>
              <w:spacing w:line="240" w:lineRule="auto"/>
              <w:ind w:firstLine="0" w:firstLineChars="0"/>
              <w:jc w:val="left"/>
              <w:rPr>
                <w:color w:val="auto"/>
                <w:highlight w:val="none"/>
              </w:rPr>
            </w:pPr>
            <w:r>
              <w:rPr>
                <w:rFonts w:hint="eastAsia"/>
                <w:color w:val="auto"/>
                <w:highlight w:val="none"/>
              </w:rPr>
              <w:t>26.环境要求：温度0～50℃、湿度＜95%RH</w:t>
            </w:r>
          </w:p>
          <w:p>
            <w:pPr>
              <w:pStyle w:val="24"/>
              <w:spacing w:line="240" w:lineRule="auto"/>
              <w:ind w:firstLine="0" w:firstLineChars="0"/>
              <w:jc w:val="left"/>
              <w:rPr>
                <w:color w:val="auto"/>
                <w:highlight w:val="none"/>
              </w:rPr>
            </w:pPr>
            <w:r>
              <w:rPr>
                <w:rFonts w:hint="eastAsia"/>
                <w:color w:val="auto"/>
                <w:highlight w:val="none"/>
              </w:rPr>
              <w:t>27.电压、功率：220V、40W</w:t>
            </w:r>
          </w:p>
          <w:p>
            <w:pPr>
              <w:pStyle w:val="24"/>
              <w:spacing w:line="240" w:lineRule="auto"/>
              <w:ind w:firstLine="0" w:firstLineChars="0"/>
              <w:jc w:val="left"/>
              <w:rPr>
                <w:color w:val="auto"/>
                <w:highlight w:val="none"/>
              </w:rPr>
            </w:pPr>
            <w:r>
              <w:rPr>
                <w:rFonts w:hint="eastAsia"/>
                <w:color w:val="auto"/>
                <w:highlight w:val="none"/>
              </w:rPr>
              <w:t>28.体积、重量：500*400*220mm、15.6kg</w:t>
            </w:r>
          </w:p>
          <w:p>
            <w:pPr>
              <w:pStyle w:val="24"/>
              <w:spacing w:line="240" w:lineRule="auto"/>
              <w:ind w:firstLine="0" w:firstLineChars="0"/>
              <w:jc w:val="left"/>
              <w:rPr>
                <w:color w:val="auto"/>
                <w:highlight w:val="none"/>
              </w:rPr>
            </w:pPr>
            <w:r>
              <w:rPr>
                <w:rFonts w:hint="eastAsia"/>
                <w:color w:val="auto"/>
                <w:highlight w:val="none"/>
              </w:rPr>
              <w:t>29.配置清单：</w:t>
            </w:r>
          </w:p>
          <w:p>
            <w:pPr>
              <w:pStyle w:val="24"/>
              <w:spacing w:line="240" w:lineRule="auto"/>
              <w:ind w:firstLine="0" w:firstLineChars="0"/>
              <w:jc w:val="left"/>
              <w:rPr>
                <w:color w:val="auto"/>
                <w:highlight w:val="none"/>
              </w:rPr>
            </w:pPr>
            <w:r>
              <w:rPr>
                <w:rFonts w:hint="eastAsia"/>
                <w:color w:val="auto"/>
                <w:highlight w:val="none"/>
              </w:rPr>
              <w:t>（1）红外分光测油仪主机：1台</w:t>
            </w:r>
          </w:p>
          <w:p>
            <w:pPr>
              <w:pStyle w:val="24"/>
              <w:spacing w:line="240" w:lineRule="auto"/>
              <w:ind w:firstLine="0" w:firstLineChars="0"/>
              <w:jc w:val="left"/>
              <w:rPr>
                <w:color w:val="auto"/>
                <w:highlight w:val="none"/>
              </w:rPr>
            </w:pPr>
            <w:r>
              <w:rPr>
                <w:rFonts w:hint="eastAsia"/>
                <w:color w:val="auto"/>
                <w:highlight w:val="none"/>
              </w:rPr>
              <w:t>（2）微电脑处理器（平板电脑）：1  台</w:t>
            </w:r>
          </w:p>
          <w:p>
            <w:pPr>
              <w:pStyle w:val="24"/>
              <w:spacing w:line="240" w:lineRule="auto"/>
              <w:ind w:firstLine="0" w:firstLineChars="0"/>
              <w:jc w:val="left"/>
              <w:rPr>
                <w:color w:val="auto"/>
                <w:highlight w:val="none"/>
              </w:rPr>
            </w:pPr>
            <w:r>
              <w:rPr>
                <w:rFonts w:hint="eastAsia"/>
                <w:color w:val="auto"/>
                <w:highlight w:val="none"/>
              </w:rPr>
              <w:t>（3）便携电源：1台</w:t>
            </w:r>
          </w:p>
          <w:p>
            <w:pPr>
              <w:pStyle w:val="24"/>
              <w:spacing w:line="240" w:lineRule="auto"/>
              <w:ind w:firstLine="0" w:firstLineChars="0"/>
              <w:jc w:val="left"/>
              <w:rPr>
                <w:color w:val="auto"/>
                <w:highlight w:val="none"/>
              </w:rPr>
            </w:pPr>
            <w:r>
              <w:rPr>
                <w:rFonts w:hint="eastAsia"/>
                <w:color w:val="auto"/>
                <w:highlight w:val="none"/>
              </w:rPr>
              <w:t>（4）无线键盘鼠标：1套</w:t>
            </w:r>
          </w:p>
          <w:p>
            <w:pPr>
              <w:pStyle w:val="24"/>
              <w:spacing w:line="240" w:lineRule="auto"/>
              <w:ind w:firstLine="0" w:firstLineChars="0"/>
              <w:jc w:val="left"/>
              <w:rPr>
                <w:color w:val="auto"/>
                <w:highlight w:val="none"/>
              </w:rPr>
            </w:pPr>
            <w:r>
              <w:rPr>
                <w:rFonts w:hint="eastAsia"/>
                <w:color w:val="auto"/>
                <w:highlight w:val="none"/>
              </w:rPr>
              <w:t>（5）红外分光测油仪软件(U盘)：1套</w:t>
            </w:r>
          </w:p>
          <w:p>
            <w:pPr>
              <w:pStyle w:val="24"/>
              <w:spacing w:line="240" w:lineRule="auto"/>
              <w:ind w:firstLine="0" w:firstLineChars="0"/>
              <w:jc w:val="left"/>
              <w:rPr>
                <w:color w:val="auto"/>
                <w:highlight w:val="none"/>
              </w:rPr>
            </w:pPr>
            <w:r>
              <w:rPr>
                <w:rFonts w:hint="eastAsia"/>
                <w:color w:val="auto"/>
                <w:highlight w:val="none"/>
              </w:rPr>
              <w:t>（6）4厘米带盖石英比色皿：2只</w:t>
            </w:r>
          </w:p>
          <w:p>
            <w:pPr>
              <w:pStyle w:val="24"/>
              <w:spacing w:line="240" w:lineRule="auto"/>
              <w:ind w:firstLine="0" w:firstLineChars="0"/>
              <w:jc w:val="left"/>
              <w:rPr>
                <w:color w:val="auto"/>
                <w:highlight w:val="none"/>
              </w:rPr>
            </w:pPr>
            <w:r>
              <w:rPr>
                <w:rFonts w:hint="eastAsia"/>
                <w:color w:val="auto"/>
                <w:highlight w:val="none"/>
              </w:rPr>
              <w:t>（7）油水分离柱：2只</w:t>
            </w:r>
          </w:p>
          <w:p>
            <w:pPr>
              <w:pStyle w:val="24"/>
              <w:spacing w:line="240" w:lineRule="auto"/>
              <w:ind w:firstLine="0" w:firstLineChars="0"/>
              <w:jc w:val="left"/>
              <w:rPr>
                <w:color w:val="auto"/>
                <w:highlight w:val="none"/>
              </w:rPr>
            </w:pPr>
            <w:r>
              <w:rPr>
                <w:rFonts w:hint="eastAsia"/>
                <w:color w:val="auto"/>
                <w:highlight w:val="none"/>
              </w:rPr>
              <w:t>（8）保险丝：1个</w:t>
            </w:r>
          </w:p>
          <w:p>
            <w:pPr>
              <w:pStyle w:val="24"/>
              <w:spacing w:line="240" w:lineRule="auto"/>
              <w:ind w:firstLine="0" w:firstLineChars="0"/>
              <w:jc w:val="left"/>
              <w:rPr>
                <w:color w:val="auto"/>
                <w:highlight w:val="none"/>
              </w:rPr>
            </w:pPr>
            <w:r>
              <w:rPr>
                <w:rFonts w:hint="eastAsia"/>
                <w:color w:val="auto"/>
                <w:highlight w:val="none"/>
              </w:rPr>
              <w:t>（9）红外光源：1个</w:t>
            </w:r>
          </w:p>
          <w:p>
            <w:pPr>
              <w:pStyle w:val="24"/>
              <w:spacing w:line="240" w:lineRule="auto"/>
              <w:ind w:firstLine="0" w:firstLineChars="0"/>
              <w:jc w:val="left"/>
              <w:rPr>
                <w:color w:val="auto"/>
                <w:highlight w:val="none"/>
              </w:rPr>
            </w:pPr>
            <w:r>
              <w:rPr>
                <w:rFonts w:hint="eastAsia"/>
                <w:color w:val="auto"/>
                <w:highlight w:val="none"/>
              </w:rPr>
              <w:t>（10）便携箱：1个</w:t>
            </w:r>
          </w:p>
          <w:p>
            <w:pPr>
              <w:pStyle w:val="24"/>
              <w:spacing w:line="240" w:lineRule="auto"/>
              <w:ind w:firstLine="0" w:firstLineChars="0"/>
              <w:jc w:val="left"/>
              <w:rPr>
                <w:color w:val="auto"/>
                <w:highlight w:val="none"/>
              </w:rPr>
            </w:pPr>
            <w:r>
              <w:rPr>
                <w:rFonts w:hint="eastAsia"/>
                <w:color w:val="auto"/>
                <w:highlight w:val="none"/>
              </w:rPr>
              <w:t>（11）企业标准油：2个</w:t>
            </w:r>
          </w:p>
          <w:p>
            <w:pPr>
              <w:pStyle w:val="24"/>
              <w:spacing w:line="240" w:lineRule="auto"/>
              <w:ind w:firstLine="0" w:firstLineChars="0"/>
              <w:jc w:val="left"/>
              <w:rPr>
                <w:color w:val="auto"/>
                <w:highlight w:val="none"/>
              </w:rPr>
            </w:pPr>
            <w:r>
              <w:rPr>
                <w:rFonts w:hint="eastAsia"/>
                <w:color w:val="auto"/>
                <w:highlight w:val="none"/>
              </w:rPr>
              <w:t>（12）使用说明书：1份</w:t>
            </w:r>
          </w:p>
          <w:p>
            <w:pPr>
              <w:pStyle w:val="24"/>
              <w:spacing w:line="240" w:lineRule="auto"/>
              <w:ind w:firstLine="0" w:firstLineChars="0"/>
              <w:jc w:val="left"/>
              <w:rPr>
                <w:color w:val="auto"/>
                <w:highlight w:val="none"/>
              </w:rPr>
            </w:pPr>
            <w:r>
              <w:rPr>
                <w:rFonts w:hint="eastAsia"/>
                <w:color w:val="auto"/>
                <w:highlight w:val="none"/>
              </w:rPr>
              <w:t>（13）仪器保修书：1份</w:t>
            </w:r>
          </w:p>
          <w:p>
            <w:pPr>
              <w:pStyle w:val="24"/>
              <w:spacing w:line="240" w:lineRule="auto"/>
              <w:ind w:firstLine="0" w:firstLineChars="0"/>
              <w:jc w:val="left"/>
              <w:rPr>
                <w:color w:val="auto"/>
                <w:highlight w:val="none"/>
              </w:rPr>
            </w:pPr>
            <w:r>
              <w:rPr>
                <w:rFonts w:hint="eastAsia"/>
                <w:color w:val="auto"/>
                <w:highlight w:val="none"/>
              </w:rPr>
              <w:t>（14）仪器合格证：1份</w:t>
            </w:r>
          </w:p>
          <w:p>
            <w:pPr>
              <w:pStyle w:val="24"/>
              <w:spacing w:line="240" w:lineRule="auto"/>
              <w:ind w:firstLine="0" w:firstLineChars="0"/>
              <w:jc w:val="left"/>
              <w:rPr>
                <w:color w:val="auto"/>
                <w:highlight w:val="none"/>
              </w:rPr>
            </w:pPr>
            <w:r>
              <w:rPr>
                <w:rFonts w:hint="eastAsia"/>
                <w:color w:val="auto"/>
                <w:highlight w:val="none"/>
              </w:rPr>
              <w:t>30.若投标人提供的货物不是投标人自己制造的，中标后应当提供货物制造商或其指定代理出具响应本次招标的投标货物的正式授权书。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7</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PM10监测仪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1.用途：测量环境空气中的PM10质量浓度；</w:t>
            </w:r>
          </w:p>
          <w:p>
            <w:pPr>
              <w:pStyle w:val="24"/>
              <w:spacing w:line="240" w:lineRule="auto"/>
              <w:ind w:firstLine="0" w:firstLineChars="0"/>
              <w:jc w:val="left"/>
              <w:rPr>
                <w:color w:val="auto"/>
                <w:highlight w:val="none"/>
              </w:rPr>
            </w:pPr>
            <w:r>
              <w:rPr>
                <w:rFonts w:hint="eastAsia"/>
                <w:color w:val="auto"/>
                <w:highlight w:val="none"/>
              </w:rPr>
              <w:t>2.检测方法：连续实时地在环境温度下同时进行颗粒物的采集和质量测量。采用β射线吸收加光散射双检测技术或震荡天平法。</w:t>
            </w:r>
          </w:p>
          <w:p>
            <w:pPr>
              <w:pStyle w:val="24"/>
              <w:spacing w:line="240" w:lineRule="auto"/>
              <w:ind w:firstLine="0" w:firstLineChars="0"/>
              <w:jc w:val="left"/>
              <w:rPr>
                <w:color w:val="auto"/>
                <w:highlight w:val="none"/>
              </w:rPr>
            </w:pPr>
            <w:r>
              <w:rPr>
                <w:rFonts w:hint="eastAsia"/>
                <w:color w:val="auto"/>
                <w:highlight w:val="none"/>
              </w:rPr>
              <w:t xml:space="preserve">3.属于中国环境监测总站环境空气自动监测系统认证检测合格产品； </w:t>
            </w:r>
          </w:p>
          <w:p>
            <w:pPr>
              <w:pStyle w:val="24"/>
              <w:spacing w:line="240" w:lineRule="auto"/>
              <w:ind w:firstLine="0" w:firstLineChars="0"/>
              <w:jc w:val="left"/>
              <w:rPr>
                <w:color w:val="auto"/>
                <w:highlight w:val="none"/>
              </w:rPr>
            </w:pPr>
            <w:r>
              <w:rPr>
                <w:rFonts w:hint="eastAsia"/>
                <w:color w:val="auto"/>
                <w:highlight w:val="none"/>
              </w:rPr>
              <w:t>4.采样头：环保部认可的PM10采样头；</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5.智能加热系统：配置智能加热系统，可设置恒温加热和动态加热模式，能有效地控制样品的温度和湿度；</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7.干扰消除：需要考虑来自于自然界的β射线源对背景值的干扰，可消除或削减外界环境的放射性干扰；</w:t>
            </w:r>
          </w:p>
          <w:p>
            <w:pPr>
              <w:pStyle w:val="24"/>
              <w:spacing w:line="240" w:lineRule="auto"/>
              <w:ind w:firstLine="0" w:firstLineChars="0"/>
              <w:jc w:val="left"/>
              <w:rPr>
                <w:color w:val="auto"/>
                <w:highlight w:val="none"/>
              </w:rPr>
            </w:pPr>
            <w:r>
              <w:rPr>
                <w:rFonts w:hint="eastAsia"/>
                <w:color w:val="auto"/>
                <w:highlight w:val="none"/>
              </w:rPr>
              <w:t>8.测量量程：在0-1mg/m3和0-10mg/m3两个量程；</w:t>
            </w:r>
          </w:p>
          <w:p>
            <w:pPr>
              <w:pStyle w:val="24"/>
              <w:spacing w:line="240" w:lineRule="auto"/>
              <w:ind w:firstLine="0" w:firstLineChars="0"/>
              <w:jc w:val="left"/>
              <w:rPr>
                <w:color w:val="auto"/>
                <w:highlight w:val="none"/>
              </w:rPr>
            </w:pPr>
            <w:r>
              <w:rPr>
                <w:rFonts w:hint="eastAsia"/>
                <w:color w:val="auto"/>
                <w:highlight w:val="none"/>
              </w:rPr>
              <w:t>9.最低检测限：小于0.5µg/m3 (2 σ)（1小时数据）</w:t>
            </w:r>
          </w:p>
          <w:p>
            <w:pPr>
              <w:pStyle w:val="24"/>
              <w:spacing w:line="240" w:lineRule="auto"/>
              <w:ind w:firstLine="0" w:firstLineChars="0"/>
              <w:jc w:val="left"/>
              <w:rPr>
                <w:color w:val="auto"/>
                <w:highlight w:val="none"/>
              </w:rPr>
            </w:pPr>
            <w:r>
              <w:rPr>
                <w:rFonts w:hint="eastAsia"/>
                <w:color w:val="auto"/>
                <w:highlight w:val="none"/>
              </w:rPr>
              <w:t>10.测量精度：±2.0ug/m3小于80ug/m3，其他±5.0ug/m3（24小时）；</w:t>
            </w:r>
          </w:p>
          <w:p>
            <w:pPr>
              <w:pStyle w:val="24"/>
              <w:spacing w:line="240" w:lineRule="auto"/>
              <w:ind w:firstLine="0" w:firstLineChars="0"/>
              <w:jc w:val="left"/>
              <w:rPr>
                <w:color w:val="auto"/>
                <w:highlight w:val="none"/>
              </w:rPr>
            </w:pPr>
            <w:r>
              <w:rPr>
                <w:rFonts w:hint="eastAsia"/>
                <w:color w:val="auto"/>
                <w:highlight w:val="none"/>
              </w:rPr>
              <w:t>11.准确度：±5%（使用可溯源标准膜片）；</w:t>
            </w:r>
          </w:p>
          <w:p>
            <w:pPr>
              <w:pStyle w:val="24"/>
              <w:spacing w:line="240" w:lineRule="auto"/>
              <w:ind w:firstLine="0" w:firstLineChars="0"/>
              <w:jc w:val="left"/>
              <w:rPr>
                <w:color w:val="auto"/>
                <w:highlight w:val="none"/>
              </w:rPr>
            </w:pPr>
            <w:r>
              <w:rPr>
                <w:rFonts w:hint="eastAsia"/>
                <w:color w:val="auto"/>
                <w:highlight w:val="none"/>
              </w:rPr>
              <w:t>12.采样流量：≥16.67升/分钟；</w:t>
            </w:r>
          </w:p>
          <w:p>
            <w:pPr>
              <w:pStyle w:val="24"/>
              <w:spacing w:line="240" w:lineRule="auto"/>
              <w:ind w:firstLine="0" w:firstLineChars="0"/>
              <w:jc w:val="left"/>
              <w:rPr>
                <w:color w:val="auto"/>
                <w:highlight w:val="none"/>
              </w:rPr>
            </w:pPr>
            <w:r>
              <w:rPr>
                <w:rFonts w:hint="eastAsia"/>
                <w:color w:val="auto"/>
                <w:highlight w:val="none"/>
              </w:rPr>
              <w:t>13.流量精度：±2%测量值；</w:t>
            </w:r>
          </w:p>
          <w:p>
            <w:pPr>
              <w:pStyle w:val="24"/>
              <w:spacing w:line="240" w:lineRule="auto"/>
              <w:ind w:firstLine="0" w:firstLineChars="0"/>
              <w:jc w:val="left"/>
              <w:rPr>
                <w:color w:val="auto"/>
                <w:highlight w:val="none"/>
              </w:rPr>
            </w:pPr>
            <w:r>
              <w:rPr>
                <w:rFonts w:hint="eastAsia"/>
                <w:color w:val="auto"/>
                <w:highlight w:val="none"/>
              </w:rPr>
              <w:t>14.检测器源：β射线源采用小于100µCi的碳-14；光源采用IRLED,6mW,880nm</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15.仪器的质量浓度时间周期：60到3600秒和24小时；</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16.数据输出速率：≤每1秒；</w:t>
            </w:r>
          </w:p>
          <w:p>
            <w:pPr>
              <w:pStyle w:val="24"/>
              <w:spacing w:line="240" w:lineRule="auto"/>
              <w:ind w:firstLine="0" w:firstLineChars="0"/>
              <w:jc w:val="left"/>
              <w:rPr>
                <w:color w:val="auto"/>
                <w:highlight w:val="none"/>
              </w:rPr>
            </w:pPr>
            <w:r>
              <w:rPr>
                <w:rFonts w:hint="eastAsia"/>
                <w:color w:val="auto"/>
                <w:highlight w:val="none"/>
              </w:rPr>
              <w:t>17.实时监控滤膜负载情况：仪器更换滤带采样点可以有流量，颗粒物浓度值，时间设置来控制，节约滤带的使用量，不会出现因滤膜超载而产生的数据丢失情况；</w:t>
            </w:r>
          </w:p>
          <w:p>
            <w:pPr>
              <w:pStyle w:val="24"/>
              <w:spacing w:line="240" w:lineRule="auto"/>
              <w:ind w:firstLine="0" w:firstLineChars="0"/>
              <w:jc w:val="left"/>
              <w:rPr>
                <w:color w:val="auto"/>
                <w:highlight w:val="none"/>
              </w:rPr>
            </w:pPr>
            <w:r>
              <w:rPr>
                <w:rFonts w:hint="eastAsia"/>
                <w:color w:val="auto"/>
                <w:highlight w:val="none"/>
              </w:rPr>
              <w:t>压力/温度测量：实时监测环境压力与温度，自动修正数据；</w:t>
            </w:r>
          </w:p>
          <w:p>
            <w:pPr>
              <w:pStyle w:val="24"/>
              <w:spacing w:line="240" w:lineRule="auto"/>
              <w:ind w:firstLine="0" w:firstLineChars="0"/>
              <w:jc w:val="left"/>
              <w:rPr>
                <w:color w:val="auto"/>
                <w:highlight w:val="none"/>
              </w:rPr>
            </w:pPr>
            <w:r>
              <w:rPr>
                <w:rFonts w:hint="eastAsia"/>
                <w:color w:val="auto"/>
                <w:highlight w:val="none"/>
              </w:rPr>
              <w:t>18.信号输出：0-1V，0-5V，0-10V，RS232/RS485,TCP/IP,10继电器输出；</w:t>
            </w:r>
          </w:p>
          <w:p>
            <w:pPr>
              <w:pStyle w:val="24"/>
              <w:spacing w:line="240" w:lineRule="auto"/>
              <w:ind w:firstLine="0" w:firstLineChars="0"/>
              <w:jc w:val="left"/>
              <w:rPr>
                <w:color w:val="auto"/>
                <w:highlight w:val="none"/>
              </w:rPr>
            </w:pPr>
            <w:r>
              <w:rPr>
                <w:rFonts w:hint="eastAsia"/>
                <w:color w:val="auto"/>
                <w:highlight w:val="none"/>
              </w:rPr>
              <w:t>19.可以使用软件进行远程监控，实时调取仪器操作界面，方便对仪器进行远程维护。</w:t>
            </w:r>
          </w:p>
          <w:p>
            <w:pPr>
              <w:pStyle w:val="24"/>
              <w:spacing w:line="240" w:lineRule="auto"/>
              <w:ind w:firstLine="0" w:firstLineChars="0"/>
              <w:jc w:val="left"/>
              <w:rPr>
                <w:strike/>
                <w:color w:val="auto"/>
                <w:highlight w:val="none"/>
              </w:rPr>
            </w:pPr>
            <w:r>
              <w:rPr>
                <w:rFonts w:hint="eastAsia"/>
                <w:color w:val="auto"/>
                <w:highlight w:val="none"/>
              </w:rPr>
              <w:t>20.可采用零膜和跨度膜按需求进行质量控制检查、审计和校准。</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auto"/>
                <w:szCs w:val="21"/>
                <w:highlight w:val="none"/>
              </w:rPr>
            </w:pPr>
            <w:r>
              <w:rPr>
                <w:rFonts w:ascii="宋体" w:hAnsi="宋体" w:cs="宋体"/>
                <w:b/>
                <w:bCs/>
                <w:color w:val="auto"/>
                <w:szCs w:val="21"/>
                <w:highlight w:val="none"/>
              </w:rPr>
              <w:t>二</w:t>
            </w:r>
          </w:p>
        </w:tc>
        <w:tc>
          <w:tcPr>
            <w:tcW w:w="888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b/>
                <w:bCs/>
                <w:color w:val="auto"/>
                <w:kern w:val="0"/>
                <w:szCs w:val="21"/>
                <w:highlight w:val="none"/>
              </w:rPr>
            </w:pPr>
            <w:r>
              <w:rPr>
                <w:rFonts w:ascii="Times New Roman" w:hAnsi="Times New Roman"/>
                <w:b/>
                <w:bCs/>
                <w:color w:val="auto"/>
                <w:szCs w:val="21"/>
                <w:highlight w:val="none"/>
              </w:rPr>
              <w:t>常规监测设备</w:t>
            </w: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8</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color w:val="auto"/>
                <w:szCs w:val="21"/>
                <w:highlight w:val="none"/>
              </w:rPr>
            </w:pPr>
            <w:r>
              <w:rPr>
                <w:rFonts w:ascii="Times New Roman" w:hAnsi="Times New Roman"/>
                <w:color w:val="auto"/>
                <w:szCs w:val="21"/>
                <w:highlight w:val="none"/>
              </w:rPr>
              <w:t>冷原子吸收测汞仪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1.应用范围：使用冷原子吸收法，用于饮用水、废水和天然水品中汞浓度的测定。</w:t>
            </w:r>
          </w:p>
          <w:p>
            <w:pPr>
              <w:pStyle w:val="24"/>
              <w:spacing w:line="240" w:lineRule="auto"/>
              <w:ind w:firstLine="0" w:firstLineChars="0"/>
              <w:jc w:val="left"/>
              <w:rPr>
                <w:color w:val="auto"/>
                <w:highlight w:val="none"/>
              </w:rPr>
            </w:pPr>
            <w:r>
              <w:rPr>
                <w:rFonts w:hint="eastAsia"/>
                <w:color w:val="auto"/>
                <w:highlight w:val="none"/>
              </w:rPr>
              <w:t>2.主要技术参数：</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（1）采用高频塞曼效应背景校正冷原子吸收光谱法；</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（2）水样品中汞浓度检测范围：1-100000 ng/ L；</w:t>
            </w:r>
          </w:p>
          <w:p>
            <w:pPr>
              <w:pStyle w:val="24"/>
              <w:spacing w:line="240" w:lineRule="auto"/>
              <w:ind w:firstLine="0" w:firstLineChars="0"/>
              <w:jc w:val="left"/>
              <w:rPr>
                <w:color w:val="auto"/>
                <w:highlight w:val="none"/>
              </w:rPr>
            </w:pPr>
            <w:r>
              <w:rPr>
                <w:rFonts w:hint="eastAsia"/>
                <w:color w:val="auto"/>
                <w:highlight w:val="none"/>
              </w:rPr>
              <w:t>（3）测定的样品量：1-5000</w:t>
            </w:r>
            <w:r>
              <w:rPr>
                <w:color w:val="auto"/>
                <w:highlight w:val="none"/>
              </w:rPr>
              <w:t>μ</w:t>
            </w:r>
            <w:r>
              <w:rPr>
                <w:rFonts w:hint="eastAsia"/>
                <w:color w:val="auto"/>
                <w:highlight w:val="none"/>
              </w:rPr>
              <w:t>L；</w:t>
            </w:r>
          </w:p>
          <w:p>
            <w:pPr>
              <w:pStyle w:val="24"/>
              <w:spacing w:line="240" w:lineRule="auto"/>
              <w:ind w:firstLine="0" w:firstLineChars="0"/>
              <w:jc w:val="left"/>
              <w:rPr>
                <w:color w:val="auto"/>
                <w:highlight w:val="none"/>
              </w:rPr>
            </w:pPr>
            <w:r>
              <w:rPr>
                <w:rFonts w:hint="eastAsia"/>
                <w:color w:val="auto"/>
                <w:highlight w:val="none"/>
              </w:rPr>
              <w:t>（4）空气流量：0.8-5.0 L/min；</w:t>
            </w:r>
          </w:p>
          <w:p>
            <w:pPr>
              <w:pStyle w:val="24"/>
              <w:spacing w:line="240" w:lineRule="auto"/>
              <w:ind w:firstLine="0" w:firstLineChars="0"/>
              <w:jc w:val="left"/>
              <w:rPr>
                <w:color w:val="auto"/>
                <w:highlight w:val="none"/>
              </w:rPr>
            </w:pPr>
            <w:r>
              <w:rPr>
                <w:rFonts w:hint="eastAsia"/>
                <w:color w:val="auto"/>
                <w:highlight w:val="none"/>
              </w:rPr>
              <w:t>（5）仪器分析时间为≤2min；</w:t>
            </w:r>
          </w:p>
          <w:p>
            <w:pPr>
              <w:pStyle w:val="24"/>
              <w:spacing w:line="240" w:lineRule="auto"/>
              <w:ind w:firstLine="0" w:firstLineChars="0"/>
              <w:jc w:val="left"/>
              <w:rPr>
                <w:color w:val="auto"/>
                <w:highlight w:val="none"/>
              </w:rPr>
            </w:pPr>
            <w:r>
              <w:rPr>
                <w:rFonts w:hint="eastAsia"/>
                <w:color w:val="auto"/>
                <w:highlight w:val="none"/>
              </w:rPr>
              <w:t xml:space="preserve">（6）检出限≤1ng </w:t>
            </w:r>
          </w:p>
          <w:p>
            <w:pPr>
              <w:pStyle w:val="24"/>
              <w:spacing w:line="240" w:lineRule="auto"/>
              <w:ind w:firstLine="0" w:firstLineChars="0"/>
              <w:jc w:val="left"/>
              <w:rPr>
                <w:color w:val="auto"/>
                <w:highlight w:val="none"/>
              </w:rPr>
            </w:pPr>
            <w:r>
              <w:rPr>
                <w:rFonts w:hint="eastAsia"/>
                <w:color w:val="auto"/>
                <w:highlight w:val="none"/>
              </w:rPr>
              <w:t>（7）重复性≤3.0%</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（8）仪器自带脱汞空气源、可实验室和便携外场操作；</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（9）电源要求：交流电220V/50Hz；</w:t>
            </w:r>
          </w:p>
          <w:p>
            <w:pPr>
              <w:pStyle w:val="24"/>
              <w:spacing w:line="240" w:lineRule="auto"/>
              <w:ind w:firstLine="0" w:firstLineChars="0"/>
              <w:jc w:val="left"/>
              <w:rPr>
                <w:color w:val="auto"/>
                <w:highlight w:val="none"/>
              </w:rPr>
            </w:pPr>
            <w:r>
              <w:rPr>
                <w:rFonts w:hint="eastAsia"/>
                <w:color w:val="auto"/>
                <w:highlight w:val="none"/>
              </w:rPr>
              <w:t>（10）样本无需消解预处理，可直接测量各种介质中的汞含量；</w:t>
            </w:r>
          </w:p>
          <w:p>
            <w:pPr>
              <w:pStyle w:val="24"/>
              <w:spacing w:line="240" w:lineRule="auto"/>
              <w:ind w:firstLine="0" w:firstLineChars="0"/>
              <w:jc w:val="left"/>
              <w:rPr>
                <w:color w:val="auto"/>
                <w:highlight w:val="none"/>
              </w:rPr>
            </w:pPr>
            <w:r>
              <w:rPr>
                <w:rFonts w:hint="eastAsia"/>
                <w:color w:val="auto"/>
                <w:highlight w:val="none"/>
              </w:rPr>
              <w:t>（11）全套分析软件及数据处理系统，具有自动调整零点及空白功能；</w:t>
            </w:r>
          </w:p>
          <w:p>
            <w:pPr>
              <w:pStyle w:val="24"/>
              <w:spacing w:line="240" w:lineRule="auto"/>
              <w:ind w:firstLine="0" w:firstLineChars="0"/>
              <w:jc w:val="left"/>
              <w:rPr>
                <w:color w:val="auto"/>
                <w:highlight w:val="none"/>
              </w:rPr>
            </w:pPr>
            <w:r>
              <w:rPr>
                <w:rFonts w:hint="eastAsia"/>
                <w:color w:val="auto"/>
                <w:highlight w:val="none"/>
              </w:rPr>
              <w:t>（12）满足HJ543-2009、HJ597-2011检测标准</w:t>
            </w:r>
          </w:p>
          <w:p>
            <w:pPr>
              <w:pStyle w:val="24"/>
              <w:spacing w:line="240" w:lineRule="auto"/>
              <w:ind w:firstLine="0" w:firstLineChars="0"/>
              <w:jc w:val="left"/>
              <w:rPr>
                <w:color w:val="auto"/>
                <w:highlight w:val="none"/>
              </w:rPr>
            </w:pPr>
            <w:r>
              <w:rPr>
                <w:rFonts w:hint="eastAsia"/>
                <w:color w:val="auto"/>
                <w:highlight w:val="none"/>
              </w:rPr>
              <w:t>3.主要配置</w:t>
            </w:r>
          </w:p>
          <w:p>
            <w:pPr>
              <w:pStyle w:val="24"/>
              <w:spacing w:line="240" w:lineRule="auto"/>
              <w:ind w:firstLine="0" w:firstLineChars="0"/>
              <w:jc w:val="left"/>
              <w:rPr>
                <w:color w:val="auto"/>
                <w:highlight w:val="none"/>
              </w:rPr>
            </w:pPr>
            <w:r>
              <w:rPr>
                <w:rFonts w:hint="eastAsia"/>
                <w:color w:val="auto"/>
                <w:highlight w:val="none"/>
              </w:rPr>
              <w:t>（1）汞分析仪主机，数量1</w:t>
            </w:r>
            <w:r>
              <w:rPr>
                <w:color w:val="auto"/>
                <w:highlight w:val="none"/>
              </w:rPr>
              <w:t xml:space="preserve"> </w:t>
            </w:r>
            <w:r>
              <w:rPr>
                <w:rFonts w:hint="eastAsia"/>
                <w:color w:val="auto"/>
                <w:highlight w:val="none"/>
              </w:rPr>
              <w:t>台；</w:t>
            </w:r>
          </w:p>
          <w:p>
            <w:pPr>
              <w:pStyle w:val="24"/>
              <w:spacing w:line="240" w:lineRule="auto"/>
              <w:ind w:firstLine="0" w:firstLineChars="0"/>
              <w:jc w:val="left"/>
              <w:rPr>
                <w:color w:val="auto"/>
                <w:highlight w:val="none"/>
              </w:rPr>
            </w:pPr>
            <w:r>
              <w:rPr>
                <w:rFonts w:hint="eastAsia"/>
                <w:color w:val="auto"/>
                <w:highlight w:val="none"/>
              </w:rPr>
              <w:t>（2）电源线，数量1</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（3）电脑连接线，数量1</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（4）电源和泵单元，数量1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（5）分析软件，数量1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（6）气泵单元，数量1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（7）气泵电源，数量2</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（8）起泡器，数量2</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（9）单光程样品池，数量1</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（10）单光程样品池接头，数量2</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（11）止水夹，数量2</w:t>
            </w:r>
            <w:r>
              <w:rPr>
                <w:color w:val="auto"/>
                <w:highlight w:val="none"/>
              </w:rPr>
              <w:t xml:space="preserve"> </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 xml:space="preserve">（12）防尘过滤器，数量 </w:t>
            </w:r>
            <w:r>
              <w:rPr>
                <w:color w:val="auto"/>
                <w:highlight w:val="none"/>
              </w:rPr>
              <w:t>1</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（13）质量证书，数量1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（14）操作说明书，数量1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（15）软件说明书，数量1</w:t>
            </w:r>
            <w:r>
              <w:rPr>
                <w:color w:val="auto"/>
                <w:highlight w:val="none"/>
              </w:rPr>
              <w:t xml:space="preserve"> </w:t>
            </w:r>
            <w:r>
              <w:rPr>
                <w:rFonts w:hint="eastAsia"/>
                <w:color w:val="auto"/>
                <w:highlight w:val="none"/>
              </w:rPr>
              <w:t>套；</w:t>
            </w:r>
          </w:p>
          <w:p>
            <w:pPr>
              <w:pStyle w:val="24"/>
              <w:spacing w:line="240" w:lineRule="auto"/>
              <w:ind w:firstLine="0" w:firstLineChars="0"/>
              <w:jc w:val="left"/>
              <w:rPr>
                <w:color w:val="auto"/>
                <w:highlight w:val="none"/>
              </w:rPr>
            </w:pPr>
            <w:r>
              <w:rPr>
                <w:rFonts w:hint="eastAsia"/>
                <w:color w:val="auto"/>
                <w:highlight w:val="none"/>
              </w:rPr>
              <w:t>（16）计算机,数量1</w:t>
            </w:r>
            <w:r>
              <w:rPr>
                <w:color w:val="auto"/>
                <w:highlight w:val="none"/>
              </w:rPr>
              <w:t xml:space="preserve"> </w:t>
            </w:r>
            <w:r>
              <w:rPr>
                <w:rFonts w:hint="eastAsia"/>
                <w:color w:val="auto"/>
                <w:highlight w:val="none"/>
              </w:rPr>
              <w:t>台；</w:t>
            </w:r>
          </w:p>
          <w:p>
            <w:pPr>
              <w:pStyle w:val="24"/>
              <w:spacing w:line="240" w:lineRule="auto"/>
              <w:ind w:firstLine="0" w:firstLineChars="0"/>
              <w:jc w:val="left"/>
              <w:rPr>
                <w:color w:val="auto"/>
                <w:highlight w:val="none"/>
              </w:rPr>
            </w:pPr>
            <w:r>
              <w:rPr>
                <w:rFonts w:hint="eastAsia"/>
                <w:color w:val="auto"/>
                <w:highlight w:val="none"/>
              </w:rPr>
              <w:t>（1</w:t>
            </w:r>
            <w:r>
              <w:rPr>
                <w:color w:val="auto"/>
                <w:highlight w:val="none"/>
              </w:rPr>
              <w:t>7</w:t>
            </w:r>
            <w:r>
              <w:rPr>
                <w:rFonts w:hint="eastAsia"/>
                <w:color w:val="auto"/>
                <w:highlight w:val="none"/>
              </w:rPr>
              <w:t>）移动数据传输设备,数量1</w:t>
            </w:r>
            <w:r>
              <w:rPr>
                <w:color w:val="auto"/>
                <w:highlight w:val="none"/>
              </w:rPr>
              <w:t xml:space="preserve"> </w:t>
            </w:r>
            <w:r>
              <w:rPr>
                <w:rFonts w:hint="eastAsia"/>
                <w:color w:val="auto"/>
                <w:highlight w:val="none"/>
              </w:rPr>
              <w:t>台；</w:t>
            </w:r>
          </w:p>
          <w:p>
            <w:pPr>
              <w:pStyle w:val="24"/>
              <w:spacing w:line="240" w:lineRule="auto"/>
              <w:ind w:firstLine="0" w:firstLineChars="0"/>
              <w:jc w:val="left"/>
              <w:rPr>
                <w:color w:val="auto"/>
                <w:highlight w:val="none"/>
              </w:rPr>
            </w:pPr>
            <w:r>
              <w:rPr>
                <w:rFonts w:hint="eastAsia"/>
                <w:color w:val="auto"/>
                <w:highlight w:val="none"/>
              </w:rPr>
              <w:t>5.若投标人提供的货物不是投标人自己制造的，中标后应当提供货物制造商或其指定代理出具响应本次招标的投标货物的正式授权书。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9</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color w:val="auto"/>
                <w:szCs w:val="21"/>
                <w:highlight w:val="none"/>
              </w:rPr>
            </w:pPr>
            <w:r>
              <w:rPr>
                <w:rFonts w:ascii="Times New Roman" w:hAnsi="Times New Roman"/>
                <w:color w:val="auto"/>
                <w:szCs w:val="21"/>
                <w:highlight w:val="none"/>
              </w:rPr>
              <w:t>原子吸收分光光度计</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1.适用于各种样品中微量金属元素的定量分析。</w:t>
            </w:r>
          </w:p>
          <w:p>
            <w:pPr>
              <w:pStyle w:val="24"/>
              <w:spacing w:line="240" w:lineRule="auto"/>
              <w:ind w:firstLine="0" w:firstLineChars="0"/>
              <w:jc w:val="left"/>
              <w:rPr>
                <w:color w:val="auto"/>
                <w:highlight w:val="none"/>
              </w:rPr>
            </w:pPr>
            <w:r>
              <w:rPr>
                <w:rFonts w:hint="eastAsia"/>
                <w:color w:val="auto"/>
                <w:highlight w:val="none"/>
              </w:rPr>
              <w:t>2.分光系统</w:t>
            </w:r>
          </w:p>
          <w:p>
            <w:pPr>
              <w:pStyle w:val="24"/>
              <w:spacing w:line="240" w:lineRule="auto"/>
              <w:ind w:firstLine="0" w:firstLineChars="0"/>
              <w:jc w:val="left"/>
              <w:rPr>
                <w:color w:val="auto"/>
                <w:highlight w:val="none"/>
              </w:rPr>
            </w:pPr>
            <w:r>
              <w:rPr>
                <w:rFonts w:hint="eastAsia"/>
                <w:color w:val="auto"/>
                <w:highlight w:val="none"/>
              </w:rPr>
              <w:t>（1）波长范围：185-900nm。</w:t>
            </w:r>
          </w:p>
          <w:p>
            <w:pPr>
              <w:pStyle w:val="24"/>
              <w:spacing w:line="240" w:lineRule="auto"/>
              <w:ind w:firstLine="0" w:firstLineChars="0"/>
              <w:jc w:val="left"/>
              <w:rPr>
                <w:color w:val="auto"/>
                <w:highlight w:val="none"/>
              </w:rPr>
            </w:pPr>
            <w:r>
              <w:rPr>
                <w:rFonts w:hint="eastAsia"/>
                <w:color w:val="auto"/>
                <w:highlight w:val="none"/>
              </w:rPr>
              <w:t>（2）单色器：消象差C-T型单色器。</w:t>
            </w:r>
          </w:p>
          <w:p>
            <w:pPr>
              <w:pStyle w:val="24"/>
              <w:spacing w:line="240" w:lineRule="auto"/>
              <w:ind w:firstLine="0" w:firstLineChars="0"/>
              <w:jc w:val="left"/>
              <w:rPr>
                <w:color w:val="auto"/>
                <w:highlight w:val="none"/>
              </w:rPr>
            </w:pPr>
            <w:r>
              <w:rPr>
                <w:rFonts w:hint="eastAsia"/>
                <w:color w:val="auto"/>
                <w:highlight w:val="none"/>
              </w:rPr>
              <w:t>（3）光栅刻线：不小于1800条/mm。</w:t>
            </w:r>
          </w:p>
          <w:p>
            <w:pPr>
              <w:pStyle w:val="24"/>
              <w:spacing w:line="240" w:lineRule="auto"/>
              <w:ind w:firstLine="0" w:firstLineChars="0"/>
              <w:jc w:val="left"/>
              <w:rPr>
                <w:color w:val="auto"/>
                <w:highlight w:val="none"/>
              </w:rPr>
            </w:pPr>
            <w:r>
              <w:rPr>
                <w:rFonts w:hint="eastAsia"/>
                <w:color w:val="auto"/>
                <w:highlight w:val="none"/>
              </w:rPr>
              <w:t>（4）光谱带宽：至少0.1、0.2、0.4、1.0、2.0nm五档自动可选。</w:t>
            </w:r>
          </w:p>
          <w:p>
            <w:pPr>
              <w:pStyle w:val="24"/>
              <w:spacing w:line="240" w:lineRule="auto"/>
              <w:ind w:firstLine="0" w:firstLineChars="0"/>
              <w:jc w:val="left"/>
              <w:rPr>
                <w:color w:val="auto"/>
                <w:highlight w:val="none"/>
              </w:rPr>
            </w:pPr>
            <w:r>
              <w:rPr>
                <w:rFonts w:hint="eastAsia"/>
                <w:color w:val="auto"/>
                <w:highlight w:val="none"/>
              </w:rPr>
              <w:t>（5）自动控制波长扫描，自动寻峰。</w:t>
            </w:r>
          </w:p>
          <w:p>
            <w:pPr>
              <w:pStyle w:val="24"/>
              <w:spacing w:line="240" w:lineRule="auto"/>
              <w:ind w:firstLine="0" w:firstLineChars="0"/>
              <w:jc w:val="left"/>
              <w:rPr>
                <w:color w:val="auto"/>
                <w:highlight w:val="none"/>
              </w:rPr>
            </w:pPr>
            <w:r>
              <w:rPr>
                <w:rFonts w:hint="eastAsia"/>
                <w:color w:val="auto"/>
                <w:highlight w:val="none"/>
              </w:rPr>
              <w:t>（6）波长准确度：±0.15nm。</w:t>
            </w:r>
          </w:p>
          <w:p>
            <w:pPr>
              <w:pStyle w:val="24"/>
              <w:spacing w:line="240" w:lineRule="auto"/>
              <w:ind w:firstLine="0" w:firstLineChars="0"/>
              <w:jc w:val="left"/>
              <w:rPr>
                <w:color w:val="auto"/>
                <w:highlight w:val="none"/>
              </w:rPr>
            </w:pPr>
            <w:r>
              <w:rPr>
                <w:rFonts w:hint="eastAsia"/>
                <w:color w:val="auto"/>
                <w:highlight w:val="none"/>
              </w:rPr>
              <w:t>（7）波长重复性：≤0.05nm。</w:t>
            </w:r>
          </w:p>
          <w:p>
            <w:pPr>
              <w:pStyle w:val="24"/>
              <w:spacing w:line="240" w:lineRule="auto"/>
              <w:ind w:firstLine="0" w:firstLineChars="0"/>
              <w:jc w:val="left"/>
              <w:rPr>
                <w:color w:val="auto"/>
                <w:highlight w:val="none"/>
              </w:rPr>
            </w:pPr>
            <w:r>
              <w:rPr>
                <w:rFonts w:hint="eastAsia"/>
                <w:color w:val="auto"/>
                <w:highlight w:val="none"/>
              </w:rPr>
              <w:t>（8）基线漂移：±0.002A/30min（静态）。</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3.光源系统：8灯自动旋转灯架，1灯工作，1灯预热，全自动调节，自动调入优化的工作参数及分析条件。</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4.火焰分析系统</w:t>
            </w:r>
          </w:p>
          <w:p>
            <w:pPr>
              <w:pStyle w:val="24"/>
              <w:spacing w:line="240" w:lineRule="auto"/>
              <w:ind w:firstLine="0" w:firstLineChars="0"/>
              <w:jc w:val="left"/>
              <w:rPr>
                <w:color w:val="auto"/>
                <w:highlight w:val="none"/>
              </w:rPr>
            </w:pPr>
            <w:r>
              <w:rPr>
                <w:rFonts w:hint="eastAsia"/>
                <w:color w:val="auto"/>
                <w:highlight w:val="none"/>
              </w:rPr>
              <w:t>（1）自动点火功能。</w:t>
            </w:r>
          </w:p>
          <w:p>
            <w:pPr>
              <w:pStyle w:val="24"/>
              <w:spacing w:line="240" w:lineRule="auto"/>
              <w:ind w:firstLine="0" w:firstLineChars="0"/>
              <w:jc w:val="left"/>
              <w:rPr>
                <w:color w:val="auto"/>
                <w:highlight w:val="none"/>
              </w:rPr>
            </w:pPr>
            <w:r>
              <w:rPr>
                <w:rFonts w:hint="eastAsia"/>
                <w:color w:val="auto"/>
                <w:highlight w:val="none"/>
              </w:rPr>
              <w:t>（2）自动设置燃气流量，选择元素分析最佳助燃比。</w:t>
            </w:r>
          </w:p>
          <w:p>
            <w:pPr>
              <w:pStyle w:val="24"/>
              <w:spacing w:line="240" w:lineRule="auto"/>
              <w:ind w:firstLine="0" w:firstLineChars="0"/>
              <w:jc w:val="left"/>
              <w:rPr>
                <w:color w:val="auto"/>
                <w:highlight w:val="none"/>
              </w:rPr>
            </w:pPr>
            <w:r>
              <w:rPr>
                <w:rFonts w:hint="eastAsia"/>
                <w:color w:val="auto"/>
                <w:highlight w:val="none"/>
              </w:rPr>
              <w:t>（3）特征浓度（Cu)：Cu＜0.02</w:t>
            </w:r>
            <w:r>
              <w:rPr>
                <w:color w:val="auto"/>
                <w:highlight w:val="none"/>
              </w:rPr>
              <w:t>μ</w:t>
            </w:r>
            <w:r>
              <w:rPr>
                <w:rFonts w:hint="eastAsia"/>
                <w:color w:val="auto"/>
                <w:highlight w:val="none"/>
              </w:rPr>
              <w:t>g/mL/1%。（空气-乙炔法、空气-液化石油气）；Ba＜0.15</w:t>
            </w:r>
            <w:r>
              <w:rPr>
                <w:color w:val="auto"/>
                <w:highlight w:val="none"/>
              </w:rPr>
              <w:t>μ</w:t>
            </w:r>
            <w:r>
              <w:rPr>
                <w:rFonts w:hint="eastAsia"/>
                <w:color w:val="auto"/>
                <w:highlight w:val="none"/>
              </w:rPr>
              <w:t>g/mL/1%（笑气-乙炔法）。</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（4）检出限（Cu)：Cu＜0.004</w:t>
            </w:r>
            <w:r>
              <w:rPr>
                <w:color w:val="auto"/>
                <w:highlight w:val="none"/>
              </w:rPr>
              <w:t>μ</w:t>
            </w:r>
            <w:r>
              <w:rPr>
                <w:rFonts w:hint="eastAsia"/>
                <w:color w:val="auto"/>
                <w:highlight w:val="none"/>
              </w:rPr>
              <w:t>g/mL（空气-乙炔法、空气-液化石油气）。</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（5）燃烧器：100mm单缝金属钛燃烧器用于空气-乙炔火焰；50mm单缝金属钛燃烧器用于笑气-乙炔火焰；100mm三缝金属钛燃烧器用于空气-液化石油气火焰。</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（6）雾化器：高效玻璃雾化器。</w:t>
            </w:r>
          </w:p>
          <w:p>
            <w:pPr>
              <w:pStyle w:val="24"/>
              <w:spacing w:line="240" w:lineRule="auto"/>
              <w:ind w:firstLine="0" w:firstLineChars="0"/>
              <w:jc w:val="left"/>
              <w:rPr>
                <w:color w:val="auto"/>
                <w:highlight w:val="none"/>
              </w:rPr>
            </w:pPr>
            <w:r>
              <w:rPr>
                <w:rFonts w:hint="eastAsia"/>
                <w:color w:val="auto"/>
                <w:highlight w:val="none"/>
              </w:rPr>
              <w:t>（7）雾化室：耐腐蚀材料，防爆设计雾化室。</w:t>
            </w:r>
          </w:p>
          <w:p>
            <w:pPr>
              <w:pStyle w:val="24"/>
              <w:spacing w:line="240" w:lineRule="auto"/>
              <w:ind w:firstLine="0" w:firstLineChars="0"/>
              <w:jc w:val="left"/>
              <w:rPr>
                <w:color w:val="auto"/>
                <w:highlight w:val="none"/>
              </w:rPr>
            </w:pPr>
            <w:r>
              <w:rPr>
                <w:rFonts w:hint="eastAsia"/>
                <w:color w:val="auto"/>
                <w:highlight w:val="none"/>
              </w:rPr>
              <w:t>（8）位置调节：火焰燃烧器最佳高度及前后位置自动调节。</w:t>
            </w:r>
          </w:p>
          <w:p>
            <w:pPr>
              <w:pStyle w:val="24"/>
              <w:spacing w:line="240" w:lineRule="auto"/>
              <w:ind w:firstLine="0" w:firstLineChars="0"/>
              <w:jc w:val="left"/>
              <w:rPr>
                <w:color w:val="auto"/>
                <w:highlight w:val="none"/>
              </w:rPr>
            </w:pPr>
            <w:r>
              <w:rPr>
                <w:rFonts w:hint="eastAsia"/>
                <w:color w:val="auto"/>
                <w:highlight w:val="none"/>
              </w:rPr>
              <w:t>（9）精密度：Cu＜0.6%（空气-乙炔法）；Ba＜1.0%（笑气-乙炔法）；Cu＜1.0%（空气-液化石油气法）。</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（10）内置空气-乙炔、空气-液化石油气、笑气-乙炔三种火焰原子化模式，自动切换，无需额外增加气体切换附件，提供更多选择，方便使用。</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5.石墨炉分析系统</w:t>
            </w:r>
          </w:p>
          <w:p>
            <w:pPr>
              <w:pStyle w:val="24"/>
              <w:spacing w:line="240" w:lineRule="auto"/>
              <w:ind w:firstLine="0" w:firstLineChars="0"/>
              <w:jc w:val="left"/>
              <w:rPr>
                <w:color w:val="auto"/>
                <w:highlight w:val="none"/>
              </w:rPr>
            </w:pPr>
            <w:r>
              <w:rPr>
                <w:rFonts w:hint="eastAsia"/>
                <w:color w:val="auto"/>
                <w:highlight w:val="none"/>
              </w:rPr>
              <w:t>（1）检出限（Cd）：≤0.4×10</w:t>
            </w:r>
            <w:r>
              <w:rPr>
                <w:rFonts w:hint="eastAsia"/>
                <w:color w:val="auto"/>
                <w:highlight w:val="none"/>
                <w:vertAlign w:val="superscript"/>
              </w:rPr>
              <w:t>-12</w:t>
            </w:r>
            <w:r>
              <w:rPr>
                <w:rFonts w:hint="eastAsia"/>
                <w:color w:val="auto"/>
                <w:highlight w:val="none"/>
              </w:rPr>
              <w:t>g。</w:t>
            </w:r>
          </w:p>
          <w:p>
            <w:pPr>
              <w:pStyle w:val="24"/>
              <w:spacing w:line="240" w:lineRule="auto"/>
              <w:ind w:firstLine="0" w:firstLineChars="0"/>
              <w:jc w:val="left"/>
              <w:rPr>
                <w:color w:val="auto"/>
                <w:highlight w:val="none"/>
              </w:rPr>
            </w:pPr>
            <w:r>
              <w:rPr>
                <w:rFonts w:hint="eastAsia"/>
                <w:color w:val="auto"/>
                <w:highlight w:val="none"/>
              </w:rPr>
              <w:t>（2）精密度：Cu＜2.0%，Cd＜2.0%。</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（3）石墨管加热方式：石墨炉横向加热方式；温度范围：室温-3000℃；升温速率：不小于2000℃/s。</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（4）加热控温方式：干燥灰化阶段功率控制方式，原子化阶段采用光控最大功率方式。</w:t>
            </w:r>
          </w:p>
          <w:p>
            <w:pPr>
              <w:pStyle w:val="24"/>
              <w:spacing w:line="240" w:lineRule="auto"/>
              <w:ind w:firstLine="0" w:firstLineChars="0"/>
              <w:jc w:val="left"/>
              <w:rPr>
                <w:color w:val="auto"/>
                <w:highlight w:val="none"/>
              </w:rPr>
            </w:pPr>
            <w:r>
              <w:rPr>
                <w:rFonts w:hint="eastAsia"/>
                <w:color w:val="auto"/>
                <w:highlight w:val="none"/>
              </w:rPr>
              <w:t>（5）升温方式：斜坡升温、阶梯升温、最大功率升温。</w:t>
            </w:r>
          </w:p>
          <w:p>
            <w:pPr>
              <w:pStyle w:val="24"/>
              <w:spacing w:line="240" w:lineRule="auto"/>
              <w:ind w:firstLine="0" w:firstLineChars="0"/>
              <w:jc w:val="left"/>
              <w:rPr>
                <w:color w:val="auto"/>
                <w:highlight w:val="none"/>
              </w:rPr>
            </w:pPr>
            <w:r>
              <w:rPr>
                <w:rFonts w:hint="eastAsia"/>
                <w:color w:val="auto"/>
                <w:highlight w:val="none"/>
              </w:rPr>
              <w:t>（6）控温精度：＜1%。</w:t>
            </w:r>
          </w:p>
          <w:p>
            <w:pPr>
              <w:pStyle w:val="24"/>
              <w:spacing w:line="240" w:lineRule="auto"/>
              <w:ind w:firstLine="0" w:firstLineChars="0"/>
              <w:jc w:val="left"/>
              <w:rPr>
                <w:strike/>
                <w:color w:val="auto"/>
                <w:highlight w:val="none"/>
              </w:rPr>
            </w:pPr>
            <w:r>
              <w:rPr>
                <w:rFonts w:hint="eastAsia"/>
                <w:color w:val="auto"/>
                <w:highlight w:val="none"/>
              </w:rPr>
              <w:t>（7）切换方式：石墨炉/火焰原子化器自动切换。</w:t>
            </w:r>
          </w:p>
          <w:p>
            <w:pPr>
              <w:pStyle w:val="24"/>
              <w:spacing w:line="240" w:lineRule="auto"/>
              <w:ind w:firstLine="0" w:firstLineChars="0"/>
              <w:jc w:val="left"/>
              <w:rPr>
                <w:color w:val="auto"/>
                <w:highlight w:val="none"/>
              </w:rPr>
            </w:pPr>
            <w:r>
              <w:rPr>
                <w:rFonts w:hint="eastAsia"/>
                <w:color w:val="auto"/>
                <w:highlight w:val="none"/>
              </w:rPr>
              <w:t>6.石墨炉自动进样器</w:t>
            </w:r>
          </w:p>
          <w:p>
            <w:pPr>
              <w:pStyle w:val="24"/>
              <w:spacing w:line="240" w:lineRule="auto"/>
              <w:ind w:firstLine="0" w:firstLineChars="0"/>
              <w:jc w:val="left"/>
              <w:rPr>
                <w:color w:val="auto"/>
                <w:highlight w:val="none"/>
              </w:rPr>
            </w:pPr>
            <w:r>
              <w:rPr>
                <w:rFonts w:hint="eastAsia"/>
                <w:color w:val="auto"/>
                <w:highlight w:val="none"/>
              </w:rPr>
              <w:t>（1）具有单点配标功能。</w:t>
            </w:r>
          </w:p>
          <w:p>
            <w:pPr>
              <w:pStyle w:val="24"/>
              <w:spacing w:line="240" w:lineRule="auto"/>
              <w:ind w:firstLine="0" w:firstLineChars="0"/>
              <w:jc w:val="left"/>
              <w:rPr>
                <w:color w:val="auto"/>
                <w:highlight w:val="none"/>
              </w:rPr>
            </w:pPr>
            <w:r>
              <w:rPr>
                <w:rFonts w:hint="eastAsia"/>
                <w:color w:val="auto"/>
                <w:highlight w:val="none"/>
              </w:rPr>
              <w:t>（2）自动富集功能：用于支持整机自动富集功能，最大能富集20次。</w:t>
            </w:r>
          </w:p>
          <w:p>
            <w:pPr>
              <w:pStyle w:val="24"/>
              <w:spacing w:line="240" w:lineRule="auto"/>
              <w:ind w:firstLine="0" w:firstLineChars="0"/>
              <w:jc w:val="left"/>
              <w:rPr>
                <w:color w:val="auto"/>
                <w:highlight w:val="none"/>
              </w:rPr>
            </w:pPr>
            <w:r>
              <w:rPr>
                <w:rFonts w:hint="eastAsia"/>
                <w:color w:val="auto"/>
                <w:highlight w:val="none"/>
              </w:rPr>
              <w:t>（3）自动清洗功能：每次进样前对样品管进行自动清洗，去除样品残留。</w:t>
            </w:r>
          </w:p>
          <w:p>
            <w:pPr>
              <w:pStyle w:val="24"/>
              <w:spacing w:line="240" w:lineRule="auto"/>
              <w:ind w:firstLine="0" w:firstLineChars="0"/>
              <w:jc w:val="left"/>
              <w:rPr>
                <w:color w:val="auto"/>
                <w:highlight w:val="none"/>
              </w:rPr>
            </w:pPr>
            <w:r>
              <w:rPr>
                <w:rFonts w:hint="eastAsia"/>
                <w:color w:val="auto"/>
                <w:highlight w:val="none"/>
              </w:rPr>
              <w:t>（4）欠压保护功能：自动检测气体压力，气体小于0.2Mpa压力欠压报警。</w:t>
            </w:r>
          </w:p>
          <w:p>
            <w:pPr>
              <w:pStyle w:val="24"/>
              <w:spacing w:line="240" w:lineRule="auto"/>
              <w:ind w:firstLine="0" w:firstLineChars="0"/>
              <w:jc w:val="left"/>
              <w:rPr>
                <w:color w:val="auto"/>
                <w:highlight w:val="none"/>
              </w:rPr>
            </w:pPr>
            <w:r>
              <w:rPr>
                <w:rFonts w:hint="eastAsia"/>
                <w:color w:val="auto"/>
                <w:highlight w:val="none"/>
              </w:rPr>
              <w:t>（5）混合进样功能：用于支持整机混合进样。</w:t>
            </w:r>
          </w:p>
          <w:p>
            <w:pPr>
              <w:pStyle w:val="24"/>
              <w:spacing w:line="240" w:lineRule="auto"/>
              <w:ind w:firstLine="0" w:firstLineChars="0"/>
              <w:jc w:val="left"/>
              <w:rPr>
                <w:color w:val="auto"/>
                <w:highlight w:val="none"/>
              </w:rPr>
            </w:pPr>
            <w:r>
              <w:rPr>
                <w:rFonts w:hint="eastAsia"/>
                <w:color w:val="auto"/>
                <w:highlight w:val="none"/>
              </w:rPr>
              <w:t>（6）自动添加改进剂：每次最多可以添加3种改进剂。</w:t>
            </w:r>
          </w:p>
          <w:p>
            <w:pPr>
              <w:pStyle w:val="24"/>
              <w:spacing w:line="240" w:lineRule="auto"/>
              <w:ind w:firstLine="0" w:firstLineChars="0"/>
              <w:jc w:val="left"/>
              <w:rPr>
                <w:color w:val="auto"/>
                <w:highlight w:val="none"/>
              </w:rPr>
            </w:pPr>
            <w:r>
              <w:rPr>
                <w:rFonts w:hint="eastAsia"/>
                <w:color w:val="auto"/>
                <w:highlight w:val="none"/>
              </w:rPr>
              <w:t>（7）振荡功能：用于自动稀释时摇匀混合样品。</w:t>
            </w:r>
          </w:p>
          <w:p>
            <w:pPr>
              <w:pStyle w:val="24"/>
              <w:spacing w:line="240" w:lineRule="auto"/>
              <w:ind w:firstLine="0" w:firstLineChars="0"/>
              <w:jc w:val="left"/>
              <w:rPr>
                <w:color w:val="auto"/>
                <w:highlight w:val="none"/>
              </w:rPr>
            </w:pPr>
            <w:r>
              <w:rPr>
                <w:rFonts w:hint="eastAsia"/>
                <w:color w:val="auto"/>
                <w:highlight w:val="none"/>
              </w:rPr>
              <w:t>7.安全保护</w:t>
            </w:r>
          </w:p>
          <w:p>
            <w:pPr>
              <w:pStyle w:val="24"/>
              <w:spacing w:line="240" w:lineRule="auto"/>
              <w:ind w:firstLine="0" w:firstLineChars="0"/>
              <w:jc w:val="left"/>
              <w:rPr>
                <w:strike/>
                <w:color w:val="auto"/>
                <w:highlight w:val="none"/>
              </w:rPr>
            </w:pPr>
            <w:r>
              <w:rPr>
                <w:rFonts w:hint="eastAsia"/>
                <w:color w:val="auto"/>
                <w:highlight w:val="none"/>
              </w:rPr>
              <w:t>（1）空气-乙炔、空气-液化石油气、笑气-乙炔三种火焰燃烧头自动识别，保障操作者的使用安全。</w:t>
            </w:r>
          </w:p>
          <w:p>
            <w:pPr>
              <w:pStyle w:val="24"/>
              <w:spacing w:line="240" w:lineRule="auto"/>
              <w:ind w:firstLine="0" w:firstLineChars="0"/>
              <w:jc w:val="left"/>
              <w:rPr>
                <w:color w:val="auto"/>
                <w:highlight w:val="none"/>
              </w:rPr>
            </w:pPr>
            <w:r>
              <w:rPr>
                <w:rFonts w:hint="eastAsia"/>
                <w:color w:val="auto"/>
                <w:highlight w:val="none"/>
              </w:rPr>
              <w:t>（2）火焰监视器可随时监测火焰变化，意外熄火时，仪器会自动关闭乙炔流量并提示报警。</w:t>
            </w:r>
          </w:p>
          <w:p>
            <w:pPr>
              <w:pStyle w:val="24"/>
              <w:spacing w:line="240" w:lineRule="auto"/>
              <w:ind w:firstLine="0" w:firstLineChars="0"/>
              <w:jc w:val="left"/>
              <w:rPr>
                <w:color w:val="auto"/>
                <w:highlight w:val="none"/>
              </w:rPr>
            </w:pPr>
            <w:r>
              <w:rPr>
                <w:rFonts w:hint="eastAsia"/>
                <w:color w:val="auto"/>
                <w:highlight w:val="none"/>
              </w:rPr>
              <w:t>（3）具有燃气泄漏报警装置，当燃气发生泄漏时，仪器自动报警。</w:t>
            </w:r>
          </w:p>
          <w:p>
            <w:pPr>
              <w:pStyle w:val="24"/>
              <w:spacing w:line="240" w:lineRule="auto"/>
              <w:ind w:firstLine="0" w:firstLineChars="0"/>
              <w:jc w:val="left"/>
              <w:rPr>
                <w:color w:val="auto"/>
                <w:highlight w:val="none"/>
              </w:rPr>
            </w:pPr>
            <w:r>
              <w:rPr>
                <w:rFonts w:hint="eastAsia"/>
                <w:color w:val="auto"/>
                <w:highlight w:val="none"/>
              </w:rPr>
              <w:t>（4）具有断电保护功能。</w:t>
            </w:r>
          </w:p>
          <w:p>
            <w:pPr>
              <w:pStyle w:val="24"/>
              <w:spacing w:line="240" w:lineRule="auto"/>
              <w:ind w:firstLine="0" w:firstLineChars="0"/>
              <w:jc w:val="left"/>
              <w:rPr>
                <w:color w:val="auto"/>
                <w:highlight w:val="none"/>
              </w:rPr>
            </w:pPr>
            <w:r>
              <w:rPr>
                <w:rFonts w:hint="eastAsia"/>
                <w:color w:val="auto"/>
                <w:highlight w:val="none"/>
              </w:rPr>
              <w:t>（5）具有废液液位检测功能。</w:t>
            </w:r>
          </w:p>
          <w:p>
            <w:pPr>
              <w:pStyle w:val="24"/>
              <w:spacing w:line="240" w:lineRule="auto"/>
              <w:ind w:firstLine="0" w:firstLineChars="0"/>
              <w:jc w:val="left"/>
              <w:rPr>
                <w:color w:val="auto"/>
                <w:highlight w:val="none"/>
              </w:rPr>
            </w:pPr>
            <w:r>
              <w:rPr>
                <w:rFonts w:hint="eastAsia"/>
                <w:color w:val="auto"/>
                <w:highlight w:val="none"/>
              </w:rPr>
              <w:t>（6）具有压力保护功能。</w:t>
            </w:r>
          </w:p>
          <w:p>
            <w:pPr>
              <w:pStyle w:val="24"/>
              <w:spacing w:line="240" w:lineRule="auto"/>
              <w:ind w:firstLine="0" w:firstLineChars="0"/>
              <w:jc w:val="left"/>
              <w:rPr>
                <w:color w:val="auto"/>
                <w:highlight w:val="none"/>
              </w:rPr>
            </w:pPr>
            <w:r>
              <w:rPr>
                <w:rFonts w:hint="eastAsia"/>
                <w:color w:val="auto"/>
                <w:highlight w:val="none"/>
              </w:rPr>
              <w:t>（7）具有紧急开关，当发生意外情况时，只需按紧急开关，仪器自动切断全部气路。</w:t>
            </w:r>
          </w:p>
          <w:p>
            <w:pPr>
              <w:pStyle w:val="24"/>
              <w:spacing w:line="240" w:lineRule="auto"/>
              <w:ind w:firstLine="0" w:firstLineChars="0"/>
              <w:jc w:val="left"/>
              <w:rPr>
                <w:color w:val="auto"/>
                <w:highlight w:val="none"/>
              </w:rPr>
            </w:pPr>
            <w:r>
              <w:rPr>
                <w:rFonts w:hint="eastAsia"/>
                <w:color w:val="auto"/>
                <w:highlight w:val="none"/>
              </w:rPr>
              <w:t>8.数据处理</w:t>
            </w:r>
          </w:p>
          <w:p>
            <w:pPr>
              <w:pStyle w:val="24"/>
              <w:spacing w:line="240" w:lineRule="auto"/>
              <w:ind w:firstLine="0" w:firstLineChars="0"/>
              <w:jc w:val="left"/>
              <w:rPr>
                <w:color w:val="auto"/>
                <w:highlight w:val="none"/>
              </w:rPr>
            </w:pPr>
            <w:r>
              <w:rPr>
                <w:rFonts w:hint="eastAsia"/>
                <w:color w:val="auto"/>
                <w:highlight w:val="none"/>
              </w:rPr>
              <w:t>（1）测量方式：火焰吸收法、火焰发射法、石墨炉法、氢化物发生-原子吸收法。</w:t>
            </w:r>
          </w:p>
          <w:p>
            <w:pPr>
              <w:pStyle w:val="24"/>
              <w:spacing w:line="240" w:lineRule="auto"/>
              <w:ind w:firstLine="0" w:firstLineChars="0"/>
              <w:jc w:val="left"/>
              <w:rPr>
                <w:color w:val="auto"/>
                <w:highlight w:val="none"/>
              </w:rPr>
            </w:pPr>
            <w:r>
              <w:rPr>
                <w:rFonts w:hint="eastAsia"/>
                <w:color w:val="auto"/>
                <w:highlight w:val="none"/>
              </w:rPr>
              <w:t>（2）读出方式：连续、峰高、峰面积值。</w:t>
            </w:r>
          </w:p>
          <w:p>
            <w:pPr>
              <w:pStyle w:val="24"/>
              <w:spacing w:line="240" w:lineRule="auto"/>
              <w:ind w:firstLine="0" w:firstLineChars="0"/>
              <w:jc w:val="left"/>
              <w:rPr>
                <w:color w:val="auto"/>
                <w:highlight w:val="none"/>
              </w:rPr>
            </w:pPr>
            <w:r>
              <w:rPr>
                <w:rFonts w:hint="eastAsia"/>
                <w:color w:val="auto"/>
                <w:highlight w:val="none"/>
              </w:rPr>
              <w:t>（3）浓度计算方式：标准曲线法、标准添加法、内插法。</w:t>
            </w:r>
          </w:p>
          <w:p>
            <w:pPr>
              <w:pStyle w:val="24"/>
              <w:spacing w:line="240" w:lineRule="auto"/>
              <w:ind w:firstLine="0" w:firstLineChars="0"/>
              <w:jc w:val="left"/>
              <w:rPr>
                <w:color w:val="auto"/>
                <w:highlight w:val="none"/>
              </w:rPr>
            </w:pPr>
            <w:r>
              <w:rPr>
                <w:rFonts w:hint="eastAsia"/>
                <w:color w:val="auto"/>
                <w:highlight w:val="none"/>
              </w:rPr>
              <w:t>（4）结果打印：参数打印、数据结果打印、图形打印。</w:t>
            </w:r>
          </w:p>
          <w:p>
            <w:pPr>
              <w:pStyle w:val="24"/>
              <w:spacing w:line="240" w:lineRule="auto"/>
              <w:ind w:firstLine="0" w:firstLineChars="0"/>
              <w:jc w:val="left"/>
              <w:rPr>
                <w:color w:val="auto"/>
                <w:highlight w:val="none"/>
              </w:rPr>
            </w:pPr>
            <w:r>
              <w:rPr>
                <w:rFonts w:hint="eastAsia"/>
                <w:color w:val="auto"/>
                <w:highlight w:val="none"/>
              </w:rPr>
              <w:t>（5）通讯方式：USB和R232接口，支持远程数据传输功能，方便实验室管理。</w:t>
            </w:r>
          </w:p>
          <w:p>
            <w:pPr>
              <w:pStyle w:val="24"/>
              <w:spacing w:line="240" w:lineRule="auto"/>
              <w:ind w:firstLine="0" w:firstLineChars="0"/>
              <w:jc w:val="left"/>
              <w:rPr>
                <w:color w:val="auto"/>
                <w:highlight w:val="none"/>
              </w:rPr>
            </w:pPr>
            <w:r>
              <w:rPr>
                <w:rFonts w:hint="eastAsia"/>
                <w:color w:val="auto"/>
                <w:highlight w:val="none"/>
              </w:rPr>
              <w:t>（6）其它：具有空白校正功能、灵敏度校正功能、质量控制功能、可设定小数位数。</w:t>
            </w:r>
          </w:p>
          <w:p>
            <w:pPr>
              <w:pStyle w:val="24"/>
              <w:spacing w:line="240" w:lineRule="auto"/>
              <w:ind w:firstLine="0" w:firstLineChars="0"/>
              <w:jc w:val="left"/>
              <w:rPr>
                <w:color w:val="auto"/>
                <w:highlight w:val="none"/>
              </w:rPr>
            </w:pPr>
            <w:r>
              <w:rPr>
                <w:rFonts w:hint="eastAsia"/>
                <w:color w:val="auto"/>
                <w:highlight w:val="none"/>
              </w:rPr>
              <w:t>9.背景校正</w:t>
            </w:r>
          </w:p>
          <w:p>
            <w:pPr>
              <w:pStyle w:val="24"/>
              <w:spacing w:line="240" w:lineRule="auto"/>
              <w:ind w:firstLine="0" w:firstLineChars="0"/>
              <w:jc w:val="left"/>
              <w:rPr>
                <w:color w:val="auto"/>
                <w:highlight w:val="none"/>
              </w:rPr>
            </w:pPr>
            <w:r>
              <w:rPr>
                <w:rFonts w:hint="eastAsia"/>
                <w:color w:val="auto"/>
                <w:highlight w:val="none"/>
              </w:rPr>
              <w:t>（1）背景校正方式：氘灯与自吸校正背景。</w:t>
            </w:r>
          </w:p>
          <w:p>
            <w:pPr>
              <w:pStyle w:val="24"/>
              <w:spacing w:line="240" w:lineRule="auto"/>
              <w:ind w:firstLine="0" w:firstLineChars="0"/>
              <w:jc w:val="left"/>
              <w:rPr>
                <w:color w:val="auto"/>
                <w:highlight w:val="none"/>
              </w:rPr>
            </w:pPr>
            <w:r>
              <w:rPr>
                <w:rFonts w:hint="eastAsia"/>
                <w:color w:val="auto"/>
                <w:highlight w:val="none"/>
              </w:rPr>
              <w:t>（2）背景校正能力：氘灯＞55倍/1Abs、自吸＞60倍/1Abs。</w:t>
            </w:r>
          </w:p>
          <w:p>
            <w:pPr>
              <w:pStyle w:val="24"/>
              <w:spacing w:line="240" w:lineRule="auto"/>
              <w:ind w:firstLine="0" w:firstLineChars="0"/>
              <w:jc w:val="left"/>
              <w:rPr>
                <w:color w:val="auto"/>
                <w:highlight w:val="none"/>
              </w:rPr>
            </w:pPr>
            <w:r>
              <w:rPr>
                <w:rFonts w:hint="eastAsia"/>
                <w:color w:val="auto"/>
                <w:highlight w:val="none"/>
              </w:rPr>
              <w:t>10.具有全自动顺序测量功能，最多能支持8种元素的全自动顺序测量。</w:t>
            </w:r>
          </w:p>
          <w:p>
            <w:pPr>
              <w:pStyle w:val="24"/>
              <w:spacing w:line="240" w:lineRule="auto"/>
              <w:ind w:firstLine="0" w:firstLineChars="0"/>
              <w:jc w:val="left"/>
              <w:rPr>
                <w:color w:val="auto"/>
                <w:highlight w:val="none"/>
              </w:rPr>
            </w:pPr>
            <w:r>
              <w:rPr>
                <w:rFonts w:hint="eastAsia"/>
                <w:color w:val="auto"/>
                <w:highlight w:val="none"/>
              </w:rPr>
              <w:t>11.工作站硬件：电脑及激光打印机：i5以上处理器，19寸液晶显示器，500G硬盘，内存4G，DVD光驱，独立显卡，网卡。</w:t>
            </w:r>
          </w:p>
          <w:p>
            <w:pPr>
              <w:pStyle w:val="24"/>
              <w:spacing w:line="240" w:lineRule="auto"/>
              <w:ind w:firstLine="0" w:firstLineChars="0"/>
              <w:jc w:val="left"/>
              <w:rPr>
                <w:color w:val="auto"/>
                <w:highlight w:val="none"/>
              </w:rPr>
            </w:pPr>
            <w:r>
              <w:rPr>
                <w:rFonts w:hint="eastAsia"/>
                <w:color w:val="auto"/>
                <w:highlight w:val="none"/>
              </w:rPr>
              <w:t>12.配置</w:t>
            </w:r>
          </w:p>
          <w:p>
            <w:pPr>
              <w:pStyle w:val="24"/>
              <w:spacing w:line="240" w:lineRule="auto"/>
              <w:ind w:firstLine="0" w:firstLineChars="0"/>
              <w:jc w:val="left"/>
              <w:rPr>
                <w:color w:val="auto"/>
                <w:highlight w:val="none"/>
              </w:rPr>
            </w:pPr>
            <w:r>
              <w:rPr>
                <w:rFonts w:hint="eastAsia"/>
                <w:color w:val="auto"/>
                <w:highlight w:val="none"/>
              </w:rPr>
              <w:t>（1）原子吸收光谱仪（火焰+石墨炉）主机，含火焰装置系统、石墨炉系统、雾化器、专用工具及中文操作软件等：1套</w:t>
            </w:r>
          </w:p>
          <w:p>
            <w:pPr>
              <w:pStyle w:val="24"/>
              <w:spacing w:line="240" w:lineRule="auto"/>
              <w:ind w:firstLine="0" w:firstLineChars="0"/>
              <w:jc w:val="left"/>
              <w:rPr>
                <w:color w:val="auto"/>
                <w:highlight w:val="none"/>
              </w:rPr>
            </w:pPr>
            <w:r>
              <w:rPr>
                <w:rFonts w:hint="eastAsia"/>
                <w:color w:val="auto"/>
                <w:highlight w:val="none"/>
              </w:rPr>
              <w:t>（2）石墨炉自动进样器：1套</w:t>
            </w:r>
          </w:p>
          <w:p>
            <w:pPr>
              <w:pStyle w:val="24"/>
              <w:spacing w:line="240" w:lineRule="auto"/>
              <w:ind w:firstLine="0" w:firstLineChars="0"/>
              <w:jc w:val="left"/>
              <w:rPr>
                <w:color w:val="auto"/>
                <w:highlight w:val="none"/>
              </w:rPr>
            </w:pPr>
            <w:r>
              <w:rPr>
                <w:rFonts w:hint="eastAsia"/>
                <w:color w:val="auto"/>
                <w:highlight w:val="none"/>
              </w:rPr>
              <w:t>（3）空心阴极灯（铜、铅、锌、镉、铬、铁、锰、镍、钠、钙、镁）：各1盏</w:t>
            </w:r>
          </w:p>
          <w:p>
            <w:pPr>
              <w:pStyle w:val="24"/>
              <w:spacing w:line="240" w:lineRule="auto"/>
              <w:ind w:firstLine="0" w:firstLineChars="0"/>
              <w:jc w:val="left"/>
              <w:rPr>
                <w:color w:val="auto"/>
                <w:highlight w:val="none"/>
              </w:rPr>
            </w:pPr>
            <w:r>
              <w:rPr>
                <w:rFonts w:hint="eastAsia"/>
                <w:color w:val="auto"/>
                <w:highlight w:val="none"/>
              </w:rPr>
              <w:t>（4）石墨管：10根</w:t>
            </w:r>
          </w:p>
          <w:p>
            <w:pPr>
              <w:pStyle w:val="24"/>
              <w:spacing w:line="240" w:lineRule="auto"/>
              <w:ind w:firstLine="0" w:firstLineChars="0"/>
              <w:jc w:val="left"/>
              <w:rPr>
                <w:color w:val="auto"/>
                <w:highlight w:val="none"/>
              </w:rPr>
            </w:pPr>
            <w:r>
              <w:rPr>
                <w:rFonts w:hint="eastAsia"/>
                <w:color w:val="auto"/>
                <w:highlight w:val="none"/>
              </w:rPr>
              <w:t>（5）空气压缩机：1套</w:t>
            </w:r>
          </w:p>
          <w:p>
            <w:pPr>
              <w:pStyle w:val="24"/>
              <w:spacing w:line="240" w:lineRule="auto"/>
              <w:ind w:firstLine="0" w:firstLineChars="0"/>
              <w:jc w:val="left"/>
              <w:rPr>
                <w:color w:val="auto"/>
                <w:highlight w:val="none"/>
              </w:rPr>
            </w:pPr>
            <w:r>
              <w:rPr>
                <w:rFonts w:hint="eastAsia"/>
                <w:color w:val="auto"/>
                <w:highlight w:val="none"/>
              </w:rPr>
              <w:t>（6）自动控温循环冷却水：1套</w:t>
            </w:r>
          </w:p>
          <w:p>
            <w:pPr>
              <w:pStyle w:val="24"/>
              <w:spacing w:line="240" w:lineRule="auto"/>
              <w:ind w:firstLine="0" w:firstLineChars="0"/>
              <w:jc w:val="left"/>
              <w:rPr>
                <w:color w:val="auto"/>
                <w:highlight w:val="none"/>
              </w:rPr>
            </w:pPr>
            <w:r>
              <w:rPr>
                <w:rFonts w:hint="eastAsia"/>
                <w:color w:val="auto"/>
                <w:highlight w:val="none"/>
              </w:rPr>
              <w:t>（7）电脑及激光打印机：各1套</w:t>
            </w:r>
          </w:p>
          <w:p>
            <w:pPr>
              <w:pStyle w:val="24"/>
              <w:spacing w:line="240" w:lineRule="auto"/>
              <w:ind w:firstLine="0" w:firstLineChars="0"/>
              <w:jc w:val="left"/>
              <w:rPr>
                <w:color w:val="auto"/>
                <w:highlight w:val="none"/>
              </w:rPr>
            </w:pPr>
            <w:r>
              <w:rPr>
                <w:rFonts w:hint="eastAsia"/>
                <w:color w:val="auto"/>
                <w:highlight w:val="none"/>
              </w:rPr>
              <w:t>13.若投标人提供的货物不是投标人自己制造的，中标后应当提供货物制造商或其指定代理出具响应本次招标的投标货物的正式授权书。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10</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color w:val="auto"/>
                <w:szCs w:val="21"/>
                <w:highlight w:val="none"/>
              </w:rPr>
            </w:pPr>
            <w:r>
              <w:rPr>
                <w:rFonts w:ascii="Times New Roman" w:hAnsi="Times New Roman"/>
                <w:color w:val="auto"/>
                <w:szCs w:val="21"/>
                <w:highlight w:val="none"/>
              </w:rPr>
              <w:t>原子荧光分光光度计</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1.主要用途：适用于样品中砷、汞、硒、锡、铋、锑、铅、锗、镉、碲、锌、金等十二种元素的痕量分析测量。</w:t>
            </w:r>
          </w:p>
          <w:p>
            <w:pPr>
              <w:pStyle w:val="24"/>
              <w:spacing w:line="240" w:lineRule="auto"/>
              <w:ind w:firstLine="0" w:firstLineChars="0"/>
              <w:jc w:val="left"/>
              <w:rPr>
                <w:color w:val="auto"/>
                <w:highlight w:val="none"/>
              </w:rPr>
            </w:pPr>
            <w:r>
              <w:rPr>
                <w:rFonts w:hint="eastAsia"/>
                <w:color w:val="auto"/>
                <w:highlight w:val="none"/>
              </w:rPr>
              <w:t>2.工作条件：温度：15～30℃，相对湿度：75％。</w:t>
            </w:r>
          </w:p>
          <w:p>
            <w:pPr>
              <w:pStyle w:val="24"/>
              <w:spacing w:line="240" w:lineRule="auto"/>
              <w:ind w:firstLine="0" w:firstLineChars="0"/>
              <w:jc w:val="left"/>
              <w:rPr>
                <w:color w:val="auto"/>
                <w:highlight w:val="none"/>
              </w:rPr>
            </w:pPr>
            <w:r>
              <w:rPr>
                <w:rFonts w:hint="eastAsia"/>
                <w:color w:val="auto"/>
                <w:highlight w:val="none"/>
              </w:rPr>
              <w:t>3.技术指标</w:t>
            </w:r>
          </w:p>
          <w:p>
            <w:pPr>
              <w:pStyle w:val="24"/>
              <w:spacing w:line="240" w:lineRule="auto"/>
              <w:ind w:firstLine="0" w:firstLineChars="0"/>
              <w:jc w:val="left"/>
              <w:rPr>
                <w:color w:val="auto"/>
                <w:highlight w:val="none"/>
              </w:rPr>
            </w:pPr>
            <w:r>
              <w:rPr>
                <w:rFonts w:hint="eastAsia"/>
                <w:color w:val="auto"/>
                <w:highlight w:val="none"/>
              </w:rPr>
              <w:t>（1）工作电源：交流电压：(220±22) V，频率 (50±1) Hz</w:t>
            </w:r>
          </w:p>
          <w:p>
            <w:pPr>
              <w:pStyle w:val="24"/>
              <w:spacing w:line="240" w:lineRule="auto"/>
              <w:ind w:firstLine="0" w:firstLineChars="0"/>
              <w:jc w:val="left"/>
              <w:rPr>
                <w:color w:val="auto"/>
                <w:highlight w:val="none"/>
              </w:rPr>
            </w:pPr>
            <w:r>
              <w:rPr>
                <w:rFonts w:hint="eastAsia"/>
                <w:color w:val="auto"/>
                <w:highlight w:val="none"/>
              </w:rPr>
              <w:t xml:space="preserve">（2）最大功耗 ：≤400W                </w:t>
            </w:r>
          </w:p>
          <w:p>
            <w:pPr>
              <w:pStyle w:val="24"/>
              <w:spacing w:line="240" w:lineRule="auto"/>
              <w:ind w:firstLine="0" w:firstLineChars="0"/>
              <w:jc w:val="left"/>
              <w:rPr>
                <w:color w:val="auto"/>
                <w:highlight w:val="none"/>
              </w:rPr>
            </w:pPr>
            <w:r>
              <w:rPr>
                <w:rFonts w:hint="eastAsia"/>
                <w:color w:val="auto"/>
                <w:highlight w:val="none"/>
              </w:rPr>
              <w:t>（3）检出限（D.L.）砷、锑、硒、铋、碲、汞、锡和铅元素&lt;0.01µg/L；汞（冷原子）&lt;0.001µg/L；镉&lt;0.001µg/L；锗&lt;0.05µg/L；锌&lt;1.0µg/L；；金&lt;3.0µg/L。</w:t>
            </w:r>
          </w:p>
          <w:p>
            <w:pPr>
              <w:pStyle w:val="24"/>
              <w:spacing w:line="240" w:lineRule="auto"/>
              <w:ind w:firstLine="0" w:firstLineChars="0"/>
              <w:jc w:val="left"/>
              <w:rPr>
                <w:color w:val="auto"/>
                <w:highlight w:val="none"/>
              </w:rPr>
            </w:pPr>
            <w:r>
              <w:rPr>
                <w:rFonts w:hint="eastAsia"/>
                <w:color w:val="auto"/>
                <w:highlight w:val="none"/>
              </w:rPr>
              <w:t>（4）测量精密度（RSD）：≤0.6% RSD</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（5）线性范围大于三个数量级。</w:t>
            </w:r>
          </w:p>
          <w:p>
            <w:pPr>
              <w:pStyle w:val="24"/>
              <w:spacing w:line="240" w:lineRule="auto"/>
              <w:ind w:firstLine="0" w:firstLineChars="0"/>
              <w:jc w:val="left"/>
              <w:rPr>
                <w:color w:val="auto"/>
                <w:highlight w:val="none"/>
              </w:rPr>
            </w:pPr>
            <w:r>
              <w:rPr>
                <w:rFonts w:hint="eastAsia"/>
                <w:color w:val="auto"/>
                <w:highlight w:val="none"/>
              </w:rPr>
              <w:t>（6）漂移：≤1%；噪声：≤1%；道间干扰：≤±0.5%</w:t>
            </w:r>
          </w:p>
          <w:p>
            <w:pPr>
              <w:rPr>
                <w:rFonts w:hint="default"/>
                <w:color w:val="auto"/>
                <w:sz w:val="18"/>
                <w:szCs w:val="18"/>
                <w:highlight w:val="none"/>
              </w:rPr>
            </w:pPr>
            <w:r>
              <w:rPr>
                <w:color w:val="auto"/>
                <w:sz w:val="18"/>
                <w:szCs w:val="18"/>
                <w:highlight w:val="none"/>
              </w:rPr>
              <w:t>（7）通讯接口：支持LAN/USB/RS-232</w:t>
            </w:r>
          </w:p>
          <w:p>
            <w:pPr>
              <w:pStyle w:val="24"/>
              <w:spacing w:line="240" w:lineRule="auto"/>
              <w:ind w:firstLine="0" w:firstLineChars="0"/>
              <w:jc w:val="left"/>
              <w:rPr>
                <w:color w:val="auto"/>
                <w:highlight w:val="none"/>
              </w:rPr>
            </w:pPr>
            <w:r>
              <w:rPr>
                <w:rFonts w:hint="eastAsia"/>
                <w:color w:val="auto"/>
                <w:highlight w:val="none"/>
              </w:rPr>
              <w:t>（8）比例透反镜＋参比反射镜组成的全正交立体双光束光学系统</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保证对等设计的各通道均具有漂移校正功能，提高仪器的稳定性。最小化杂光影响；二灯位设计，可升级为三、四灯位，实现三/四元素同时测定，元素测定自动切换，提高仪器分析速度；通道对等设计，具有极佳的通道一致性，所有通道支持参比漂移扣除功能，提高仪器准确性和稳定性。</w:t>
            </w:r>
          </w:p>
          <w:p>
            <w:pPr>
              <w:pStyle w:val="24"/>
              <w:spacing w:line="240" w:lineRule="auto"/>
              <w:ind w:firstLine="0" w:firstLineChars="0"/>
              <w:jc w:val="left"/>
              <w:rPr>
                <w:color w:val="auto"/>
                <w:highlight w:val="none"/>
              </w:rPr>
            </w:pPr>
            <w:r>
              <w:rPr>
                <w:rFonts w:hint="eastAsia"/>
                <w:color w:val="auto"/>
                <w:highlight w:val="none"/>
              </w:rPr>
              <w:t>（9）光源：采用智能免调空心阴极灯，为方便更换元素灯，灯位必须前面板直插式设计，直插式设计，即插即用、无需繁琐的调灯操作，元素灯具有自动识别、自动匹配最佳使用条件、寿命计时，维护提醒等特点。</w:t>
            </w:r>
          </w:p>
          <w:p>
            <w:pPr>
              <w:pStyle w:val="24"/>
              <w:spacing w:line="240" w:lineRule="auto"/>
              <w:ind w:firstLine="0" w:firstLineChars="0"/>
              <w:jc w:val="left"/>
              <w:rPr>
                <w:color w:val="auto"/>
                <w:highlight w:val="none"/>
              </w:rPr>
            </w:pPr>
            <w:r>
              <w:rPr>
                <w:rFonts w:hint="eastAsia"/>
                <w:color w:val="auto"/>
                <w:highlight w:val="none"/>
              </w:rPr>
              <w:t>（10）全新设计的灯电源，自动激发启辉保障仪器正常工作，支持元素灯使用计时，灯电流实时监控，随时掌握灯运行状态。</w:t>
            </w:r>
          </w:p>
          <w:p>
            <w:pPr>
              <w:pStyle w:val="24"/>
              <w:spacing w:line="240" w:lineRule="auto"/>
              <w:ind w:firstLine="0" w:firstLineChars="0"/>
              <w:jc w:val="left"/>
              <w:rPr>
                <w:color w:val="auto"/>
                <w:highlight w:val="none"/>
              </w:rPr>
            </w:pPr>
            <w:r>
              <w:rPr>
                <w:rFonts w:hint="eastAsia"/>
                <w:color w:val="auto"/>
                <w:highlight w:val="none"/>
              </w:rPr>
              <w:t>（11）采用集束脉冲供电方式，与单脉冲供电方式相比，灵敏度、信噪比大幅度提高及改善；空心阴极灯使用寿命延长。</w:t>
            </w:r>
          </w:p>
          <w:p>
            <w:pPr>
              <w:pStyle w:val="24"/>
              <w:spacing w:line="240" w:lineRule="auto"/>
              <w:ind w:firstLine="0" w:firstLineChars="0"/>
              <w:jc w:val="left"/>
              <w:rPr>
                <w:color w:val="auto"/>
                <w:highlight w:val="none"/>
              </w:rPr>
            </w:pPr>
            <w:r>
              <w:rPr>
                <w:rFonts w:hint="eastAsia"/>
                <w:color w:val="auto"/>
                <w:highlight w:val="none"/>
              </w:rPr>
              <w:t>（12）原子化器：氩氢火焰，屏蔽式石英炉原子化器，和低温炉原子化器。密闭式低温炉石英原子化器，有效克服了记忆现象的发生，提高仪器的稳定性。</w:t>
            </w:r>
          </w:p>
          <w:p>
            <w:pPr>
              <w:pStyle w:val="24"/>
              <w:spacing w:line="240" w:lineRule="auto"/>
              <w:ind w:firstLine="0" w:firstLineChars="0"/>
              <w:jc w:val="left"/>
              <w:rPr>
                <w:strike/>
                <w:color w:val="auto"/>
                <w:highlight w:val="none"/>
              </w:rPr>
            </w:pPr>
            <w:r>
              <w:rPr>
                <w:rFonts w:hint="eastAsia"/>
                <w:color w:val="auto"/>
                <w:highlight w:val="none"/>
              </w:rPr>
              <w:t>（13）具备温控原子化器功能，根据所测元素，自动匹配原子化器温度，获得更好的检测灵敏度，免受环境温度波动影响，提高系统运行稳定性；同时原子化器高度自动调节，无需手动调节。</w:t>
            </w:r>
          </w:p>
          <w:p>
            <w:pPr>
              <w:pStyle w:val="24"/>
              <w:spacing w:line="240" w:lineRule="auto"/>
              <w:ind w:firstLine="0" w:firstLineChars="0"/>
              <w:jc w:val="left"/>
              <w:rPr>
                <w:color w:val="auto"/>
                <w:highlight w:val="none"/>
              </w:rPr>
            </w:pPr>
            <w:r>
              <w:rPr>
                <w:rFonts w:hint="eastAsia"/>
                <w:color w:val="auto"/>
                <w:highlight w:val="none"/>
              </w:rPr>
              <w:t>★（14）采用气动泵进样系统，氩气作为动力源，实现进液、计量、排液功能的自动化，无需人工维护。避免了蠕动泵进液带来的脉动、泵管形变造成的系统误差。提高了反应系统的稳定性</w:t>
            </w:r>
            <w:r>
              <w:rPr>
                <w:rFonts w:hint="eastAsia"/>
                <w:b/>
                <w:bCs/>
                <w:color w:val="auto"/>
                <w:highlight w:val="none"/>
              </w:rPr>
              <w:t>（提供相关仪器图片证明文件，需指明气动泵位置）</w:t>
            </w:r>
            <w:r>
              <w:rPr>
                <w:rFonts w:hint="eastAsia"/>
                <w:color w:val="auto"/>
                <w:highlight w:val="none"/>
              </w:rPr>
              <w:t>。全自动内置式顺序注射泵进样系统</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，自动单点配置标准曲线，自动稀释高浓度样品。在线消除硼氢化钾气泡：用于氢化物发生法的在线消除还原剂气泡装置（提供相关证明文件）。样品和还原剂溶液定体积反应，最小体积可达0.01ml。</w:t>
            </w:r>
          </w:p>
          <w:p>
            <w:pPr>
              <w:pStyle w:val="24"/>
              <w:spacing w:line="240" w:lineRule="auto"/>
              <w:ind w:firstLine="0" w:firstLineChars="0"/>
              <w:jc w:val="left"/>
              <w:rPr>
                <w:color w:val="auto"/>
                <w:highlight w:val="none"/>
              </w:rPr>
            </w:pPr>
            <w:r>
              <w:rPr>
                <w:rFonts w:hint="eastAsia"/>
                <w:color w:val="auto"/>
                <w:highlight w:val="none"/>
              </w:rPr>
              <w:t>（15）具备一级气液分离器化学气相发生气液分离装置</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：反应物充分混合接触，化学反应更加完全。在线自动去除硼氢化钾气泡，有效消除含有有机成分的复杂机体样品产生的大量气泡。</w:t>
            </w:r>
          </w:p>
          <w:p>
            <w:pPr>
              <w:pStyle w:val="24"/>
              <w:spacing w:line="240" w:lineRule="auto"/>
              <w:ind w:firstLine="0" w:firstLineChars="0"/>
              <w:jc w:val="left"/>
              <w:rPr>
                <w:color w:val="auto"/>
                <w:highlight w:val="none"/>
              </w:rPr>
            </w:pPr>
            <w:r>
              <w:rPr>
                <w:rFonts w:hint="eastAsia"/>
                <w:color w:val="auto"/>
                <w:highlight w:val="none"/>
              </w:rPr>
              <w:t>（16）具备二级气液分离器去除水蒸气的装置</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，有效消除水蒸气。采用水封型气液分离装置。</w:t>
            </w:r>
          </w:p>
          <w:p>
            <w:pPr>
              <w:pStyle w:val="24"/>
              <w:spacing w:line="240" w:lineRule="auto"/>
              <w:ind w:firstLine="0" w:firstLineChars="0"/>
              <w:jc w:val="left"/>
              <w:rPr>
                <w:color w:val="auto"/>
                <w:highlight w:val="none"/>
              </w:rPr>
            </w:pPr>
            <w:r>
              <w:rPr>
                <w:rFonts w:hint="eastAsia"/>
                <w:color w:val="auto"/>
                <w:highlight w:val="none"/>
              </w:rPr>
              <w:t>（17）排废方式：采用后排废，使样品和还原剂反应更加充分，信号提升30%，显著提高了仪器的灵敏度和稳定性。</w:t>
            </w:r>
          </w:p>
          <w:p>
            <w:pPr>
              <w:pStyle w:val="24"/>
              <w:spacing w:line="240" w:lineRule="auto"/>
              <w:ind w:firstLine="0" w:firstLineChars="0"/>
              <w:jc w:val="left"/>
              <w:rPr>
                <w:color w:val="auto"/>
                <w:highlight w:val="none"/>
              </w:rPr>
            </w:pPr>
            <w:r>
              <w:rPr>
                <w:rFonts w:hint="eastAsia"/>
                <w:color w:val="auto"/>
                <w:highlight w:val="none"/>
              </w:rPr>
              <w:t>（18）环保设计：氢化物发生原子荧光测量尾气中有害元素的捕集阱</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吸收汞、砷等等对人身体的有害物质，减少环境污染。</w:t>
            </w:r>
          </w:p>
          <w:p>
            <w:pPr>
              <w:pStyle w:val="24"/>
              <w:spacing w:line="240" w:lineRule="auto"/>
              <w:ind w:firstLine="0" w:firstLineChars="0"/>
              <w:jc w:val="left"/>
              <w:rPr>
                <w:color w:val="auto"/>
                <w:highlight w:val="none"/>
              </w:rPr>
            </w:pPr>
            <w:r>
              <w:rPr>
                <w:rFonts w:hint="eastAsia"/>
                <w:color w:val="auto"/>
                <w:highlight w:val="none"/>
              </w:rPr>
              <w:t>（19）检测器：光电倍增管，寿命大于8年以上。</w:t>
            </w:r>
          </w:p>
          <w:p>
            <w:pPr>
              <w:pStyle w:val="24"/>
              <w:spacing w:line="240" w:lineRule="auto"/>
              <w:ind w:firstLine="0" w:firstLineChars="0"/>
              <w:jc w:val="left"/>
              <w:rPr>
                <w:color w:val="auto"/>
                <w:highlight w:val="none"/>
              </w:rPr>
            </w:pPr>
            <w:r>
              <w:rPr>
                <w:rFonts w:hint="eastAsia"/>
                <w:color w:val="auto"/>
                <w:highlight w:val="none"/>
              </w:rPr>
              <w:t>（20）载气省气方式：采用新型节气型气路设计，可随时控制关闭气源，关机时自动切断气源，做样时气路自动开启。进样时载气流量正常，不进样时载气流量为维持仪器运转的最低流量。大大节省了载气用量。具有气路自动保护装置，自动控制气路并可自动诊断。</w:t>
            </w:r>
          </w:p>
          <w:p>
            <w:pPr>
              <w:pStyle w:val="24"/>
              <w:spacing w:line="240" w:lineRule="auto"/>
              <w:ind w:firstLine="0" w:firstLineChars="0"/>
              <w:jc w:val="left"/>
              <w:rPr>
                <w:color w:val="auto"/>
                <w:highlight w:val="none"/>
              </w:rPr>
            </w:pPr>
            <w:r>
              <w:rPr>
                <w:rFonts w:hint="eastAsia"/>
                <w:color w:val="auto"/>
                <w:highlight w:val="none"/>
              </w:rPr>
              <w:t>（21）气路系统采用EFC电子流量控制</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r>
              <w:rPr>
                <w:rFonts w:hint="eastAsia"/>
                <w:color w:val="auto"/>
                <w:highlight w:val="none"/>
              </w:rPr>
              <w:t>，流速采用PID调节，流速控制最小可达1ml，具备自动保护装置，无载气安全保护；关机可自动切断气路，同时具有实时压力、流速监测与报警功能，其气体流量控制精密、准确，可靠性更高，测量重复性更好。</w:t>
            </w:r>
          </w:p>
          <w:p>
            <w:pPr>
              <w:pStyle w:val="24"/>
              <w:spacing w:line="240" w:lineRule="auto"/>
              <w:ind w:firstLine="0" w:firstLineChars="0"/>
              <w:jc w:val="left"/>
              <w:rPr>
                <w:color w:val="auto"/>
                <w:highlight w:val="none"/>
              </w:rPr>
            </w:pPr>
            <w:r>
              <w:rPr>
                <w:rFonts w:hint="eastAsia"/>
                <w:color w:val="auto"/>
                <w:highlight w:val="none"/>
              </w:rPr>
              <w:t>（22）同时具备形态分析扩展功能。预留元素形态分析串口，可升级为形态分析仪，测量As、Hg、Se等元素的各种价态。</w:t>
            </w:r>
          </w:p>
          <w:p>
            <w:pPr>
              <w:pStyle w:val="24"/>
              <w:spacing w:line="240" w:lineRule="auto"/>
              <w:ind w:firstLine="0" w:firstLineChars="0"/>
              <w:jc w:val="left"/>
              <w:rPr>
                <w:color w:val="auto"/>
                <w:highlight w:val="none"/>
              </w:rPr>
            </w:pPr>
            <w:r>
              <w:rPr>
                <w:rFonts w:hint="eastAsia"/>
                <w:color w:val="auto"/>
                <w:highlight w:val="none"/>
              </w:rPr>
              <w:t>（23）采用防腐防尘设计。</w:t>
            </w:r>
          </w:p>
          <w:p>
            <w:pPr>
              <w:pStyle w:val="24"/>
              <w:spacing w:line="240" w:lineRule="auto"/>
              <w:ind w:firstLine="0" w:firstLineChars="0"/>
              <w:jc w:val="left"/>
              <w:rPr>
                <w:color w:val="auto"/>
                <w:highlight w:val="none"/>
              </w:rPr>
            </w:pPr>
            <w:r>
              <w:rPr>
                <w:rFonts w:hint="eastAsia"/>
                <w:color w:val="auto"/>
                <w:highlight w:val="none"/>
              </w:rPr>
              <w:t>（24）自动进样器：外置式全自动160位或以上极坐标进样器，防止酸腐蚀。全新设计的碳纤骨架PTFE取样针，避免石英针易碎问题，减少挂液，增加洗针功能，清洗针内/外壁，减少交叉污染。</w:t>
            </w:r>
          </w:p>
          <w:p>
            <w:pPr>
              <w:pStyle w:val="24"/>
              <w:spacing w:line="240" w:lineRule="auto"/>
              <w:ind w:firstLine="0" w:firstLineChars="0"/>
              <w:jc w:val="left"/>
              <w:rPr>
                <w:color w:val="auto"/>
                <w:highlight w:val="none"/>
              </w:rPr>
            </w:pPr>
            <w:r>
              <w:rPr>
                <w:rFonts w:hint="eastAsia"/>
                <w:color w:val="auto"/>
                <w:highlight w:val="none"/>
              </w:rPr>
              <w:t xml:space="preserve">（25）数据处理系统： </w:t>
            </w:r>
          </w:p>
          <w:p>
            <w:pPr>
              <w:pStyle w:val="24"/>
              <w:spacing w:line="240" w:lineRule="auto"/>
              <w:ind w:firstLine="0" w:firstLineChars="0"/>
              <w:jc w:val="left"/>
              <w:rPr>
                <w:color w:val="auto"/>
                <w:highlight w:val="none"/>
              </w:rPr>
            </w:pPr>
            <w:r>
              <w:rPr>
                <w:rFonts w:hint="eastAsia"/>
                <w:color w:val="auto"/>
                <w:highlight w:val="none"/>
              </w:rPr>
              <w:t xml:space="preserve">硬件：主流商务机，含液晶显示器、可读写光驱、激光打印机。 </w:t>
            </w:r>
          </w:p>
          <w:p>
            <w:pPr>
              <w:pStyle w:val="24"/>
              <w:spacing w:line="240" w:lineRule="auto"/>
              <w:ind w:firstLine="0" w:firstLineChars="0"/>
              <w:jc w:val="left"/>
              <w:rPr>
                <w:color w:val="auto"/>
                <w:highlight w:val="none"/>
              </w:rPr>
            </w:pPr>
            <w:r>
              <w:rPr>
                <w:rFonts w:hint="eastAsia"/>
                <w:color w:val="auto"/>
                <w:highlight w:val="none"/>
              </w:rPr>
              <w:t>软件：预装满足仪器使用要求的正版中文操作系统及文字处理办公软件等;</w:t>
            </w:r>
          </w:p>
          <w:p>
            <w:pPr>
              <w:pStyle w:val="24"/>
              <w:spacing w:line="240" w:lineRule="auto"/>
              <w:ind w:firstLine="0" w:firstLineChars="0"/>
              <w:jc w:val="left"/>
              <w:rPr>
                <w:color w:val="auto"/>
                <w:highlight w:val="none"/>
              </w:rPr>
            </w:pPr>
            <w:r>
              <w:rPr>
                <w:rFonts w:hint="eastAsia"/>
                <w:color w:val="auto"/>
                <w:highlight w:val="none"/>
              </w:rPr>
              <w:t>①可实现全面的自检功能，功能强大、安全可靠；</w:t>
            </w:r>
          </w:p>
          <w:p>
            <w:pPr>
              <w:pStyle w:val="24"/>
              <w:spacing w:line="240" w:lineRule="auto"/>
              <w:ind w:firstLine="0" w:firstLineChars="0"/>
              <w:jc w:val="left"/>
              <w:rPr>
                <w:color w:val="auto"/>
                <w:highlight w:val="none"/>
              </w:rPr>
            </w:pPr>
            <w:r>
              <w:rPr>
                <w:rFonts w:hint="eastAsia"/>
                <w:color w:val="auto"/>
                <w:highlight w:val="none"/>
              </w:rPr>
              <w:t>②具备集成的方法管理模块，图形化的设备状态监控，独立的数据分析模块，自动化程度高，优良的可操作性能，减少分析工作者的劳动强度，减少人为的测试误差；</w:t>
            </w:r>
          </w:p>
          <w:p>
            <w:pPr>
              <w:pStyle w:val="24"/>
              <w:spacing w:line="240" w:lineRule="auto"/>
              <w:ind w:firstLine="0" w:firstLineChars="0"/>
              <w:jc w:val="left"/>
              <w:rPr>
                <w:color w:val="auto"/>
                <w:highlight w:val="none"/>
              </w:rPr>
            </w:pPr>
            <w:r>
              <w:rPr>
                <w:rFonts w:hint="eastAsia"/>
                <w:color w:val="auto"/>
                <w:highlight w:val="none"/>
              </w:rPr>
              <w:t>③辅助信号曲线监测系统，软件的主画面简洁、方便，包括数据表格和谱图、曲线（有精确的刻度和网格，也可以不显示）及其参数，菜单功能丰富但不繁琐。</w:t>
            </w:r>
          </w:p>
          <w:p>
            <w:pPr>
              <w:pStyle w:val="24"/>
              <w:spacing w:line="240" w:lineRule="auto"/>
              <w:ind w:firstLine="0" w:firstLineChars="0"/>
              <w:jc w:val="left"/>
              <w:rPr>
                <w:color w:val="auto"/>
                <w:highlight w:val="none"/>
              </w:rPr>
            </w:pPr>
            <w:r>
              <w:rPr>
                <w:rFonts w:hint="eastAsia"/>
                <w:color w:val="auto"/>
                <w:highlight w:val="none"/>
              </w:rPr>
              <w:t>④高级自定义报告模板，测量结果可导出至Excel格式，支持复制、粘贴和图形存储，页眉页脚等多种报告形式的设置，以及支持多种打印格式；</w:t>
            </w:r>
          </w:p>
          <w:p>
            <w:pPr>
              <w:pStyle w:val="24"/>
              <w:spacing w:line="240" w:lineRule="auto"/>
              <w:ind w:firstLine="0" w:firstLineChars="0"/>
              <w:jc w:val="left"/>
              <w:rPr>
                <w:color w:val="auto"/>
                <w:highlight w:val="none"/>
              </w:rPr>
            </w:pPr>
            <w:r>
              <w:rPr>
                <w:rFonts w:hint="eastAsia"/>
                <w:color w:val="auto"/>
                <w:highlight w:val="none"/>
              </w:rPr>
              <w:t>⑤具备用户权限管理，审计追踪功能，管理员可对日志进行分类查阅和其他处理，自动记录用户的重要操作等功能；</w:t>
            </w:r>
          </w:p>
          <w:p>
            <w:pPr>
              <w:pStyle w:val="24"/>
              <w:spacing w:line="240" w:lineRule="auto"/>
              <w:ind w:firstLine="0" w:firstLineChars="0"/>
              <w:jc w:val="left"/>
              <w:rPr>
                <w:color w:val="auto"/>
                <w:highlight w:val="none"/>
              </w:rPr>
            </w:pPr>
            <w:r>
              <w:rPr>
                <w:rFonts w:hint="eastAsia"/>
                <w:color w:val="auto"/>
                <w:highlight w:val="none"/>
              </w:rPr>
              <w:t>⑥具备自动清洗、自动关机等功能。</w:t>
            </w:r>
          </w:p>
          <w:p>
            <w:pPr>
              <w:pStyle w:val="24"/>
              <w:spacing w:line="240" w:lineRule="auto"/>
              <w:ind w:firstLine="0" w:firstLineChars="0"/>
              <w:jc w:val="left"/>
              <w:rPr>
                <w:color w:val="auto"/>
                <w:highlight w:val="none"/>
              </w:rPr>
            </w:pPr>
            <w:r>
              <w:rPr>
                <w:rFonts w:hint="eastAsia"/>
                <w:color w:val="auto"/>
                <w:highlight w:val="none"/>
              </w:rPr>
              <w:t>4.基本配置：</w:t>
            </w:r>
          </w:p>
          <w:p>
            <w:pPr>
              <w:pStyle w:val="24"/>
              <w:spacing w:line="240" w:lineRule="auto"/>
              <w:ind w:firstLine="0" w:firstLineChars="0"/>
              <w:jc w:val="left"/>
              <w:rPr>
                <w:color w:val="auto"/>
                <w:highlight w:val="none"/>
              </w:rPr>
            </w:pPr>
            <w:r>
              <w:rPr>
                <w:rFonts w:hint="eastAsia"/>
                <w:color w:val="auto"/>
                <w:highlight w:val="none"/>
              </w:rPr>
              <w:t>（1）原子荧光光度计主机：1台</w:t>
            </w:r>
          </w:p>
          <w:p>
            <w:pPr>
              <w:pStyle w:val="24"/>
              <w:spacing w:line="240" w:lineRule="auto"/>
              <w:ind w:firstLine="0" w:firstLineChars="0"/>
              <w:jc w:val="left"/>
              <w:rPr>
                <w:color w:val="auto"/>
                <w:highlight w:val="none"/>
              </w:rPr>
            </w:pPr>
            <w:r>
              <w:rPr>
                <w:rFonts w:hint="eastAsia"/>
                <w:color w:val="auto"/>
                <w:highlight w:val="none"/>
              </w:rPr>
              <w:t>（2）160位自动进样器：1台</w:t>
            </w:r>
          </w:p>
          <w:p>
            <w:pPr>
              <w:pStyle w:val="24"/>
              <w:spacing w:line="240" w:lineRule="auto"/>
              <w:ind w:firstLine="0" w:firstLineChars="0"/>
              <w:jc w:val="left"/>
              <w:rPr>
                <w:color w:val="auto"/>
                <w:highlight w:val="none"/>
              </w:rPr>
            </w:pPr>
            <w:r>
              <w:rPr>
                <w:rFonts w:hint="eastAsia"/>
                <w:color w:val="auto"/>
                <w:highlight w:val="none"/>
              </w:rPr>
              <w:t>（3）注射泵、试剂瓶架：各1个</w:t>
            </w:r>
          </w:p>
          <w:p>
            <w:pPr>
              <w:pStyle w:val="24"/>
              <w:spacing w:line="240" w:lineRule="auto"/>
              <w:ind w:firstLine="0" w:firstLineChars="0"/>
              <w:jc w:val="left"/>
              <w:rPr>
                <w:color w:val="auto"/>
                <w:highlight w:val="none"/>
              </w:rPr>
            </w:pPr>
            <w:r>
              <w:rPr>
                <w:rFonts w:hint="eastAsia"/>
                <w:color w:val="auto"/>
                <w:highlight w:val="none"/>
              </w:rPr>
              <w:t>（4）免调节2灯位光路系统：1套</w:t>
            </w:r>
          </w:p>
          <w:p>
            <w:pPr>
              <w:pStyle w:val="24"/>
              <w:spacing w:line="240" w:lineRule="auto"/>
              <w:ind w:firstLine="0" w:firstLineChars="0"/>
              <w:jc w:val="left"/>
              <w:rPr>
                <w:color w:val="auto"/>
                <w:highlight w:val="none"/>
              </w:rPr>
            </w:pPr>
            <w:r>
              <w:rPr>
                <w:rFonts w:hint="eastAsia"/>
                <w:color w:val="auto"/>
                <w:highlight w:val="none"/>
              </w:rPr>
              <w:t>（5）二级气液分离系统：1套</w:t>
            </w:r>
          </w:p>
          <w:p>
            <w:pPr>
              <w:pStyle w:val="24"/>
              <w:spacing w:line="240" w:lineRule="auto"/>
              <w:ind w:firstLine="0" w:firstLineChars="0"/>
              <w:jc w:val="left"/>
              <w:rPr>
                <w:color w:val="auto"/>
                <w:highlight w:val="none"/>
              </w:rPr>
            </w:pPr>
            <w:r>
              <w:rPr>
                <w:rFonts w:hint="eastAsia"/>
                <w:color w:val="auto"/>
                <w:highlight w:val="none"/>
              </w:rPr>
              <w:t>（6）原子化器：1套</w:t>
            </w:r>
          </w:p>
          <w:p>
            <w:pPr>
              <w:pStyle w:val="24"/>
              <w:spacing w:line="240" w:lineRule="auto"/>
              <w:ind w:firstLine="0" w:firstLineChars="0"/>
              <w:jc w:val="left"/>
              <w:rPr>
                <w:color w:val="auto"/>
                <w:highlight w:val="none"/>
              </w:rPr>
            </w:pPr>
            <w:r>
              <w:rPr>
                <w:rFonts w:hint="eastAsia"/>
                <w:color w:val="auto"/>
                <w:highlight w:val="none"/>
              </w:rPr>
              <w:t>（7）质量流量气路模块：1套</w:t>
            </w:r>
          </w:p>
          <w:p>
            <w:pPr>
              <w:pStyle w:val="24"/>
              <w:spacing w:line="240" w:lineRule="auto"/>
              <w:ind w:firstLine="0" w:firstLineChars="0"/>
              <w:jc w:val="left"/>
              <w:rPr>
                <w:color w:val="auto"/>
                <w:highlight w:val="none"/>
              </w:rPr>
            </w:pPr>
            <w:r>
              <w:rPr>
                <w:rFonts w:hint="eastAsia"/>
                <w:color w:val="auto"/>
                <w:highlight w:val="none"/>
              </w:rPr>
              <w:t>（8）数据工作站软件：1套</w:t>
            </w:r>
          </w:p>
          <w:p>
            <w:pPr>
              <w:pStyle w:val="24"/>
              <w:spacing w:line="240" w:lineRule="auto"/>
              <w:ind w:firstLine="0" w:firstLineChars="0"/>
              <w:jc w:val="left"/>
              <w:rPr>
                <w:color w:val="auto"/>
                <w:highlight w:val="none"/>
              </w:rPr>
            </w:pPr>
            <w:r>
              <w:rPr>
                <w:rFonts w:hint="eastAsia"/>
                <w:color w:val="auto"/>
                <w:highlight w:val="none"/>
              </w:rPr>
              <w:t>（9）空心阴极灯-砷、汞、硒：各1个</w:t>
            </w:r>
          </w:p>
          <w:p>
            <w:pPr>
              <w:pStyle w:val="24"/>
              <w:spacing w:line="240" w:lineRule="auto"/>
              <w:ind w:firstLine="0" w:firstLineChars="0"/>
              <w:jc w:val="left"/>
              <w:rPr>
                <w:color w:val="auto"/>
                <w:highlight w:val="none"/>
              </w:rPr>
            </w:pPr>
            <w:r>
              <w:rPr>
                <w:rFonts w:hint="eastAsia"/>
                <w:color w:val="auto"/>
                <w:highlight w:val="none"/>
              </w:rPr>
              <w:t>（10）电脑、打印机：1套</w:t>
            </w:r>
          </w:p>
          <w:p>
            <w:pPr>
              <w:pStyle w:val="24"/>
              <w:spacing w:line="240" w:lineRule="auto"/>
              <w:ind w:firstLine="0" w:firstLineChars="0"/>
              <w:jc w:val="left"/>
              <w:rPr>
                <w:color w:val="auto"/>
                <w:highlight w:val="none"/>
              </w:rPr>
            </w:pPr>
            <w:r>
              <w:rPr>
                <w:rFonts w:hint="eastAsia"/>
                <w:color w:val="auto"/>
                <w:highlight w:val="none"/>
              </w:rPr>
              <w:t>（11）炉丝：5个</w:t>
            </w:r>
          </w:p>
          <w:p>
            <w:pPr>
              <w:pStyle w:val="24"/>
              <w:spacing w:line="240" w:lineRule="auto"/>
              <w:ind w:firstLine="0" w:firstLineChars="0"/>
              <w:jc w:val="left"/>
              <w:rPr>
                <w:color w:val="auto"/>
                <w:highlight w:val="none"/>
              </w:rPr>
            </w:pPr>
            <w:r>
              <w:rPr>
                <w:rFonts w:hint="eastAsia"/>
                <w:color w:val="auto"/>
                <w:highlight w:val="none"/>
              </w:rPr>
              <w:t>5.若投标人提供的货物不是投标人自己制造的，中标后应当提供货物制造商或其指定代理出具响应本次招标的投标货物的正式授权书。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11</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color w:val="auto"/>
                <w:szCs w:val="21"/>
                <w:highlight w:val="none"/>
              </w:rPr>
            </w:pPr>
            <w:r>
              <w:rPr>
                <w:rFonts w:ascii="Times New Roman" w:hAnsi="Times New Roman"/>
                <w:color w:val="auto"/>
                <w:szCs w:val="21"/>
                <w:highlight w:val="none"/>
              </w:rPr>
              <w:t>全自动高锰酸盐指数分析仪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1.设备要求：适用于饮用水、地表水、水源水等样品高锰酸盐指数项目的自动测定分析。</w:t>
            </w:r>
          </w:p>
          <w:p>
            <w:pPr>
              <w:pStyle w:val="24"/>
              <w:spacing w:line="240" w:lineRule="auto"/>
              <w:ind w:firstLine="0" w:firstLineChars="0"/>
              <w:jc w:val="left"/>
              <w:rPr>
                <w:color w:val="auto"/>
                <w:highlight w:val="none"/>
              </w:rPr>
            </w:pPr>
            <w:r>
              <w:rPr>
                <w:rFonts w:hint="eastAsia"/>
                <w:color w:val="auto"/>
                <w:highlight w:val="none"/>
              </w:rPr>
              <w:t>2.技术要求</w:t>
            </w:r>
          </w:p>
          <w:p>
            <w:pPr>
              <w:pStyle w:val="24"/>
              <w:spacing w:line="240" w:lineRule="auto"/>
              <w:ind w:firstLine="0" w:firstLineChars="0"/>
              <w:jc w:val="left"/>
              <w:rPr>
                <w:color w:val="auto"/>
                <w:highlight w:val="none"/>
              </w:rPr>
            </w:pPr>
            <w:r>
              <w:rPr>
                <w:rFonts w:hint="eastAsia"/>
                <w:color w:val="auto"/>
                <w:highlight w:val="none"/>
              </w:rPr>
              <w:t>（1）整机要求：</w:t>
            </w:r>
          </w:p>
          <w:p>
            <w:pPr>
              <w:pStyle w:val="24"/>
              <w:spacing w:line="240" w:lineRule="auto"/>
              <w:ind w:firstLine="0" w:firstLineChars="0"/>
              <w:jc w:val="left"/>
              <w:rPr>
                <w:color w:val="auto"/>
                <w:highlight w:val="none"/>
              </w:rPr>
            </w:pPr>
            <w:r>
              <w:rPr>
                <w:rFonts w:hint="eastAsia"/>
                <w:color w:val="auto"/>
                <w:highlight w:val="none"/>
              </w:rPr>
              <w:t>设备要求符合GB/T11892水质高锰酸盐指数的测定方法，不接受组合或拼凑的设备，人机对话，要求恒温滴定与沸水浴消解在并排一侧的结构模式，配套光纤液位控制沸水浴消解，2个独立的开放式滴定通道、独立通道试剂混匀、独立排废通道、移动的广角滴定传感器，实现各类样品无人值守自动测定分析。</w:t>
            </w:r>
          </w:p>
          <w:p>
            <w:pPr>
              <w:pStyle w:val="24"/>
              <w:spacing w:line="240" w:lineRule="auto"/>
              <w:ind w:firstLine="0" w:firstLineChars="0"/>
              <w:jc w:val="left"/>
              <w:rPr>
                <w:color w:val="auto"/>
                <w:highlight w:val="none"/>
              </w:rPr>
            </w:pPr>
            <w:r>
              <w:rPr>
                <w:rFonts w:hint="eastAsia"/>
                <w:color w:val="auto"/>
                <w:highlight w:val="none"/>
              </w:rPr>
              <w:t>（2）样品盘单元要求：</w:t>
            </w:r>
          </w:p>
          <w:p>
            <w:pPr>
              <w:pStyle w:val="24"/>
              <w:spacing w:line="240" w:lineRule="auto"/>
              <w:ind w:firstLine="0" w:firstLineChars="0"/>
              <w:jc w:val="left"/>
              <w:rPr>
                <w:color w:val="auto"/>
                <w:highlight w:val="none"/>
              </w:rPr>
            </w:pPr>
            <w:r>
              <w:rPr>
                <w:rFonts w:hint="eastAsia"/>
                <w:color w:val="auto"/>
                <w:highlight w:val="none"/>
              </w:rPr>
              <w:t>①不少于36位样品通道，可独立取放的样品通道盘，要求样品盘托架非固定模式，不接受分体占空间结构模式。</w:t>
            </w:r>
          </w:p>
          <w:p>
            <w:pPr>
              <w:pStyle w:val="24"/>
              <w:spacing w:line="240" w:lineRule="auto"/>
              <w:ind w:firstLine="0" w:firstLineChars="0"/>
              <w:jc w:val="left"/>
              <w:rPr>
                <w:color w:val="auto"/>
                <w:highlight w:val="none"/>
              </w:rPr>
            </w:pPr>
            <w:r>
              <w:rPr>
                <w:rFonts w:hint="eastAsia"/>
                <w:color w:val="auto"/>
                <w:highlight w:val="none"/>
              </w:rPr>
              <w:t>②要求自适应电驱动力机器人手臂，实现样品分析转移等国标分析步骤。不接受占空间噪音大的空压机气驱动抓取方式，避免管路漏气，样品转移过程中样品杯掉落影响，稳定的自适应抓力运行模式。</w:t>
            </w:r>
          </w:p>
          <w:p>
            <w:pPr>
              <w:pStyle w:val="24"/>
              <w:spacing w:line="240" w:lineRule="auto"/>
              <w:ind w:firstLine="0" w:firstLineChars="0"/>
              <w:jc w:val="left"/>
              <w:rPr>
                <w:color w:val="auto"/>
                <w:highlight w:val="none"/>
              </w:rPr>
            </w:pPr>
            <w:r>
              <w:rPr>
                <w:rFonts w:hint="eastAsia"/>
                <w:color w:val="auto"/>
                <w:highlight w:val="none"/>
              </w:rPr>
              <w:t>③要求具备独立的试剂混运通道，实现硫酸、高锰酸钾等试剂在此通道内添加后再放入水浴消解，保证试剂与样品充分混合。</w:t>
            </w:r>
          </w:p>
          <w:p>
            <w:pPr>
              <w:pStyle w:val="24"/>
              <w:spacing w:line="240" w:lineRule="auto"/>
              <w:ind w:firstLine="0" w:firstLineChars="0"/>
              <w:jc w:val="left"/>
              <w:rPr>
                <w:color w:val="auto"/>
                <w:highlight w:val="none"/>
              </w:rPr>
            </w:pPr>
            <w:r>
              <w:rPr>
                <w:rFonts w:hint="eastAsia"/>
                <w:color w:val="auto"/>
                <w:highlight w:val="none"/>
              </w:rPr>
              <w:t>（3）消解系统要求：</w:t>
            </w:r>
          </w:p>
          <w:p>
            <w:pPr>
              <w:pStyle w:val="24"/>
              <w:spacing w:line="240" w:lineRule="auto"/>
              <w:ind w:firstLine="0" w:firstLineChars="0"/>
              <w:jc w:val="left"/>
              <w:rPr>
                <w:strike/>
                <w:color w:val="auto"/>
                <w:highlight w:val="none"/>
              </w:rPr>
            </w:pPr>
            <w:r>
              <w:rPr>
                <w:rFonts w:hint="eastAsia"/>
                <w:color w:val="auto"/>
                <w:highlight w:val="none"/>
              </w:rPr>
              <w:t>①样品消解不少于9个有效运行的沸水浴通道，满足9个样品同时消解，样品循环消解处理。</w:t>
            </w:r>
          </w:p>
          <w:p>
            <w:pPr>
              <w:pStyle w:val="24"/>
              <w:spacing w:line="240" w:lineRule="auto"/>
              <w:ind w:firstLine="0" w:firstLineChars="0"/>
              <w:jc w:val="left"/>
              <w:rPr>
                <w:color w:val="auto"/>
                <w:highlight w:val="none"/>
              </w:rPr>
            </w:pPr>
            <w:r>
              <w:rPr>
                <w:rFonts w:hint="eastAsia"/>
                <w:color w:val="auto"/>
                <w:highlight w:val="none"/>
              </w:rPr>
              <w:t>②要求国标沸水浴消解方式，开机可选择单独开启预热，样品循环计时消解，水浴消解能够自动计时，水源低位预警保护，并自动补水，消解结束自动停止水浴加热。</w:t>
            </w:r>
          </w:p>
          <w:p>
            <w:pPr>
              <w:pStyle w:val="24"/>
              <w:spacing w:line="240" w:lineRule="auto"/>
              <w:ind w:firstLine="0" w:firstLineChars="0"/>
              <w:jc w:val="left"/>
              <w:rPr>
                <w:b/>
                <w:bCs/>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③要求沸水浴液位采用光纤传感器可调高度控制，非接触沸水浴检测液位损耗，减少机械浮子传感器长期高温水浴影响寿命。</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（4）滴定系统要求：</w:t>
            </w:r>
          </w:p>
          <w:p>
            <w:pPr>
              <w:pStyle w:val="24"/>
              <w:spacing w:line="240" w:lineRule="auto"/>
              <w:ind w:firstLine="0" w:firstLineChars="0"/>
              <w:jc w:val="left"/>
              <w:rPr>
                <w:color w:val="auto"/>
                <w:highlight w:val="none"/>
              </w:rPr>
            </w:pPr>
            <w:r>
              <w:rPr>
                <w:rFonts w:hint="eastAsia"/>
                <w:color w:val="auto"/>
                <w:highlight w:val="none"/>
              </w:rPr>
              <w:t>①不少于2个独立的半封闭滴定通道，满足2个以上样品同时广角判断滴定分析，样品消解结束后恒温滴定，减少分析过程温度变化影响实验结果，确保实验数据准确稳定。</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②要求颜色移动判断滴定终点，减少固定颜色传感器侦测对样品终点的误判，全色域多角度移动识别样品滴定终点，多角度观察颜色变化，不接触样品方式，免维护自动校准。</w:t>
            </w:r>
            <w:r>
              <w:rPr>
                <w:b/>
                <w:bCs/>
                <w:color w:val="auto"/>
                <w:highlight w:val="none"/>
              </w:rPr>
              <w:t>（投标文件中提供制造商产品彩页</w:t>
            </w:r>
            <w:r>
              <w:rPr>
                <w:rFonts w:hint="eastAsia"/>
                <w:b/>
                <w:bCs/>
                <w:color w:val="auto"/>
                <w:highlight w:val="none"/>
              </w:rPr>
              <w:t>或</w:t>
            </w:r>
            <w:r>
              <w:rPr>
                <w:b/>
                <w:bCs/>
                <w:color w:val="auto"/>
                <w:highlight w:val="none"/>
              </w:rPr>
              <w:t>技术说明书等技术证明文件）</w:t>
            </w:r>
          </w:p>
          <w:p>
            <w:pPr>
              <w:pStyle w:val="24"/>
              <w:spacing w:line="240" w:lineRule="auto"/>
              <w:ind w:firstLine="0" w:firstLineChars="0"/>
              <w:jc w:val="left"/>
              <w:rPr>
                <w:color w:val="auto"/>
                <w:highlight w:val="none"/>
              </w:rPr>
            </w:pPr>
            <w:r>
              <w:rPr>
                <w:rFonts w:hint="eastAsia"/>
                <w:color w:val="auto"/>
                <w:highlight w:val="none"/>
              </w:rPr>
              <w:t>③要求具有两组独立运行的试剂手臂，实现试剂添加和样品滴定独立运行。</w:t>
            </w:r>
          </w:p>
          <w:p>
            <w:pPr>
              <w:pStyle w:val="24"/>
              <w:spacing w:line="240" w:lineRule="auto"/>
              <w:ind w:firstLine="0" w:firstLineChars="0"/>
              <w:jc w:val="left"/>
              <w:rPr>
                <w:color w:val="auto"/>
                <w:highlight w:val="none"/>
              </w:rPr>
            </w:pPr>
            <w:r>
              <w:rPr>
                <w:rFonts w:hint="eastAsia"/>
                <w:color w:val="auto"/>
                <w:highlight w:val="none"/>
              </w:rPr>
              <w:t xml:space="preserve">（5）数据工作站系统要求： </w:t>
            </w:r>
          </w:p>
          <w:p>
            <w:pPr>
              <w:pStyle w:val="24"/>
              <w:spacing w:line="240" w:lineRule="auto"/>
              <w:ind w:firstLine="0" w:firstLineChars="0"/>
              <w:jc w:val="left"/>
              <w:rPr>
                <w:color w:val="auto"/>
                <w:highlight w:val="none"/>
              </w:rPr>
            </w:pPr>
            <w:r>
              <w:rPr>
                <w:rFonts w:hint="eastAsia"/>
                <w:color w:val="auto"/>
                <w:highlight w:val="none"/>
              </w:rPr>
              <w:t>①具有试剂液量消耗监控，低于预警值能够实现人性化提醒，确保实验有效进行。</w:t>
            </w:r>
          </w:p>
          <w:p>
            <w:pPr>
              <w:pStyle w:val="24"/>
              <w:spacing w:line="240" w:lineRule="auto"/>
              <w:ind w:firstLine="0" w:firstLineChars="0"/>
              <w:jc w:val="left"/>
              <w:rPr>
                <w:color w:val="auto"/>
                <w:highlight w:val="none"/>
              </w:rPr>
            </w:pPr>
            <w:r>
              <w:rPr>
                <w:rFonts w:hint="eastAsia"/>
                <w:color w:val="auto"/>
                <w:highlight w:val="none"/>
              </w:rPr>
              <w:t>②要求数据工作站具有与样品位匹配一致的示意图呈现，运行中可以随意撤销、添加和替换样品，无需停机或暂停，更加人性化运行。</w:t>
            </w:r>
          </w:p>
          <w:p>
            <w:pPr>
              <w:pStyle w:val="24"/>
              <w:spacing w:line="240" w:lineRule="auto"/>
              <w:ind w:firstLine="0" w:firstLineChars="0"/>
              <w:jc w:val="left"/>
              <w:rPr>
                <w:color w:val="auto"/>
                <w:highlight w:val="none"/>
              </w:rPr>
            </w:pPr>
            <w:r>
              <w:rPr>
                <w:rFonts w:hint="eastAsia"/>
                <w:color w:val="auto"/>
                <w:highlight w:val="none"/>
              </w:rPr>
              <w:t>③数据工作站软件非单一有线传输模式，有线与wifi双模式传输，数据报表汇总统计，灵活满足应用需求。</w:t>
            </w:r>
          </w:p>
          <w:p>
            <w:pPr>
              <w:pStyle w:val="24"/>
              <w:spacing w:line="240" w:lineRule="auto"/>
              <w:ind w:firstLine="0" w:firstLineChars="0"/>
              <w:jc w:val="left"/>
              <w:rPr>
                <w:color w:val="auto"/>
                <w:highlight w:val="none"/>
              </w:rPr>
            </w:pPr>
            <w:r>
              <w:rPr>
                <w:rFonts w:hint="eastAsia"/>
                <w:color w:val="auto"/>
                <w:highlight w:val="none"/>
              </w:rPr>
              <w:t>3.指标要求：</w:t>
            </w:r>
          </w:p>
          <w:p>
            <w:pPr>
              <w:pStyle w:val="24"/>
              <w:spacing w:line="240" w:lineRule="auto"/>
              <w:ind w:firstLine="0" w:firstLineChars="0"/>
              <w:jc w:val="left"/>
              <w:rPr>
                <w:color w:val="auto"/>
                <w:highlight w:val="none"/>
              </w:rPr>
            </w:pPr>
            <w:r>
              <w:rPr>
                <w:rFonts w:hint="eastAsia"/>
                <w:color w:val="auto"/>
                <w:highlight w:val="none"/>
              </w:rPr>
              <w:t>（1）样品盘：不少于36位样品通道,2个独立取放的样品盘</w:t>
            </w:r>
          </w:p>
          <w:p>
            <w:pPr>
              <w:pStyle w:val="24"/>
              <w:spacing w:line="240" w:lineRule="auto"/>
              <w:ind w:firstLine="0" w:firstLineChars="0"/>
              <w:jc w:val="left"/>
              <w:rPr>
                <w:color w:val="auto"/>
                <w:highlight w:val="none"/>
              </w:rPr>
            </w:pPr>
            <w:r>
              <w:rPr>
                <w:rFonts w:hint="eastAsia"/>
                <w:color w:val="auto"/>
                <w:highlight w:val="none"/>
              </w:rPr>
              <w:t>（2）消解通道：不少于9个有效通道沸水浴模式，不接触沸水浴的光感液位控制</w:t>
            </w:r>
          </w:p>
          <w:p>
            <w:pPr>
              <w:pStyle w:val="24"/>
              <w:spacing w:line="240" w:lineRule="auto"/>
              <w:ind w:firstLine="0" w:firstLineChars="0"/>
              <w:jc w:val="left"/>
              <w:rPr>
                <w:b/>
                <w:bCs/>
                <w:color w:val="auto"/>
                <w:highlight w:val="none"/>
              </w:rPr>
            </w:pPr>
            <w:r>
              <w:rPr>
                <w:rFonts w:hint="eastAsia"/>
                <w:color w:val="auto"/>
                <w:highlight w:val="none"/>
              </w:rPr>
              <w:t>（3）滴定通道：不少于2个半封闭通道，移动的广角全色域传感器判断滴定终点。</w:t>
            </w:r>
          </w:p>
          <w:p>
            <w:pPr>
              <w:pStyle w:val="24"/>
              <w:spacing w:line="240" w:lineRule="auto"/>
              <w:ind w:firstLine="0" w:firstLineChars="0"/>
              <w:jc w:val="left"/>
              <w:rPr>
                <w:color w:val="auto"/>
                <w:highlight w:val="none"/>
              </w:rPr>
            </w:pPr>
            <w:r>
              <w:rPr>
                <w:rFonts w:hint="eastAsia"/>
                <w:color w:val="auto"/>
                <w:highlight w:val="none"/>
              </w:rPr>
              <w:t>（4）排废/混匀通道：各1个独立通道</w:t>
            </w:r>
          </w:p>
          <w:p>
            <w:pPr>
              <w:pStyle w:val="24"/>
              <w:spacing w:line="240" w:lineRule="auto"/>
              <w:ind w:firstLine="0" w:firstLineChars="0"/>
              <w:jc w:val="left"/>
              <w:rPr>
                <w:strike/>
                <w:color w:val="auto"/>
                <w:highlight w:val="none"/>
              </w:rPr>
            </w:pPr>
            <w:r>
              <w:rPr>
                <w:rFonts w:hint="eastAsia"/>
                <w:color w:val="auto"/>
                <w:highlight w:val="none"/>
              </w:rPr>
              <w:t>（5）试剂通道：6套独立管路泵阀，确保试剂溶液不交叉污染。</w:t>
            </w:r>
          </w:p>
          <w:p>
            <w:pPr>
              <w:pStyle w:val="24"/>
              <w:spacing w:line="240" w:lineRule="auto"/>
              <w:ind w:firstLine="0" w:firstLineChars="0"/>
              <w:jc w:val="left"/>
              <w:rPr>
                <w:color w:val="auto"/>
                <w:highlight w:val="none"/>
              </w:rPr>
            </w:pPr>
            <w:r>
              <w:rPr>
                <w:rFonts w:hint="eastAsia"/>
                <w:color w:val="auto"/>
                <w:highlight w:val="none"/>
              </w:rPr>
              <w:t>（6）转移方式：自适应力度的电驱动抓取模式，无需空压机辅助配套。</w:t>
            </w:r>
          </w:p>
          <w:p>
            <w:pPr>
              <w:pStyle w:val="24"/>
              <w:spacing w:line="240" w:lineRule="auto"/>
              <w:ind w:firstLine="0" w:firstLineChars="0"/>
              <w:jc w:val="left"/>
              <w:rPr>
                <w:strike/>
                <w:color w:val="auto"/>
                <w:highlight w:val="none"/>
              </w:rPr>
            </w:pPr>
            <w:r>
              <w:rPr>
                <w:rFonts w:hint="eastAsia"/>
                <w:color w:val="auto"/>
                <w:highlight w:val="none"/>
              </w:rPr>
              <w:t>（7）样品分析时间：不得超出4min/个样品的循环分析速率。</w:t>
            </w:r>
          </w:p>
          <w:p>
            <w:pPr>
              <w:pStyle w:val="24"/>
              <w:spacing w:line="240" w:lineRule="auto"/>
              <w:ind w:firstLine="0" w:firstLineChars="0"/>
              <w:jc w:val="left"/>
              <w:rPr>
                <w:color w:val="auto"/>
                <w:highlight w:val="none"/>
              </w:rPr>
            </w:pPr>
            <w:r>
              <w:rPr>
                <w:rFonts w:hint="eastAsia"/>
                <w:color w:val="auto"/>
                <w:highlight w:val="none"/>
              </w:rPr>
              <w:t>（8）滴定液体积：0.02mL</w:t>
            </w:r>
          </w:p>
          <w:p>
            <w:pPr>
              <w:pStyle w:val="24"/>
              <w:spacing w:line="240" w:lineRule="auto"/>
              <w:ind w:firstLine="0" w:firstLineChars="0"/>
              <w:jc w:val="left"/>
              <w:rPr>
                <w:color w:val="auto"/>
                <w:highlight w:val="none"/>
              </w:rPr>
            </w:pPr>
            <w:r>
              <w:rPr>
                <w:rFonts w:hint="eastAsia"/>
                <w:color w:val="auto"/>
                <w:highlight w:val="none"/>
              </w:rPr>
              <w:t>（9）测量范围：（0.05-6.5）mg/L（样品不稀释测定范围）</w:t>
            </w:r>
          </w:p>
          <w:p>
            <w:pPr>
              <w:pStyle w:val="24"/>
              <w:spacing w:line="240" w:lineRule="auto"/>
              <w:ind w:firstLine="0" w:firstLineChars="0"/>
              <w:jc w:val="left"/>
              <w:rPr>
                <w:color w:val="auto"/>
                <w:highlight w:val="none"/>
              </w:rPr>
            </w:pPr>
            <w:r>
              <w:rPr>
                <w:rFonts w:hint="eastAsia"/>
                <w:color w:val="auto"/>
                <w:highlight w:val="none"/>
              </w:rPr>
              <w:t xml:space="preserve">（10）RSD&lt;2.0% </w:t>
            </w:r>
          </w:p>
          <w:p>
            <w:pPr>
              <w:pStyle w:val="24"/>
              <w:spacing w:line="240" w:lineRule="auto"/>
              <w:ind w:firstLine="0" w:firstLineChars="0"/>
              <w:jc w:val="left"/>
              <w:rPr>
                <w:color w:val="auto"/>
                <w:highlight w:val="none"/>
              </w:rPr>
            </w:pPr>
            <w:r>
              <w:rPr>
                <w:rFonts w:hint="eastAsia"/>
                <w:color w:val="auto"/>
                <w:highlight w:val="none"/>
              </w:rPr>
              <w:t>4.配置要求：</w:t>
            </w:r>
          </w:p>
          <w:p>
            <w:pPr>
              <w:pStyle w:val="24"/>
              <w:spacing w:line="240" w:lineRule="auto"/>
              <w:ind w:firstLine="0" w:firstLineChars="0"/>
              <w:jc w:val="left"/>
              <w:rPr>
                <w:color w:val="auto"/>
                <w:highlight w:val="none"/>
              </w:rPr>
            </w:pPr>
            <w:r>
              <w:rPr>
                <w:rFonts w:hint="eastAsia"/>
                <w:color w:val="auto"/>
                <w:highlight w:val="none"/>
              </w:rPr>
              <w:t>（1）主机：1套</w:t>
            </w:r>
          </w:p>
          <w:p>
            <w:pPr>
              <w:pStyle w:val="24"/>
              <w:spacing w:line="240" w:lineRule="auto"/>
              <w:ind w:firstLine="0" w:firstLineChars="0"/>
              <w:jc w:val="left"/>
              <w:rPr>
                <w:color w:val="auto"/>
                <w:highlight w:val="none"/>
              </w:rPr>
            </w:pPr>
            <w:r>
              <w:rPr>
                <w:rFonts w:hint="eastAsia"/>
                <w:color w:val="auto"/>
                <w:highlight w:val="none"/>
              </w:rPr>
              <w:t>（2）光纤液位控制沸水浴：1套</w:t>
            </w:r>
          </w:p>
          <w:p>
            <w:pPr>
              <w:pStyle w:val="24"/>
              <w:spacing w:line="240" w:lineRule="auto"/>
              <w:ind w:firstLine="0" w:firstLineChars="0"/>
              <w:jc w:val="left"/>
              <w:rPr>
                <w:color w:val="auto"/>
                <w:highlight w:val="none"/>
              </w:rPr>
            </w:pPr>
            <w:r>
              <w:rPr>
                <w:rFonts w:hint="eastAsia"/>
                <w:color w:val="auto"/>
                <w:highlight w:val="none"/>
              </w:rPr>
              <w:t>（3）2通道开放式滴定池：1套</w:t>
            </w:r>
          </w:p>
          <w:p>
            <w:pPr>
              <w:pStyle w:val="24"/>
              <w:spacing w:line="240" w:lineRule="auto"/>
              <w:ind w:firstLine="0" w:firstLineChars="0"/>
              <w:jc w:val="left"/>
              <w:rPr>
                <w:color w:val="auto"/>
                <w:highlight w:val="none"/>
              </w:rPr>
            </w:pPr>
            <w:r>
              <w:rPr>
                <w:rFonts w:hint="eastAsia"/>
                <w:color w:val="auto"/>
                <w:highlight w:val="none"/>
              </w:rPr>
              <w:t>（4）试剂废液槽：1套</w:t>
            </w:r>
          </w:p>
          <w:p>
            <w:pPr>
              <w:pStyle w:val="24"/>
              <w:spacing w:line="240" w:lineRule="auto"/>
              <w:ind w:firstLine="0" w:firstLineChars="0"/>
              <w:jc w:val="left"/>
              <w:rPr>
                <w:color w:val="auto"/>
                <w:highlight w:val="none"/>
              </w:rPr>
            </w:pPr>
            <w:r>
              <w:rPr>
                <w:rFonts w:hint="eastAsia"/>
                <w:color w:val="auto"/>
                <w:highlight w:val="none"/>
              </w:rPr>
              <w:t>（5）试剂混匀：1套</w:t>
            </w:r>
          </w:p>
          <w:p>
            <w:pPr>
              <w:pStyle w:val="24"/>
              <w:spacing w:line="240" w:lineRule="auto"/>
              <w:ind w:firstLine="0" w:firstLineChars="0"/>
              <w:jc w:val="left"/>
              <w:rPr>
                <w:color w:val="auto"/>
                <w:highlight w:val="none"/>
              </w:rPr>
            </w:pPr>
            <w:r>
              <w:rPr>
                <w:rFonts w:hint="eastAsia"/>
                <w:color w:val="auto"/>
                <w:highlight w:val="none"/>
              </w:rPr>
              <w:t>（6）移动广角颜色滴定传感器：1套</w:t>
            </w:r>
          </w:p>
          <w:p>
            <w:pPr>
              <w:pStyle w:val="24"/>
              <w:spacing w:line="240" w:lineRule="auto"/>
              <w:ind w:firstLine="0" w:firstLineChars="0"/>
              <w:jc w:val="left"/>
              <w:rPr>
                <w:color w:val="auto"/>
                <w:highlight w:val="none"/>
              </w:rPr>
            </w:pPr>
            <w:r>
              <w:rPr>
                <w:rFonts w:hint="eastAsia"/>
                <w:color w:val="auto"/>
                <w:highlight w:val="none"/>
              </w:rPr>
              <w:t>（7）独立试剂管路：6套</w:t>
            </w:r>
          </w:p>
          <w:p>
            <w:pPr>
              <w:pStyle w:val="24"/>
              <w:spacing w:line="240" w:lineRule="auto"/>
              <w:ind w:firstLine="0" w:firstLineChars="0"/>
              <w:jc w:val="left"/>
              <w:rPr>
                <w:color w:val="auto"/>
                <w:highlight w:val="none"/>
              </w:rPr>
            </w:pPr>
            <w:r>
              <w:rPr>
                <w:rFonts w:hint="eastAsia"/>
                <w:color w:val="auto"/>
                <w:highlight w:val="none"/>
              </w:rPr>
              <w:t>（8）试剂手臂：2套</w:t>
            </w:r>
          </w:p>
          <w:p>
            <w:pPr>
              <w:pStyle w:val="24"/>
              <w:spacing w:line="240" w:lineRule="auto"/>
              <w:ind w:firstLine="0" w:firstLineChars="0"/>
              <w:jc w:val="left"/>
              <w:rPr>
                <w:color w:val="auto"/>
                <w:highlight w:val="none"/>
              </w:rPr>
            </w:pPr>
            <w:r>
              <w:rPr>
                <w:rFonts w:hint="eastAsia"/>
                <w:color w:val="auto"/>
                <w:highlight w:val="none"/>
              </w:rPr>
              <w:t>（9）分析工作站：1套</w:t>
            </w:r>
          </w:p>
          <w:p>
            <w:pPr>
              <w:pStyle w:val="24"/>
              <w:spacing w:line="240" w:lineRule="auto"/>
              <w:ind w:firstLine="0" w:firstLineChars="0"/>
              <w:jc w:val="left"/>
              <w:rPr>
                <w:color w:val="auto"/>
                <w:highlight w:val="none"/>
              </w:rPr>
            </w:pPr>
            <w:r>
              <w:rPr>
                <w:rFonts w:hint="eastAsia"/>
                <w:color w:val="auto"/>
                <w:highlight w:val="none"/>
              </w:rPr>
              <w:t>（10）电驱动机器手臂：1套</w:t>
            </w:r>
          </w:p>
          <w:p>
            <w:pPr>
              <w:pStyle w:val="24"/>
              <w:spacing w:line="240" w:lineRule="auto"/>
              <w:ind w:firstLine="0" w:firstLineChars="0"/>
              <w:jc w:val="left"/>
              <w:rPr>
                <w:color w:val="auto"/>
                <w:highlight w:val="none"/>
              </w:rPr>
            </w:pPr>
            <w:r>
              <w:rPr>
                <w:rFonts w:hint="eastAsia"/>
                <w:color w:val="auto"/>
                <w:highlight w:val="none"/>
              </w:rPr>
              <w:t>（11）样品托架：1套</w:t>
            </w:r>
          </w:p>
          <w:p>
            <w:pPr>
              <w:pStyle w:val="24"/>
              <w:spacing w:line="240" w:lineRule="auto"/>
              <w:ind w:firstLine="0" w:firstLineChars="0"/>
              <w:jc w:val="left"/>
              <w:rPr>
                <w:color w:val="auto"/>
                <w:highlight w:val="none"/>
              </w:rPr>
            </w:pPr>
            <w:r>
              <w:rPr>
                <w:rFonts w:hint="eastAsia"/>
                <w:color w:val="auto"/>
                <w:highlight w:val="none"/>
              </w:rPr>
              <w:t>（12）随机配件：1套</w:t>
            </w:r>
          </w:p>
          <w:p>
            <w:pPr>
              <w:pStyle w:val="24"/>
              <w:spacing w:line="240" w:lineRule="auto"/>
              <w:ind w:firstLine="0" w:firstLineChars="0"/>
              <w:jc w:val="left"/>
              <w:rPr>
                <w:color w:val="auto"/>
                <w:highlight w:val="none"/>
              </w:rPr>
            </w:pPr>
            <w:r>
              <w:rPr>
                <w:rFonts w:hint="eastAsia"/>
                <w:color w:val="auto"/>
                <w:highlight w:val="none"/>
              </w:rPr>
              <w:t>（</w:t>
            </w:r>
            <w:r>
              <w:rPr>
                <w:color w:val="auto"/>
                <w:highlight w:val="none"/>
              </w:rPr>
              <w:t>13</w:t>
            </w:r>
            <w:r>
              <w:rPr>
                <w:rFonts w:hint="eastAsia"/>
                <w:color w:val="auto"/>
                <w:highlight w:val="none"/>
              </w:rPr>
              <w:t>）样品杯：4</w:t>
            </w:r>
            <w:r>
              <w:rPr>
                <w:color w:val="auto"/>
                <w:highlight w:val="none"/>
              </w:rPr>
              <w:t>8</w:t>
            </w:r>
            <w:r>
              <w:rPr>
                <w:rFonts w:hint="eastAsia"/>
                <w:color w:val="auto"/>
                <w:highlight w:val="none"/>
              </w:rPr>
              <w:t>个</w:t>
            </w:r>
          </w:p>
          <w:p>
            <w:pPr>
              <w:pStyle w:val="24"/>
              <w:spacing w:line="240" w:lineRule="auto"/>
              <w:ind w:firstLine="0" w:firstLineChars="0"/>
              <w:jc w:val="left"/>
              <w:rPr>
                <w:color w:val="auto"/>
                <w:highlight w:val="none"/>
              </w:rPr>
            </w:pPr>
            <w:r>
              <w:rPr>
                <w:rFonts w:hint="eastAsia"/>
                <w:color w:val="auto"/>
                <w:highlight w:val="none"/>
              </w:rPr>
              <w:t>5.若投标人提供的货物不是投标人自己制造的，中标后应当提供货物制造商或其指定代理出具响应本次招标的投标货物的正式授权书。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1</w:t>
            </w:r>
            <w:r>
              <w:rPr>
                <w:rFonts w:hint="default" w:ascii="宋体" w:hAnsi="宋体" w:cs="宋体"/>
                <w:color w:val="auto"/>
                <w:szCs w:val="21"/>
                <w:highlight w:val="none"/>
              </w:rPr>
              <w:t>2</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default" w:ascii="Times New Roman" w:hAnsi="Times New Roman"/>
                <w:color w:val="auto"/>
                <w:szCs w:val="21"/>
                <w:highlight w:val="none"/>
              </w:rPr>
            </w:pPr>
            <w:r>
              <w:rPr>
                <w:rFonts w:ascii="Times New Roman" w:hAnsi="Times New Roman"/>
                <w:color w:val="auto"/>
                <w:szCs w:val="21"/>
                <w:highlight w:val="none"/>
              </w:rPr>
              <w:t>烷基汞蒸馏仪</w:t>
            </w:r>
          </w:p>
        </w:tc>
        <w:tc>
          <w:tcPr>
            <w:tcW w:w="573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left"/>
              <w:rPr>
                <w:color w:val="auto"/>
                <w:highlight w:val="none"/>
              </w:rPr>
            </w:pPr>
            <w:r>
              <w:rPr>
                <w:rFonts w:hint="eastAsia"/>
                <w:color w:val="auto"/>
                <w:highlight w:val="none"/>
              </w:rPr>
              <w:t>1.用途：用于对不同的水样进行蒸馏前处理，以消除基体干扰，蒸馏后的样品可以通过其他的仪器如烷基汞分析系统对水样中的烷基汞的含量进行分析。符合HJ977-2018《水质烷基汞的测定 吹扫捕集/气相色谱-冷原子荧光光谱法》标准。</w:t>
            </w:r>
          </w:p>
          <w:p>
            <w:pPr>
              <w:pStyle w:val="24"/>
              <w:spacing w:line="240" w:lineRule="auto"/>
              <w:ind w:firstLine="0" w:firstLineChars="0"/>
              <w:jc w:val="left"/>
              <w:rPr>
                <w:color w:val="auto"/>
                <w:highlight w:val="none"/>
              </w:rPr>
            </w:pPr>
            <w:r>
              <w:rPr>
                <w:rFonts w:hint="eastAsia"/>
                <w:color w:val="auto"/>
                <w:highlight w:val="none"/>
              </w:rPr>
              <w:t>2.加热单元</w:t>
            </w:r>
          </w:p>
          <w:p>
            <w:pPr>
              <w:pStyle w:val="24"/>
              <w:spacing w:line="240" w:lineRule="auto"/>
              <w:ind w:firstLine="0" w:firstLineChars="0"/>
              <w:jc w:val="left"/>
              <w:rPr>
                <w:color w:val="auto"/>
                <w:highlight w:val="none"/>
              </w:rPr>
            </w:pPr>
            <w:r>
              <w:rPr>
                <w:rFonts w:hint="eastAsia"/>
                <w:color w:val="auto"/>
                <w:highlight w:val="none"/>
              </w:rPr>
              <w:t>（1）金属块加热，控温范围常温~150℃，PID控制，精度为±1℃。</w:t>
            </w:r>
          </w:p>
          <w:p>
            <w:pPr>
              <w:pStyle w:val="24"/>
              <w:spacing w:line="240" w:lineRule="auto"/>
              <w:ind w:firstLine="0" w:firstLineChars="0"/>
              <w:jc w:val="left"/>
              <w:rPr>
                <w:color w:val="auto"/>
                <w:highlight w:val="none"/>
              </w:rPr>
            </w:pPr>
            <w:r>
              <w:rPr>
                <w:rFonts w:hint="eastAsia"/>
                <w:color w:val="auto"/>
                <w:highlight w:val="none"/>
              </w:rPr>
              <w:t>（2）金属块上有10个蒸馏瓶加热位。</w:t>
            </w:r>
          </w:p>
          <w:p>
            <w:pPr>
              <w:pStyle w:val="24"/>
              <w:spacing w:line="240" w:lineRule="auto"/>
              <w:ind w:firstLine="0" w:firstLineChars="0"/>
              <w:jc w:val="left"/>
              <w:rPr>
                <w:color w:val="auto"/>
                <w:highlight w:val="none"/>
              </w:rPr>
            </w:pPr>
            <w:r>
              <w:rPr>
                <w:rFonts w:hint="eastAsia"/>
                <w:color w:val="auto"/>
                <w:highlight w:val="none"/>
              </w:rPr>
              <w:t>（3）过热自动断电</w:t>
            </w:r>
          </w:p>
          <w:p>
            <w:pPr>
              <w:pStyle w:val="24"/>
              <w:spacing w:line="240" w:lineRule="auto"/>
              <w:ind w:firstLine="0" w:firstLineChars="0"/>
              <w:jc w:val="left"/>
              <w:rPr>
                <w:color w:val="auto"/>
                <w:highlight w:val="none"/>
              </w:rPr>
            </w:pPr>
            <w:r>
              <w:rPr>
                <w:rFonts w:hint="eastAsia"/>
                <w:color w:val="auto"/>
                <w:highlight w:val="none"/>
              </w:rPr>
              <w:t>3.冷凝单元</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（1）冰浴制冷，非半导体制冷。控温范围常温~0℃，精度为±1℃。</w:t>
            </w:r>
          </w:p>
          <w:p>
            <w:pPr>
              <w:pStyle w:val="24"/>
              <w:spacing w:line="240" w:lineRule="auto"/>
              <w:ind w:firstLine="0" w:firstLineChars="0"/>
              <w:jc w:val="left"/>
              <w:rPr>
                <w:color w:val="auto"/>
                <w:highlight w:val="none"/>
              </w:rPr>
            </w:pPr>
            <w:r>
              <w:rPr>
                <w:rFonts w:hint="eastAsia"/>
                <w:color w:val="auto"/>
                <w:highlight w:val="none"/>
              </w:rPr>
              <w:t>（2）有10个接收瓶位。接收瓶无需离开冰浴，可随时观察接收瓶液位。</w:t>
            </w:r>
          </w:p>
          <w:p>
            <w:pPr>
              <w:pStyle w:val="24"/>
              <w:spacing w:line="240" w:lineRule="auto"/>
              <w:ind w:firstLine="0" w:firstLineChars="0"/>
              <w:jc w:val="left"/>
              <w:rPr>
                <w:color w:val="auto"/>
                <w:highlight w:val="none"/>
              </w:rPr>
            </w:pPr>
            <w:r>
              <w:rPr>
                <w:rFonts w:hint="eastAsia"/>
                <w:color w:val="auto"/>
                <w:highlight w:val="none"/>
              </w:rPr>
              <w:t>4.蒸馏瓶、接收瓶和连接管线</w:t>
            </w:r>
          </w:p>
          <w:p>
            <w:pPr>
              <w:pStyle w:val="24"/>
              <w:spacing w:line="240" w:lineRule="auto"/>
              <w:ind w:firstLine="0" w:firstLineChars="0"/>
              <w:jc w:val="left"/>
              <w:rPr>
                <w:color w:val="auto"/>
                <w:highlight w:val="none"/>
              </w:rPr>
            </w:pPr>
            <w:r>
              <w:rPr>
                <w:rFonts w:hint="eastAsia"/>
                <w:color w:val="auto"/>
                <w:highlight w:val="none"/>
              </w:rPr>
              <w:t>（1）蒸馏瓶、接收瓶和连接管线均为聚四氟乙烯材质，对超痕量烷基汞无吸附。</w:t>
            </w:r>
          </w:p>
          <w:p>
            <w:pPr>
              <w:pStyle w:val="24"/>
              <w:spacing w:line="240" w:lineRule="auto"/>
              <w:ind w:firstLine="0" w:firstLineChars="0"/>
              <w:jc w:val="left"/>
              <w:rPr>
                <w:color w:val="auto"/>
                <w:highlight w:val="none"/>
              </w:rPr>
            </w:pPr>
            <w:r>
              <w:rPr>
                <w:rFonts w:hint="eastAsia"/>
                <w:color w:val="auto"/>
                <w:highlight w:val="none"/>
              </w:rPr>
              <w:t>（2）蒸馏瓶和接收瓶体积均为60ml，接收瓶有41ml体积刻度。</w:t>
            </w:r>
          </w:p>
          <w:p>
            <w:pPr>
              <w:pStyle w:val="24"/>
              <w:spacing w:line="240" w:lineRule="auto"/>
              <w:ind w:firstLine="0" w:firstLineChars="0"/>
              <w:jc w:val="left"/>
              <w:rPr>
                <w:color w:val="auto"/>
                <w:highlight w:val="none"/>
              </w:rPr>
            </w:pPr>
            <w:r>
              <w:rPr>
                <w:rFonts w:hint="eastAsia"/>
                <w:color w:val="auto"/>
                <w:highlight w:val="none"/>
              </w:rPr>
              <w:t>（3）连接管线连接蒸馏瓶和接收瓶，确保蒸馏瓶密封。</w:t>
            </w:r>
          </w:p>
          <w:p>
            <w:pPr>
              <w:pStyle w:val="24"/>
              <w:spacing w:line="240" w:lineRule="auto"/>
              <w:ind w:firstLine="0" w:firstLineChars="0"/>
              <w:jc w:val="left"/>
              <w:rPr>
                <w:color w:val="auto"/>
                <w:highlight w:val="none"/>
              </w:rPr>
            </w:pPr>
            <w:r>
              <w:rPr>
                <w:rFonts w:hint="eastAsia" w:ascii="Segoe UI Symbol" w:hAnsi="Segoe UI Symbol" w:eastAsia="Segoe UI Symbol" w:cs="Segoe UI Symbol"/>
                <w:color w:val="auto"/>
                <w:highlight w:val="none"/>
              </w:rPr>
              <w:t>★</w:t>
            </w:r>
            <w:r>
              <w:rPr>
                <w:rFonts w:hint="eastAsia"/>
                <w:color w:val="auto"/>
                <w:highlight w:val="none"/>
              </w:rPr>
              <w:t>5.能与本单位已有的烷基汞分析仪（</w:t>
            </w:r>
            <w:r>
              <w:rPr>
                <w:color w:val="auto"/>
                <w:highlight w:val="none"/>
              </w:rPr>
              <w:t>BROOKS RAND</w:t>
            </w:r>
            <w:r>
              <w:rPr>
                <w:rFonts w:hint="eastAsia"/>
                <w:color w:val="auto"/>
                <w:highlight w:val="none"/>
              </w:rPr>
              <w:t>）联用，地表水、污水、固废样品，方法空白低于0.01ng/L；经蒸馏后回收率在80%-120%范围内。</w:t>
            </w:r>
            <w:r>
              <w:rPr>
                <w:rFonts w:hint="eastAsia"/>
                <w:b/>
                <w:bCs/>
                <w:color w:val="auto"/>
                <w:highlight w:val="none"/>
              </w:rPr>
              <w:t>（本条款作为现场性能验收条款，需提供供应商参数响应承诺函，验收不通过，将视投标人为虚假</w:t>
            </w:r>
            <w:r>
              <w:rPr>
                <w:rFonts w:hint="eastAsia"/>
                <w:b/>
                <w:bCs/>
                <w:color w:val="auto"/>
                <w:highlight w:val="none"/>
                <w:u w:val="single"/>
              </w:rPr>
              <w:t>应</w:t>
            </w:r>
            <w:r>
              <w:rPr>
                <w:rFonts w:hint="eastAsia"/>
                <w:b/>
                <w:bCs/>
                <w:color w:val="auto"/>
                <w:highlight w:val="none"/>
              </w:rPr>
              <w:t>标。）</w:t>
            </w:r>
          </w:p>
          <w:p>
            <w:pPr>
              <w:pStyle w:val="24"/>
              <w:spacing w:line="240" w:lineRule="auto"/>
              <w:ind w:firstLine="0" w:firstLineChars="0"/>
              <w:jc w:val="left"/>
              <w:rPr>
                <w:color w:val="auto"/>
                <w:highlight w:val="none"/>
              </w:rPr>
            </w:pPr>
            <w:r>
              <w:rPr>
                <w:rFonts w:hint="eastAsia"/>
                <w:color w:val="auto"/>
                <w:highlight w:val="none"/>
              </w:rPr>
              <w:t>7.配置</w:t>
            </w:r>
          </w:p>
          <w:p>
            <w:pPr>
              <w:pStyle w:val="24"/>
              <w:spacing w:line="240" w:lineRule="auto"/>
              <w:ind w:firstLine="0" w:firstLineChars="0"/>
              <w:jc w:val="left"/>
              <w:rPr>
                <w:color w:val="auto"/>
                <w:highlight w:val="none"/>
              </w:rPr>
            </w:pPr>
            <w:r>
              <w:rPr>
                <w:rFonts w:hint="eastAsia"/>
                <w:color w:val="auto"/>
                <w:highlight w:val="none"/>
              </w:rPr>
              <w:t>（1）烷基汞蒸馏设备（10位）主机标准套，含加热单元及冷凝单元等：1套</w:t>
            </w:r>
          </w:p>
          <w:p>
            <w:pPr>
              <w:pStyle w:val="24"/>
              <w:spacing w:line="240" w:lineRule="auto"/>
              <w:ind w:firstLine="0" w:firstLineChars="0"/>
              <w:jc w:val="left"/>
              <w:rPr>
                <w:color w:val="auto"/>
                <w:highlight w:val="none"/>
              </w:rPr>
            </w:pPr>
            <w:r>
              <w:rPr>
                <w:rFonts w:hint="eastAsia"/>
                <w:color w:val="auto"/>
                <w:highlight w:val="none"/>
              </w:rPr>
              <w:t>（2）蒸馏瓶、接收瓶、连接管线：10套</w:t>
            </w:r>
          </w:p>
          <w:p>
            <w:pPr>
              <w:pStyle w:val="24"/>
              <w:spacing w:line="240" w:lineRule="auto"/>
              <w:ind w:firstLine="0" w:firstLineChars="0"/>
              <w:jc w:val="left"/>
              <w:rPr>
                <w:color w:val="auto"/>
                <w:highlight w:val="none"/>
              </w:rPr>
            </w:pPr>
            <w:r>
              <w:rPr>
                <w:rFonts w:hint="eastAsia"/>
                <w:color w:val="auto"/>
                <w:highlight w:val="none"/>
              </w:rPr>
              <w:t>5.若投标人提供的货物不是投标人自己制造的，中标后应当提供货物制造商或其指定代理出具响应本次招标的投标货物的正式授权书。</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Cs w:val="21"/>
                <w:highlight w:val="none"/>
              </w:rPr>
            </w:pPr>
            <w:r>
              <w:rPr>
                <w:rFonts w:ascii="宋体" w:cs="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Cs w:val="21"/>
                <w:highlight w:val="none"/>
              </w:rPr>
            </w:pPr>
          </w:p>
        </w:tc>
      </w:tr>
    </w:tbl>
    <w:p>
      <w:pPr>
        <w:keepNext w:val="0"/>
        <w:keepLines w:val="0"/>
        <w:pageBreakBefore w:val="0"/>
        <w:widowControl w:val="0"/>
        <w:kinsoku/>
        <w:wordWrap/>
        <w:overflowPunct/>
        <w:topLinePunct w:val="0"/>
        <w:bidi w:val="0"/>
        <w:adjustRightInd w:val="0"/>
        <w:snapToGrid w:val="0"/>
        <w:spacing w:line="32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三</w:t>
      </w:r>
      <w:r>
        <w:rPr>
          <w:rFonts w:ascii="宋体" w:hAnsi="宋体" w:cs="宋体"/>
          <w:b/>
          <w:color w:val="auto"/>
          <w:szCs w:val="21"/>
          <w:highlight w:val="none"/>
        </w:rPr>
        <w:t>、总体要求</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必须提供免费送货至采购人指定地点，并完成所有货物的安装、调试，并试运行等相关工作。</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2.质量保障</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（1）所有货物都必须全新、原装，符合国家质量检测标准；</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（2）提供的货物需按国家有关标准包装，且必须为制造商原厂包装，均应有良好的防湿、防锈、防潮、防雨、防腐及防碰撞的保护；</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（3）货物包装箱内需附详细装箱清单及质量合格证；</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应保证采购人在使用设备或设备的任何一部分，都不受第三方关于侵犯其所有权、专利权的指控。</w:t>
      </w:r>
    </w:p>
    <w:p>
      <w:pPr>
        <w:pStyle w:val="2"/>
        <w:adjustRightInd w:val="0"/>
        <w:snapToGrid w:val="0"/>
        <w:spacing w:after="0" w:line="32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必须保证所提供的货物质量符合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的要求，且技术质量和品牌经采购人现场人员核定质量情况，若经采购人核定为不合格，则对该批次设备无条件进行退货，由此而产生的一切费用由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.安装调试</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安装地点：</w:t>
      </w:r>
      <w:r>
        <w:rPr>
          <w:rFonts w:hint="eastAsia" w:ascii="宋体" w:hAnsi="宋体" w:cs="宋体"/>
          <w:color w:val="auto"/>
          <w:szCs w:val="21"/>
          <w:highlight w:val="none"/>
          <w:lang w:eastAsia="zh-CN"/>
        </w:rPr>
        <w:t>采购人指定地点。</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安装完成时间：设备到货后，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需在接到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通知后7日内进行安装调试。如在规定的时间内由于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的原因不能完成安装和调试，</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应承担由此给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w:t>
      </w:r>
      <w:r>
        <w:rPr>
          <w:rFonts w:hint="eastAsia" w:ascii="宋体" w:hAnsi="宋体" w:cs="宋体"/>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安装标准：符合我国国家有关技术规范要求和技术标准。</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安装过程中发生的费用由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文件中提供其安装调试过程中</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需配合的内容。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随机资料：提供中文使用操作手册，维修手册。</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.验收</w:t>
      </w:r>
    </w:p>
    <w:p>
      <w:pPr>
        <w:autoSpaceDE w:val="0"/>
        <w:autoSpaceDN w:val="0"/>
        <w:adjustRightInd w:val="0"/>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（1）由采购人组织进行验收。验收按国家有关规范标准（国家无验收规范标准的按双方合同规定的要求）进行。</w:t>
      </w:r>
    </w:p>
    <w:p>
      <w:pPr>
        <w:autoSpaceDE w:val="0"/>
        <w:autoSpaceDN w:val="0"/>
        <w:adjustRightInd w:val="0"/>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提供的所有设备必须原包装到达安装地的合格产品，未经采购人允许不得私自预先安装（原厂安装的除外）。</w:t>
      </w:r>
    </w:p>
    <w:p>
      <w:pPr>
        <w:autoSpaceDE w:val="0"/>
        <w:autoSpaceDN w:val="0"/>
        <w:adjustRightInd w:val="0"/>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（3）质量符合国际或国家通用标准，满足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技术标准部分所规定的全部功能。原装配件是指与主机同一品牌的配件或出厂即已经安装的配件。如出现质量问题或系假冒伪劣产品，</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负责包退、包换，因此而涉及的全部违约责任和费用由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应提供设备的有效检验文件，经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认可后，与设备性能指标、合同内容一起作为设备验收标准。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对设备验收合格后，双方共同签署验收合格证书并加盖公章。验收中发现设备达不到验收标准或合同规定的性能指标，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必须更换设备</w:t>
      </w:r>
      <w:r>
        <w:rPr>
          <w:rFonts w:hint="eastAsia" w:ascii="宋体" w:hAnsi="宋体" w:cs="宋体"/>
          <w:color w:val="auto"/>
          <w:szCs w:val="21"/>
          <w:highlight w:val="none"/>
          <w:lang w:eastAsia="zh-CN"/>
        </w:rPr>
        <w:t>，</w:t>
      </w:r>
      <w:r>
        <w:rPr>
          <w:rFonts w:hint="eastAsia" w:ascii="宋体" w:hAnsi="宋体" w:cs="宋体"/>
          <w:color w:val="auto"/>
          <w:szCs w:val="21"/>
          <w:highlight w:val="none"/>
        </w:rPr>
        <w:t>并且赔偿由此给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w:t>
      </w:r>
    </w:p>
    <w:p>
      <w:pPr>
        <w:pStyle w:val="2"/>
        <w:keepNext w:val="0"/>
        <w:keepLines w:val="0"/>
        <w:pageBreakBefore w:val="0"/>
        <w:widowControl w:val="0"/>
        <w:kinsoku/>
        <w:wordWrap/>
        <w:overflowPunct/>
        <w:topLinePunct w:val="0"/>
        <w:autoSpaceDE/>
        <w:autoSpaceDN/>
        <w:bidi w:val="0"/>
        <w:adjustRightInd w:val="0"/>
        <w:snapToGrid w:val="0"/>
        <w:spacing w:after="0" w:afterLines="0" w:line="320" w:lineRule="exact"/>
        <w:ind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负担</w:t>
      </w:r>
      <w:r>
        <w:rPr>
          <w:rFonts w:hint="eastAsia" w:ascii="宋体" w:hAnsi="宋体" w:cs="宋体"/>
          <w:color w:val="auto"/>
          <w:szCs w:val="21"/>
          <w:highlight w:val="none"/>
          <w:lang w:eastAsia="zh-CN"/>
        </w:rPr>
        <w:t>。</w:t>
      </w:r>
    </w:p>
    <w:p>
      <w:pPr>
        <w:autoSpaceDE w:val="0"/>
        <w:autoSpaceDN w:val="0"/>
        <w:adjustRightInd w:val="0"/>
        <w:snapToGrid w:val="0"/>
        <w:spacing w:line="32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）为保障甲方利益，</w:t>
      </w:r>
      <w:r>
        <w:rPr>
          <w:rFonts w:hint="eastAsia" w:ascii="宋体" w:hAnsi="宋体" w:cs="宋体"/>
          <w:b/>
          <w:bCs/>
          <w:color w:val="auto"/>
          <w:szCs w:val="21"/>
          <w:highlight w:val="none"/>
          <w:lang w:val="en-US" w:eastAsia="zh-CN"/>
        </w:rPr>
        <w:t>采购人</w:t>
      </w:r>
      <w:r>
        <w:rPr>
          <w:rFonts w:hint="eastAsia" w:ascii="宋体" w:hAnsi="宋体" w:cs="宋体"/>
          <w:b/>
          <w:bCs/>
          <w:color w:val="auto"/>
          <w:szCs w:val="21"/>
          <w:highlight w:val="none"/>
          <w:lang w:eastAsia="zh-CN"/>
        </w:rPr>
        <w:t>在验收时经测试主要指标功能无法满足</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lang w:eastAsia="zh-CN"/>
        </w:rPr>
        <w:t>需求</w:t>
      </w:r>
      <w:r>
        <w:rPr>
          <w:rFonts w:hint="eastAsia" w:ascii="宋体" w:hAnsi="宋体" w:cs="宋体"/>
          <w:b/>
          <w:bCs/>
          <w:color w:val="auto"/>
          <w:szCs w:val="21"/>
          <w:highlight w:val="none"/>
          <w:lang w:val="en-US" w:eastAsia="zh-CN"/>
        </w:rPr>
        <w:t>或经核验技术参数中要求提供检测报告等证明材料与投标响应时不一致或虚假响应的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验收不予通过，</w:t>
      </w:r>
      <w:r>
        <w:rPr>
          <w:rFonts w:hint="eastAsia" w:ascii="宋体" w:hAnsi="宋体" w:cs="宋体"/>
          <w:b/>
          <w:bCs/>
          <w:color w:val="auto"/>
          <w:szCs w:val="21"/>
          <w:highlight w:val="none"/>
          <w:lang w:eastAsia="zh-CN"/>
        </w:rPr>
        <w:t>对于</w:t>
      </w:r>
      <w:r>
        <w:rPr>
          <w:rFonts w:hint="eastAsia" w:ascii="宋体" w:hAnsi="宋体" w:cs="宋体"/>
          <w:b/>
          <w:bCs/>
          <w:color w:val="auto"/>
          <w:szCs w:val="21"/>
          <w:highlight w:val="none"/>
          <w:lang w:val="en-US" w:eastAsia="zh-CN"/>
        </w:rPr>
        <w:t>中标人</w:t>
      </w:r>
      <w:r>
        <w:rPr>
          <w:rFonts w:hint="eastAsia" w:ascii="宋体" w:hAnsi="宋体" w:cs="宋体"/>
          <w:b/>
          <w:bCs/>
          <w:color w:val="auto"/>
          <w:szCs w:val="21"/>
          <w:highlight w:val="none"/>
          <w:lang w:eastAsia="zh-CN"/>
        </w:rPr>
        <w:t>提供虚假参数强行</w:t>
      </w:r>
      <w:r>
        <w:rPr>
          <w:rFonts w:hint="eastAsia" w:ascii="宋体" w:hAnsi="宋体" w:cs="宋体"/>
          <w:b/>
          <w:bCs/>
          <w:color w:val="auto"/>
          <w:szCs w:val="21"/>
          <w:highlight w:val="none"/>
          <w:lang w:val="en-US" w:eastAsia="zh-CN"/>
        </w:rPr>
        <w:t>中标</w:t>
      </w:r>
      <w:r>
        <w:rPr>
          <w:rFonts w:hint="eastAsia" w:ascii="宋体" w:hAnsi="宋体" w:cs="宋体"/>
          <w:b/>
          <w:bCs/>
          <w:color w:val="auto"/>
          <w:szCs w:val="21"/>
          <w:highlight w:val="none"/>
          <w:lang w:eastAsia="zh-CN"/>
        </w:rPr>
        <w:t>的行为，经测试查实后，</w:t>
      </w:r>
      <w:r>
        <w:rPr>
          <w:rFonts w:hint="eastAsia" w:ascii="宋体" w:hAnsi="宋体" w:cs="宋体"/>
          <w:b/>
          <w:bCs/>
          <w:color w:val="auto"/>
          <w:szCs w:val="21"/>
          <w:highlight w:val="none"/>
          <w:lang w:val="en-US" w:eastAsia="zh-CN"/>
        </w:rPr>
        <w:t>采购人</w:t>
      </w:r>
      <w:r>
        <w:rPr>
          <w:rFonts w:hint="eastAsia" w:ascii="宋体" w:hAnsi="宋体" w:cs="宋体"/>
          <w:b/>
          <w:bCs/>
          <w:color w:val="auto"/>
          <w:szCs w:val="21"/>
          <w:highlight w:val="none"/>
          <w:lang w:eastAsia="zh-CN"/>
        </w:rPr>
        <w:t>有权单方面解除合同，并有权按相关要求</w:t>
      </w:r>
      <w:r>
        <w:rPr>
          <w:rFonts w:hint="eastAsia" w:ascii="宋体" w:hAnsi="宋体" w:cs="宋体"/>
          <w:b/>
          <w:bCs/>
          <w:color w:val="auto"/>
          <w:szCs w:val="21"/>
          <w:highlight w:val="none"/>
          <w:lang w:val="en-US" w:eastAsia="zh-CN"/>
        </w:rPr>
        <w:t>中标人</w:t>
      </w:r>
      <w:r>
        <w:rPr>
          <w:rFonts w:hint="eastAsia" w:ascii="宋体" w:hAnsi="宋体" w:cs="宋体"/>
          <w:b/>
          <w:bCs/>
          <w:color w:val="auto"/>
          <w:szCs w:val="21"/>
          <w:highlight w:val="none"/>
          <w:lang w:eastAsia="zh-CN"/>
        </w:rPr>
        <w:t>赔偿相关损失，同时将此行为上报监管部门。</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2" w:firstLineChars="20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lang w:eastAsia="zh-CN"/>
        </w:rPr>
        <w:t>服务保障要求</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投标人</w:t>
      </w:r>
      <w:r>
        <w:rPr>
          <w:rFonts w:hint="eastAsia" w:ascii="宋体" w:hAnsi="宋体" w:cs="宋体"/>
          <w:b w:val="0"/>
          <w:bCs w:val="0"/>
          <w:color w:val="auto"/>
          <w:sz w:val="21"/>
          <w:szCs w:val="21"/>
          <w:highlight w:val="none"/>
          <w:lang w:eastAsia="zh-CN"/>
        </w:rPr>
        <w:t>自行组建具有相应服务能力的团队。</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投标人需具备应急保障能力，可以在突发性环境污染事件发生后提供应急保障监测，配备备用车辆</w:t>
      </w:r>
      <w:r>
        <w:rPr>
          <w:rFonts w:hint="eastAsia" w:ascii="宋体" w:hAnsi="宋体" w:cs="宋体"/>
          <w:b w:val="0"/>
          <w:bCs w:val="0"/>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3.供应商需有完备的应急预案保证项目的顺利开展。</w:t>
      </w: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ascii="宋体" w:hAnsi="宋体" w:cs="宋体"/>
          <w:b/>
          <w:bCs/>
          <w:color w:val="auto"/>
          <w:szCs w:val="21"/>
          <w:highlight w:val="none"/>
        </w:rPr>
      </w:pPr>
    </w:p>
    <w:p>
      <w:pPr>
        <w:autoSpaceDE w:val="0"/>
        <w:autoSpaceDN w:val="0"/>
        <w:adjustRightInd w:val="0"/>
        <w:snapToGrid w:val="0"/>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五</w:t>
      </w:r>
      <w:r>
        <w:rPr>
          <w:rFonts w:ascii="宋体" w:hAnsi="宋体" w:cs="宋体"/>
          <w:b/>
          <w:bCs/>
          <w:color w:val="auto"/>
          <w:szCs w:val="21"/>
          <w:highlight w:val="none"/>
        </w:rPr>
        <w:t>、商务响应表</w:t>
      </w:r>
    </w:p>
    <w:tbl>
      <w:tblPr>
        <w:tblStyle w:val="2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pStyle w:val="10"/>
              <w:adjustRightInd w:val="0"/>
              <w:snapToGrid w:val="0"/>
              <w:spacing w:line="340" w:lineRule="exact"/>
              <w:ind w:firstLine="0"/>
              <w:jc w:val="center"/>
              <w:rPr>
                <w:rFonts w:hint="default" w:ascii="宋体" w:hAnsi="宋体" w:cs="宋体"/>
                <w:color w:val="auto"/>
                <w:szCs w:val="21"/>
                <w:highlight w:val="none"/>
              </w:rPr>
            </w:pPr>
            <w:r>
              <w:rPr>
                <w:rFonts w:ascii="宋体" w:hAnsi="宋体" w:cs="宋体"/>
                <w:color w:val="auto"/>
                <w:szCs w:val="21"/>
                <w:highlight w:val="none"/>
              </w:rPr>
              <w:t>质保期</w:t>
            </w:r>
          </w:p>
        </w:tc>
        <w:tc>
          <w:tcPr>
            <w:tcW w:w="8153" w:type="dxa"/>
            <w:vAlign w:val="center"/>
          </w:tcPr>
          <w:p>
            <w:pPr>
              <w:pStyle w:val="10"/>
              <w:adjustRightInd w:val="0"/>
              <w:snapToGrid w:val="0"/>
              <w:spacing w:line="300" w:lineRule="exact"/>
              <w:ind w:firstLine="0"/>
              <w:rPr>
                <w:rFonts w:hint="default" w:ascii="宋体" w:hAnsi="宋体" w:eastAsia="宋体" w:cs="宋体"/>
                <w:color w:val="auto"/>
                <w:szCs w:val="21"/>
                <w:highlight w:val="none"/>
                <w:lang w:val="en-US" w:eastAsia="zh-CN"/>
              </w:rPr>
            </w:pPr>
            <w:r>
              <w:rPr>
                <w:rFonts w:ascii="宋体" w:hAnsi="宋体" w:cs="宋体"/>
                <w:color w:val="auto"/>
                <w:szCs w:val="21"/>
                <w:highlight w:val="none"/>
                <w:lang w:bidi="ar"/>
              </w:rPr>
              <w:t>自验收合格后一年。中标人与采购人签订合同后7个工作日内须提供质保函。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pStyle w:val="10"/>
              <w:adjustRightInd w:val="0"/>
              <w:snapToGrid w:val="0"/>
              <w:spacing w:line="340" w:lineRule="exact"/>
              <w:ind w:firstLine="0"/>
              <w:jc w:val="center"/>
              <w:rPr>
                <w:rFonts w:hint="default" w:ascii="宋体" w:hAnsi="宋体" w:cs="宋体"/>
                <w:color w:val="auto"/>
                <w:szCs w:val="21"/>
                <w:highlight w:val="none"/>
              </w:rPr>
            </w:pPr>
            <w:r>
              <w:rPr>
                <w:rFonts w:ascii="宋体" w:hAnsi="宋体" w:cs="宋体"/>
                <w:color w:val="auto"/>
                <w:szCs w:val="21"/>
                <w:highlight w:val="none"/>
              </w:rPr>
              <w:t>售后服务要求</w:t>
            </w:r>
          </w:p>
        </w:tc>
        <w:tc>
          <w:tcPr>
            <w:tcW w:w="8153" w:type="dxa"/>
          </w:tcPr>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1.保修期内要求全部免费，终身维修</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在质保期内，发生故障在2小时内响应，紧急状况8小时以内抵达现场（不可抗力因素影响除外）；不能当场修复的，24小时内必须采取提供备品、备件或备机等措施，以保证采购人的正常使用。如果逾期未作出响应，</w:t>
            </w:r>
            <w:r>
              <w:rPr>
                <w:rFonts w:hint="eastAsia" w:ascii="宋体" w:hAnsi="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应承担由于故障所造成的全部损失。在质保期内，</w:t>
            </w:r>
            <w:r>
              <w:rPr>
                <w:rFonts w:hint="eastAsia" w:ascii="宋体" w:hAnsi="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应提供充足的备品备件服务。在质保期内，</w:t>
            </w:r>
            <w:r>
              <w:rPr>
                <w:rFonts w:hint="eastAsia" w:ascii="宋体" w:hAnsi="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应对设备提供电话支持、现场故障排查等服务</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并提供在保修期内的定期回访（费用全部包括在保修中）。</w:t>
            </w:r>
          </w:p>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供应商应在响应文件中详细说明其服务计划并列明收费标准：买保修合同的方式及相应的价格、按次计费的价格。供应商必须在响应文件中，详细列出公司所能提供的各种保修方式（比如按年或按次等），并列出详细的收费清单和服务内容。</w:t>
            </w:r>
          </w:p>
          <w:p>
            <w:pPr>
              <w:pStyle w:val="24"/>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接到用户到货通知后，一周内执行安装调试直到达到验收指标</w:t>
            </w:r>
            <w:r>
              <w:rPr>
                <w:rFonts w:hint="eastAsia" w:ascii="宋体" w:hAnsi="宋体" w:cs="宋体"/>
                <w:color w:val="auto"/>
                <w:kern w:val="2"/>
                <w:sz w:val="21"/>
                <w:szCs w:val="24"/>
                <w:highlight w:val="none"/>
                <w:lang w:val="en-US" w:eastAsia="zh-CN" w:bidi="ar-SA"/>
              </w:rPr>
              <w:t>。</w:t>
            </w:r>
          </w:p>
          <w:p>
            <w:pPr>
              <w:pStyle w:val="24"/>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中标人在交货时提供的技术资料中包含但不限于如下资料：</w:t>
            </w:r>
          </w:p>
          <w:p>
            <w:pPr>
              <w:pStyle w:val="24"/>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（1）操作及维护说明书</w:t>
            </w:r>
          </w:p>
          <w:p>
            <w:pPr>
              <w:pStyle w:val="24"/>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（2）装箱清单及质量保证书</w:t>
            </w:r>
          </w:p>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.培训：</w:t>
            </w:r>
          </w:p>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（1）设备安装后在用户所在地对操作人员对用户进行仪器的基本操作和日常维护的现场培训，内容包括仪器原理，使用方法和维护方法等。</w:t>
            </w:r>
          </w:p>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）上述培训的培训方式、地点、人员及费用（包含在</w:t>
            </w:r>
            <w:r>
              <w:rPr>
                <w:rFonts w:hint="eastAsia" w:ascii="宋体" w:hAnsi="宋体" w:cs="宋体"/>
                <w:color w:val="auto"/>
                <w:kern w:val="2"/>
                <w:sz w:val="21"/>
                <w:szCs w:val="24"/>
                <w:highlight w:val="none"/>
                <w:lang w:val="en-US" w:eastAsia="zh-CN" w:bidi="ar-SA"/>
              </w:rPr>
              <w:t>投标</w:t>
            </w:r>
            <w:r>
              <w:rPr>
                <w:rFonts w:hint="eastAsia" w:ascii="宋体" w:hAnsi="宋体" w:eastAsia="宋体" w:cs="宋体"/>
                <w:color w:val="auto"/>
                <w:kern w:val="2"/>
                <w:sz w:val="21"/>
                <w:szCs w:val="24"/>
                <w:highlight w:val="none"/>
                <w:lang w:val="en-US" w:eastAsia="zh-CN" w:bidi="ar-SA"/>
              </w:rPr>
              <w:t>报价中）</w:t>
            </w:r>
            <w:r>
              <w:rPr>
                <w:rFonts w:hint="eastAsia" w:ascii="宋体" w:hAnsi="宋体" w:cs="宋体"/>
                <w:color w:val="auto"/>
                <w:kern w:val="2"/>
                <w:sz w:val="21"/>
                <w:szCs w:val="24"/>
                <w:highlight w:val="none"/>
                <w:lang w:val="en-US" w:eastAsia="zh-CN" w:bidi="ar-SA"/>
              </w:rPr>
              <w:t>投标人</w:t>
            </w:r>
            <w:r>
              <w:rPr>
                <w:rFonts w:hint="eastAsia" w:ascii="宋体" w:hAnsi="宋体" w:eastAsia="宋体" w:cs="宋体"/>
                <w:color w:val="auto"/>
                <w:kern w:val="2"/>
                <w:sz w:val="21"/>
                <w:szCs w:val="24"/>
                <w:highlight w:val="none"/>
                <w:lang w:val="en-US" w:eastAsia="zh-CN" w:bidi="ar-SA"/>
              </w:rPr>
              <w:t>应在</w:t>
            </w:r>
            <w:r>
              <w:rPr>
                <w:rFonts w:hint="eastAsia" w:ascii="宋体" w:hAnsi="宋体" w:cs="宋体"/>
                <w:color w:val="auto"/>
                <w:kern w:val="2"/>
                <w:sz w:val="21"/>
                <w:szCs w:val="24"/>
                <w:highlight w:val="none"/>
                <w:lang w:val="en-US" w:eastAsia="zh-CN" w:bidi="ar-SA"/>
              </w:rPr>
              <w:t>投标</w:t>
            </w:r>
            <w:r>
              <w:rPr>
                <w:rFonts w:hint="eastAsia" w:ascii="宋体" w:hAnsi="宋体" w:eastAsia="宋体" w:cs="宋体"/>
                <w:color w:val="auto"/>
                <w:kern w:val="2"/>
                <w:sz w:val="21"/>
                <w:szCs w:val="24"/>
                <w:highlight w:val="none"/>
                <w:lang w:val="en-US" w:eastAsia="zh-CN" w:bidi="ar-SA"/>
              </w:rPr>
              <w:t>文件中详细说明。</w:t>
            </w:r>
          </w:p>
          <w:p>
            <w:pPr>
              <w:pStyle w:val="10"/>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6.质保期内免费技术支持服务，具体包括软硬件产品的技术支持、软硬件产品的故障诊断及故障排除及新技术及新需求的咨询与交流等。</w:t>
            </w:r>
          </w:p>
          <w:p>
            <w:pPr>
              <w:pStyle w:val="10"/>
              <w:adjustRightInd w:val="0"/>
              <w:snapToGrid w:val="0"/>
              <w:spacing w:line="300" w:lineRule="exact"/>
              <w:ind w:firstLine="0"/>
              <w:rPr>
                <w:rFonts w:hint="default"/>
                <w:color w:val="auto"/>
                <w:szCs w:val="24"/>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时有其它服务承诺的，一并履行。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64" w:lineRule="auto"/>
              <w:ind w:left="0" w:right="0"/>
              <w:jc w:val="center"/>
              <w:textAlignment w:val="auto"/>
              <w:rPr>
                <w:rFonts w:hint="eastAsia" w:ascii="宋体" w:hAnsi="宋体" w:eastAsia="宋体" w:cs="宋体"/>
                <w:b w:val="0"/>
                <w:bCs/>
                <w:color w:val="auto"/>
                <w:szCs w:val="21"/>
                <w:highlight w:val="none"/>
                <w:lang w:val="en-US"/>
              </w:rPr>
            </w:pPr>
            <w:r>
              <w:rPr>
                <w:rFonts w:hint="eastAsia" w:ascii="宋体" w:hAnsi="宋体" w:eastAsia="宋体" w:cs="宋体"/>
                <w:b w:val="0"/>
                <w:bCs/>
                <w:color w:val="auto"/>
                <w:kern w:val="2"/>
                <w:sz w:val="21"/>
                <w:szCs w:val="21"/>
                <w:highlight w:val="none"/>
                <w:lang w:val="en-US" w:eastAsia="zh-CN" w:bidi="ar"/>
              </w:rPr>
              <w:t>交货时间</w:t>
            </w:r>
          </w:p>
          <w:p>
            <w:pPr>
              <w:keepNext w:val="0"/>
              <w:keepLines w:val="0"/>
              <w:pageBreakBefore w:val="0"/>
              <w:widowControl w:val="0"/>
              <w:suppressLineNumbers w:val="0"/>
              <w:kinsoku/>
              <w:wordWrap/>
              <w:overflowPunct/>
              <w:topLinePunct w:val="0"/>
              <w:bidi w:val="0"/>
              <w:spacing w:before="0" w:beforeAutospacing="0" w:after="0" w:afterAutospacing="0" w:line="264" w:lineRule="auto"/>
              <w:ind w:left="0" w:leftChars="0" w:right="0" w:rightChars="0"/>
              <w:jc w:val="center"/>
              <w:textAlignment w:val="auto"/>
              <w:rPr>
                <w:rFonts w:hint="default" w:ascii="宋体" w:hAnsi="宋体" w:cs="宋体"/>
                <w:color w:val="auto"/>
                <w:szCs w:val="21"/>
                <w:highlight w:val="none"/>
              </w:rPr>
            </w:pPr>
            <w:r>
              <w:rPr>
                <w:rFonts w:hint="eastAsia" w:ascii="宋体" w:hAnsi="宋体" w:eastAsia="宋体" w:cs="宋体"/>
                <w:b w:val="0"/>
                <w:bCs/>
                <w:color w:val="auto"/>
                <w:kern w:val="2"/>
                <w:sz w:val="21"/>
                <w:szCs w:val="21"/>
                <w:highlight w:val="none"/>
                <w:lang w:val="en-US" w:eastAsia="zh-CN" w:bidi="ar"/>
              </w:rPr>
              <w:t>及地点</w:t>
            </w:r>
          </w:p>
        </w:tc>
        <w:tc>
          <w:tcPr>
            <w:tcW w:w="8153"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64" w:lineRule="auto"/>
              <w:ind w:left="0" w:right="0"/>
              <w:jc w:val="both"/>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交货时间</w:t>
            </w:r>
            <w:r>
              <w:rPr>
                <w:rFonts w:hint="eastAsia" w:ascii="宋体" w:hAnsi="宋体" w:cs="宋体"/>
                <w:b w:val="0"/>
                <w:bCs/>
                <w:color w:val="auto"/>
                <w:kern w:val="2"/>
                <w:sz w:val="21"/>
                <w:szCs w:val="21"/>
                <w:highlight w:val="none"/>
                <w:lang w:val="en-US" w:eastAsia="zh-CN" w:bidi="ar"/>
              </w:rPr>
              <w:t>：</w:t>
            </w:r>
            <w:r>
              <w:rPr>
                <w:rFonts w:hint="eastAsia"/>
                <w:color w:val="auto"/>
                <w:kern w:val="2"/>
                <w:sz w:val="21"/>
                <w:szCs w:val="24"/>
                <w:highlight w:val="none"/>
                <w:lang w:val="en-US" w:eastAsia="zh-CN" w:bidi="ar-SA"/>
              </w:rPr>
              <w:t>合同签订后90日内完成供货、安装调试。</w:t>
            </w:r>
          </w:p>
          <w:p>
            <w:pPr>
              <w:keepNext w:val="0"/>
              <w:keepLines w:val="0"/>
              <w:pageBreakBefore w:val="0"/>
              <w:widowControl w:val="0"/>
              <w:suppressLineNumbers w:val="0"/>
              <w:kinsoku/>
              <w:wordWrap/>
              <w:overflowPunct/>
              <w:topLinePunct w:val="0"/>
              <w:bidi w:val="0"/>
              <w:spacing w:before="0" w:beforeAutospacing="0" w:after="0" w:afterAutospacing="0" w:line="264" w:lineRule="auto"/>
              <w:ind w:left="0" w:leftChars="0" w:right="0" w:rightChars="0"/>
              <w:jc w:val="both"/>
              <w:textAlignment w:val="auto"/>
              <w:rPr>
                <w:rFonts w:hint="default"/>
                <w:color w:val="auto"/>
                <w:szCs w:val="24"/>
                <w:highlight w:val="none"/>
              </w:rPr>
            </w:pPr>
            <w:r>
              <w:rPr>
                <w:rFonts w:hint="eastAsia" w:ascii="宋体" w:hAnsi="宋体" w:eastAsia="宋体" w:cs="宋体"/>
                <w:b w:val="0"/>
                <w:bCs/>
                <w:color w:val="auto"/>
                <w:kern w:val="2"/>
                <w:sz w:val="21"/>
                <w:szCs w:val="21"/>
                <w:highlight w:val="none"/>
                <w:lang w:val="en-US" w:eastAsia="zh-CN" w:bidi="ar"/>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spacing w:line="300" w:lineRule="exact"/>
              <w:jc w:val="center"/>
              <w:rPr>
                <w:rFonts w:hint="default" w:ascii="宋体" w:hAnsi="宋体" w:cs="宋体" w:eastAsiaTheme="minorEastAsia"/>
                <w:color w:val="auto"/>
                <w:szCs w:val="21"/>
                <w:highlight w:val="none"/>
              </w:rPr>
            </w:pPr>
            <w:r>
              <w:rPr>
                <w:rFonts w:ascii="宋体" w:hAnsi="宋体" w:cs="宋体"/>
                <w:color w:val="auto"/>
                <w:szCs w:val="21"/>
                <w:highlight w:val="none"/>
              </w:rPr>
              <w:t>付款方式</w:t>
            </w:r>
          </w:p>
        </w:tc>
        <w:tc>
          <w:tcPr>
            <w:tcW w:w="8153" w:type="dxa"/>
            <w:vAlign w:val="center"/>
          </w:tcPr>
          <w:p>
            <w:pPr>
              <w:spacing w:line="320" w:lineRule="exact"/>
              <w:rPr>
                <w:rFonts w:hint="eastAsia" w:eastAsia="宋体"/>
                <w:color w:val="auto"/>
                <w:highlight w:val="none"/>
                <w:lang w:eastAsia="zh-CN"/>
              </w:rPr>
            </w:pPr>
            <w:r>
              <w:rPr>
                <w:rFonts w:hint="eastAsia" w:ascii="宋体" w:hAnsi="宋体" w:cs="宋体"/>
                <w:color w:val="auto"/>
                <w:szCs w:val="21"/>
                <w:highlight w:val="none"/>
                <w:lang w:eastAsia="zh-CN"/>
              </w:rPr>
              <w:t>合同生效以及具备实施条件后7个工作日内支付合同价的40%作为合同预付款</w:t>
            </w:r>
            <w:r>
              <w:rPr>
                <w:rFonts w:hint="eastAsia" w:ascii="宋体" w:hAnsi="宋体" w:cs="宋体"/>
                <w:color w:val="auto"/>
                <w:szCs w:val="21"/>
                <w:highlight w:val="none"/>
                <w:u w:val="none"/>
                <w:lang w:eastAsia="zh-CN"/>
              </w:rPr>
              <w:t>，全部交货完成并经采购人验收合格后一次性付清合同金额余款。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adjustRightInd w:val="0"/>
              <w:snapToGrid w:val="0"/>
              <w:spacing w:line="350" w:lineRule="exact"/>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8153" w:type="dxa"/>
            <w:vAlign w:val="center"/>
          </w:tcPr>
          <w:p>
            <w:pPr>
              <w:autoSpaceDE w:val="0"/>
              <w:autoSpaceDN w:val="0"/>
              <w:spacing w:line="300" w:lineRule="exact"/>
              <w:rPr>
                <w:rFonts w:hint="default"/>
                <w:color w:val="auto"/>
                <w:highlight w:val="none"/>
              </w:rPr>
            </w:pPr>
            <w:r>
              <w:rPr>
                <w:color w:val="auto"/>
                <w:highlight w:val="none"/>
              </w:rPr>
              <w:t>合同签订前中标人向采购人交纳合同金额</w:t>
            </w:r>
            <w:r>
              <w:rPr>
                <w:rFonts w:hint="eastAsia"/>
                <w:color w:val="auto"/>
                <w:highlight w:val="none"/>
                <w:lang w:val="en-US" w:eastAsia="zh-CN"/>
              </w:rPr>
              <w:t>1</w:t>
            </w:r>
            <w:r>
              <w:rPr>
                <w:color w:val="auto"/>
                <w:highlight w:val="none"/>
              </w:rPr>
              <w:t>%的履约保证金。待项目</w:t>
            </w:r>
            <w:r>
              <w:rPr>
                <w:rFonts w:hint="eastAsia"/>
                <w:color w:val="auto"/>
                <w:highlight w:val="none"/>
                <w:lang w:eastAsia="zh-CN"/>
              </w:rPr>
              <w:t>验收合格</w:t>
            </w:r>
            <w:r>
              <w:rPr>
                <w:color w:val="auto"/>
                <w:highlight w:val="none"/>
              </w:rPr>
              <w:t>后，经采购人确认后无息退还（违约部分除外）。合同履行完毕后如无质量索赔或扣款事件无息退还，如有，则扣除上述款项后无息退还。</w:t>
            </w:r>
            <w:r>
              <w:rPr>
                <w:rFonts w:hint="eastAsia"/>
                <w:color w:val="auto"/>
                <w:highlight w:val="none"/>
                <w:lang w:eastAsia="zh-CN"/>
              </w:rPr>
              <w:t>中标人可以以银行、保险公司出具的保函形式提交</w:t>
            </w:r>
            <w:r>
              <w:rPr>
                <w:rFonts w:hint="eastAsia"/>
                <w:color w:val="auto"/>
                <w:highlight w:val="none"/>
              </w:rPr>
              <w:t>履约保证金。</w:t>
            </w:r>
          </w:p>
        </w:tc>
      </w:tr>
    </w:tbl>
    <w:p>
      <w:pPr>
        <w:pStyle w:val="2"/>
        <w:adjustRightInd w:val="0"/>
        <w:snapToGrid w:val="0"/>
        <w:spacing w:after="0" w:line="320" w:lineRule="exact"/>
        <w:ind w:firstLine="422" w:firstLineChars="200"/>
        <w:rPr>
          <w:rFonts w:hint="default" w:ascii="宋体" w:hAnsi="宋体" w:cs="宋体"/>
          <w:b/>
          <w:bCs/>
          <w:color w:val="auto"/>
          <w:szCs w:val="21"/>
          <w:highlight w:val="none"/>
        </w:rPr>
      </w:pPr>
      <w:r>
        <w:rPr>
          <w:rFonts w:hint="eastAsia" w:cs="宋体"/>
          <w:b/>
          <w:bCs/>
          <w:color w:val="auto"/>
          <w:szCs w:val="21"/>
          <w:highlight w:val="none"/>
          <w:lang w:val="en-US" w:eastAsia="zh-CN"/>
        </w:rPr>
        <w:t>六</w:t>
      </w:r>
      <w:r>
        <w:rPr>
          <w:rFonts w:ascii="宋体" w:hAnsi="宋体" w:cs="宋体"/>
          <w:b/>
          <w:bCs/>
          <w:color w:val="auto"/>
          <w:szCs w:val="21"/>
          <w:highlight w:val="none"/>
        </w:rPr>
        <w:t>、其他要求</w:t>
      </w:r>
    </w:p>
    <w:p>
      <w:pPr>
        <w:pStyle w:val="36"/>
        <w:adjustRightInd w:val="0"/>
        <w:snapToGrid w:val="0"/>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1.本招标文件中带“▲”的条款内容，为本次招标的实质性内容，投标人必须全部响应，否则将作无效标处理。“★”的条款内容为重要性条款。</w:t>
      </w:r>
    </w:p>
    <w:p>
      <w:pPr>
        <w:pStyle w:val="36"/>
        <w:adjustRightInd w:val="0"/>
        <w:snapToGrid w:val="0"/>
        <w:spacing w:line="320" w:lineRule="exact"/>
        <w:ind w:right="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2.本招标文件仅对采购货物提出原则性要求，并不是详尽的要求，投标人有责任对技术参数符合现行的相关技术规范、标准负责。</w:t>
      </w: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36"/>
        <w:adjustRightInd w:val="0"/>
        <w:snapToGrid w:val="0"/>
        <w:spacing w:line="320" w:lineRule="exact"/>
        <w:ind w:right="0" w:firstLineChars="200"/>
        <w:rPr>
          <w:rFonts w:hint="eastAsia" w:ascii="宋体" w:hAnsi="宋体" w:eastAsia="宋体" w:cs="宋体"/>
          <w:color w:val="auto"/>
          <w:sz w:val="21"/>
          <w:highlight w:val="none"/>
        </w:rPr>
      </w:pP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投标须知</w:t>
      </w:r>
      <w:bookmarkEnd w:id="25"/>
    </w:p>
    <w:p>
      <w:pPr>
        <w:pStyle w:val="5"/>
        <w:spacing w:beforeLines="0" w:afterLines="0"/>
        <w:jc w:val="center"/>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5"/>
        <w:tblW w:w="9345" w:type="dxa"/>
        <w:jc w:val="center"/>
        <w:tblLayout w:type="fixed"/>
        <w:tblCellMar>
          <w:top w:w="0" w:type="dxa"/>
          <w:left w:w="10" w:type="dxa"/>
          <w:bottom w:w="0" w:type="dxa"/>
          <w:right w:w="10" w:type="dxa"/>
        </w:tblCellMar>
      </w:tblPr>
      <w:tblGrid>
        <w:gridCol w:w="709"/>
        <w:gridCol w:w="1659"/>
        <w:gridCol w:w="6977"/>
      </w:tblGrid>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内容、要求</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b/>
                <w:color w:val="auto"/>
                <w:szCs w:val="21"/>
                <w:highlight w:val="none"/>
                <w:lang w:val="zh-CN"/>
              </w:rPr>
            </w:pP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长兴县环境保护监测站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资金来源：财政资金；</w:t>
            </w:r>
          </w:p>
          <w:p>
            <w:pPr>
              <w:rPr>
                <w:rFonts w:hint="default" w:ascii="宋体" w:hAnsi="宋体" w:cs="宋体"/>
                <w:color w:val="auto"/>
                <w:szCs w:val="21"/>
                <w:highlight w:val="none"/>
              </w:rPr>
            </w:pPr>
            <w:r>
              <w:rPr>
                <w:rFonts w:ascii="宋体" w:hAnsi="宋体" w:cs="宋体"/>
                <w:color w:val="auto"/>
                <w:szCs w:val="21"/>
                <w:highlight w:val="none"/>
              </w:rPr>
              <w:t>预算金额：人民币</w:t>
            </w:r>
            <w:r>
              <w:rPr>
                <w:rFonts w:hint="eastAsia" w:ascii="宋体" w:hAnsi="宋体" w:cs="宋体"/>
                <w:color w:val="auto"/>
                <w:szCs w:val="21"/>
                <w:highlight w:val="none"/>
                <w:lang w:eastAsia="zh-CN"/>
              </w:rPr>
              <w:t>2880000</w:t>
            </w:r>
            <w:r>
              <w:rPr>
                <w:rFonts w:ascii="宋体" w:hAnsi="宋体" w:cs="宋体"/>
                <w:color w:val="auto"/>
                <w:szCs w:val="21"/>
                <w:highlight w:val="none"/>
              </w:rPr>
              <w:t>元</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zCs w:val="21"/>
                <w:highlight w:val="none"/>
              </w:rPr>
            </w:pPr>
            <w:r>
              <w:rPr>
                <w:rFonts w:hint="eastAsia" w:ascii="宋体" w:hAnsi="宋体" w:cs="宋体"/>
                <w:color w:val="auto"/>
                <w:szCs w:val="21"/>
                <w:highlight w:val="none"/>
                <w:lang w:eastAsia="zh-CN"/>
              </w:rPr>
              <w:t>2880000</w:t>
            </w:r>
            <w:r>
              <w:rPr>
                <w:rFonts w:ascii="宋体" w:hAnsi="宋体" w:cs="宋体"/>
                <w:color w:val="auto"/>
                <w:szCs w:val="21"/>
                <w:highlight w:val="none"/>
              </w:rPr>
              <w:t>元</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1.本项目投标应以人民币报价；</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2.不论投标结果如何，投标人均应自行承担所有与投标有关的全部费用。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b/>
                <w:bCs/>
                <w:color w:val="auto"/>
                <w:szCs w:val="21"/>
                <w:highlight w:val="none"/>
                <w:lang w:val="zh-CN"/>
              </w:rPr>
              <w:t>无</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hint="default" w:ascii="宋体" w:hAnsi="宋体" w:cs="宋体"/>
                <w:color w:val="auto"/>
                <w:szCs w:val="21"/>
                <w:highlight w:val="none"/>
                <w:lang w:val="zh-CN"/>
              </w:rPr>
            </w:pPr>
            <w:r>
              <w:rPr>
                <w:rFonts w:ascii="宋体" w:hAnsi="宋体" w:cs="宋体"/>
                <w:color w:val="auto"/>
                <w:szCs w:val="21"/>
                <w:highlight w:val="none"/>
              </w:rPr>
              <w:t>详见第二章采购需求</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项目属性</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exact"/>
              <w:jc w:val="left"/>
              <w:rPr>
                <w:rFonts w:hint="default" w:ascii="宋体" w:hAnsi="宋体" w:cs="宋体"/>
                <w:color w:val="auto"/>
                <w:szCs w:val="21"/>
                <w:highlight w:val="none"/>
              </w:rPr>
            </w:pPr>
            <w:r>
              <w:rPr>
                <w:rFonts w:hint="eastAsia" w:ascii="宋体" w:hAnsi="宋体" w:eastAsia="宋体" w:cs="宋体"/>
                <w:color w:val="auto"/>
                <w:szCs w:val="21"/>
                <w:highlight w:val="none"/>
                <w:lang w:eastAsia="zh-CN"/>
              </w:rPr>
              <w:t>货物类</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b/>
                <w:bCs/>
                <w:color w:val="auto"/>
                <w:szCs w:val="21"/>
                <w:highlight w:val="none"/>
                <w:lang w:val="zh-CN"/>
              </w:rPr>
              <w:t>面向中小企业预留采购份额说明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1.本项目是否属于</w:t>
            </w:r>
            <w:r>
              <w:rPr>
                <w:rFonts w:hint="eastAsia" w:ascii="宋体" w:hAnsi="宋体" w:eastAsia="宋体" w:cs="宋体"/>
                <w:b/>
                <w:bCs/>
                <w:color w:val="auto"/>
                <w:szCs w:val="21"/>
                <w:highlight w:val="none"/>
                <w:lang w:val="en-US" w:eastAsia="zh-CN"/>
              </w:rPr>
              <w:t>专门面向中小企业预留采购份额</w:t>
            </w:r>
            <w:r>
              <w:rPr>
                <w:rFonts w:hint="eastAsia" w:ascii="宋体" w:hAnsi="宋体" w:eastAsia="宋体" w:cs="宋体"/>
                <w:color w:val="auto"/>
                <w:szCs w:val="21"/>
                <w:highlight w:val="none"/>
                <w:lang w:val="en-US" w:eastAsia="zh-CN"/>
              </w:rPr>
              <w:t>的项目：</w:t>
            </w:r>
            <w:r>
              <w:rPr>
                <w:rFonts w:hint="eastAsia" w:ascii="宋体" w:hAnsi="宋体" w:eastAsia="宋体" w:cs="宋体"/>
                <w:b/>
                <w:bCs/>
                <w:color w:val="auto"/>
                <w:szCs w:val="21"/>
                <w:highlight w:val="none"/>
                <w:u w:val="none"/>
                <w:lang w:val="en-US" w:eastAsia="zh-CN"/>
              </w:rPr>
              <w:t xml:space="preserve"> </w:t>
            </w:r>
            <w:r>
              <w:rPr>
                <w:rFonts w:hint="eastAsia" w:ascii="宋体" w:hAnsi="宋体" w:cs="宋体"/>
                <w:b/>
                <w:bCs/>
                <w:color w:val="auto"/>
                <w:szCs w:val="21"/>
                <w:highlight w:val="none"/>
                <w:u w:val="single"/>
                <w:lang w:val="en-US" w:eastAsia="zh-CN"/>
              </w:rPr>
              <w:t>否</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szCs w:val="21"/>
                <w:highlight w:val="none"/>
                <w:lang w:val="en-US" w:eastAsia="zh-CN"/>
              </w:rPr>
              <w:t>2.预留采购份额</w:t>
            </w:r>
            <w:r>
              <w:rPr>
                <w:rFonts w:hint="eastAsia" w:ascii="宋体" w:hAnsi="宋体" w:eastAsia="宋体" w:cs="宋体"/>
                <w:b/>
                <w:bCs/>
                <w:color w:val="auto"/>
                <w:szCs w:val="21"/>
                <w:highlight w:val="none"/>
                <w:lang w:val="en-US" w:eastAsia="zh-CN"/>
              </w:rPr>
              <w:t>措施</w:t>
            </w:r>
            <w:r>
              <w:rPr>
                <w:rFonts w:hint="eastAsia" w:ascii="宋体" w:hAnsi="宋体" w:eastAsia="宋体" w:cs="宋体"/>
                <w:color w:val="auto"/>
                <w:szCs w:val="21"/>
                <w:highlight w:val="none"/>
                <w:lang w:val="en-US" w:eastAsia="zh-CN"/>
              </w:rPr>
              <w:t xml:space="preserve">： </w:t>
            </w:r>
            <w:r>
              <w:rPr>
                <w:rFonts w:hint="eastAsia" w:ascii="宋体" w:hAnsi="宋体" w:cs="宋体"/>
                <w:b/>
                <w:bCs/>
                <w:color w:val="auto"/>
                <w:szCs w:val="21"/>
                <w:highlight w:val="none"/>
                <w:u w:val="single"/>
                <w:lang w:val="en-US" w:eastAsia="zh-CN"/>
              </w:rPr>
              <w:t>无</w:t>
            </w:r>
            <w:r>
              <w:rPr>
                <w:rFonts w:hint="eastAsia" w:ascii="宋体" w:hAnsi="宋体" w:eastAsia="宋体" w:cs="宋体"/>
                <w:b/>
                <w:bCs/>
                <w:color w:val="auto"/>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b w:val="0"/>
                <w:bCs w:val="0"/>
                <w:color w:val="auto"/>
                <w:szCs w:val="21"/>
                <w:highlight w:val="none"/>
                <w:u w:val="none"/>
                <w:lang w:val="en-US" w:eastAsia="zh-CN"/>
              </w:rPr>
              <w:t>3.是否落实小、微企业</w:t>
            </w:r>
            <w:r>
              <w:rPr>
                <w:rFonts w:hint="eastAsia" w:ascii="宋体" w:hAnsi="宋体" w:eastAsia="宋体" w:cs="宋体"/>
                <w:b/>
                <w:bCs/>
                <w:color w:val="auto"/>
                <w:szCs w:val="21"/>
                <w:highlight w:val="none"/>
                <w:u w:val="none"/>
                <w:lang w:val="en-US" w:eastAsia="zh-CN"/>
              </w:rPr>
              <w:t>价格扣除</w:t>
            </w:r>
            <w:r>
              <w:rPr>
                <w:rFonts w:hint="eastAsia" w:ascii="宋体" w:hAnsi="宋体" w:eastAsia="宋体" w:cs="宋体"/>
                <w:b w:val="0"/>
                <w:bCs w:val="0"/>
                <w:color w:val="auto"/>
                <w:szCs w:val="21"/>
                <w:highlight w:val="none"/>
                <w:u w:val="none"/>
                <w:lang w:val="en-US" w:eastAsia="zh-CN"/>
              </w:rPr>
              <w:t>扶持政策：</w:t>
            </w:r>
            <w:r>
              <w:rPr>
                <w:rFonts w:hint="eastAsia" w:ascii="宋体" w:hAnsi="宋体" w:eastAsia="宋体" w:cs="宋体"/>
                <w:b/>
                <w:bCs/>
                <w:color w:val="auto"/>
                <w:szCs w:val="21"/>
                <w:highlight w:val="none"/>
                <w:u w:val="none"/>
                <w:lang w:val="en-US" w:eastAsia="zh-CN"/>
              </w:rPr>
              <w:t xml:space="preserve"> </w:t>
            </w:r>
            <w:r>
              <w:rPr>
                <w:rFonts w:hint="eastAsia" w:ascii="宋体" w:hAnsi="宋体" w:cs="宋体"/>
                <w:b/>
                <w:bCs/>
                <w:color w:val="auto"/>
                <w:szCs w:val="21"/>
                <w:highlight w:val="none"/>
                <w:u w:val="single"/>
                <w:lang w:val="en-US" w:eastAsia="zh-CN"/>
              </w:rPr>
              <w:t>是</w:t>
            </w:r>
          </w:p>
          <w:p>
            <w:pPr>
              <w:pStyle w:val="2"/>
              <w:keepNext w:val="0"/>
              <w:keepLines w:val="0"/>
              <w:pageBreakBefore w:val="0"/>
              <w:widowControl w:val="0"/>
              <w:kinsoku/>
              <w:wordWrap/>
              <w:overflowPunct/>
              <w:topLinePunct w:val="0"/>
              <w:bidi w:val="0"/>
              <w:adjustRightInd/>
              <w:snapToGrid/>
              <w:spacing w:after="0" w:afterLines="0" w:line="300" w:lineRule="exact"/>
              <w:ind w:left="0" w:leftChars="0" w:firstLine="0" w:firstLineChars="0"/>
              <w:jc w:val="both"/>
              <w:textAlignment w:val="auto"/>
              <w:rPr>
                <w:rFonts w:hint="default"/>
                <w:color w:val="auto"/>
                <w:highlight w:val="none"/>
              </w:rPr>
            </w:pPr>
            <w:r>
              <w:rPr>
                <w:rFonts w:hint="eastAsia" w:ascii="宋体" w:hAnsi="宋体" w:eastAsia="宋体" w:cs="宋体"/>
                <w:b w:val="0"/>
                <w:bCs w:val="0"/>
                <w:color w:val="auto"/>
                <w:kern w:val="2"/>
                <w:sz w:val="21"/>
                <w:szCs w:val="21"/>
                <w:highlight w:val="none"/>
                <w:u w:val="none"/>
                <w:lang w:val="en-US" w:eastAsia="zh-CN" w:bidi="ar-SA"/>
              </w:rPr>
              <w:t>4.本项目中小企业划分标准</w:t>
            </w:r>
            <w:r>
              <w:rPr>
                <w:rFonts w:hint="eastAsia" w:ascii="宋体" w:hAnsi="宋体" w:eastAsia="宋体" w:cs="宋体"/>
                <w:b/>
                <w:bCs/>
                <w:color w:val="auto"/>
                <w:kern w:val="2"/>
                <w:sz w:val="21"/>
                <w:szCs w:val="21"/>
                <w:highlight w:val="none"/>
                <w:u w:val="none"/>
                <w:lang w:val="en-US" w:eastAsia="zh-CN" w:bidi="ar-SA"/>
              </w:rPr>
              <w:t>所属行业</w:t>
            </w:r>
            <w:r>
              <w:rPr>
                <w:rFonts w:hint="eastAsia" w:ascii="宋体" w:hAnsi="宋体" w:eastAsia="宋体" w:cs="宋体"/>
                <w:b w:val="0"/>
                <w:bCs w:val="0"/>
                <w:color w:val="auto"/>
                <w:kern w:val="2"/>
                <w:sz w:val="21"/>
                <w:szCs w:val="21"/>
                <w:highlight w:val="none"/>
                <w:u w:val="none"/>
                <w:lang w:val="en-US" w:eastAsia="zh-CN" w:bidi="ar-SA"/>
              </w:rPr>
              <w:t xml:space="preserve">： </w:t>
            </w:r>
            <w:r>
              <w:rPr>
                <w:rFonts w:hint="eastAsia" w:ascii="宋体" w:hAnsi="宋体" w:eastAsia="宋体" w:cs="Times New Roman"/>
                <w:b/>
                <w:bCs/>
                <w:color w:val="auto"/>
                <w:szCs w:val="21"/>
                <w:highlight w:val="none"/>
                <w:u w:val="single"/>
                <w:lang w:val="en-US" w:eastAsia="zh-CN"/>
              </w:rPr>
              <w:t>工业</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b/>
                <w:bCs/>
                <w:color w:val="auto"/>
                <w:szCs w:val="21"/>
                <w:highlight w:val="none"/>
                <w:lang w:val="zh-CN"/>
              </w:rPr>
            </w:pPr>
            <w:r>
              <w:rPr>
                <w:rFonts w:ascii="宋体" w:hAnsi="宋体"/>
                <w:b/>
                <w:bCs/>
                <w:color w:val="auto"/>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pPr>
              <w:pStyle w:val="2"/>
              <w:spacing w:after="0" w:line="30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1.本项目不允许转包。</w:t>
            </w:r>
          </w:p>
          <w:p>
            <w:pPr>
              <w:pStyle w:val="2"/>
              <w:spacing w:after="0" w:line="30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2.本项目不可以分包。</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无</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color w:val="auto"/>
                <w:szCs w:val="21"/>
                <w:highlight w:val="none"/>
                <w:lang w:val="zh-CN"/>
              </w:rPr>
            </w:pPr>
            <w:r>
              <w:rPr>
                <w:rFonts w:hint="eastAsia" w:ascii="宋体" w:hAnsi="宋体" w:cs="宋体"/>
                <w:color w:val="auto"/>
                <w:szCs w:val="21"/>
                <w:highlight w:val="none"/>
                <w:lang w:val="en-US" w:eastAsia="zh-CN"/>
              </w:rPr>
              <w:t>1.</w:t>
            </w:r>
            <w:r>
              <w:rPr>
                <w:rFonts w:ascii="宋体" w:hAnsi="宋体" w:cs="宋体"/>
                <w:color w:val="auto"/>
                <w:szCs w:val="21"/>
                <w:highlight w:val="none"/>
                <w:lang w:val="zh-CN"/>
              </w:rPr>
              <w:t>投标人如认为招标文件表述不清晰、存在歧视性、排他性或者其他违法内容的，应当于</w:t>
            </w:r>
            <w:r>
              <w:rPr>
                <w:rFonts w:hint="eastAsia" w:ascii="宋体" w:hAnsi="宋体" w:cs="宋体"/>
                <w:color w:val="auto"/>
                <w:szCs w:val="21"/>
                <w:highlight w:val="none"/>
                <w:u w:val="single"/>
                <w:lang w:val="zh-CN"/>
              </w:rPr>
              <w:t>2022年07月20日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w:t>
            </w:r>
            <w:r>
              <w:rPr>
                <w:rFonts w:hint="eastAsia" w:ascii="宋体" w:hAnsi="宋体" w:cs="宋体"/>
                <w:color w:val="auto"/>
                <w:szCs w:val="21"/>
                <w:highlight w:val="none"/>
                <w:lang w:val="zh-CN"/>
              </w:rPr>
              <w:t>采购代理机构将在3个工作日内对投标人依法提出的询问作出答复。采购代理机构对已发出的招标文件进行必要澄清、答复、修改或补充的，将在财政部门指定的政府采购信息发布媒体上发布更正公告。</w:t>
            </w:r>
            <w:r>
              <w:rPr>
                <w:rFonts w:ascii="宋体" w:hAnsi="宋体" w:cs="宋体"/>
                <w:color w:val="auto"/>
                <w:szCs w:val="21"/>
                <w:highlight w:val="none"/>
                <w:lang w:val="zh-CN"/>
              </w:rPr>
              <w:t>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p>
            <w:pPr>
              <w:autoSpaceDE w:val="0"/>
              <w:autoSpaceDN w:val="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澄清或者修改的内容影响投标文件编制的，采购代理机构将在投标截止时间15日前，在财政部门指定的政府采购信息发布媒体上发布更正公告。不足15日的，采购人将顺延提交投标文件的截止时间。</w:t>
            </w:r>
          </w:p>
          <w:p>
            <w:pPr>
              <w:autoSpaceDE w:val="0"/>
              <w:autoSpaceDN w:val="0"/>
              <w:rPr>
                <w:rFonts w:hint="default" w:ascii="宋体" w:hAnsi="宋体" w:cs="宋体"/>
                <w:color w:val="auto"/>
                <w:szCs w:val="21"/>
                <w:highlight w:val="none"/>
                <w:lang w:val="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潜在投标人应自行关注本项目的相关公告，采购人不再一一通知。投标人因自身贻误行为导致投标失败的，责任自负。</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pPr>
              <w:autoSpaceDE w:val="0"/>
              <w:autoSpaceDN w:val="0"/>
              <w:textAlignment w:val="bottom"/>
              <w:rPr>
                <w:rFonts w:hint="default" w:ascii="宋体" w:cs="宋体"/>
                <w:b/>
                <w:bCs/>
                <w:color w:val="auto"/>
                <w:szCs w:val="21"/>
                <w:highlight w:val="none"/>
                <w:lang w:val="zh-CN"/>
              </w:rPr>
            </w:pPr>
            <w:r>
              <w:rPr>
                <w:rFonts w:ascii="宋体" w:hAnsi="宋体" w:cs="宋体"/>
                <w:color w:val="auto"/>
                <w:szCs w:val="21"/>
                <w:highlight w:val="none"/>
              </w:rPr>
              <w:t>2.组成：投标人应准备上传</w:t>
            </w:r>
            <w:r>
              <w:rPr>
                <w:rFonts w:ascii="宋体" w:hAnsi="宋体" w:cs="宋体"/>
                <w:b/>
                <w:bCs/>
                <w:color w:val="auto"/>
                <w:szCs w:val="21"/>
                <w:highlight w:val="none"/>
              </w:rPr>
              <w:t>电子投标文件</w:t>
            </w:r>
            <w:r>
              <w:rPr>
                <w:rFonts w:ascii="宋体" w:hAnsi="宋体" w:cs="宋体"/>
                <w:color w:val="auto"/>
                <w:szCs w:val="21"/>
                <w:highlight w:val="none"/>
              </w:rPr>
              <w:t>一份。</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以介质存储的数据电文形式的备份投标文件部分（如有）</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w:t>
            </w:r>
            <w:r>
              <w:rPr>
                <w:rFonts w:ascii="宋体" w:hAnsi="宋体" w:cs="宋体"/>
                <w:color w:val="auto"/>
                <w:szCs w:val="21"/>
                <w:highlight w:val="none"/>
              </w:rPr>
              <w:t>形式存储，并单独密封提交。</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纸质备份投标文件部分（如有）</w:t>
            </w:r>
            <w:r>
              <w:rPr>
                <w:rFonts w:ascii="宋体" w:hAnsi="宋体" w:cs="宋体"/>
                <w:color w:val="auto"/>
                <w:szCs w:val="21"/>
                <w:highlight w:val="none"/>
              </w:rPr>
              <w:t>：电子投标文件的备份文件按须知“投标文件的组成”编制，制作成纸质文件，并单独密封提交。</w:t>
            </w:r>
          </w:p>
          <w:p>
            <w:pPr>
              <w:autoSpaceDE w:val="0"/>
              <w:autoSpaceDN w:val="0"/>
              <w:adjustRightInd w:val="0"/>
              <w:snapToGrid w:val="0"/>
              <w:spacing w:line="300" w:lineRule="exact"/>
              <w:textAlignment w:val="bottom"/>
              <w:rPr>
                <w:rFonts w:hint="default" w:ascii="宋体" w:hAnsi="宋体" w:cs="宋体"/>
                <w:color w:val="auto"/>
                <w:szCs w:val="21"/>
                <w:highlight w:val="none"/>
              </w:rPr>
            </w:pPr>
            <w:r>
              <w:rPr>
                <w:rFonts w:ascii="宋体" w:hAnsi="宋体" w:cs="宋体"/>
                <w:color w:val="auto"/>
                <w:szCs w:val="21"/>
                <w:highlight w:val="none"/>
              </w:rPr>
              <w:t>3.效力：投标文件的启用，按先后顺位分别为电子投标文件、以介质存储的数据电文形式的备份投标文件（U盘）、纸质备份投标文件。在下一顺位的投标文件启用时，前一顺位的投标文件自动失效。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（1）电子投标文件未按时解密，投标人提供了备份投标文件的，以备份投标文件作为依据，否则视为投标文件撤回。电子投标文件已按时解密的，备份投标文件自动失效。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（2）解密失败的异常处理：</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pPr>
              <w:jc w:val="left"/>
              <w:rPr>
                <w:rFonts w:hint="default" w:ascii="宋体" w:hAnsi="宋体" w:cs="宋体"/>
                <w:color w:val="auto"/>
                <w:szCs w:val="21"/>
                <w:highlight w:val="none"/>
                <w:lang w:val="zh-CN"/>
              </w:rPr>
            </w:pPr>
            <w:r>
              <w:rPr>
                <w:rFonts w:ascii="宋体" w:hAnsi="宋体" w:cs="宋体"/>
                <w:b/>
                <w:bCs/>
                <w:color w:val="auto"/>
                <w:szCs w:val="21"/>
                <w:highlight w:val="none"/>
              </w:rPr>
              <w:t>（3）</w:t>
            </w:r>
            <w:r>
              <w:rPr>
                <w:rFonts w:ascii="宋体" w:hAnsi="宋体" w:cs="宋体"/>
                <w:b/>
                <w:bCs/>
                <w:color w:val="auto"/>
                <w:szCs w:val="21"/>
                <w:highlight w:val="none"/>
                <w:u w:val="single"/>
              </w:rPr>
              <w:t>投标人上传了电子投标文件，但未提供备份投标文件，解密出现问题或电子交易平台出现问题后，由此导致对该投标人响应无法评审的，其后果由该投标人自行承担。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b/>
                <w:bCs/>
                <w:color w:val="auto"/>
                <w:spacing w:val="1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b/>
                <w:bCs/>
                <w:color w:val="auto"/>
                <w:spacing w:val="11"/>
                <w:szCs w:val="21"/>
                <w:highlight w:val="none"/>
              </w:rPr>
            </w:pPr>
            <w:r>
              <w:rPr>
                <w:rFonts w:ascii="宋体" w:hAnsi="宋体" w:cs="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cs="宋体"/>
                <w:b/>
                <w:bCs/>
                <w:color w:val="auto"/>
                <w:szCs w:val="21"/>
                <w:highlight w:val="none"/>
                <w:lang w:val="zh-CN"/>
              </w:rPr>
              <w:t>资信文件及报价文件必须单独装订并密封封装。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pPr>
              <w:jc w:val="left"/>
              <w:rPr>
                <w:rFonts w:hint="default" w:ascii="宋体" w:hAnsi="宋体" w:cs="宋体"/>
                <w:b/>
                <w:bCs/>
                <w:color w:val="auto"/>
                <w:spacing w:val="11"/>
                <w:szCs w:val="21"/>
                <w:highlight w:val="none"/>
              </w:rPr>
            </w:pPr>
            <w:r>
              <w:rPr>
                <w:rFonts w:ascii="宋体" w:hAnsi="宋体" w:cs="宋体"/>
                <w:color w:val="auto"/>
                <w:spacing w:val="11"/>
                <w:szCs w:val="21"/>
                <w:highlight w:val="none"/>
              </w:rPr>
              <w:t>3.纸质备份投标文件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（报价文件必须单独密封装订，报价文件未单独密封造成无效标的风险由投标人自行承担。）</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5.</w:t>
            </w:r>
            <w:r>
              <w:rPr>
                <w:rFonts w:ascii="宋体" w:hAnsi="宋体" w:cs="宋体"/>
                <w:color w:val="auto"/>
                <w:szCs w:val="21"/>
                <w:highlight w:val="none"/>
                <w:lang w:val="zh-CN"/>
              </w:rPr>
              <w:t>投标文件均由</w:t>
            </w:r>
            <w:r>
              <w:rPr>
                <w:rFonts w:ascii="宋体" w:hAnsi="宋体" w:cs="宋体"/>
                <w:b/>
                <w:bCs/>
                <w:color w:val="auto"/>
                <w:szCs w:val="21"/>
                <w:highlight w:val="none"/>
                <w:u w:val="single"/>
                <w:lang w:val="zh-CN"/>
              </w:rPr>
              <w:t>资信文件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商务及技术文件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报价文件</w:t>
            </w:r>
            <w:r>
              <w:rPr>
                <w:rFonts w:ascii="宋体" w:hAnsi="宋体" w:cs="宋体"/>
                <w:color w:val="auto"/>
                <w:szCs w:val="21"/>
                <w:highlight w:val="none"/>
                <w:lang w:val="zh-CN"/>
              </w:rPr>
              <w:t>三部分组成。</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截止时间：</w:t>
            </w:r>
            <w:r>
              <w:rPr>
                <w:rFonts w:hint="eastAsia" w:ascii="宋体" w:hAnsi="宋体" w:cs="宋体"/>
                <w:color w:val="auto"/>
                <w:szCs w:val="21"/>
                <w:highlight w:val="none"/>
                <w:u w:val="single"/>
                <w:shd w:val="clear" w:color="auto" w:fill="FFFFFF"/>
                <w:lang w:eastAsia="zh-CN"/>
              </w:rPr>
              <w:t>2022年08月02日09：00</w:t>
            </w:r>
            <w:r>
              <w:rPr>
                <w:rFonts w:ascii="宋体" w:hAnsi="宋体" w:cs="宋体"/>
                <w:color w:val="auto"/>
                <w:szCs w:val="21"/>
                <w:highlight w:val="none"/>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。考虑疫情情况，U盘备份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东方经纬项目管理有限公司</w:t>
            </w:r>
            <w:r>
              <w:rPr>
                <w:rFonts w:ascii="宋体" w:cs="宋体"/>
                <w:color w:val="auto"/>
                <w:szCs w:val="21"/>
                <w:highlight w:val="none"/>
                <w:lang w:val="zh-CN"/>
              </w:rPr>
              <w:t>（长兴县金荣大厦19楼1916室），收件人：邱工，联系电话：0572-6038878/13587907418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2022年08月01日17:00时前</w:t>
            </w:r>
            <w:r>
              <w:rPr>
                <w:rFonts w:ascii="宋体" w:cs="宋体"/>
                <w:color w:val="auto"/>
                <w:szCs w:val="21"/>
                <w:highlight w:val="none"/>
                <w:lang w:val="zh-CN"/>
              </w:rPr>
              <w:t>。</w:t>
            </w:r>
            <w:r>
              <w:rPr>
                <w:rFonts w:ascii="宋体" w:hAnsi="宋体" w:cs="宋体"/>
                <w:color w:val="auto"/>
                <w:szCs w:val="21"/>
                <w:highlight w:val="none"/>
                <w:lang w:val="zh-CN"/>
              </w:rPr>
              <w:t>（注：快递寄出后，请将快递底单拍照后发送邮件至</w:t>
            </w:r>
            <w:r>
              <w:rPr>
                <w:rFonts w:ascii="宋体" w:hAnsi="宋体" w:cs="宋体"/>
                <w:color w:val="auto"/>
                <w:szCs w:val="21"/>
                <w:highlight w:val="none"/>
              </w:rPr>
              <w:t>2540168359</w:t>
            </w:r>
            <w:r>
              <w:rPr>
                <w:rFonts w:ascii="宋体" w:hAnsi="宋体" w:cs="宋体"/>
                <w:color w:val="auto"/>
                <w:szCs w:val="21"/>
                <w:highlight w:val="none"/>
                <w:lang w:val="zh-CN"/>
              </w:rPr>
              <w:t>@</w:t>
            </w:r>
            <w:r>
              <w:rPr>
                <w:rFonts w:ascii="宋体" w:hAnsi="宋体" w:cs="宋体"/>
                <w:color w:val="auto"/>
                <w:szCs w:val="21"/>
                <w:highlight w:val="none"/>
              </w:rPr>
              <w:t>qq</w:t>
            </w:r>
            <w:r>
              <w:rPr>
                <w:rFonts w:ascii="宋体" w:hAnsi="宋体" w:cs="宋体"/>
                <w:color w:val="auto"/>
                <w:szCs w:val="21"/>
                <w:highlight w:val="none"/>
                <w:lang w:val="zh-CN"/>
              </w:rPr>
              <w:t>.com，</w:t>
            </w:r>
            <w:r>
              <w:rPr>
                <w:rFonts w:ascii="宋体" w:hAnsi="宋体" w:cs="宋体"/>
                <w:b/>
                <w:bCs/>
                <w:color w:val="auto"/>
                <w:szCs w:val="21"/>
                <w:highlight w:val="none"/>
                <w:lang w:val="zh-CN"/>
              </w:rPr>
              <w:t>邮件主题请注明“快递底单（底单号：）</w:t>
            </w:r>
            <w:r>
              <w:rPr>
                <w:rFonts w:ascii="宋体" w:hAnsi="宋体" w:cs="宋体"/>
                <w:b/>
                <w:bCs/>
                <w:color w:val="auto"/>
                <w:szCs w:val="21"/>
                <w:highlight w:val="none"/>
              </w:rPr>
              <w:t>+</w:t>
            </w:r>
            <w:r>
              <w:rPr>
                <w:rFonts w:ascii="宋体" w:hAnsi="宋体" w:cs="宋体"/>
                <w:b/>
                <w:bCs/>
                <w:color w:val="auto"/>
                <w:szCs w:val="21"/>
                <w:highlight w:val="none"/>
                <w:lang w:val="zh-CN"/>
              </w:rPr>
              <w:t>项目名称+项目编号+单位名称</w:t>
            </w:r>
            <w:r>
              <w:rPr>
                <w:rFonts w:ascii="宋体" w:hAnsi="宋体" w:cs="宋体"/>
                <w:b/>
                <w:bCs/>
                <w:color w:val="auto"/>
                <w:szCs w:val="21"/>
                <w:highlight w:val="none"/>
              </w:rPr>
              <w:t>+</w:t>
            </w:r>
            <w:r>
              <w:rPr>
                <w:rFonts w:ascii="宋体" w:hAnsi="宋体" w:cs="宋体"/>
                <w:b/>
                <w:bCs/>
                <w:color w:val="auto"/>
                <w:szCs w:val="21"/>
                <w:highlight w:val="none"/>
                <w:lang w:val="zh-CN"/>
              </w:rPr>
              <w:t>联系人姓名+手机号”</w:t>
            </w:r>
            <w:r>
              <w:rPr>
                <w:rFonts w:ascii="宋体" w:hAnsi="宋体" w:cs="宋体"/>
                <w:color w:val="auto"/>
                <w:szCs w:val="21"/>
                <w:highlight w:val="none"/>
                <w:lang w:val="zh-CN"/>
              </w:rPr>
              <w:t>。）</w:t>
            </w:r>
          </w:p>
          <w:p>
            <w:pPr>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lang w:val="zh-CN"/>
              </w:rPr>
              <w:t>投标人</w:t>
            </w:r>
            <w:r>
              <w:rPr>
                <w:rFonts w:ascii="宋体" w:hAnsi="宋体" w:cs="宋体"/>
                <w:color w:val="auto"/>
                <w:szCs w:val="21"/>
                <w:highlight w:val="none"/>
              </w:rPr>
              <w:t>应</w:t>
            </w:r>
            <w:r>
              <w:rPr>
                <w:rFonts w:ascii="宋体" w:hAnsi="宋体" w:cs="宋体"/>
                <w:color w:val="auto"/>
                <w:szCs w:val="21"/>
                <w:highlight w:val="none"/>
                <w:lang w:val="zh-CN"/>
              </w:rPr>
              <w:t>留足投标文件邮寄时间,确保备份投标文件于接收截止时间前送达指定地点，逾期送达或未密封将被拒收。投标人自行承担所有风险和由此带来的后果。</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4.投标人递交备份投标文件，出现下列情况之一的，将被拒收：</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（1）未按规定密封的；</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（2）由于包装不妥，在送交途中严重破损或失散的；</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（3）逾期送达的。</w:t>
            </w:r>
          </w:p>
          <w:p>
            <w:pPr>
              <w:rPr>
                <w:rFonts w:hint="default" w:ascii="宋体" w:hAnsi="宋体" w:cs="宋体"/>
                <w:b/>
                <w:bCs/>
                <w:color w:val="auto"/>
                <w:spacing w:val="11"/>
                <w:szCs w:val="21"/>
                <w:highlight w:val="none"/>
              </w:rPr>
            </w:pPr>
            <w:r>
              <w:rPr>
                <w:rFonts w:ascii="宋体" w:hAnsi="宋体" w:cs="宋体"/>
                <w:color w:val="auto"/>
                <w:szCs w:val="21"/>
                <w:highlight w:val="none"/>
              </w:rPr>
              <w:t>5.仅提供备份投标文件的投标无效。未提供或仅提供其中一种形式的备份投标文件，造成项目评标活动无法进行下去的，投标无效，相关风险由投标人自行承担。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开启时间：</w:t>
            </w:r>
            <w:r>
              <w:rPr>
                <w:rFonts w:hint="eastAsia" w:ascii="宋体" w:hAnsi="宋体" w:cs="宋体"/>
                <w:color w:val="auto"/>
                <w:szCs w:val="21"/>
                <w:highlight w:val="none"/>
                <w:u w:val="single"/>
                <w:shd w:val="clear" w:color="auto" w:fill="FFFFFF"/>
                <w:lang w:eastAsia="zh-CN"/>
              </w:rPr>
              <w:t>2022年08月02日09：00</w:t>
            </w:r>
            <w:r>
              <w:rPr>
                <w:rFonts w:ascii="宋体" w:hAnsi="宋体" w:cs="宋体"/>
                <w:color w:val="auto"/>
                <w:szCs w:val="21"/>
                <w:highlight w:val="none"/>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为严格落实国家、省市关于“要在坚决打好疫情防控攻坚战，本项目采取“不见面”形式进行开评标活动，投标人法定代表人（负责人）或其授权委托人无须到场，应通过政采云平台在线响应，并保持电话畅通。</w:t>
            </w:r>
          </w:p>
          <w:p>
            <w:pPr>
              <w:pStyle w:val="2"/>
              <w:spacing w:after="0"/>
              <w:ind w:firstLine="0" w:firstLineChars="0"/>
              <w:rPr>
                <w:rFonts w:hint="default" w:ascii="宋体" w:hAnsi="宋体" w:cs="宋体"/>
                <w:color w:val="auto"/>
                <w:szCs w:val="21"/>
                <w:highlight w:val="none"/>
                <w:lang w:val="zh-CN"/>
              </w:rPr>
            </w:pPr>
            <w:r>
              <w:rPr>
                <w:rFonts w:ascii="宋体" w:hAnsi="宋体" w:cs="宋体"/>
                <w:color w:val="auto"/>
                <w:highlight w:val="none"/>
              </w:rPr>
              <w:t>2.</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highlight w:val="none"/>
                <w:lang w:val="zh-CN"/>
              </w:rPr>
            </w:pPr>
            <w:r>
              <w:rPr>
                <w:rFonts w:ascii="宋体" w:hAnsi="宋体" w:cs="宋体"/>
                <w:color w:val="auto"/>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本次公开招标采用符合要求和服务，综合得分最高的确定中标人。</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中标人确定后2个工作日内，中标结果公告发布于“浙江省政府采购网”（http://zfcg.czt.zj.gov.cn/）、“长兴县公共资源交易中心网 ”（http://ggzy.zjcx.gov.cn:8081/cxweb/）</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中标通知书发出后</w:t>
            </w:r>
            <w:r>
              <w:rPr>
                <w:rFonts w:ascii="宋体" w:hAnsi="宋体" w:cs="宋体"/>
                <w:color w:val="auto"/>
                <w:szCs w:val="21"/>
                <w:highlight w:val="none"/>
              </w:rPr>
              <w:t>30日内</w:t>
            </w:r>
            <w:r>
              <w:rPr>
                <w:rFonts w:ascii="宋体" w:hAnsi="宋体" w:cs="宋体"/>
                <w:color w:val="auto"/>
                <w:szCs w:val="21"/>
                <w:highlight w:val="none"/>
                <w:lang w:val="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10" w:firstLineChars="100"/>
              <w:rPr>
                <w:rFonts w:hint="default" w:ascii="宋体" w:hAnsi="宋体" w:cs="宋体"/>
                <w:color w:val="auto"/>
                <w:szCs w:val="21"/>
                <w:highlight w:val="none"/>
                <w:lang w:val="zh-CN"/>
              </w:rPr>
            </w:pPr>
            <w:r>
              <w:rPr>
                <w:rFonts w:hint="eastAsia" w:ascii="宋体" w:hAnsi="宋体" w:cs="宋体"/>
                <w:color w:val="auto"/>
                <w:szCs w:val="21"/>
                <w:highlight w:val="none"/>
                <w:u w:val="single"/>
                <w:lang w:val="en-US" w:eastAsia="zh-CN"/>
              </w:rPr>
              <w:t>9</w:t>
            </w:r>
            <w:r>
              <w:rPr>
                <w:rFonts w:ascii="宋体" w:hAnsi="宋体" w:cs="宋体"/>
                <w:color w:val="auto"/>
                <w:szCs w:val="21"/>
                <w:highlight w:val="none"/>
                <w:u w:val="single"/>
              </w:rPr>
              <w:t>0</w:t>
            </w:r>
            <w:r>
              <w:rPr>
                <w:rFonts w:ascii="宋体" w:hAnsi="宋体" w:cs="宋体"/>
                <w:color w:val="auto"/>
                <w:szCs w:val="21"/>
                <w:highlight w:val="none"/>
                <w:lang w:val="zh-CN"/>
              </w:rPr>
              <w:t>天。</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6.投标人在投标活动中提供任何虚假材料,其投标无效，并报监管部门查处；中标后发现的,中标人须依照《中华人民共和国消费者权益保护法》相关规定赔偿采购人，且民事赔偿并不免除违法投标人的行政与刑事责任。                                                         </w:t>
            </w:r>
          </w:p>
          <w:p>
            <w:pPr>
              <w:snapToGrid w:val="0"/>
              <w:rPr>
                <w:rFonts w:ascii="宋体" w:hAnsi="宋体" w:cs="宋体"/>
                <w:b/>
                <w:bCs/>
                <w:color w:val="auto"/>
                <w:spacing w:val="11"/>
                <w:szCs w:val="21"/>
                <w:highlight w:val="none"/>
              </w:rPr>
            </w:pPr>
            <w:r>
              <w:rPr>
                <w:rFonts w:ascii="宋体" w:hAnsi="宋体" w:cs="宋体"/>
                <w:b/>
                <w:bCs/>
                <w:color w:val="auto"/>
                <w:spacing w:val="11"/>
                <w:szCs w:val="21"/>
                <w:highlight w:val="none"/>
              </w:rPr>
              <w:t>7.如中标，中标人需根据采购人的要求提供纸质投标文件。纸质文件必须与线上电子投标文件一致，如采购人或其他监管部门发现不一致，记入不良行为档案。</w:t>
            </w:r>
          </w:p>
          <w:p>
            <w:pPr>
              <w:snapToGrid w:val="0"/>
              <w:rPr>
                <w:rFonts w:hint="default" w:ascii="宋体" w:hAnsi="宋体" w:cs="宋体"/>
                <w:color w:val="auto"/>
                <w:szCs w:val="21"/>
                <w:highlight w:val="none"/>
                <w:lang w:val="zh-CN"/>
              </w:rPr>
            </w:pPr>
            <w:r>
              <w:rPr>
                <w:rFonts w:hint="eastAsia" w:ascii="宋体" w:hAnsi="宋体" w:cs="宋体"/>
                <w:b/>
                <w:bCs/>
                <w:color w:val="auto"/>
                <w:spacing w:val="11"/>
                <w:szCs w:val="21"/>
                <w:highlight w:val="none"/>
                <w:u w:val="single"/>
                <w:lang w:val="en-US" w:eastAsia="zh-CN"/>
              </w:rPr>
              <w:t>8.本项目允许采购进口产品。</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1</w:t>
            </w:r>
          </w:p>
        </w:tc>
        <w:tc>
          <w:tcPr>
            <w:tcW w:w="165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政府采购政策相关说明（</w:t>
            </w:r>
            <w:r>
              <w:rPr>
                <w:rFonts w:hint="eastAsia" w:ascii="宋体" w:hAnsi="宋体" w:cs="宋体"/>
                <w:b/>
                <w:bCs/>
                <w:color w:val="auto"/>
                <w:szCs w:val="21"/>
                <w:highlight w:val="none"/>
                <w:lang w:eastAsia="zh-CN"/>
              </w:rPr>
              <w:t>货物类</w:t>
            </w:r>
            <w:r>
              <w:rPr>
                <w:rFonts w:ascii="宋体" w:hAnsi="宋体" w:cs="宋体"/>
                <w:b/>
                <w:bCs/>
                <w:color w:val="auto"/>
                <w:szCs w:val="21"/>
                <w:highlight w:val="none"/>
              </w:rPr>
              <w:t>）</w:t>
            </w:r>
          </w:p>
        </w:tc>
        <w:tc>
          <w:tcPr>
            <w:tcW w:w="6977" w:type="dxa"/>
            <w:tcBorders>
              <w:top w:val="single" w:color="auto" w:sz="6" w:space="0"/>
              <w:left w:val="single" w:color="auto" w:sz="6" w:space="0"/>
              <w:bottom w:val="single" w:color="auto" w:sz="6" w:space="0"/>
              <w:right w:val="single" w:color="auto" w:sz="6" w:space="0"/>
            </w:tcBorders>
            <w:vAlign w:val="center"/>
          </w:tcPr>
          <w:p>
            <w:pPr>
              <w:pStyle w:val="2"/>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（一）文件依据</w:t>
            </w:r>
          </w:p>
          <w:p>
            <w:pPr>
              <w:pStyle w:val="2"/>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pPr>
              <w:pStyle w:val="2"/>
              <w:adjustRightInd w:val="0"/>
              <w:snapToGrid w:val="0"/>
              <w:spacing w:after="0" w:line="310" w:lineRule="exact"/>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）关于进一步加大政府采购支持中小企业力度的通知（ 财库〔2022〕19号）</w:t>
            </w:r>
          </w:p>
          <w:p>
            <w:pPr>
              <w:pStyle w:val="2"/>
              <w:adjustRightInd w:val="0"/>
              <w:snapToGrid w:val="0"/>
              <w:spacing w:after="0" w:line="310" w:lineRule="exact"/>
              <w:ind w:firstLine="0" w:firstLineChars="0"/>
              <w:rPr>
                <w:rFonts w:hint="eastAsia"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w:t>
            </w:r>
            <w:r>
              <w:rPr>
                <w:rFonts w:hint="eastAsia" w:ascii="宋体" w:hAnsi="宋体" w:cs="宋体"/>
                <w:b/>
                <w:bCs/>
                <w:color w:val="auto"/>
                <w:szCs w:val="21"/>
                <w:highlight w:val="none"/>
              </w:rPr>
              <w:t>浙江省财政厅关于进一步加大政府采购支持中小企业力度 助力扎实稳住经济的通知（浙财采监〔2022〕8号）</w:t>
            </w:r>
          </w:p>
          <w:p>
            <w:pPr>
              <w:pStyle w:val="2"/>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）浙江省财政厅关于进一步发挥政府采购政策功能全力推动经济稳进提质的通知（浙财采监〔2022〕3号）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）关于印发《政府采购促进中小企业发展管理办法》的通知（财库〔2020〕46号）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ascii="宋体" w:hAnsi="宋体" w:cs="宋体"/>
                <w:color w:val="auto"/>
                <w:szCs w:val="21"/>
                <w:highlight w:val="none"/>
              </w:rPr>
              <w:t>）《工业和信息化部、国家统计局、国家发展和改革委员会、财政部关于印发中小企业划型标准规定的通知》（工信部联企业〔2011〕300号）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）浙江省财政厅、浙江省中小企业局转发财政部、工业和信息化部关于《政府采购促进中小企业发展暂行办法》的通知（浙财采监〔2012〕11号）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）财政部、司法部《关于政府采购支持监狱企业发展有关问题的通知》（财库〔2014〕68号）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）《财政部 民政部 中国残疾人联合会关于促进残疾人就业政府采购政策的通知》（财库〔2017〕 141号）</w:t>
            </w:r>
          </w:p>
          <w:p>
            <w:pPr>
              <w:pStyle w:val="2"/>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9</w:t>
            </w:r>
            <w:r>
              <w:rPr>
                <w:rFonts w:ascii="宋体" w:hAnsi="宋体" w:cs="宋体"/>
                <w:color w:val="auto"/>
                <w:szCs w:val="21"/>
                <w:highlight w:val="none"/>
              </w:rPr>
              <w:t>）浙江省财政厅 浙江省经济和信息化委员会 浙江省中小企业局关于简化中小企业类别确认流程有关事项的通知（浙财采监〔2018〕2号）</w:t>
            </w:r>
          </w:p>
          <w:p>
            <w:pPr>
              <w:pStyle w:val="2"/>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2.节能环保政策</w:t>
            </w:r>
          </w:p>
          <w:p>
            <w:pPr>
              <w:pStyle w:val="2"/>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（1）财政部 发展改革委 生态环境部 市场监督总局关于调整优化节能产品环境标志产品政府采购执行机制的通知（财库〔2019〕9号）</w:t>
            </w:r>
          </w:p>
          <w:p>
            <w:pPr>
              <w:pStyle w:val="2"/>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（2） 关于印发环境标志产品政府采购品目清单的通知（财库〔2019〕18号）</w:t>
            </w:r>
          </w:p>
          <w:p>
            <w:pPr>
              <w:pStyle w:val="2"/>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（3）关于印发节能产品政府采购品目清单的通知（财库〔2019〕19号）</w:t>
            </w:r>
          </w:p>
          <w:p>
            <w:pPr>
              <w:pStyle w:val="2"/>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（4）市场监管总局关于发布参与实施政府采购节能产品、环境标志产品认证机构名录的公告（2020年第16号）</w:t>
            </w:r>
          </w:p>
          <w:p>
            <w:pPr>
              <w:pStyle w:val="2"/>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（二）为落实政府采购政策需满足的要求</w:t>
            </w:r>
          </w:p>
          <w:p>
            <w:pPr>
              <w:pStyle w:val="2"/>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pPr>
              <w:pStyle w:val="2"/>
              <w:keepNext w:val="0"/>
              <w:keepLines w:val="0"/>
              <w:pageBreakBefore w:val="0"/>
              <w:widowControl w:val="0"/>
              <w:kinsoku/>
              <w:wordWrap/>
              <w:overflowPunct/>
              <w:topLinePunct w:val="0"/>
              <w:autoSpaceDE/>
              <w:autoSpaceDN/>
              <w:bidi w:val="0"/>
              <w:adjustRightInd w:val="0"/>
              <w:snapToGrid w:val="0"/>
              <w:spacing w:after="0" w:line="310" w:lineRule="exact"/>
              <w:ind w:firstLine="420" w:firstLineChars="200"/>
              <w:textAlignment w:val="auto"/>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1</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singl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2"/>
              <w:adjustRightInd w:val="0"/>
              <w:snapToGrid w:val="0"/>
              <w:spacing w:after="0" w:line="31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（2）</w:t>
            </w:r>
            <w:r>
              <w:rPr>
                <w:rFonts w:ascii="宋体" w:hAnsi="宋体" w:cs="宋体"/>
                <w:color w:val="auto"/>
                <w:szCs w:val="21"/>
                <w:highlight w:val="none"/>
                <w:u w:val="single"/>
              </w:rPr>
              <w:t>中小企业参加政府采购活动，应当出具符合规定的《中小企业声明函》,否则不得享受相关中小企业扶持政策。</w:t>
            </w:r>
            <w:r>
              <w:rPr>
                <w:rFonts w:ascii="宋体" w:hAnsi="宋体" w:cs="宋体"/>
                <w:b/>
                <w:bCs/>
                <w:color w:val="auto"/>
                <w:szCs w:val="21"/>
                <w:highlight w:val="none"/>
                <w:u w:val="single"/>
              </w:rPr>
              <w:t>符合规定的，根据投标人须知前附表中的相关要求来执行。</w:t>
            </w:r>
          </w:p>
          <w:p>
            <w:pPr>
              <w:pStyle w:val="2"/>
              <w:adjustRightInd w:val="0"/>
              <w:snapToGrid w:val="0"/>
              <w:spacing w:after="0" w:line="32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（3）</w:t>
            </w:r>
            <w:r>
              <w:rPr>
                <w:rFonts w:ascii="宋体" w:hAnsi="宋体" w:cs="宋体"/>
                <w:color w:val="auto"/>
                <w:szCs w:val="21"/>
                <w:highlight w:val="none"/>
                <w:u w:val="single"/>
              </w:rPr>
              <w:t>在政府采购活动中，监狱企业、残疾人福利性单位视同小型、微型企业；符合中小企业划分标准的个体工商户，在政府采购活动中视同中小企业；其均享受中小企业扶持政策。</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（4）价格扣除有关政策</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hint="eastAsia" w:ascii="宋体" w:hAnsi="宋体" w:cs="宋体"/>
                <w:b w:val="0"/>
                <w:bCs w:val="0"/>
                <w:color w:val="auto"/>
                <w:szCs w:val="21"/>
                <w:highlight w:val="none"/>
              </w:rPr>
              <w:t>根据《政府采购促进中小企业发展管理办法》的通知（财库〔2020〕46号）</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关于进一步加大政府采购支持中小企业力度的通知（ 财库〔2022〕19号）</w:t>
            </w:r>
            <w:r>
              <w:rPr>
                <w:rFonts w:hint="eastAsia" w:ascii="宋体" w:hAnsi="宋体" w:cs="宋体"/>
                <w:color w:val="auto"/>
                <w:szCs w:val="21"/>
                <w:highlight w:val="none"/>
                <w:lang w:eastAsia="zh-CN"/>
              </w:rPr>
              <w:t>、浙江省财政厅关于进一步加大政府采购支持中小企业力度 助力扎实稳住经济的通知（浙财采监〔2022〕8号）</w:t>
            </w:r>
            <w:r>
              <w:rPr>
                <w:rFonts w:hint="eastAsia" w:ascii="宋体" w:hAnsi="宋体" w:cs="宋体"/>
                <w:b w:val="0"/>
                <w:bCs w:val="0"/>
                <w:color w:val="auto"/>
                <w:szCs w:val="21"/>
                <w:highlight w:val="none"/>
                <w:lang w:eastAsia="zh-CN"/>
              </w:rPr>
              <w:t>及浙江省财政厅关于进一步发挥政府采购政策功能全力推动经济稳进提质的通知（浙财采监〔2022〕3号）</w:t>
            </w:r>
            <w:r>
              <w:rPr>
                <w:rFonts w:ascii="宋体" w:hAnsi="宋体" w:cs="宋体"/>
                <w:color w:val="auto"/>
                <w:szCs w:val="21"/>
                <w:highlight w:val="none"/>
              </w:rPr>
              <w:t>规定，对于经主管预算单位统筹后未预留份额专门面向中小企业采购的采购项目，以及预留份额项目中的非预留部分采购包，采购单位、采购代理机构应当对符合本办法规定的小微企业报价给予</w:t>
            </w:r>
            <w:r>
              <w:rPr>
                <w:rFonts w:hint="eastAsia" w:ascii="宋体" w:hAnsi="宋体" w:cs="宋体"/>
                <w:color w:val="auto"/>
                <w:szCs w:val="21"/>
                <w:highlight w:val="none"/>
                <w:u w:val="single"/>
                <w:lang w:val="en-US" w:eastAsia="zh-CN"/>
              </w:rPr>
              <w:t>2</w:t>
            </w:r>
            <w:r>
              <w:rPr>
                <w:rFonts w:ascii="宋体" w:hAnsi="宋体" w:cs="宋体"/>
                <w:color w:val="auto"/>
                <w:szCs w:val="21"/>
                <w:highlight w:val="none"/>
                <w:u w:val="single"/>
              </w:rPr>
              <w:t>0%</w:t>
            </w:r>
            <w:r>
              <w:rPr>
                <w:rFonts w:ascii="宋体" w:hAnsi="宋体" w:cs="宋体"/>
                <w:color w:val="auto"/>
                <w:szCs w:val="21"/>
                <w:highlight w:val="none"/>
              </w:rPr>
              <w:t>的扣除，用扣除后的价格参加评审。</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w:t>
            </w:r>
            <w:r>
              <w:rPr>
                <w:rFonts w:hint="eastAsia" w:ascii="宋体" w:hAnsi="宋体" w:cs="宋体"/>
                <w:color w:val="auto"/>
                <w:szCs w:val="21"/>
                <w:highlight w:val="none"/>
                <w:u w:val="single"/>
                <w:lang w:val="en-US" w:eastAsia="zh-CN"/>
              </w:rPr>
              <w:t>6</w:t>
            </w:r>
            <w:r>
              <w:rPr>
                <w:rFonts w:ascii="宋体" w:hAnsi="宋体" w:cs="宋体"/>
                <w:color w:val="auto"/>
                <w:szCs w:val="21"/>
                <w:highlight w:val="none"/>
                <w:u w:val="single"/>
              </w:rPr>
              <w:t>%</w:t>
            </w:r>
            <w:r>
              <w:rPr>
                <w:rFonts w:ascii="宋体" w:hAnsi="宋体" w:cs="宋体"/>
                <w:color w:val="auto"/>
                <w:szCs w:val="21"/>
                <w:highlight w:val="none"/>
              </w:rPr>
              <w:t>的扣除，用扣除后的价格参加评审。</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组成联合体或者接受分包的小微企业与联合体内其他企业、分包企业之间存在直接控股、管理关系的，不享受价格扣除优惠政策。</w:t>
            </w:r>
          </w:p>
          <w:p>
            <w:pPr>
              <w:tabs>
                <w:tab w:val="left" w:pos="1080"/>
                <w:tab w:val="left" w:pos="1436"/>
              </w:tabs>
              <w:spacing w:line="320" w:lineRule="exact"/>
              <w:ind w:firstLine="422" w:firstLineChars="200"/>
              <w:rPr>
                <w:rFonts w:hint="default" w:ascii="宋体" w:hAnsi="宋体" w:cs="宋体"/>
                <w:color w:val="auto"/>
                <w:szCs w:val="21"/>
                <w:highlight w:val="none"/>
              </w:rPr>
            </w:pPr>
            <w:r>
              <w:rPr>
                <w:rFonts w:ascii="宋体" w:hAnsi="宋体" w:cs="宋体"/>
                <w:b/>
                <w:bCs/>
                <w:color w:val="auto"/>
                <w:szCs w:val="21"/>
                <w:highlight w:val="none"/>
              </w:rPr>
              <w:t>（5）价格扣除说明（</w:t>
            </w:r>
            <w:r>
              <w:rPr>
                <w:rFonts w:ascii="宋体" w:hAnsi="宋体" w:cs="宋体"/>
                <w:b/>
                <w:bCs/>
                <w:color w:val="auto"/>
                <w:szCs w:val="21"/>
                <w:highlight w:val="none"/>
                <w:u w:val="single"/>
              </w:rPr>
              <w:t>本项目适用</w:t>
            </w:r>
            <w:r>
              <w:rPr>
                <w:rFonts w:ascii="宋体" w:hAnsi="宋体" w:cs="宋体"/>
                <w:b/>
                <w:bCs/>
                <w:color w:val="auto"/>
                <w:szCs w:val="21"/>
                <w:highlight w:val="none"/>
              </w:rPr>
              <w:t>）</w:t>
            </w:r>
          </w:p>
          <w:p>
            <w:pPr>
              <w:tabs>
                <w:tab w:val="left" w:pos="1080"/>
                <w:tab w:val="left" w:pos="1436"/>
              </w:tabs>
              <w:spacing w:line="320" w:lineRule="exact"/>
              <w:ind w:firstLine="420" w:firstLineChars="2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①</w:t>
            </w:r>
            <w:r>
              <w:rPr>
                <w:rFonts w:hint="eastAsia" w:ascii="宋体" w:hAnsi="宋体" w:cs="宋体"/>
                <w:b w:val="0"/>
                <w:bCs w:val="0"/>
                <w:color w:val="auto"/>
                <w:szCs w:val="21"/>
                <w:highlight w:val="none"/>
              </w:rPr>
              <w:t>根据《政府采购促进中小企业发展管理办法》的通知（财库〔2020〕46号）</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关于进一步加大政府采购支持中小企业力度的通知（ 财库〔2022〕19号）</w:t>
            </w:r>
            <w:r>
              <w:rPr>
                <w:rFonts w:hint="eastAsia" w:ascii="宋体" w:hAnsi="宋体" w:cs="宋体"/>
                <w:color w:val="auto"/>
                <w:szCs w:val="21"/>
                <w:highlight w:val="none"/>
                <w:lang w:eastAsia="zh-CN"/>
              </w:rPr>
              <w:t>、浙江省财政厅关于进一步加大政府采购支持中小企业力度 助力扎实稳住经济的通知（浙财采监〔2022〕8号）</w:t>
            </w:r>
            <w:r>
              <w:rPr>
                <w:rFonts w:hint="eastAsia" w:ascii="宋体" w:hAnsi="宋体" w:cs="宋体"/>
                <w:b w:val="0"/>
                <w:bCs w:val="0"/>
                <w:color w:val="auto"/>
                <w:szCs w:val="21"/>
                <w:highlight w:val="none"/>
                <w:lang w:eastAsia="zh-CN"/>
              </w:rPr>
              <w:t>及浙江省财政厅关于进一步发挥政府采购政策功能全力推动经济稳进提质的通知（浙财采监〔2022〕3号）</w:t>
            </w:r>
            <w:r>
              <w:rPr>
                <w:rFonts w:hint="eastAsia" w:ascii="宋体" w:hAnsi="宋体" w:cs="宋体"/>
                <w:b w:val="0"/>
                <w:bCs w:val="0"/>
                <w:color w:val="auto"/>
                <w:szCs w:val="21"/>
                <w:highlight w:val="none"/>
              </w:rPr>
              <w:t>的规定，若货物由小型或微型企业制造的，应当在</w:t>
            </w:r>
            <w:r>
              <w:rPr>
                <w:rFonts w:hint="eastAsia" w:ascii="宋体" w:hAnsi="宋体" w:cs="宋体"/>
                <w:b w:val="0"/>
                <w:bCs w:val="0"/>
                <w:color w:val="auto"/>
                <w:szCs w:val="21"/>
                <w:highlight w:val="none"/>
                <w:lang w:eastAsia="zh-CN"/>
              </w:rPr>
              <w:t>投标文件</w:t>
            </w:r>
            <w:r>
              <w:rPr>
                <w:rFonts w:hint="eastAsia" w:ascii="宋体" w:hAnsi="宋体" w:cs="宋体"/>
                <w:b w:val="0"/>
                <w:bCs w:val="0"/>
                <w:color w:val="auto"/>
                <w:szCs w:val="21"/>
                <w:highlight w:val="none"/>
              </w:rPr>
              <w:t>中出具此办法规定的《中小企业声明函》，并在报价明细表中说明制造商情况。对符合规定的小型、微型企业报价给予</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20</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rPr>
              <w:t>的扣除。</w:t>
            </w:r>
          </w:p>
          <w:p>
            <w:pPr>
              <w:pStyle w:val="30"/>
              <w:spacing w:line="320" w:lineRule="exact"/>
              <w:ind w:firstLine="42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在货物采购项目中，供应商提供的货物既有中小企业制造货物，也有大型企业制造货物的，不享受此办法规定的中小企业扶持政策。以联合体形式参加政府采购活动，联合体各方均为中小企业的，联合体视同中小企业。其中，联合体各方均为小微企业的，联合体视同小微企业。</w:t>
            </w:r>
          </w:p>
          <w:p>
            <w:pPr>
              <w:tabs>
                <w:tab w:val="left" w:pos="1080"/>
                <w:tab w:val="left" w:pos="1436"/>
              </w:tabs>
              <w:spacing w:line="320" w:lineRule="exact"/>
              <w:ind w:firstLine="420" w:firstLineChars="2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②</w:t>
            </w:r>
            <w:r>
              <w:rPr>
                <w:rFonts w:hint="eastAsia" w:ascii="宋体" w:hAnsi="宋体" w:cs="宋体"/>
                <w:b w:val="0"/>
                <w:bCs w:val="0"/>
                <w:color w:val="auto"/>
                <w:szCs w:val="21"/>
                <w:highlight w:val="none"/>
              </w:rPr>
              <w:t>根据《关于政府采购支持监狱企业发展有关问题的通知》（财库〔2014〕68号）的规定，在政府采购活动中，监狱企业视同小型、微型企业，享受预留份额、评审中价格扣除等促进中小企业发展的政府采购政策，应当在</w:t>
            </w:r>
            <w:r>
              <w:rPr>
                <w:rFonts w:hint="eastAsia" w:ascii="宋体" w:hAnsi="宋体" w:cs="宋体"/>
                <w:b w:val="0"/>
                <w:bCs w:val="0"/>
                <w:color w:val="auto"/>
                <w:szCs w:val="21"/>
                <w:highlight w:val="none"/>
                <w:lang w:eastAsia="zh-CN"/>
              </w:rPr>
              <w:t>投标文件</w:t>
            </w:r>
            <w:r>
              <w:rPr>
                <w:rFonts w:hint="eastAsia" w:ascii="宋体" w:hAnsi="宋体" w:cs="宋体"/>
                <w:b w:val="0"/>
                <w:bCs w:val="0"/>
                <w:color w:val="auto"/>
                <w:szCs w:val="21"/>
                <w:highlight w:val="none"/>
              </w:rPr>
              <w:t>中提供由省级以上监狱管理局、戒毒管理局（含新疆生产建设兵团）出具的属于监狱企业的证明文件（格式自拟），对符合规定的企业报价给予</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20</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rPr>
              <w:t>的扣除。</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hint="eastAsia" w:ascii="宋体" w:hAnsi="宋体" w:eastAsia="宋体" w:cs="宋体"/>
                <w:b w:val="0"/>
                <w:bCs w:val="0"/>
                <w:color w:val="auto"/>
                <w:szCs w:val="21"/>
                <w:highlight w:val="none"/>
              </w:rPr>
              <w:t>③</w:t>
            </w:r>
            <w:r>
              <w:rPr>
                <w:rFonts w:hint="eastAsia" w:ascii="宋体" w:hAnsi="宋体" w:cs="宋体"/>
                <w:b w:val="0"/>
                <w:bCs w:val="0"/>
                <w:color w:val="auto"/>
                <w:szCs w:val="21"/>
                <w:highlight w:val="none"/>
              </w:rPr>
              <w:t>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货物由残疾人福利性单位制造的，应当在</w:t>
            </w:r>
            <w:r>
              <w:rPr>
                <w:rFonts w:hint="eastAsia" w:ascii="宋体" w:hAnsi="宋体" w:cs="宋体"/>
                <w:b w:val="0"/>
                <w:bCs w:val="0"/>
                <w:color w:val="auto"/>
                <w:szCs w:val="21"/>
                <w:highlight w:val="none"/>
                <w:lang w:eastAsia="zh-CN"/>
              </w:rPr>
              <w:t>投标文件</w:t>
            </w:r>
            <w:r>
              <w:rPr>
                <w:rFonts w:hint="eastAsia" w:ascii="宋体" w:hAnsi="宋体" w:cs="宋体"/>
                <w:b w:val="0"/>
                <w:bCs w:val="0"/>
                <w:color w:val="auto"/>
                <w:szCs w:val="21"/>
                <w:highlight w:val="none"/>
              </w:rPr>
              <w:t>中提供此办法规定的《残疾人福利性单位声明函》（格式见附件），对符合规定的企业报价给予</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20</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rPr>
              <w:t>的扣除。</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上述①、②、③价格扣除不重复计算，</w:t>
            </w:r>
            <w:r>
              <w:rPr>
                <w:rFonts w:hAnsi="宋体" w:cs="宋体"/>
                <w:color w:val="auto"/>
                <w:szCs w:val="21"/>
                <w:highlight w:val="none"/>
              </w:rPr>
              <w:t>未提供以上材料的，均不给予价格扣除</w:t>
            </w:r>
            <w:r>
              <w:rPr>
                <w:rFonts w:ascii="宋体" w:hAnsi="宋体" w:cs="宋体"/>
                <w:color w:val="auto"/>
                <w:szCs w:val="21"/>
                <w:highlight w:val="none"/>
              </w:rPr>
              <w:t>。</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此项由评标委员会集体核实后统一打分。</w:t>
            </w:r>
          </w:p>
          <w:p>
            <w:pPr>
              <w:pStyle w:val="2"/>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2.其他的国家政策支持</w:t>
            </w:r>
          </w:p>
          <w:p>
            <w:pPr>
              <w:pStyle w:val="2"/>
              <w:adjustRightInd w:val="0"/>
              <w:snapToGrid w:val="0"/>
              <w:spacing w:line="320" w:lineRule="exact"/>
              <w:ind w:firstLineChars="200"/>
              <w:rPr>
                <w:rFonts w:hint="default" w:ascii="宋体" w:hAnsi="宋体" w:cs="宋体"/>
                <w:b/>
                <w:bCs/>
                <w:color w:val="auto"/>
                <w:spacing w:val="11"/>
                <w:szCs w:val="21"/>
                <w:highlight w:val="none"/>
              </w:rPr>
            </w:pPr>
            <w:r>
              <w:rPr>
                <w:rFonts w:ascii="宋体" w:hAnsi="宋体" w:cs="宋体"/>
                <w:color w:val="auto"/>
                <w:szCs w:val="21"/>
                <w:highlight w:val="none"/>
              </w:rPr>
              <w:t>供应商享受其他国家政策支持的，需提供相关证明材料，详见评标方法，符合要求的，相应评分予以得分。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2</w:t>
            </w:r>
            <w:bookmarkStart w:id="38" w:name="_GoBack"/>
            <w:bookmarkEnd w:id="38"/>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本招标文件的解释权属于采购人及采购代理机构。</w:t>
            </w:r>
          </w:p>
        </w:tc>
      </w:tr>
    </w:tbl>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bookmarkStart w:id="26" w:name="_Toc423016465"/>
      <w:r>
        <w:rPr>
          <w:rFonts w:hint="eastAsia" w:ascii="宋体" w:hAnsi="宋体" w:cs="宋体"/>
          <w:color w:val="auto"/>
          <w:sz w:val="21"/>
          <w:szCs w:val="21"/>
          <w:highlight w:val="none"/>
          <w:lang w:val="zh-CN"/>
        </w:rPr>
        <w:t>一、总  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szCs w:val="21"/>
          <w:highlight w:val="none"/>
          <w:lang w:val="zh-CN"/>
        </w:rPr>
        <w:t>的招标、投标、评标、定标、验收、合同履约、付款等行为（法律、法规另有规定的，从其规定）。</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投标人代表须携带有效身份证件。如投标人代表不是法定代表人（负责人），须有法定代表人（负责人）出具的授权委托书。</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hint="eastAsia" w:ascii="宋体" w:hAnsi="宋体" w:cs="宋体"/>
          <w:b/>
          <w:color w:val="auto"/>
          <w:szCs w:val="21"/>
          <w:highlight w:val="none"/>
          <w:lang w:val="en-US" w:eastAsia="zh-CN"/>
        </w:rPr>
        <w:t>八</w:t>
      </w:r>
      <w:r>
        <w:rPr>
          <w:rFonts w:ascii="宋体" w:hAnsi="宋体" w:cs="宋体"/>
          <w:b/>
          <w:color w:val="auto"/>
          <w:szCs w:val="21"/>
          <w:highlight w:val="none"/>
          <w:lang w:val="zh-CN"/>
        </w:rPr>
        <w:t>) 特别说明：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hint="eastAsia" w:ascii="宋体" w:hAnsi="宋体" w:cs="宋体"/>
          <w:b/>
          <w:color w:val="auto"/>
          <w:szCs w:val="21"/>
          <w:highlight w:val="none"/>
          <w:lang w:val="en-US" w:eastAsia="zh-CN"/>
        </w:rPr>
        <w:t>九</w:t>
      </w:r>
      <w:r>
        <w:rPr>
          <w:rFonts w:ascii="宋体" w:hAnsi="宋体" w:cs="宋体"/>
          <w:b/>
          <w:color w:val="auto"/>
          <w:szCs w:val="21"/>
          <w:highlight w:val="none"/>
          <w:lang w:val="zh-CN"/>
        </w:rPr>
        <w:t>）质疑和投诉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质疑联系人：李工，联系电话：0</w:t>
      </w:r>
      <w:r>
        <w:rPr>
          <w:rFonts w:ascii="宋体" w:hAnsi="宋体" w:cs="宋体"/>
          <w:color w:val="auto"/>
          <w:szCs w:val="21"/>
          <w:highlight w:val="none"/>
        </w:rPr>
        <w:t>572-6038878，电子文件邮寄地址：2540168359@qq.com。</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hint="eastAsia" w:ascii="宋体" w:hAnsi="宋体" w:cs="宋体"/>
          <w:b/>
          <w:color w:val="auto"/>
          <w:szCs w:val="21"/>
          <w:highlight w:val="none"/>
          <w:lang w:val="zh-CN"/>
        </w:rPr>
        <w:t>2022年07月20日</w:t>
      </w:r>
      <w:r>
        <w:rPr>
          <w:rFonts w:ascii="宋体" w:hAnsi="宋体" w:cs="宋体"/>
          <w:b/>
          <w:color w:val="auto"/>
          <w:szCs w:val="21"/>
          <w:highlight w:val="none"/>
          <w:lang w:val="zh-CN"/>
        </w:rPr>
        <w:t>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8"/>
          <w:rFonts w:hint="eastAsia" w:ascii="宋体" w:hAnsi="宋体" w:cs="宋体"/>
          <w:color w:val="auto"/>
          <w:szCs w:val="21"/>
          <w:highlight w:val="none"/>
          <w:lang w:val="zh-CN"/>
        </w:rPr>
        <w:t>同时请将该书面文件的电子文档发送至</w:t>
      </w:r>
      <w:r>
        <w:rPr>
          <w:rStyle w:val="28"/>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ascii="宋体" w:hAnsi="宋体" w:cs="宋体"/>
          <w:b/>
          <w:bCs/>
          <w:color w:val="auto"/>
          <w:szCs w:val="21"/>
          <w:highlight w:val="none"/>
          <w:u w:val="single"/>
        </w:rPr>
        <w:t>2540168359@qq.com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w:t>
      </w:r>
      <w:r>
        <w:rPr>
          <w:rFonts w:ascii="宋体" w:hAnsi="宋体" w:cs="宋体"/>
          <w:color w:val="auto"/>
          <w:szCs w:val="21"/>
          <w:highlight w:val="none"/>
          <w:lang w:val="zh-CN"/>
        </w:rPr>
        <w:t>将在财政部门指定的政府采购信息发布媒体上发布更正公告</w:t>
      </w:r>
      <w:r>
        <w:rPr>
          <w:rFonts w:ascii="宋体" w:hAnsi="宋体" w:cs="宋体"/>
          <w:color w:val="auto"/>
          <w:szCs w:val="21"/>
          <w:highlight w:val="none"/>
          <w:lang w:val="zh-CN"/>
        </w:rPr>
        <w:t>。</w:t>
      </w:r>
      <w:r>
        <w:rPr>
          <w:rFonts w:ascii="宋体" w:hAnsi="宋体" w:cs="宋体"/>
          <w:b/>
          <w:color w:val="auto"/>
          <w:szCs w:val="21"/>
          <w:highlight w:val="none"/>
          <w:lang w:val="zh-CN"/>
        </w:rPr>
        <w:t>逾期提出的，采购代理机构可不予受理、答复，但法律法规及规范性文件有明确规定的除外。</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）投标声明书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）投标资格审查表（自查）；（格式见附件，投标人根据自身情况如实填写）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）投标资格证明材料；（格式见附件，根据《投标资格审查表（自查）》中提及的材料如实提供，复印件加盖公章）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w:t>
      </w:r>
      <w:r>
        <w:rPr>
          <w:rFonts w:ascii="宋体" w:hAnsi="宋体" w:cs="宋体"/>
          <w:color w:val="auto"/>
          <w:szCs w:val="21"/>
          <w:highlight w:val="none"/>
          <w:lang w:val="zh-CN"/>
        </w:rPr>
        <w:t>；（格式见附件）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）投标人情况介绍；（格式自拟）</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w:t>
      </w:r>
      <w:r>
        <w:rPr>
          <w:rFonts w:hint="eastAsia" w:ascii="宋体" w:hAnsi="宋体"/>
          <w:color w:val="auto"/>
          <w:szCs w:val="21"/>
          <w:highlight w:val="none"/>
        </w:rPr>
        <w:t>企业实力</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w:t>
      </w:r>
      <w:r>
        <w:rPr>
          <w:rFonts w:hint="eastAsia" w:ascii="宋体" w:hAnsi="宋体"/>
          <w:color w:val="auto"/>
          <w:szCs w:val="21"/>
          <w:highlight w:val="none"/>
        </w:rPr>
        <w:t>企业荣誉</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）企业业绩；（根据评标方法提供，投标人同类项目实施情况一览表</w:t>
      </w:r>
      <w:r>
        <w:rPr>
          <w:rFonts w:ascii="宋体" w:hAnsi="宋体" w:cs="宋体"/>
          <w:color w:val="auto"/>
          <w:szCs w:val="21"/>
          <w:highlight w:val="none"/>
        </w:rPr>
        <w:t>,</w:t>
      </w:r>
      <w:r>
        <w:rPr>
          <w:rFonts w:ascii="宋体" w:hAnsi="宋体" w:cs="宋体"/>
          <w:color w:val="auto"/>
          <w:szCs w:val="21"/>
          <w:highlight w:val="none"/>
          <w:lang w:val="zh-CN"/>
        </w:rPr>
        <w:t>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）售后服务；（根据评标方法提供</w:t>
      </w:r>
      <w:r>
        <w:rPr>
          <w:rFonts w:ascii="宋体" w:hAnsi="宋体" w:cs="宋体"/>
          <w:color w:val="auto"/>
          <w:szCs w:val="21"/>
          <w:highlight w:val="none"/>
        </w:rPr>
        <w:t>,</w:t>
      </w:r>
      <w:r>
        <w:rPr>
          <w:rFonts w:ascii="宋体" w:hAnsi="宋体" w:cs="宋体"/>
          <w:color w:val="auto"/>
          <w:szCs w:val="21"/>
          <w:highlight w:val="none"/>
          <w:lang w:val="zh-CN"/>
        </w:rPr>
        <w:t>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w:t>
      </w:r>
      <w:r>
        <w:rPr>
          <w:rFonts w:hint="eastAsia" w:ascii="宋体" w:hAnsi="宋体"/>
          <w:color w:val="auto"/>
          <w:szCs w:val="21"/>
          <w:highlight w:val="none"/>
        </w:rPr>
        <w:t>技术培训</w:t>
      </w:r>
      <w:r>
        <w:rPr>
          <w:rFonts w:ascii="宋体" w:hAnsi="宋体" w:cs="宋体"/>
          <w:color w:val="auto"/>
          <w:szCs w:val="21"/>
          <w:highlight w:val="none"/>
          <w:lang w:val="zh-CN"/>
        </w:rPr>
        <w:t>；（根据评标方法提供）</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）商务响应表；（格式见附件）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）政策分相关证明材料；（除小微企业扶持外的政策扶持，根据评标方法提供，如有，复印件加盖公章）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w:t>
      </w:r>
      <w:r>
        <w:rPr>
          <w:rFonts w:hint="eastAsia" w:ascii="宋体" w:hAnsi="宋体"/>
          <w:color w:val="auto"/>
          <w:szCs w:val="21"/>
          <w:highlight w:val="none"/>
        </w:rPr>
        <w:t>项目理解</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w:t>
      </w:r>
      <w:r>
        <w:rPr>
          <w:rFonts w:hint="eastAsia" w:ascii="宋体" w:hAnsi="宋体"/>
          <w:color w:val="auto"/>
          <w:szCs w:val="21"/>
          <w:highlight w:val="none"/>
        </w:rPr>
        <w:t>项目实施方案</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12</w:t>
      </w:r>
      <w:r>
        <w:rPr>
          <w:rFonts w:ascii="宋体" w:hAnsi="宋体" w:cs="宋体"/>
          <w:color w:val="auto"/>
          <w:szCs w:val="21"/>
          <w:highlight w:val="none"/>
          <w:lang w:val="zh-CN"/>
        </w:rPr>
        <w:t>）</w:t>
      </w:r>
      <w:r>
        <w:rPr>
          <w:rFonts w:hint="eastAsia" w:ascii="宋体" w:hAnsi="宋体"/>
          <w:color w:val="auto"/>
          <w:szCs w:val="21"/>
          <w:highlight w:val="none"/>
        </w:rPr>
        <w:t>质量控制措施</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13</w:t>
      </w:r>
      <w:r>
        <w:rPr>
          <w:rFonts w:ascii="宋体" w:hAnsi="宋体" w:cs="宋体"/>
          <w:color w:val="auto"/>
          <w:szCs w:val="21"/>
          <w:highlight w:val="none"/>
          <w:lang w:val="zh-CN"/>
        </w:rPr>
        <w:t>）</w:t>
      </w:r>
      <w:r>
        <w:rPr>
          <w:rFonts w:hint="eastAsia" w:ascii="宋体" w:hAnsi="宋体"/>
          <w:color w:val="auto"/>
          <w:szCs w:val="21"/>
          <w:highlight w:val="none"/>
        </w:rPr>
        <w:t>应急保障能力</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14</w:t>
      </w:r>
      <w:r>
        <w:rPr>
          <w:rFonts w:ascii="宋体" w:hAnsi="宋体" w:cs="宋体"/>
          <w:color w:val="auto"/>
          <w:szCs w:val="21"/>
          <w:highlight w:val="none"/>
          <w:lang w:val="zh-CN"/>
        </w:rPr>
        <w:t>）</w:t>
      </w:r>
      <w:r>
        <w:rPr>
          <w:rFonts w:hint="eastAsia" w:ascii="宋体" w:hAnsi="宋体"/>
          <w:color w:val="auto"/>
          <w:szCs w:val="21"/>
          <w:highlight w:val="none"/>
        </w:rPr>
        <w:t>拟投入人员实力</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spacing w:line="314"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）技术响应表；</w:t>
      </w:r>
      <w:r>
        <w:rPr>
          <w:rFonts w:ascii="宋体" w:hAnsi="宋体" w:cs="宋体"/>
          <w:color w:val="auto"/>
          <w:szCs w:val="21"/>
          <w:highlight w:val="none"/>
          <w:lang w:val="zh-CN"/>
        </w:rPr>
        <w:t>（</w:t>
      </w:r>
      <w:r>
        <w:rPr>
          <w:rFonts w:hint="eastAsia" w:ascii="宋体" w:hAnsi="宋体"/>
          <w:color w:val="auto"/>
          <w:szCs w:val="21"/>
          <w:highlight w:val="none"/>
        </w:rPr>
        <w:t>格式见附件</w:t>
      </w:r>
      <w:r>
        <w:rPr>
          <w:rFonts w:hint="eastAsia" w:ascii="宋体" w:hAnsi="宋体"/>
          <w:color w:val="auto"/>
          <w:szCs w:val="21"/>
          <w:highlight w:val="none"/>
          <w:lang w:eastAsia="zh-CN"/>
        </w:rPr>
        <w:t>，</w:t>
      </w:r>
      <w:r>
        <w:rPr>
          <w:rFonts w:hint="eastAsia" w:ascii="宋体" w:hAnsi="宋体"/>
          <w:b/>
          <w:bCs/>
          <w:color w:val="auto"/>
          <w:szCs w:val="21"/>
          <w:highlight w:val="none"/>
        </w:rPr>
        <w:t>技术参数中提及需提供证明或证书等的需在本表后提供相关证明资料，未提供或未按要求提供的则视为负偏离。</w:t>
      </w:r>
      <w:r>
        <w:rPr>
          <w:rFonts w:ascii="宋体" w:hAnsi="宋体" w:cs="宋体"/>
          <w:color w:val="auto"/>
          <w:szCs w:val="21"/>
          <w:highlight w:val="none"/>
          <w:lang w:val="zh-CN"/>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）设备配置清单（均不含报价）；（</w:t>
      </w:r>
      <w:r>
        <w:rPr>
          <w:rFonts w:hint="eastAsia" w:ascii="宋体" w:hAnsi="宋体" w:cs="宋体"/>
          <w:b/>
          <w:bCs/>
          <w:color w:val="auto"/>
          <w:szCs w:val="21"/>
          <w:highlight w:val="none"/>
        </w:rPr>
        <w:t>根据采购清单提供，需注明品牌、型号</w:t>
      </w:r>
      <w:r>
        <w:rPr>
          <w:rFonts w:hint="eastAsia" w:ascii="宋体" w:hAnsi="宋体" w:cs="宋体"/>
          <w:b/>
          <w:bCs/>
          <w:color w:val="auto"/>
          <w:szCs w:val="21"/>
          <w:highlight w:val="none"/>
          <w:lang w:eastAsia="zh-CN"/>
        </w:rPr>
        <w:t>、制造商</w:t>
      </w:r>
      <w:r>
        <w:rPr>
          <w:rFonts w:hint="eastAsia" w:ascii="宋体" w:hAnsi="宋体" w:cs="宋体"/>
          <w:b/>
          <w:bCs/>
          <w:color w:val="auto"/>
          <w:szCs w:val="21"/>
          <w:highlight w:val="none"/>
        </w:rPr>
        <w:t>等</w:t>
      </w:r>
      <w:r>
        <w:rPr>
          <w:rFonts w:hint="eastAsia"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）项目实施人员（主要从业人员及其技术资格）一览表；  （格式自拟）           </w:t>
      </w:r>
    </w:p>
    <w:p>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）投标人需要说明的其他文件和说明。（格式自拟）</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pPr>
        <w:spacing w:line="320" w:lineRule="exact"/>
        <w:ind w:firstLine="415" w:firstLineChars="198"/>
        <w:jc w:val="left"/>
        <w:rPr>
          <w:rFonts w:hint="eastAsia" w:ascii="宋体" w:hAnsi="宋体"/>
          <w:color w:val="auto"/>
          <w:szCs w:val="21"/>
          <w:highlight w:val="none"/>
        </w:rPr>
      </w:pPr>
      <w:r>
        <w:rPr>
          <w:rFonts w:ascii="宋体" w:hAnsi="宋体" w:cs="宋体"/>
          <w:color w:val="auto"/>
          <w:szCs w:val="21"/>
          <w:highlight w:val="none"/>
        </w:rPr>
        <w:t>（2）</w:t>
      </w:r>
      <w:r>
        <w:rPr>
          <w:rFonts w:ascii="宋体" w:hAnsi="宋体"/>
          <w:color w:val="auto"/>
          <w:szCs w:val="21"/>
          <w:highlight w:val="none"/>
        </w:rPr>
        <w:t>中小企业声明函</w:t>
      </w:r>
      <w:r>
        <w:rPr>
          <w:rFonts w:ascii="宋体" w:hAnsi="宋体" w:cs="宋体"/>
          <w:color w:val="auto"/>
          <w:szCs w:val="21"/>
          <w:highlight w:val="none"/>
        </w:rPr>
        <w:t>；</w:t>
      </w:r>
      <w:r>
        <w:rPr>
          <w:rFonts w:hint="eastAsia" w:ascii="宋体" w:hAnsi="宋体"/>
          <w:color w:val="auto"/>
          <w:szCs w:val="21"/>
          <w:highlight w:val="none"/>
        </w:rPr>
        <w:t>（格式见附件,</w:t>
      </w:r>
      <w:r>
        <w:rPr>
          <w:rFonts w:hint="eastAsia" w:ascii="宋体" w:hAnsi="宋体" w:cs="宋体"/>
          <w:b/>
          <w:color w:val="auto"/>
          <w:szCs w:val="21"/>
          <w:highlight w:val="none"/>
          <w:lang w:val="zh-CN"/>
        </w:rPr>
        <w:t>投标人必须在声明函中如实填写货物制造企业相关情况；若不符合可不提供</w:t>
      </w:r>
      <w:r>
        <w:rPr>
          <w:rFonts w:hint="eastAsia" w:ascii="宋体" w:hAnsi="宋体"/>
          <w:color w:val="auto"/>
          <w:szCs w:val="21"/>
          <w:highlight w:val="none"/>
        </w:rPr>
        <w:t>）</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 xml:space="preserve">（3）残疾人福利性单位声明函；（格式见附件，若不符合可不提供。） </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（4）属于监狱企业的证明文件；（格式自拟，若不符合可不提供。）</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ascii="宋体" w:hAnsi="宋体" w:cs="宋体"/>
          <w:color w:val="auto"/>
          <w:szCs w:val="21"/>
          <w:highlight w:val="none"/>
          <w:lang w:val="zh-CN"/>
        </w:rPr>
        <w:t>；</w:t>
      </w:r>
      <w:r>
        <w:rPr>
          <w:rFonts w:ascii="宋体" w:hAnsi="宋体" w:cs="宋体"/>
          <w:color w:val="auto"/>
          <w:szCs w:val="21"/>
          <w:highlight w:val="none"/>
        </w:rPr>
        <w:t>（格式见附件）</w:t>
      </w:r>
    </w:p>
    <w:p>
      <w:pPr>
        <w:spacing w:line="320" w:lineRule="exact"/>
        <w:ind w:firstLine="415" w:firstLineChars="198"/>
        <w:jc w:val="left"/>
        <w:rPr>
          <w:rFonts w:hint="default" w:ascii="宋体" w:hAnsi="宋体"/>
          <w:color w:val="auto"/>
          <w:szCs w:val="21"/>
          <w:highlight w:val="none"/>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）投标报价明细表；</w:t>
      </w:r>
      <w:r>
        <w:rPr>
          <w:rFonts w:ascii="宋体" w:hAns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w:t>
      </w:r>
      <w:r>
        <w:rPr>
          <w:rFonts w:hint="eastAsia" w:ascii="宋体" w:hAnsi="宋体" w:cs="宋体"/>
          <w:b/>
          <w:bCs/>
          <w:color w:val="auto"/>
          <w:szCs w:val="21"/>
          <w:highlight w:val="none"/>
        </w:rPr>
        <w:t>根据采购清单提供，</w:t>
      </w:r>
      <w:r>
        <w:rPr>
          <w:rFonts w:hint="eastAsia" w:ascii="宋体" w:hAnsi="宋体" w:cs="宋体"/>
          <w:b/>
          <w:color w:val="auto"/>
          <w:szCs w:val="21"/>
          <w:highlight w:val="none"/>
          <w:lang w:bidi="ar"/>
        </w:rPr>
        <w:t>必须在报价明细表中说明制造商情况</w:t>
      </w:r>
      <w:r>
        <w:rPr>
          <w:rFonts w:ascii="宋体" w:hAnsi="宋体"/>
          <w:color w:val="auto"/>
          <w:szCs w:val="21"/>
          <w:highlight w:val="none"/>
        </w:rPr>
        <w:t>）</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）投标人针对报价需要说明的其他文件和说明；（格式自拟）</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）开标一览表。（格式见附件）</w:t>
      </w:r>
    </w:p>
    <w:p>
      <w:pPr>
        <w:autoSpaceDE w:val="0"/>
        <w:autoSpaceDN w:val="0"/>
        <w:adjustRightInd w:val="0"/>
        <w:snapToGrid w:val="0"/>
        <w:spacing w:line="300" w:lineRule="exact"/>
        <w:ind w:firstLine="422" w:firstLineChars="200"/>
        <w:jc w:val="left"/>
        <w:rPr>
          <w:rFonts w:hint="default" w:ascii="宋体" w:hAnsi="宋体" w:cs="宋体"/>
          <w:color w:val="auto"/>
          <w:szCs w:val="21"/>
          <w:highlight w:val="none"/>
          <w:lang w:val="zh-CN"/>
        </w:rPr>
      </w:pP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w:t>
      </w:r>
      <w:r>
        <w:rPr>
          <w:rFonts w:ascii="宋体" w:hAnsi="宋体" w:cs="宋体"/>
          <w:color w:val="auto"/>
          <w:szCs w:val="21"/>
          <w:highlight w:val="none"/>
        </w:rPr>
        <w:t>货物、安装及调试、必备的附件及材料、运输、安装调试、验收、质保期内的维护保养费、技术支持、技术服务、招投标服务费、因政策性文件规定产生的费用和税费等一切费用</w:t>
      </w:r>
      <w:r>
        <w:rPr>
          <w:rFonts w:ascii="宋体" w:hAnsi="宋体" w:cs="宋体"/>
          <w:color w:val="auto"/>
          <w:szCs w:val="21"/>
          <w:highlight w:val="none"/>
          <w:lang w:val="zh-CN"/>
        </w:rPr>
        <w:t>。投标报价的市场风险由投标人承担，结算时，不得以任何理由调整价格。</w:t>
      </w:r>
    </w:p>
    <w:p>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2.在特殊情况下，采购人可与投标人协商延长投标文件的有效期，这种要求和答复均以书面形式进行。</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pPr>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为严格落实国家、省市关于“要在坚决打好疫情防控攻坚战，本项目实行全流程网上电子投标,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color w:val="auto"/>
          <w:szCs w:val="21"/>
          <w:highlight w:val="none"/>
          <w:lang w:val="zh-CN"/>
        </w:rPr>
        <w:t>2022年08月02日09：00</w:t>
      </w:r>
      <w:r>
        <w:rPr>
          <w:rFonts w:ascii="宋体" w:hAnsi="宋体" w:cs="宋体"/>
          <w:color w:val="auto"/>
          <w:szCs w:val="21"/>
          <w:highlight w:val="none"/>
          <w:lang w:val="zh-CN"/>
        </w:rPr>
        <w:t>（北京时间）投标截止。</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（2）根据《浙江省政府采购项目电子交易管理暂行办法》第二十条规定，本次投标允许投标人提交备份投标文件，仅提交备份投标文件的，投标无效。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。考虑疫情情况，U盘备份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东方经纬项目管理有限公司</w:t>
      </w:r>
      <w:r>
        <w:rPr>
          <w:rFonts w:ascii="宋体" w:cs="宋体"/>
          <w:color w:val="auto"/>
          <w:szCs w:val="21"/>
          <w:highlight w:val="none"/>
          <w:lang w:val="zh-CN"/>
        </w:rPr>
        <w:t>（长兴县金荣大厦19楼1916室），收件人：邱工，联系电话：0572-6038878/13587907418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2022年08月01日17:00时前</w:t>
      </w:r>
      <w:r>
        <w:rPr>
          <w:rFonts w:asci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四、开标和评标</w:t>
      </w:r>
    </w:p>
    <w:p>
      <w:pPr>
        <w:pStyle w:val="19"/>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2.开标程序 </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pPr>
        <w:pStyle w:val="2"/>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r>
        <w:rPr>
          <w:color w:val="auto"/>
          <w:highlight w:val="none"/>
          <w:lang w:val="zh-CN"/>
        </w:rPr>
        <w:t>如所有投标人的电子投标文件都已经解密完成的，则电子交易平台自动结束解密。如有任一投标人未解密，电子交易平台会在解密时限截止时自动结束解密。</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（5）解密失败的异常处理：</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tabs>
          <w:tab w:val="left" w:pos="720"/>
        </w:tabs>
        <w:adjustRightInd w:val="0"/>
        <w:snapToGrid w:val="0"/>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（6）采购代理机构开启投标文件，进入资格审查。采购人代表将依法对各投标人的资格进行审查，资格审查结束后进入符合性审查和商务技术的评审工作。</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（7）开启资格审查通过的商务及技术文件，进入符合性审查。</w:t>
      </w:r>
      <w:r>
        <w:rPr>
          <w:rFonts w:ascii="宋体"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（8）商务、技术评审结束后，开启报价文件，由采购代理机构宣读《开标一览表》中的投标人名称及在其投标文件中承诺的投标报价及采购代理机构认为有必要宣读的其他内容。</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（9）采购代理机构做开标记录,同时由唱标人、记录人及监督人等当场签字确认。</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10）评标委员会对各通过符合性审查的投标人进行报价评审，未通过报价审查的投标将被作为无效标处理，通过报价审查后，进行价格得分的计算，并计算总得分及排名。由采购代理机构对各得分情况进行复核。</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（二）评标</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（1）评标由采购人依法组建的评标委员会负责。评标委员会由采购人代表1人和有关技术、经济等方面的专家4人组成。</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③采购人在审查中必要时可按投标人提供的联系方式就有关问题进行查询核实，或要求投标人做出书面澄清，查询及澄清结果将作为审查的依据。</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②未按要求提供投标人法定代表人（负责人）或其授权代理人的有效身份证明的。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③仅提供备份投标文件的；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④电子投标文件解密失败，且未在规定时间内提交备份投标文件的；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⑤电子投标文件解密失败，虽然在规定时间内提交了备份投标文件，但是备份投标文件无法导入或者无法读取或者不符合本招标文件和电子交易平台要求的；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⑥投标文件的实质性内容未使用中文表述、意思表述不明确、前后矛盾或者使用计量单位不符合招标文件要求的（经评标委员会认定并允许其当场更正的笔误除外）；</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⑦未实质性响应招标文件要求或者投标文件有采购人不能接受的附加条件的；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⑧投标有效期、</w:t>
      </w:r>
      <w:r>
        <w:rPr>
          <w:rFonts w:hint="eastAsia" w:ascii="宋体" w:hAnsi="宋体" w:cs="宋体"/>
          <w:bCs/>
          <w:color w:val="auto"/>
          <w:szCs w:val="21"/>
          <w:highlight w:val="none"/>
          <w:lang w:eastAsia="zh-CN"/>
        </w:rPr>
        <w:t>交货期</w:t>
      </w:r>
      <w:r>
        <w:rPr>
          <w:rFonts w:ascii="宋体" w:hAnsi="宋体" w:cs="宋体"/>
          <w:bCs/>
          <w:color w:val="auto"/>
          <w:szCs w:val="21"/>
          <w:highlight w:val="none"/>
          <w:lang w:val="zh-CN"/>
        </w:rPr>
        <w:t>、质保期等商务条款不能满足招标文件要求的；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⑨法律法规规定的其他无效情形。</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7" w:name="_Toc30858"/>
      <w:bookmarkStart w:id="28" w:name="_Toc14773"/>
      <w:bookmarkStart w:id="29" w:name="_Toc27784"/>
      <w:bookmarkStart w:id="30" w:name="_Toc9425"/>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27"/>
      <w:bookmarkEnd w:id="28"/>
      <w:bookmarkEnd w:id="29"/>
      <w:bookmarkEnd w:id="30"/>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1" w:name="_Toc2602"/>
      <w:bookmarkStart w:id="32" w:name="_Toc25151"/>
      <w:bookmarkStart w:id="33" w:name="_Toc13175"/>
      <w:bookmarkStart w:id="34" w:name="_Toc16194"/>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1"/>
      <w:bookmarkEnd w:id="32"/>
      <w:bookmarkEnd w:id="33"/>
      <w:bookmarkEnd w:id="34"/>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招标文件中对中标人的数量、方式有其他规定的，按相关规定执行。</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5.中标人因不可抗力或者自身原因等拒签政府采购合同的，采购人可以按照评审报告推荐的中标候选人名单排列，确定下一候选人为中标人，也可以重新开展政府采购活动。</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在评标期间，任何人不得非法干预、影响评标过程。</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pPr>
        <w:autoSpaceDE w:val="0"/>
        <w:autoSpaceDN w:val="0"/>
        <w:adjustRightInd w:val="0"/>
        <w:snapToGrid w:val="0"/>
        <w:spacing w:line="29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1.签订合同前，中标人应按采购代理机构根据招标文件确定的履约保证金的金额，向采购人交纳履约保证金。</w:t>
      </w:r>
    </w:p>
    <w:p>
      <w:pPr>
        <w:autoSpaceDE w:val="0"/>
        <w:autoSpaceDN w:val="0"/>
        <w:adjustRightInd w:val="0"/>
        <w:snapToGrid w:val="0"/>
        <w:spacing w:line="29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2.签订合同后，如中标人不按双方合同约定履约，则没收其全部履约保证金，履约保证金不足以赔偿损失的，按实际损失赔偿。</w:t>
      </w:r>
    </w:p>
    <w:p>
      <w:pPr>
        <w:autoSpaceDE w:val="0"/>
        <w:autoSpaceDN w:val="0"/>
        <w:adjustRightInd w:val="0"/>
        <w:snapToGrid w:val="0"/>
        <w:spacing w:line="29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待项目验收合格后，经采购人确认后无息退还（违约部分除外）。</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七、招标代理服务费</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经采购人和代理公司协商，本项目采购代理服务等费用由中标人支付。本项目采购代理服务等费用合计为</w:t>
      </w:r>
      <w:r>
        <w:rPr>
          <w:rFonts w:hint="eastAsia" w:ascii="宋体" w:hAnsi="宋体" w:cs="宋体"/>
          <w:color w:val="auto"/>
          <w:szCs w:val="21"/>
          <w:highlight w:val="none"/>
          <w:lang w:val="en-US" w:eastAsia="zh-CN"/>
        </w:rPr>
        <w:t>肆万壹仟</w:t>
      </w:r>
      <w:r>
        <w:rPr>
          <w:rFonts w:ascii="宋体" w:hAnsi="宋体" w:cs="宋体"/>
          <w:color w:val="auto"/>
          <w:szCs w:val="21"/>
          <w:highlight w:val="none"/>
          <w:lang w:val="zh-CN"/>
        </w:rPr>
        <w:t>元整，代理服务收费标准为国家发改委发改办价格[2003]857号通知和原国家计委计价格[2002]1980号文件规定。请投标人综合考虑到投标报价中，在领取中标通知书时一次性支付给采购代理机构。</w:t>
      </w: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30"/>
        <w:rPr>
          <w:rFonts w:hint="default" w:ascii="宋体" w:hAnsi="宋体" w:cs="宋体"/>
          <w:color w:val="auto"/>
          <w:highlight w:val="none"/>
        </w:rPr>
      </w:pP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End w:id="26"/>
      <w:r>
        <w:rPr>
          <w:rFonts w:hint="eastAsia" w:ascii="宋体" w:hAnsi="宋体" w:eastAsia="宋体" w:cs="宋体"/>
          <w:color w:val="auto"/>
          <w:sz w:val="30"/>
          <w:szCs w:val="30"/>
          <w:highlight w:val="none"/>
        </w:rPr>
        <w:t>评标方法及评分标准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长兴县环境保护监测站应急及常规监测能力提升项目</w:t>
      </w:r>
      <w:r>
        <w:rPr>
          <w:rFonts w:ascii="宋体" w:hAnsi="宋体" w:cs="宋体"/>
          <w:color w:val="auto"/>
          <w:szCs w:val="21"/>
          <w:highlight w:val="none"/>
        </w:rPr>
        <w:t>的评标。</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一、总则</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1.本项目原则上采用政采云电子招投标开标及评审程序，如遇特殊情况按照《投标人须知前附表》进行处理。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2.步骤：</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（1）资格审查；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（2）符合性审查；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（3）电子招投标评审过程：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①评标委员会对商务、技术进行评审；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②在系统上公开资格和商务、技术评审结果；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③在系统上公开报价情况；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④评标委员会对报价情况进行评审；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⑤在系统上公布评审结果。</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color w:val="auto"/>
          <w:szCs w:val="21"/>
          <w:highlight w:val="none"/>
        </w:rPr>
      </w:pPr>
      <w:r>
        <w:rPr>
          <w:rFonts w:ascii="宋体" w:hAnsi="宋体" w:cs="宋体"/>
          <w:b/>
          <w:color w:val="auto"/>
          <w:szCs w:val="21"/>
          <w:highlight w:val="none"/>
        </w:rPr>
        <w:t>二、评标内容及标准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本次评标采用综合评分法，总分为100分，其中价格分30分，技术、商务分70分。合格投标人的评标得分为各项目汇总得分，评标委员会根据评标综合得分从高到低推荐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color w:val="auto"/>
          <w:szCs w:val="21"/>
          <w:highlight w:val="none"/>
        </w:rPr>
      </w:pPr>
      <w:r>
        <w:rPr>
          <w:rFonts w:ascii="宋体" w:hAnsi="宋体" w:cs="宋体"/>
          <w:b/>
          <w:color w:val="auto"/>
          <w:szCs w:val="21"/>
          <w:highlight w:val="none"/>
        </w:rPr>
        <w:t>1.评标内容及标准</w:t>
      </w:r>
    </w:p>
    <w:p>
      <w:pPr>
        <w:keepNext w:val="0"/>
        <w:keepLines w:val="0"/>
        <w:pageBreakBefore w:val="0"/>
        <w:widowControl w:val="0"/>
        <w:kinsoku/>
        <w:wordWrap/>
        <w:overflowPunct/>
        <w:topLinePunct w:val="0"/>
        <w:autoSpaceDE/>
        <w:autoSpaceDN/>
        <w:bidi w:val="0"/>
        <w:adjustRightInd/>
        <w:snapToGrid/>
        <w:spacing w:line="300" w:lineRule="exact"/>
        <w:ind w:firstLine="413" w:firstLineChars="196"/>
        <w:textAlignment w:val="auto"/>
        <w:rPr>
          <w:rFonts w:hint="default" w:ascii="宋体" w:hAnsi="宋体" w:cs="宋体"/>
          <w:b/>
          <w:bCs/>
          <w:color w:val="auto"/>
          <w:szCs w:val="21"/>
          <w:highlight w:val="none"/>
        </w:rPr>
      </w:pPr>
      <w:r>
        <w:rPr>
          <w:rFonts w:ascii="宋体" w:hAnsi="宋体" w:cs="宋体"/>
          <w:b/>
          <w:bCs/>
          <w:color w:val="auto"/>
          <w:szCs w:val="21"/>
          <w:highlight w:val="none"/>
        </w:rPr>
        <w:t>（1）价格分（30分）</w:t>
      </w:r>
    </w:p>
    <w:p>
      <w:pPr>
        <w:keepNext w:val="0"/>
        <w:keepLines w:val="0"/>
        <w:pageBreakBefore w:val="0"/>
        <w:widowControl w:val="0"/>
        <w:tabs>
          <w:tab w:val="left" w:pos="3870"/>
          <w:tab w:val="left" w:pos="4085"/>
        </w:tabs>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pPr>
        <w:pStyle w:val="12"/>
        <w:keepNext w:val="0"/>
        <w:keepLines w:val="0"/>
        <w:pageBreakBefore w:val="0"/>
        <w:widowControl w:val="0"/>
        <w:kinsoku/>
        <w:wordWrap/>
        <w:overflowPunct/>
        <w:topLinePunct w:val="0"/>
        <w:autoSpaceDE/>
        <w:autoSpaceDN/>
        <w:bidi w:val="0"/>
        <w:adjustRightInd/>
        <w:snapToGrid/>
        <w:spacing w:line="300" w:lineRule="exact"/>
        <w:ind w:firstLine="404" w:firstLineChars="200"/>
        <w:textAlignment w:val="auto"/>
        <w:rPr>
          <w:rFonts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价格分=（评标基准价/投标报价）×30%×100</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（2）技术分（</w:t>
      </w:r>
      <w:r>
        <w:rPr>
          <w:rFonts w:hint="eastAsia" w:ascii="宋体" w:hAnsi="宋体" w:cs="宋体"/>
          <w:b/>
          <w:bCs/>
          <w:color w:val="auto"/>
          <w:szCs w:val="21"/>
          <w:highlight w:val="none"/>
          <w:lang w:val="en-US" w:eastAsia="zh-CN"/>
        </w:rPr>
        <w:t>47</w:t>
      </w:r>
      <w:r>
        <w:rPr>
          <w:rFonts w:ascii="宋体" w:hAnsi="宋体" w:cs="宋体"/>
          <w:b/>
          <w:bCs/>
          <w:color w:val="auto"/>
          <w:szCs w:val="21"/>
          <w:highlight w:val="none"/>
        </w:rPr>
        <w:t>分），商务分（</w:t>
      </w:r>
      <w:r>
        <w:rPr>
          <w:rFonts w:hint="eastAsia" w:ascii="宋体" w:hAnsi="宋体" w:cs="宋体"/>
          <w:b/>
          <w:bCs/>
          <w:color w:val="auto"/>
          <w:szCs w:val="21"/>
          <w:highlight w:val="none"/>
          <w:lang w:val="en-US" w:eastAsia="zh-CN"/>
        </w:rPr>
        <w:t>23</w:t>
      </w:r>
      <w:r>
        <w:rPr>
          <w:rFonts w:ascii="宋体" w:hAnsi="宋体" w:cs="宋体"/>
          <w:b/>
          <w:bCs/>
          <w:color w:val="auto"/>
          <w:szCs w:val="21"/>
          <w:highlight w:val="none"/>
        </w:rPr>
        <w:t>分），共70分</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（3）技术，商务分的计算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技术、商务分按照评标委员会成员的独立评分结果汇总数的算术平均分计算，计算公式为：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
          <w:color w:val="auto"/>
          <w:szCs w:val="21"/>
          <w:highlight w:val="none"/>
        </w:rPr>
      </w:pPr>
      <w:r>
        <w:rPr>
          <w:rFonts w:ascii="宋体" w:hAnsi="宋体" w:cs="宋体"/>
          <w:b/>
          <w:color w:val="auto"/>
          <w:szCs w:val="21"/>
          <w:highlight w:val="none"/>
        </w:rPr>
        <w:t>附件：评分表格式（技术，商务分，共70分）</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95"/>
        <w:gridCol w:w="713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序号</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评审内容</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评分标准</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一</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sz w:val="21"/>
                <w:szCs w:val="21"/>
                <w:highlight w:val="none"/>
              </w:rPr>
              <w:t>技术分</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u w:val="single"/>
              </w:rPr>
              <w:t>以下单项没有提供的，则该项不得分。</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cs="宋体"/>
                <w:b/>
                <w:bCs/>
                <w:i w:val="0"/>
                <w:iCs w:val="0"/>
                <w:color w:val="auto"/>
                <w:sz w:val="21"/>
                <w:szCs w:val="21"/>
                <w:highlight w:val="none"/>
                <w:lang w:val="en-US" w:eastAsia="zh-CN"/>
              </w:rPr>
              <w:t>47</w:t>
            </w:r>
            <w:r>
              <w:rPr>
                <w:rFonts w:hint="eastAsia" w:ascii="宋体" w:hAnsi="宋体" w:eastAsia="宋体" w:cs="宋体"/>
                <w:b/>
                <w:bCs/>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w:t>
            </w:r>
          </w:p>
        </w:tc>
        <w:tc>
          <w:tcPr>
            <w:tcW w:w="1095" w:type="dxa"/>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技术要求响应情况</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eastAsia="宋体" w:cs="宋体"/>
                <w:i w:val="0"/>
                <w:iCs w:val="0"/>
                <w:color w:val="auto"/>
                <w:sz w:val="21"/>
                <w:szCs w:val="21"/>
                <w:highlight w:val="none"/>
              </w:rPr>
            </w:pPr>
            <w:r>
              <w:rPr>
                <w:rFonts w:hint="eastAsia" w:ascii="宋体" w:hAnsi="宋体" w:cs="宋体"/>
                <w:color w:val="auto"/>
                <w:szCs w:val="21"/>
                <w:highlight w:val="none"/>
              </w:rPr>
              <w:t>技术性和功能：根据各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所投货物技术性能、功能以及对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各项技术要求的逐项响应承诺等方面情况由评委进行评分。所投货物技术性能、功能完全满足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文件要求的得</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分；每负偏离一条扣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分，带★每负偏离一条扣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分，扣完为止；本项最高得分2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b/>
                <w:color w:val="auto"/>
                <w:szCs w:val="21"/>
                <w:highlight w:val="none"/>
              </w:rPr>
              <w:t>（注：投标人必须如实地对招标文件采购需求中各条款作出明确的逐项响应承诺，并对其真实性负责。技术参数中要求提供检验报告等其他证明材料的，需按要求提供，未提供或未按要求提供的则视为负偏离。）</w:t>
            </w:r>
          </w:p>
        </w:tc>
        <w:tc>
          <w:tcPr>
            <w:tcW w:w="682" w:type="dxa"/>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0-</w:t>
            </w:r>
            <w:r>
              <w:rPr>
                <w:rFonts w:hint="eastAsia" w:ascii="宋体" w:hAnsi="宋体" w:cs="宋体"/>
                <w:i w:val="0"/>
                <w:iCs w:val="0"/>
                <w:color w:val="auto"/>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2</w:t>
            </w:r>
          </w:p>
        </w:tc>
        <w:tc>
          <w:tcPr>
            <w:tcW w:w="1095" w:type="dxa"/>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hAnsi="宋体" w:cs="宋体"/>
                <w:i w:val="0"/>
                <w:iCs w:val="0"/>
                <w:color w:val="auto"/>
                <w:sz w:val="21"/>
                <w:szCs w:val="21"/>
                <w:highlight w:val="none"/>
                <w:lang w:val="en-US" w:eastAsia="zh-CN"/>
              </w:rPr>
              <w:t>项目理解</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对用户现状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需求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采购目标</w:t>
            </w:r>
            <w:r>
              <w:rPr>
                <w:rFonts w:hint="eastAsia" w:ascii="宋体" w:hAnsi="宋体" w:cs="宋体"/>
                <w:color w:val="auto"/>
                <w:szCs w:val="21"/>
                <w:highlight w:val="none"/>
                <w:lang w:eastAsia="zh-CN"/>
              </w:rPr>
              <w:t>的理解程度</w:t>
            </w:r>
            <w:r>
              <w:rPr>
                <w:rFonts w:hint="eastAsia" w:ascii="宋体" w:hAnsi="宋体" w:cs="宋体"/>
                <w:color w:val="auto"/>
                <w:szCs w:val="21"/>
                <w:highlight w:val="none"/>
              </w:rPr>
              <w:t>的优劣得</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分。</w:t>
            </w:r>
          </w:p>
        </w:tc>
        <w:tc>
          <w:tcPr>
            <w:tcW w:w="682" w:type="dxa"/>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3</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项目实施方案</w:t>
            </w:r>
          </w:p>
        </w:tc>
        <w:tc>
          <w:tcPr>
            <w:tcW w:w="7133"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bCs/>
                <w:color w:val="auto"/>
                <w:szCs w:val="21"/>
                <w:highlight w:val="none"/>
              </w:rPr>
              <w:t>（1）</w:t>
            </w:r>
            <w:r>
              <w:rPr>
                <w:rFonts w:ascii="宋体" w:hAnsi="宋体"/>
                <w:bCs/>
                <w:color w:val="auto"/>
                <w:szCs w:val="21"/>
                <w:highlight w:val="none"/>
              </w:rPr>
              <w:t>根据</w:t>
            </w:r>
            <w:r>
              <w:rPr>
                <w:rFonts w:hint="eastAsia" w:ascii="宋体" w:hAnsi="宋体" w:cs="宋体"/>
                <w:color w:val="auto"/>
                <w:szCs w:val="21"/>
                <w:highlight w:val="none"/>
                <w:lang w:eastAsia="zh-CN"/>
              </w:rPr>
              <w:t>投标人</w:t>
            </w:r>
            <w:r>
              <w:rPr>
                <w:rFonts w:ascii="宋体" w:hAnsi="宋体"/>
                <w:bCs/>
                <w:color w:val="auto"/>
                <w:szCs w:val="21"/>
                <w:highlight w:val="none"/>
              </w:rPr>
              <w:t>提供的</w:t>
            </w:r>
            <w:r>
              <w:rPr>
                <w:rFonts w:hint="eastAsia" w:ascii="宋体" w:hAnsi="宋体" w:cs="华文仿宋"/>
                <w:color w:val="auto"/>
                <w:kern w:val="0"/>
                <w:szCs w:val="21"/>
                <w:highlight w:val="none"/>
              </w:rPr>
              <w:t>进度安排方案的内容、逻辑、针对性的优劣得0-</w:t>
            </w:r>
            <w:r>
              <w:rPr>
                <w:rFonts w:hint="eastAsia" w:ascii="宋体" w:hAnsi="宋体" w:cs="华文仿宋"/>
                <w:color w:val="auto"/>
                <w:kern w:val="0"/>
                <w:szCs w:val="21"/>
                <w:highlight w:val="none"/>
                <w:lang w:val="en-US" w:eastAsia="zh-CN"/>
              </w:rPr>
              <w:t>2</w:t>
            </w:r>
            <w:r>
              <w:rPr>
                <w:rFonts w:hint="eastAsia" w:ascii="宋体" w:hAnsi="宋体" w:cs="华文仿宋"/>
                <w:color w:val="auto"/>
                <w:kern w:val="0"/>
                <w:szCs w:val="21"/>
                <w:highlight w:val="none"/>
              </w:rPr>
              <w:t>分。</w:t>
            </w:r>
          </w:p>
        </w:tc>
        <w:tc>
          <w:tcPr>
            <w:tcW w:w="682" w:type="dxa"/>
            <w:vMerge w:val="restart"/>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sz w:val="21"/>
                <w:szCs w:val="21"/>
                <w:highlight w:val="none"/>
              </w:rPr>
            </w:pPr>
          </w:p>
        </w:tc>
        <w:tc>
          <w:tcPr>
            <w:tcW w:w="1095" w:type="dxa"/>
            <w:vMerge w:val="continue"/>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c>
          <w:tcPr>
            <w:tcW w:w="7133"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（2）</w:t>
            </w:r>
            <w:r>
              <w:rPr>
                <w:rFonts w:ascii="宋体" w:hAnsi="宋体"/>
                <w:bCs/>
                <w:color w:val="auto"/>
                <w:szCs w:val="21"/>
                <w:highlight w:val="none"/>
              </w:rPr>
              <w:t>根据</w:t>
            </w:r>
            <w:r>
              <w:rPr>
                <w:rFonts w:hint="eastAsia" w:ascii="宋体" w:hAnsi="宋体" w:cs="宋体"/>
                <w:color w:val="auto"/>
                <w:szCs w:val="21"/>
                <w:highlight w:val="none"/>
                <w:lang w:eastAsia="zh-CN"/>
              </w:rPr>
              <w:t>投标人</w:t>
            </w:r>
            <w:r>
              <w:rPr>
                <w:rFonts w:ascii="宋体" w:hAnsi="宋体"/>
                <w:bCs/>
                <w:color w:val="auto"/>
                <w:szCs w:val="21"/>
                <w:highlight w:val="none"/>
              </w:rPr>
              <w:t>提供的</w:t>
            </w:r>
            <w:r>
              <w:rPr>
                <w:rFonts w:hint="eastAsia" w:ascii="宋体" w:hAnsi="宋体"/>
                <w:color w:val="auto"/>
                <w:szCs w:val="21"/>
                <w:highlight w:val="none"/>
              </w:rPr>
              <w:t>供货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安装调试</w:t>
            </w:r>
            <w:r>
              <w:rPr>
                <w:rFonts w:hint="eastAsia" w:ascii="宋体" w:hAnsi="宋体"/>
                <w:bCs/>
                <w:color w:val="auto"/>
                <w:szCs w:val="21"/>
                <w:highlight w:val="none"/>
              </w:rPr>
              <w:t>方案</w:t>
            </w:r>
            <w:r>
              <w:rPr>
                <w:rFonts w:hint="eastAsia" w:ascii="宋体" w:hAnsi="宋体" w:cs="华文仿宋"/>
                <w:color w:val="auto"/>
                <w:kern w:val="0"/>
                <w:szCs w:val="21"/>
                <w:highlight w:val="none"/>
              </w:rPr>
              <w:t>的内容、逻辑、针对性的优劣得0-3分。</w:t>
            </w:r>
          </w:p>
        </w:tc>
        <w:tc>
          <w:tcPr>
            <w:tcW w:w="682" w:type="dxa"/>
            <w:vMerge w:val="continue"/>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sz w:val="21"/>
                <w:szCs w:val="21"/>
                <w:highlight w:val="none"/>
              </w:rPr>
            </w:pPr>
          </w:p>
        </w:tc>
        <w:tc>
          <w:tcPr>
            <w:tcW w:w="1095" w:type="dxa"/>
            <w:vMerge w:val="continue"/>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c>
          <w:tcPr>
            <w:tcW w:w="7133"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（3）</w:t>
            </w:r>
            <w:r>
              <w:rPr>
                <w:rFonts w:ascii="宋体" w:hAnsi="宋体"/>
                <w:bCs/>
                <w:color w:val="auto"/>
                <w:szCs w:val="21"/>
                <w:highlight w:val="none"/>
              </w:rPr>
              <w:t>根据</w:t>
            </w:r>
            <w:r>
              <w:rPr>
                <w:rFonts w:hint="eastAsia" w:ascii="宋体" w:hAnsi="宋体" w:cs="宋体"/>
                <w:color w:val="auto"/>
                <w:szCs w:val="21"/>
                <w:highlight w:val="none"/>
                <w:lang w:eastAsia="zh-CN"/>
              </w:rPr>
              <w:t>投标人</w:t>
            </w:r>
            <w:r>
              <w:rPr>
                <w:rFonts w:ascii="宋体" w:hAnsi="宋体"/>
                <w:bCs/>
                <w:color w:val="auto"/>
                <w:szCs w:val="21"/>
                <w:highlight w:val="none"/>
              </w:rPr>
              <w:t>提供的</w:t>
            </w:r>
            <w:r>
              <w:rPr>
                <w:rFonts w:hint="eastAsia" w:ascii="宋体" w:hAnsi="宋体"/>
                <w:color w:val="auto"/>
                <w:szCs w:val="21"/>
                <w:highlight w:val="none"/>
              </w:rPr>
              <w:t>验收方案</w:t>
            </w:r>
            <w:r>
              <w:rPr>
                <w:rFonts w:hint="eastAsia" w:ascii="宋体" w:hAnsi="宋体" w:cs="华文仿宋"/>
                <w:color w:val="auto"/>
                <w:kern w:val="0"/>
                <w:szCs w:val="21"/>
                <w:highlight w:val="none"/>
              </w:rPr>
              <w:t>的内容、逻辑、针对性的优劣得0-</w:t>
            </w:r>
            <w:r>
              <w:rPr>
                <w:rFonts w:hint="eastAsia" w:ascii="宋体" w:hAnsi="宋体" w:cs="华文仿宋"/>
                <w:color w:val="auto"/>
                <w:kern w:val="0"/>
                <w:szCs w:val="21"/>
                <w:highlight w:val="none"/>
                <w:lang w:val="en-US" w:eastAsia="zh-CN"/>
              </w:rPr>
              <w:t>2</w:t>
            </w:r>
            <w:r>
              <w:rPr>
                <w:rFonts w:hint="eastAsia" w:ascii="宋体" w:hAnsi="宋体" w:cs="华文仿宋"/>
                <w:color w:val="auto"/>
                <w:kern w:val="0"/>
                <w:szCs w:val="21"/>
                <w:highlight w:val="none"/>
              </w:rPr>
              <w:t>分。</w:t>
            </w:r>
          </w:p>
        </w:tc>
        <w:tc>
          <w:tcPr>
            <w:tcW w:w="682" w:type="dxa"/>
            <w:vMerge w:val="continue"/>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4</w:t>
            </w:r>
          </w:p>
        </w:tc>
        <w:tc>
          <w:tcPr>
            <w:tcW w:w="1095" w:type="dxa"/>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bCs/>
                <w:color w:val="auto"/>
                <w:szCs w:val="21"/>
                <w:highlight w:val="none"/>
                <w:lang w:val="en-US" w:eastAsia="zh-CN"/>
              </w:rPr>
              <w:t>质量控制措施</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default" w:ascii="宋体" w:hAnsi="宋体" w:eastAsia="宋体" w:cs="宋体"/>
                <w:color w:val="auto"/>
                <w:szCs w:val="21"/>
                <w:highlight w:val="none"/>
                <w:lang w:val="en-US" w:eastAsia="zh-CN"/>
              </w:rPr>
            </w:pPr>
            <w:r>
              <w:rPr>
                <w:rFonts w:ascii="宋体" w:hAnsi="宋体"/>
                <w:bCs/>
                <w:color w:val="auto"/>
                <w:szCs w:val="21"/>
                <w:highlight w:val="none"/>
              </w:rPr>
              <w:t>根据</w:t>
            </w:r>
            <w:r>
              <w:rPr>
                <w:rFonts w:hint="eastAsia" w:ascii="宋体" w:hAnsi="宋体" w:cs="宋体"/>
                <w:color w:val="auto"/>
                <w:szCs w:val="21"/>
                <w:highlight w:val="none"/>
                <w:lang w:eastAsia="zh-CN"/>
              </w:rPr>
              <w:t>投标人</w:t>
            </w:r>
            <w:r>
              <w:rPr>
                <w:rFonts w:ascii="宋体" w:hAnsi="宋体"/>
                <w:bCs/>
                <w:color w:val="auto"/>
                <w:szCs w:val="21"/>
                <w:highlight w:val="none"/>
              </w:rPr>
              <w:t>提供的</w:t>
            </w:r>
            <w:r>
              <w:rPr>
                <w:rFonts w:hint="eastAsia" w:ascii="宋体" w:hAnsi="宋体"/>
                <w:bCs/>
                <w:color w:val="auto"/>
                <w:szCs w:val="21"/>
                <w:highlight w:val="none"/>
                <w:lang w:val="en-US" w:eastAsia="zh-CN"/>
              </w:rPr>
              <w:t>质量控制措施的优劣得0-2分。</w:t>
            </w:r>
          </w:p>
        </w:tc>
        <w:tc>
          <w:tcPr>
            <w:tcW w:w="682" w:type="dxa"/>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5</w:t>
            </w:r>
          </w:p>
        </w:tc>
        <w:tc>
          <w:tcPr>
            <w:tcW w:w="1095" w:type="dxa"/>
            <w:noWrap w:val="0"/>
            <w:vAlign w:val="center"/>
          </w:tcPr>
          <w:p>
            <w:pPr>
              <w:pStyle w:val="13"/>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bCs/>
                <w:color w:val="auto"/>
                <w:szCs w:val="21"/>
                <w:highlight w:val="none"/>
                <w:lang w:val="en-US" w:eastAsia="zh-CN"/>
              </w:rPr>
            </w:pPr>
            <w:r>
              <w:rPr>
                <w:rFonts w:ascii="宋体" w:hAnsi="宋体" w:cs="宋体"/>
                <w:color w:val="auto"/>
                <w:kern w:val="0"/>
                <w:szCs w:val="21"/>
                <w:highlight w:val="none"/>
              </w:rPr>
              <w:t>应急</w:t>
            </w:r>
            <w:r>
              <w:rPr>
                <w:rFonts w:hint="eastAsia" w:hAnsi="宋体" w:cs="宋体"/>
                <w:color w:val="auto"/>
                <w:kern w:val="0"/>
                <w:szCs w:val="21"/>
                <w:highlight w:val="none"/>
                <w:lang w:eastAsia="zh-CN"/>
              </w:rPr>
              <w:t>保障</w:t>
            </w:r>
            <w:r>
              <w:rPr>
                <w:rFonts w:ascii="宋体" w:hAnsi="宋体" w:cs="宋体"/>
                <w:color w:val="auto"/>
                <w:kern w:val="0"/>
                <w:szCs w:val="21"/>
                <w:highlight w:val="none"/>
              </w:rPr>
              <w:t>能力</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ascii="宋体" w:hAnsi="宋体"/>
                <w:bCs/>
                <w:color w:val="auto"/>
                <w:szCs w:val="21"/>
                <w:highlight w:val="none"/>
              </w:rPr>
            </w:pPr>
            <w:r>
              <w:rPr>
                <w:rFonts w:ascii="宋体" w:hAnsi="宋体" w:cs="宋体"/>
                <w:color w:val="auto"/>
                <w:kern w:val="0"/>
                <w:szCs w:val="21"/>
                <w:highlight w:val="none"/>
              </w:rPr>
              <w:t>投标人</w:t>
            </w:r>
            <w:r>
              <w:rPr>
                <w:rFonts w:hint="eastAsia" w:ascii="宋体" w:hAnsi="宋体" w:cs="宋体"/>
                <w:color w:val="auto"/>
                <w:kern w:val="0"/>
                <w:szCs w:val="21"/>
                <w:highlight w:val="none"/>
                <w:lang w:eastAsia="zh-CN"/>
              </w:rPr>
              <w:t>需具备</w:t>
            </w:r>
            <w:r>
              <w:rPr>
                <w:rFonts w:ascii="宋体" w:hAnsi="宋体" w:cs="宋体"/>
                <w:color w:val="auto"/>
                <w:kern w:val="0"/>
                <w:szCs w:val="21"/>
                <w:highlight w:val="none"/>
              </w:rPr>
              <w:t>应急</w:t>
            </w:r>
            <w:r>
              <w:rPr>
                <w:rFonts w:hint="eastAsia" w:hAnsi="宋体" w:cs="宋体"/>
                <w:color w:val="auto"/>
                <w:kern w:val="0"/>
                <w:szCs w:val="21"/>
                <w:highlight w:val="none"/>
                <w:lang w:eastAsia="zh-CN"/>
              </w:rPr>
              <w:t>保障</w:t>
            </w:r>
            <w:r>
              <w:rPr>
                <w:rFonts w:ascii="宋体" w:hAnsi="宋体" w:cs="宋体"/>
                <w:color w:val="auto"/>
                <w:kern w:val="0"/>
                <w:szCs w:val="21"/>
                <w:highlight w:val="none"/>
              </w:rPr>
              <w:t>能力，可以在突发性环境污染事件发生后提供应急保障监测</w:t>
            </w:r>
            <w:r>
              <w:rPr>
                <w:rFonts w:hint="eastAsia" w:ascii="宋体" w:hAnsi="宋体" w:cs="宋体"/>
                <w:color w:val="auto"/>
                <w:kern w:val="0"/>
                <w:szCs w:val="21"/>
                <w:highlight w:val="none"/>
                <w:lang w:eastAsia="zh-CN"/>
              </w:rPr>
              <w:t>，配备备用车辆（如</w:t>
            </w:r>
            <w:r>
              <w:rPr>
                <w:rFonts w:ascii="宋体" w:hAnsi="宋体" w:cs="宋体"/>
                <w:color w:val="auto"/>
                <w:kern w:val="0"/>
                <w:szCs w:val="21"/>
                <w:highlight w:val="none"/>
              </w:rPr>
              <w:t>应急监测车等</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每提供一辆得</w:t>
            </w:r>
            <w:r>
              <w:rPr>
                <w:rFonts w:hint="default" w:ascii="宋体" w:hAnsi="宋体" w:cs="宋体"/>
                <w:color w:val="auto"/>
                <w:kern w:val="0"/>
                <w:szCs w:val="21"/>
                <w:highlight w:val="none"/>
              </w:rPr>
              <w:t>2</w:t>
            </w:r>
            <w:r>
              <w:rPr>
                <w:rFonts w:ascii="宋体" w:hAnsi="宋体" w:cs="宋体"/>
                <w:color w:val="auto"/>
                <w:kern w:val="0"/>
                <w:szCs w:val="21"/>
                <w:highlight w:val="none"/>
              </w:rPr>
              <w:t>分，最高得2分。（须提供应急保障承诺函、备用车辆内外部照片和车辆行驶证等证明材料</w:t>
            </w:r>
            <w:r>
              <w:rPr>
                <w:rFonts w:ascii="宋体" w:hAnsi="宋体" w:cs="宋体"/>
                <w:color w:val="auto"/>
                <w:szCs w:val="21"/>
                <w:highlight w:val="none"/>
              </w:rPr>
              <w:t>并加盖投标人公章</w:t>
            </w:r>
            <w:r>
              <w:rPr>
                <w:rFonts w:ascii="宋体" w:hAnsi="宋体" w:cs="宋体"/>
                <w:color w:val="auto"/>
                <w:kern w:val="0"/>
                <w:szCs w:val="21"/>
                <w:highlight w:val="none"/>
              </w:rPr>
              <w:t>，否则不得分）</w:t>
            </w:r>
          </w:p>
        </w:tc>
        <w:tc>
          <w:tcPr>
            <w:tcW w:w="682" w:type="dxa"/>
            <w:noWrap w:val="0"/>
            <w:vAlign w:val="center"/>
          </w:tcPr>
          <w:p>
            <w:pPr>
              <w:keepNext w:val="0"/>
              <w:keepLines w:val="0"/>
              <w:pageBreakBefore w:val="0"/>
              <w:tabs>
                <w:tab w:val="left" w:pos="3850"/>
              </w:tabs>
              <w:kinsoku/>
              <w:wordWrap/>
              <w:overflowPunct/>
              <w:topLinePunct w:val="0"/>
              <w:autoSpaceDE/>
              <w:autoSpaceDN/>
              <w:bidi w:val="0"/>
              <w:adjustRightInd/>
              <w:snapToGrid/>
              <w:spacing w:line="290" w:lineRule="exact"/>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eastAsia="宋体" w:cs="宋体"/>
                <w:b/>
                <w:bCs/>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拟投入人员</w:t>
            </w:r>
            <w:r>
              <w:rPr>
                <w:rFonts w:hint="eastAsia" w:ascii="宋体" w:hAnsi="宋体" w:cs="宋体"/>
                <w:i w:val="0"/>
                <w:iCs w:val="0"/>
                <w:color w:val="auto"/>
                <w:sz w:val="21"/>
                <w:szCs w:val="21"/>
                <w:highlight w:val="none"/>
                <w:lang w:val="en-US" w:eastAsia="zh-CN"/>
              </w:rPr>
              <w:t>实力</w:t>
            </w:r>
          </w:p>
        </w:tc>
        <w:tc>
          <w:tcPr>
            <w:tcW w:w="7133" w:type="dxa"/>
            <w:noWrap/>
            <w:vAlign w:val="center"/>
          </w:tcPr>
          <w:p>
            <w:pPr>
              <w:keepNext w:val="0"/>
              <w:keepLines w:val="0"/>
              <w:pageBreakBefore w:val="0"/>
              <w:tabs>
                <w:tab w:val="left" w:pos="1080"/>
              </w:tabs>
              <w:kinsoku/>
              <w:wordWrap/>
              <w:overflowPunct/>
              <w:topLinePunct w:val="0"/>
              <w:autoSpaceDE/>
              <w:autoSpaceDN/>
              <w:bidi w:val="0"/>
              <w:adjustRightInd/>
              <w:snapToGrid/>
              <w:spacing w:line="29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投标人项目售后团队中项目成员具有仪器或仪表专业高级工程师</w:t>
            </w:r>
            <w:r>
              <w:rPr>
                <w:rFonts w:hint="eastAsia" w:ascii="宋体" w:hAnsi="宋体" w:cs="宋体"/>
                <w:i w:val="0"/>
                <w:iCs w:val="0"/>
                <w:color w:val="auto"/>
                <w:sz w:val="21"/>
                <w:szCs w:val="21"/>
                <w:highlight w:val="none"/>
                <w:lang w:val="en-US" w:eastAsia="zh-CN"/>
              </w:rPr>
              <w:t>及以上</w:t>
            </w:r>
            <w:r>
              <w:rPr>
                <w:rFonts w:hint="eastAsia" w:ascii="宋体" w:hAnsi="宋体" w:eastAsia="宋体" w:cs="宋体"/>
                <w:i w:val="0"/>
                <w:iCs w:val="0"/>
                <w:color w:val="auto"/>
                <w:sz w:val="21"/>
                <w:szCs w:val="21"/>
                <w:highlight w:val="none"/>
              </w:rPr>
              <w:t>证书的</w:t>
            </w:r>
            <w:r>
              <w:rPr>
                <w:rFonts w:hint="eastAsia" w:ascii="宋体" w:hAnsi="宋体" w:cs="宋体"/>
                <w:i w:val="0"/>
                <w:iCs w:val="0"/>
                <w:color w:val="auto"/>
                <w:sz w:val="21"/>
                <w:szCs w:val="21"/>
                <w:highlight w:val="none"/>
                <w:lang w:eastAsia="zh-CN"/>
              </w:rPr>
              <w:t>：</w:t>
            </w:r>
            <w:r>
              <w:rPr>
                <w:rFonts w:hint="eastAsia" w:ascii="宋体" w:hAnsi="宋体" w:cs="宋体"/>
                <w:i w:val="0"/>
                <w:iCs w:val="0"/>
                <w:color w:val="auto"/>
                <w:sz w:val="21"/>
                <w:szCs w:val="21"/>
                <w:highlight w:val="none"/>
                <w:lang w:val="en-US" w:eastAsia="zh-CN"/>
              </w:rPr>
              <w:t>每人</w:t>
            </w:r>
            <w:r>
              <w:rPr>
                <w:rFonts w:hint="eastAsia" w:ascii="宋体" w:hAnsi="宋体" w:eastAsia="宋体" w:cs="宋体"/>
                <w:i w:val="0"/>
                <w:iCs w:val="0"/>
                <w:color w:val="auto"/>
                <w:sz w:val="21"/>
                <w:szCs w:val="21"/>
                <w:highlight w:val="none"/>
              </w:rPr>
              <w:t>得</w:t>
            </w: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分，最高得</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w:t>
            </w: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需提供</w:t>
            </w:r>
            <w:r>
              <w:rPr>
                <w:rFonts w:hint="eastAsia" w:ascii="宋体" w:hAnsi="宋体" w:cs="宋体"/>
                <w:i w:val="0"/>
                <w:iCs w:val="0"/>
                <w:color w:val="auto"/>
                <w:sz w:val="21"/>
                <w:szCs w:val="21"/>
                <w:highlight w:val="none"/>
                <w:lang w:val="en-US" w:eastAsia="zh-CN"/>
              </w:rPr>
              <w:t>以上</w:t>
            </w:r>
            <w:r>
              <w:rPr>
                <w:rFonts w:hint="eastAsia" w:ascii="宋体" w:hAnsi="宋体" w:eastAsia="宋体" w:cs="宋体"/>
                <w:i w:val="0"/>
                <w:iCs w:val="0"/>
                <w:color w:val="auto"/>
                <w:sz w:val="21"/>
                <w:szCs w:val="21"/>
                <w:highlight w:val="none"/>
              </w:rPr>
              <w:t>人员的职称证明材料</w:t>
            </w:r>
            <w:r>
              <w:rPr>
                <w:rFonts w:hint="eastAsia" w:ascii="宋体" w:hAnsi="宋体" w:cs="宋体"/>
                <w:i w:val="0"/>
                <w:iCs w:val="0"/>
                <w:color w:val="auto"/>
                <w:sz w:val="21"/>
                <w:szCs w:val="21"/>
                <w:highlight w:val="none"/>
                <w:lang w:val="en-US" w:eastAsia="zh-CN"/>
              </w:rPr>
              <w:t>及</w:t>
            </w:r>
            <w:r>
              <w:rPr>
                <w:rFonts w:hint="eastAsia" w:ascii="宋体" w:hAnsi="宋体" w:eastAsia="宋体" w:cs="宋体"/>
                <w:i w:val="0"/>
                <w:iCs w:val="0"/>
                <w:color w:val="auto"/>
                <w:sz w:val="21"/>
                <w:szCs w:val="21"/>
                <w:highlight w:val="none"/>
              </w:rPr>
              <w:t>投标人近</w:t>
            </w: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个月</w:t>
            </w:r>
            <w:r>
              <w:rPr>
                <w:rFonts w:hint="eastAsia" w:ascii="宋体" w:hAnsi="宋体" w:cs="宋体"/>
                <w:i w:val="0"/>
                <w:iCs w:val="0"/>
                <w:color w:val="auto"/>
                <w:sz w:val="21"/>
                <w:szCs w:val="21"/>
                <w:highlight w:val="none"/>
                <w:lang w:val="en-US" w:eastAsia="zh-CN"/>
              </w:rPr>
              <w:t>为其缴纳的社保证明复印件</w:t>
            </w:r>
            <w:r>
              <w:rPr>
                <w:rFonts w:ascii="宋体" w:hAnsi="宋体" w:cs="宋体"/>
                <w:color w:val="auto"/>
                <w:szCs w:val="21"/>
                <w:highlight w:val="none"/>
              </w:rPr>
              <w:t>并加盖投标人公章</w:t>
            </w:r>
            <w:r>
              <w:rPr>
                <w:rFonts w:hint="eastAsia" w:ascii="宋体" w:hAnsi="宋体" w:eastAsia="宋体" w:cs="宋体"/>
                <w:i w:val="0"/>
                <w:iCs w:val="0"/>
                <w:color w:val="auto"/>
                <w:sz w:val="21"/>
                <w:szCs w:val="21"/>
                <w:highlight w:val="none"/>
              </w:rPr>
              <w:t>，含人员姓名明细。</w:t>
            </w:r>
            <w:r>
              <w:rPr>
                <w:rFonts w:hint="eastAsia" w:ascii="宋体" w:hAnsi="宋体" w:cs="宋体"/>
                <w:i w:val="0"/>
                <w:iCs w:val="0"/>
                <w:color w:val="auto"/>
                <w:sz w:val="21"/>
                <w:szCs w:val="21"/>
                <w:highlight w:val="none"/>
                <w:lang w:eastAsia="zh-CN"/>
              </w:rPr>
              <w:t>）</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rPr>
              <w:t>0-</w:t>
            </w:r>
            <w:r>
              <w:rPr>
                <w:rFonts w:hint="eastAsia" w:ascii="宋体" w:hAnsi="宋体" w:cs="宋体"/>
                <w:i w:val="0"/>
                <w:i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二</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sz w:val="21"/>
                <w:szCs w:val="21"/>
                <w:highlight w:val="none"/>
              </w:rPr>
              <w:t>商务分</w:t>
            </w: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sz w:val="21"/>
                <w:szCs w:val="21"/>
                <w:highlight w:val="none"/>
                <w:u w:val="single"/>
              </w:rPr>
              <w:t>以下单项没有提供的，则该项不得分。</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cs="宋体"/>
                <w:b/>
                <w:bCs/>
                <w:i w:val="0"/>
                <w:iCs w:val="0"/>
                <w:color w:val="auto"/>
                <w:sz w:val="21"/>
                <w:szCs w:val="21"/>
                <w:highlight w:val="none"/>
                <w:lang w:val="en-US" w:eastAsia="zh-CN"/>
              </w:rPr>
              <w:t>23</w:t>
            </w:r>
            <w:r>
              <w:rPr>
                <w:rFonts w:hint="eastAsia" w:ascii="宋体" w:hAnsi="宋体" w:eastAsia="宋体" w:cs="宋体"/>
                <w:b/>
                <w:bCs/>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cs="宋体"/>
                <w:b/>
                <w:bCs/>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7</w:t>
            </w:r>
          </w:p>
        </w:tc>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企业实力</w:t>
            </w: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eastAsia" w:ascii="宋体" w:hAnsi="宋体" w:eastAsia="宋体" w:cs="宋体"/>
                <w:i w:val="0"/>
                <w:iCs w:val="0"/>
                <w:color w:val="auto"/>
                <w:kern w:val="0"/>
                <w:sz w:val="21"/>
                <w:szCs w:val="21"/>
                <w:highlight w:val="none"/>
                <w:lang w:eastAsia="zh-CN"/>
              </w:rPr>
            </w:pPr>
            <w:r>
              <w:rPr>
                <w:rFonts w:ascii="宋体" w:hAnsi="宋体" w:cs="宋体"/>
                <w:color w:val="auto"/>
                <w:kern w:val="0"/>
                <w:szCs w:val="21"/>
                <w:highlight w:val="none"/>
              </w:rPr>
              <w:t>（1）投标人具有国家级高新技术企业认证证书的得1分。</w:t>
            </w:r>
            <w:r>
              <w:rPr>
                <w:rFonts w:ascii="宋体" w:hAnsi="宋体" w:cs="宋体"/>
                <w:color w:val="auto"/>
                <w:szCs w:val="21"/>
                <w:highlight w:val="none"/>
              </w:rPr>
              <w:t>（提供证书复印件并加盖投标人公章。）</w:t>
            </w:r>
          </w:p>
        </w:tc>
        <w:tc>
          <w:tcPr>
            <w:tcW w:w="682"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cs="宋体"/>
                <w:i w:val="0"/>
                <w:iCs w:val="0"/>
                <w:color w:val="auto"/>
                <w:kern w:val="0"/>
                <w:sz w:val="21"/>
                <w:szCs w:val="21"/>
                <w:highlight w:val="none"/>
                <w:lang w:val="en-US" w:eastAsia="zh-CN"/>
              </w:rPr>
            </w:pP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eastAsia" w:ascii="宋体" w:hAnsi="宋体" w:eastAsia="宋体" w:cs="宋体"/>
                <w:i w:val="0"/>
                <w:iCs w:val="0"/>
                <w:color w:val="auto"/>
                <w:kern w:val="0"/>
                <w:sz w:val="21"/>
                <w:szCs w:val="21"/>
                <w:highlight w:val="none"/>
                <w:lang w:eastAsia="zh-CN"/>
              </w:rPr>
            </w:pPr>
            <w:r>
              <w:rPr>
                <w:rFonts w:ascii="宋体" w:hAnsi="宋体" w:cs="宋体"/>
                <w:color w:val="auto"/>
                <w:kern w:val="0"/>
                <w:szCs w:val="21"/>
                <w:highlight w:val="none"/>
              </w:rPr>
              <w:t>（2）投标人被国家工业和信息化部列入符合《环保装备制造行业（环境监测仪器）规范条件》企业名单，主要业务领域包括便携式监测仪器和实验室分析仪器，提供企业名单目录和工业及信息化部官网截图的得</w:t>
            </w:r>
            <w:r>
              <w:rPr>
                <w:rFonts w:hint="default" w:ascii="宋体" w:hAnsi="宋体" w:cs="宋体"/>
                <w:color w:val="auto"/>
                <w:kern w:val="0"/>
                <w:szCs w:val="21"/>
                <w:highlight w:val="none"/>
              </w:rPr>
              <w:t>1</w:t>
            </w:r>
            <w:r>
              <w:rPr>
                <w:rFonts w:ascii="宋体" w:hAnsi="宋体" w:cs="宋体"/>
                <w:color w:val="auto"/>
                <w:kern w:val="0"/>
                <w:szCs w:val="21"/>
                <w:highlight w:val="none"/>
              </w:rPr>
              <w:t>分。（提供要求的证明材料</w:t>
            </w:r>
            <w:r>
              <w:rPr>
                <w:rFonts w:ascii="宋体" w:hAnsi="宋体" w:cs="宋体"/>
                <w:color w:val="auto"/>
                <w:szCs w:val="21"/>
                <w:highlight w:val="none"/>
              </w:rPr>
              <w:t>并加盖投标人公章</w:t>
            </w:r>
            <w:r>
              <w:rPr>
                <w:rFonts w:ascii="宋体" w:hAnsi="宋体" w:cs="宋体"/>
                <w:color w:val="auto"/>
                <w:kern w:val="0"/>
                <w:szCs w:val="21"/>
                <w:highlight w:val="none"/>
              </w:rPr>
              <w:t>）</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cs="宋体"/>
                <w:i w:val="0"/>
                <w:iCs w:val="0"/>
                <w:color w:val="auto"/>
                <w:kern w:val="0"/>
                <w:sz w:val="21"/>
                <w:szCs w:val="21"/>
                <w:highlight w:val="none"/>
                <w:lang w:val="en-US" w:eastAsia="zh-CN"/>
              </w:rPr>
            </w:pP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eastAsia" w:ascii="宋体" w:hAnsi="宋体" w:eastAsia="宋体" w:cs="宋体"/>
                <w:i w:val="0"/>
                <w:iCs w:val="0"/>
                <w:color w:val="auto"/>
                <w:kern w:val="0"/>
                <w:sz w:val="21"/>
                <w:szCs w:val="21"/>
                <w:highlight w:val="none"/>
                <w:lang w:eastAsia="zh-CN"/>
              </w:rPr>
            </w:pPr>
            <w:r>
              <w:rPr>
                <w:rFonts w:ascii="宋体" w:hAnsi="宋体" w:cs="宋体"/>
                <w:color w:val="auto"/>
                <w:kern w:val="0"/>
                <w:szCs w:val="21"/>
                <w:highlight w:val="none"/>
              </w:rPr>
              <w:t>（3）投标人或其所属子公司有用于质量控制的CMA实验室的得</w:t>
            </w:r>
            <w:r>
              <w:rPr>
                <w:rFonts w:hint="default" w:ascii="宋体" w:hAnsi="宋体" w:cs="宋体"/>
                <w:color w:val="auto"/>
                <w:kern w:val="0"/>
                <w:szCs w:val="21"/>
                <w:highlight w:val="none"/>
              </w:rPr>
              <w:t>1</w:t>
            </w:r>
            <w:r>
              <w:rPr>
                <w:rFonts w:ascii="宋体" w:hAnsi="宋体" w:cs="宋体"/>
                <w:color w:val="auto"/>
                <w:kern w:val="0"/>
                <w:szCs w:val="21"/>
                <w:highlight w:val="none"/>
              </w:rPr>
              <w:t>分。（须提供实验室资质证书</w:t>
            </w:r>
            <w:r>
              <w:rPr>
                <w:rFonts w:hint="eastAsia" w:ascii="宋体" w:hAnsi="宋体" w:cs="宋体"/>
                <w:color w:val="auto"/>
                <w:kern w:val="0"/>
                <w:szCs w:val="21"/>
                <w:highlight w:val="none"/>
                <w:lang w:eastAsia="zh-CN"/>
              </w:rPr>
              <w:t>复印件</w:t>
            </w:r>
            <w:r>
              <w:rPr>
                <w:rFonts w:ascii="宋体" w:hAnsi="宋体" w:cs="宋体"/>
                <w:color w:val="auto"/>
                <w:szCs w:val="21"/>
                <w:highlight w:val="none"/>
              </w:rPr>
              <w:t>并加盖投标人公章</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未提供不得分。</w:t>
            </w:r>
            <w:r>
              <w:rPr>
                <w:rFonts w:hint="eastAsia" w:ascii="宋体" w:hAnsi="宋体" w:cs="宋体"/>
                <w:color w:val="auto"/>
                <w:kern w:val="0"/>
                <w:szCs w:val="21"/>
                <w:highlight w:val="none"/>
                <w:lang w:eastAsia="zh-CN"/>
              </w:rPr>
              <w:t>）</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cs="宋体"/>
                <w:i w:val="0"/>
                <w:iCs w:val="0"/>
                <w:color w:val="auto"/>
                <w:kern w:val="0"/>
                <w:sz w:val="21"/>
                <w:szCs w:val="21"/>
                <w:highlight w:val="none"/>
                <w:lang w:val="en-US" w:eastAsia="zh-CN"/>
              </w:rPr>
            </w:pP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default" w:ascii="宋体" w:hAnsi="宋体" w:eastAsia="宋体" w:cs="宋体"/>
                <w:i w:val="0"/>
                <w:iCs w:val="0"/>
                <w:color w:val="auto"/>
                <w:kern w:val="0"/>
                <w:sz w:val="21"/>
                <w:szCs w:val="21"/>
                <w:highlight w:val="none"/>
                <w:lang w:val="en-US" w:eastAsia="zh-CN"/>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）投标人具有省级或以上企业高新技术研究开发中心得</w:t>
            </w:r>
            <w:r>
              <w:rPr>
                <w:rFonts w:hint="default" w:ascii="宋体" w:hAnsi="宋体" w:cs="宋体"/>
                <w:color w:val="auto"/>
                <w:kern w:val="0"/>
                <w:szCs w:val="21"/>
                <w:highlight w:val="none"/>
              </w:rPr>
              <w:t>0.5</w:t>
            </w:r>
            <w:r>
              <w:rPr>
                <w:rFonts w:ascii="宋体" w:hAnsi="宋体" w:cs="宋体"/>
                <w:color w:val="auto"/>
                <w:kern w:val="0"/>
                <w:szCs w:val="21"/>
                <w:highlight w:val="none"/>
              </w:rPr>
              <w:t>分。</w:t>
            </w:r>
            <w:r>
              <w:rPr>
                <w:rFonts w:ascii="宋体" w:hAnsi="宋体" w:cs="宋体"/>
                <w:color w:val="auto"/>
                <w:szCs w:val="21"/>
                <w:highlight w:val="none"/>
              </w:rPr>
              <w:t>（提供证书复印件并加盖投标人公章。）</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cs="宋体"/>
                <w:b/>
                <w:bCs/>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8</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企业荣誉</w:t>
            </w: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default" w:ascii="宋体" w:hAnsi="宋体" w:eastAsia="宋体" w:cs="宋体"/>
                <w:i w:val="0"/>
                <w:iCs w:val="0"/>
                <w:color w:val="auto"/>
                <w:kern w:val="0"/>
                <w:sz w:val="21"/>
                <w:szCs w:val="21"/>
                <w:highlight w:val="none"/>
                <w:lang w:val="en-US" w:eastAsia="zh-CN"/>
              </w:rPr>
            </w:pPr>
            <w:r>
              <w:rPr>
                <w:rFonts w:ascii="宋体" w:hAnsi="宋体" w:cs="宋体"/>
                <w:b/>
                <w:color w:val="auto"/>
                <w:kern w:val="0"/>
                <w:szCs w:val="21"/>
                <w:highlight w:val="none"/>
              </w:rPr>
              <w:t>投标人近3年</w:t>
            </w:r>
            <w:r>
              <w:rPr>
                <w:rFonts w:hint="eastAsia" w:ascii="宋体" w:hAnsi="宋体" w:cs="宋体"/>
                <w:b/>
                <w:color w:val="auto"/>
                <w:kern w:val="0"/>
                <w:szCs w:val="21"/>
                <w:highlight w:val="none"/>
                <w:lang w:eastAsia="zh-CN"/>
              </w:rPr>
              <w:t>内</w:t>
            </w:r>
            <w:r>
              <w:rPr>
                <w:rFonts w:ascii="宋体" w:hAnsi="宋体" w:cs="宋体"/>
                <w:b/>
                <w:color w:val="auto"/>
                <w:kern w:val="0"/>
                <w:szCs w:val="21"/>
                <w:highlight w:val="none"/>
              </w:rPr>
              <w:t>获得省级或以上政府类（非协会或学会类）科学技术进步奖的</w:t>
            </w:r>
            <w:r>
              <w:rPr>
                <w:rFonts w:ascii="宋体" w:hAnsi="宋体" w:cs="宋体"/>
                <w:color w:val="auto"/>
                <w:kern w:val="0"/>
                <w:szCs w:val="21"/>
                <w:highlight w:val="none"/>
              </w:rPr>
              <w:t>，每提供一个得</w:t>
            </w:r>
            <w:r>
              <w:rPr>
                <w:rFonts w:hint="default" w:ascii="宋体" w:hAnsi="宋体" w:cs="宋体"/>
                <w:color w:val="auto"/>
                <w:kern w:val="0"/>
                <w:szCs w:val="21"/>
                <w:highlight w:val="none"/>
              </w:rPr>
              <w:t>2</w:t>
            </w:r>
            <w:r>
              <w:rPr>
                <w:rFonts w:ascii="宋体" w:hAnsi="宋体" w:cs="宋体"/>
                <w:color w:val="auto"/>
                <w:kern w:val="0"/>
                <w:szCs w:val="21"/>
                <w:highlight w:val="none"/>
              </w:rPr>
              <w:t>分，最高可得</w:t>
            </w:r>
            <w:r>
              <w:rPr>
                <w:rFonts w:hint="default" w:ascii="宋体" w:hAnsi="宋体" w:cs="宋体"/>
                <w:color w:val="auto"/>
                <w:kern w:val="0"/>
                <w:szCs w:val="21"/>
                <w:highlight w:val="none"/>
              </w:rPr>
              <w:t>4</w:t>
            </w:r>
            <w:r>
              <w:rPr>
                <w:rFonts w:ascii="宋体" w:hAnsi="宋体" w:cs="宋体"/>
                <w:color w:val="auto"/>
                <w:kern w:val="0"/>
                <w:szCs w:val="21"/>
                <w:highlight w:val="none"/>
              </w:rPr>
              <w:t>分。（提供相关证明材料复印件并加盖投标人公章）</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cs="宋体"/>
                <w:b/>
                <w:bCs/>
                <w:i w:val="0"/>
                <w:iCs w:val="0"/>
                <w:color w:val="auto"/>
                <w:kern w:val="0"/>
                <w:sz w:val="21"/>
                <w:szCs w:val="21"/>
                <w:highlight w:val="none"/>
                <w:lang w:val="en-US" w:eastAsia="zh-CN"/>
              </w:rPr>
              <w:t>9</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rPr>
              <w:t>企业业绩</w:t>
            </w:r>
          </w:p>
        </w:tc>
        <w:tc>
          <w:tcPr>
            <w:tcW w:w="7133" w:type="dxa"/>
            <w:noWrap/>
            <w:vAlign w:val="center"/>
          </w:tcPr>
          <w:p>
            <w:pPr>
              <w:pStyle w:val="2"/>
              <w:keepNext w:val="0"/>
              <w:keepLines w:val="0"/>
              <w:pageBreakBefore w:val="0"/>
              <w:kinsoku/>
              <w:wordWrap/>
              <w:overflowPunct/>
              <w:topLinePunct w:val="0"/>
              <w:autoSpaceDE/>
              <w:autoSpaceDN/>
              <w:bidi w:val="0"/>
              <w:adjustRightInd/>
              <w:snapToGrid/>
              <w:spacing w:after="0" w:line="290" w:lineRule="exact"/>
              <w:ind w:firstLine="0" w:firstLineChars="0"/>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lang w:eastAsia="zh-CN"/>
              </w:rPr>
              <w:t>投标人</w:t>
            </w:r>
            <w:r>
              <w:rPr>
                <w:rFonts w:hint="eastAsia" w:ascii="宋体" w:hAnsi="宋体" w:eastAsia="宋体" w:cs="宋体"/>
                <w:i w:val="0"/>
                <w:iCs w:val="0"/>
                <w:color w:val="auto"/>
                <w:kern w:val="0"/>
                <w:sz w:val="21"/>
                <w:szCs w:val="21"/>
                <w:highlight w:val="none"/>
              </w:rPr>
              <w:t>自201</w:t>
            </w:r>
            <w:r>
              <w:rPr>
                <w:rFonts w:hint="eastAsia" w:ascii="宋体" w:hAnsi="宋体" w:cs="宋体"/>
                <w:i w:val="0"/>
                <w:iCs w:val="0"/>
                <w:color w:val="auto"/>
                <w:kern w:val="0"/>
                <w:sz w:val="21"/>
                <w:szCs w:val="21"/>
                <w:highlight w:val="none"/>
                <w:lang w:val="en-US" w:eastAsia="zh-CN"/>
              </w:rPr>
              <w:t>9</w:t>
            </w:r>
            <w:r>
              <w:rPr>
                <w:rFonts w:hint="eastAsia" w:ascii="宋体" w:hAnsi="宋体" w:eastAsia="宋体" w:cs="宋体"/>
                <w:i w:val="0"/>
                <w:iCs w:val="0"/>
                <w:color w:val="auto"/>
                <w:kern w:val="0"/>
                <w:sz w:val="21"/>
                <w:szCs w:val="21"/>
                <w:highlight w:val="none"/>
              </w:rPr>
              <w:t>年1月1日以来</w:t>
            </w:r>
            <w:r>
              <w:rPr>
                <w:rFonts w:hint="eastAsia" w:ascii="宋体" w:hAnsi="宋体" w:cs="宋体"/>
                <w:i w:val="0"/>
                <w:iCs w:val="0"/>
                <w:color w:val="auto"/>
                <w:kern w:val="0"/>
                <w:sz w:val="21"/>
                <w:szCs w:val="21"/>
                <w:highlight w:val="none"/>
                <w:lang w:eastAsia="zh-CN"/>
              </w:rPr>
              <w:t>具有</w:t>
            </w:r>
            <w:r>
              <w:rPr>
                <w:rFonts w:hint="eastAsia" w:ascii="宋体" w:hAnsi="宋体" w:eastAsia="宋体" w:cs="宋体"/>
                <w:i w:val="0"/>
                <w:iCs w:val="0"/>
                <w:color w:val="auto"/>
                <w:kern w:val="0"/>
                <w:sz w:val="21"/>
                <w:szCs w:val="21"/>
                <w:highlight w:val="none"/>
              </w:rPr>
              <w:t>所投</w:t>
            </w:r>
            <w:r>
              <w:rPr>
                <w:rFonts w:hint="eastAsia" w:ascii="宋体" w:hAnsi="宋体" w:cs="宋体"/>
                <w:i w:val="0"/>
                <w:iCs w:val="0"/>
                <w:color w:val="auto"/>
                <w:kern w:val="0"/>
                <w:sz w:val="21"/>
                <w:szCs w:val="21"/>
                <w:highlight w:val="none"/>
                <w:lang w:val="en-US" w:eastAsia="zh-CN"/>
              </w:rPr>
              <w:t>核心</w:t>
            </w:r>
            <w:r>
              <w:rPr>
                <w:rFonts w:hint="eastAsia" w:ascii="宋体" w:hAnsi="宋体" w:eastAsia="宋体" w:cs="宋体"/>
                <w:i w:val="0"/>
                <w:iCs w:val="0"/>
                <w:color w:val="auto"/>
                <w:kern w:val="0"/>
                <w:sz w:val="21"/>
                <w:szCs w:val="21"/>
                <w:highlight w:val="none"/>
              </w:rPr>
              <w:t>产品</w:t>
            </w:r>
            <w:r>
              <w:rPr>
                <w:rFonts w:ascii="Times New Roman" w:hAnsi="Times New Roman"/>
                <w:bCs/>
                <w:color w:val="auto"/>
                <w:szCs w:val="21"/>
                <w:highlight w:val="none"/>
                <w:lang w:eastAsia="zh-Hans" w:bidi="zh-CN"/>
              </w:rPr>
              <w:t>同</w:t>
            </w:r>
            <w:r>
              <w:rPr>
                <w:rFonts w:ascii="Times New Roman" w:hAnsi="Times New Roman"/>
                <w:bCs/>
                <w:color w:val="auto"/>
                <w:szCs w:val="21"/>
                <w:highlight w:val="none"/>
                <w:lang w:bidi="zh-CN"/>
              </w:rPr>
              <w:t>型号</w:t>
            </w:r>
            <w:r>
              <w:rPr>
                <w:rFonts w:ascii="Times New Roman" w:hAnsi="Times New Roman"/>
                <w:bCs/>
                <w:color w:val="auto"/>
                <w:szCs w:val="21"/>
                <w:highlight w:val="none"/>
              </w:rPr>
              <w:t>产品</w:t>
            </w:r>
            <w:r>
              <w:rPr>
                <w:rFonts w:hint="eastAsia" w:ascii="宋体" w:hAnsi="宋体" w:eastAsia="宋体" w:cs="宋体"/>
                <w:i w:val="0"/>
                <w:iCs w:val="0"/>
                <w:color w:val="auto"/>
                <w:kern w:val="0"/>
                <w:sz w:val="21"/>
                <w:szCs w:val="21"/>
                <w:highlight w:val="none"/>
              </w:rPr>
              <w:t>业绩，每个得</w:t>
            </w:r>
            <w:r>
              <w:rPr>
                <w:rFonts w:hint="eastAsia" w:ascii="宋体" w:hAnsi="宋体" w:cs="宋体"/>
                <w:i w:val="0"/>
                <w:iCs w:val="0"/>
                <w:color w:val="auto"/>
                <w:kern w:val="0"/>
                <w:sz w:val="21"/>
                <w:szCs w:val="21"/>
                <w:highlight w:val="none"/>
                <w:lang w:val="en-US" w:eastAsia="zh-CN"/>
              </w:rPr>
              <w:t>0.5</w:t>
            </w:r>
            <w:r>
              <w:rPr>
                <w:rFonts w:hint="eastAsia" w:ascii="宋体" w:hAnsi="宋体" w:eastAsia="宋体" w:cs="宋体"/>
                <w:i w:val="0"/>
                <w:iCs w:val="0"/>
                <w:color w:val="auto"/>
                <w:kern w:val="0"/>
                <w:sz w:val="21"/>
                <w:szCs w:val="21"/>
                <w:highlight w:val="none"/>
              </w:rPr>
              <w:t>分，最高</w:t>
            </w:r>
            <w:r>
              <w:rPr>
                <w:rFonts w:hint="eastAsia" w:ascii="宋体" w:hAnsi="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分；（业绩必须提供相应的证明文件（合同和中标通知书复印件</w:t>
            </w:r>
            <w:r>
              <w:rPr>
                <w:rFonts w:ascii="宋体" w:hAnsi="宋体" w:cs="宋体"/>
                <w:color w:val="auto"/>
                <w:szCs w:val="21"/>
                <w:highlight w:val="none"/>
              </w:rPr>
              <w:t>并加盖投标人公章</w:t>
            </w:r>
            <w:r>
              <w:rPr>
                <w:rFonts w:hint="eastAsia" w:ascii="宋体" w:hAnsi="宋体" w:eastAsia="宋体" w:cs="宋体"/>
                <w:i w:val="0"/>
                <w:iCs w:val="0"/>
                <w:color w:val="auto"/>
                <w:kern w:val="0"/>
                <w:sz w:val="21"/>
                <w:szCs w:val="21"/>
                <w:highlight w:val="none"/>
              </w:rPr>
              <w:t>），时间以合同签订时间为准</w:t>
            </w:r>
            <w:r>
              <w:rPr>
                <w:rFonts w:hint="eastAsia" w:ascii="宋体" w:hAnsi="宋体" w:cs="宋体"/>
                <w:i w:val="0"/>
                <w:iCs w:val="0"/>
                <w:color w:val="auto"/>
                <w:kern w:val="0"/>
                <w:sz w:val="21"/>
                <w:szCs w:val="21"/>
                <w:highlight w:val="none"/>
                <w:lang w:eastAsia="zh-CN"/>
              </w:rPr>
              <w:t>，</w:t>
            </w:r>
            <w:r>
              <w:rPr>
                <w:rFonts w:ascii="Times New Roman" w:hAnsi="Times New Roman"/>
                <w:bCs/>
                <w:color w:val="auto"/>
                <w:szCs w:val="21"/>
                <w:highlight w:val="none"/>
                <w:lang w:bidi="zh-CN"/>
              </w:rPr>
              <w:t>未提供</w:t>
            </w:r>
            <w:r>
              <w:rPr>
                <w:rFonts w:ascii="Times New Roman" w:hAnsi="Times New Roman"/>
                <w:bCs/>
                <w:color w:val="auto"/>
                <w:szCs w:val="21"/>
                <w:highlight w:val="none"/>
              </w:rPr>
              <w:t>或提供不齐全不得分</w:t>
            </w:r>
            <w:r>
              <w:rPr>
                <w:rFonts w:hint="eastAsia" w:ascii="宋体" w:hAnsi="宋体" w:eastAsia="宋体" w:cs="宋体"/>
                <w:i w:val="0"/>
                <w:iCs w:val="0"/>
                <w:color w:val="auto"/>
                <w:kern w:val="0"/>
                <w:sz w:val="21"/>
                <w:szCs w:val="21"/>
                <w:highlight w:val="none"/>
              </w:rPr>
              <w:t>。）</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0-</w:t>
            </w:r>
            <w:r>
              <w:rPr>
                <w:rFonts w:hint="eastAsia" w:ascii="宋体" w:hAnsi="宋体" w:cs="宋体"/>
                <w:i w:val="0"/>
                <w:iCs w:val="0"/>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cs="宋体"/>
                <w:b/>
                <w:bCs/>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10</w:t>
            </w:r>
          </w:p>
        </w:tc>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w:t>
            </w: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ascii="宋体" w:hAnsi="宋体"/>
                <w:bCs/>
                <w:color w:val="auto"/>
                <w:szCs w:val="21"/>
                <w:highlight w:val="none"/>
              </w:rPr>
              <w:t>（1）根据售后服务承诺的范围和完善程度（包括质保响应程度、保修部件范围，保修服务标准等）的优劣得0-3分。</w:t>
            </w:r>
          </w:p>
        </w:tc>
        <w:tc>
          <w:tcPr>
            <w:tcW w:w="682"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0"/>
                <w:sz w:val="21"/>
                <w:szCs w:val="21"/>
                <w:highlight w:val="none"/>
              </w:rPr>
            </w:pP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ascii="宋体" w:hAnsi="宋体"/>
                <w:bCs/>
                <w:color w:val="auto"/>
                <w:szCs w:val="21"/>
                <w:highlight w:val="none"/>
              </w:rPr>
              <w:t>（2）根据供应商服务机构、备品备件及维护技术力量的优劣得0-3分。</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0"/>
                <w:sz w:val="21"/>
                <w:szCs w:val="21"/>
                <w:highlight w:val="none"/>
              </w:rPr>
            </w:pP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bCs/>
                <w:color w:val="auto"/>
                <w:szCs w:val="21"/>
                <w:highlight w:val="none"/>
              </w:rPr>
            </w:pPr>
            <w:r>
              <w:rPr>
                <w:rFonts w:ascii="宋体" w:hAnsi="宋体"/>
                <w:bCs/>
                <w:color w:val="auto"/>
                <w:szCs w:val="21"/>
                <w:highlight w:val="none"/>
              </w:rPr>
              <w:t>（3）供应商承诺的应急预案（包括故障响应修复时间方式及保障措施等）的优劣得0-3分。</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kern w:val="0"/>
                <w:sz w:val="21"/>
                <w:szCs w:val="21"/>
                <w:highlight w:val="none"/>
              </w:rPr>
            </w:pP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ascii="宋体" w:hAnsi="宋体"/>
                <w:bCs/>
                <w:color w:val="auto"/>
                <w:szCs w:val="21"/>
                <w:highlight w:val="none"/>
              </w:rPr>
              <w:t>（4）投标人具有GB/T27922五星级售后服务评价认证证书（服务认证应适用于色谱分析仪器、环境监测仪器、无组织排放监控系统等内容）的得1分。（提供证书复印件并加盖投标人公章。）</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cs="宋体"/>
                <w:b/>
                <w:bCs/>
                <w:i w:val="0"/>
                <w:iCs w:val="0"/>
                <w:color w:val="auto"/>
                <w:kern w:val="0"/>
                <w:sz w:val="21"/>
                <w:szCs w:val="21"/>
                <w:highlight w:val="none"/>
                <w:lang w:val="en-US" w:eastAsia="zh-CN"/>
              </w:rPr>
            </w:pPr>
            <w:r>
              <w:rPr>
                <w:rFonts w:hint="eastAsia" w:ascii="宋体" w:hAnsi="宋体" w:cs="宋体"/>
                <w:b/>
                <w:bCs/>
                <w:i w:val="0"/>
                <w:iCs w:val="0"/>
                <w:color w:val="auto"/>
                <w:kern w:val="0"/>
                <w:sz w:val="21"/>
                <w:szCs w:val="21"/>
                <w:highlight w:val="none"/>
                <w:lang w:val="en-US" w:eastAsia="zh-CN"/>
              </w:rPr>
              <w:t>11</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技术培训</w:t>
            </w:r>
          </w:p>
        </w:tc>
        <w:tc>
          <w:tcPr>
            <w:tcW w:w="7133" w:type="dxa"/>
            <w:noWrap/>
            <w:vAlign w:val="center"/>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根据培训方案（包括人员、时间、培训内容和目标）的优劣得0-</w:t>
            </w:r>
            <w:r>
              <w:rPr>
                <w:rFonts w:hint="eastAsia" w:ascii="宋体" w:hAnsi="宋体"/>
                <w:bCs/>
                <w:color w:val="auto"/>
                <w:szCs w:val="21"/>
                <w:highlight w:val="none"/>
                <w:lang w:val="en-US" w:eastAsia="zh-CN"/>
              </w:rPr>
              <w:t>2</w:t>
            </w:r>
            <w:r>
              <w:rPr>
                <w:rFonts w:hint="eastAsia" w:ascii="宋体" w:hAnsi="宋体"/>
                <w:bCs/>
                <w:color w:val="auto"/>
                <w:szCs w:val="21"/>
                <w:highlight w:val="none"/>
              </w:rPr>
              <w:t>分。</w:t>
            </w:r>
          </w:p>
        </w:tc>
        <w:tc>
          <w:tcPr>
            <w:tcW w:w="682" w:type="dxa"/>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宋体" w:hAnsi="宋体" w:eastAsia="宋体" w:cs="宋体"/>
                <w:b/>
                <w:bCs/>
                <w:i w:val="0"/>
                <w:iCs w:val="0"/>
                <w:color w:val="auto"/>
                <w:kern w:val="0"/>
                <w:sz w:val="21"/>
                <w:szCs w:val="21"/>
                <w:highlight w:val="none"/>
                <w:lang w:val="en-US" w:eastAsia="zh-CN" w:bidi="ar-SA"/>
              </w:rPr>
            </w:pPr>
            <w:r>
              <w:rPr>
                <w:rFonts w:hint="eastAsia" w:ascii="宋体" w:hAnsi="宋体" w:cs="宋体"/>
                <w:b/>
                <w:bCs/>
                <w:i w:val="0"/>
                <w:iCs w:val="0"/>
                <w:color w:val="auto"/>
                <w:kern w:val="0"/>
                <w:sz w:val="21"/>
                <w:szCs w:val="21"/>
                <w:highlight w:val="none"/>
                <w:lang w:val="en-US" w:eastAsia="zh-CN"/>
              </w:rPr>
              <w:t>12</w:t>
            </w:r>
          </w:p>
        </w:tc>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cs="宋体"/>
                <w:color w:val="auto"/>
                <w:szCs w:val="21"/>
                <w:highlight w:val="none"/>
              </w:rPr>
              <w:t>政策分</w:t>
            </w: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ascii="宋体" w:hAnsi="宋体" w:cs="宋体"/>
                <w:color w:val="auto"/>
                <w:highlight w:val="none"/>
              </w:rPr>
            </w:pPr>
            <w:r>
              <w:rPr>
                <w:rFonts w:ascii="宋体" w:hAnsi="宋体" w:cs="宋体"/>
                <w:color w:val="auto"/>
                <w:highlight w:val="none"/>
              </w:rPr>
              <w:t>（1）投标产品中有属于国家公布的节能产品品目清单范围的，得0</w:t>
            </w:r>
            <w:r>
              <w:rPr>
                <w:rFonts w:hint="default" w:ascii="宋体" w:hAnsi="宋体" w:cs="宋体"/>
                <w:color w:val="auto"/>
                <w:highlight w:val="none"/>
              </w:rPr>
              <w:t>.5</w:t>
            </w:r>
            <w:r>
              <w:rPr>
                <w:rFonts w:ascii="宋体" w:hAnsi="宋体" w:cs="宋体"/>
                <w:color w:val="auto"/>
                <w:highlight w:val="none"/>
              </w:rPr>
              <w:t>分。</w:t>
            </w:r>
          </w:p>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eastAsia="宋体" w:cs="宋体"/>
                <w:bCs/>
                <w:i w:val="0"/>
                <w:iCs w:val="0"/>
                <w:color w:val="auto"/>
                <w:sz w:val="21"/>
                <w:szCs w:val="21"/>
                <w:highlight w:val="none"/>
              </w:rPr>
            </w:pPr>
            <w:r>
              <w:rPr>
                <w:rFonts w:ascii="宋体" w:hAnsi="宋体" w:cs="宋体"/>
                <w:color w:val="auto"/>
                <w:highlight w:val="none"/>
              </w:rPr>
              <w:t>注：需提供品目清单证明及国家确定的认定机构出具的、在有效期内的节能产品认证证书等证明材料。证明</w:t>
            </w:r>
            <w:r>
              <w:rPr>
                <w:rFonts w:hint="eastAsia" w:ascii="宋体" w:hAnsi="宋体" w:cs="宋体"/>
                <w:color w:val="auto"/>
                <w:highlight w:val="none"/>
              </w:rPr>
              <w:t>材料</w:t>
            </w:r>
            <w:r>
              <w:rPr>
                <w:rFonts w:ascii="宋体" w:hAnsi="宋体" w:cs="宋体"/>
                <w:color w:val="auto"/>
                <w:highlight w:val="none"/>
              </w:rPr>
              <w:t>复印件加盖公章。</w:t>
            </w:r>
          </w:p>
        </w:tc>
        <w:tc>
          <w:tcPr>
            <w:tcW w:w="682"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0-</w:t>
            </w:r>
            <w:r>
              <w:rPr>
                <w:rFonts w:hint="eastAsia" w:ascii="宋体" w:hAnsi="宋体" w:cs="宋体"/>
                <w:i w:val="0"/>
                <w:iCs w:val="0"/>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c>
          <w:tcPr>
            <w:tcW w:w="7133" w:type="dxa"/>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rPr>
                <w:rFonts w:ascii="宋体" w:hAnsi="宋体" w:cs="宋体"/>
                <w:color w:val="auto"/>
                <w:highlight w:val="none"/>
              </w:rPr>
            </w:pPr>
            <w:r>
              <w:rPr>
                <w:rFonts w:ascii="宋体" w:hAnsi="宋体" w:cs="宋体"/>
                <w:color w:val="auto"/>
                <w:highlight w:val="none"/>
              </w:rPr>
              <w:t>（2）投标产品中有属于国家公布的环保产品品目清单范围的，得0</w:t>
            </w:r>
            <w:r>
              <w:rPr>
                <w:rFonts w:hint="default" w:ascii="宋体" w:hAnsi="宋体" w:cs="宋体"/>
                <w:color w:val="auto"/>
                <w:highlight w:val="none"/>
              </w:rPr>
              <w:t>.5</w:t>
            </w:r>
            <w:r>
              <w:rPr>
                <w:rFonts w:ascii="宋体" w:hAnsi="宋体" w:cs="宋体"/>
                <w:color w:val="auto"/>
                <w:highlight w:val="none"/>
              </w:rPr>
              <w:t>分。</w:t>
            </w:r>
          </w:p>
          <w:p>
            <w:pPr>
              <w:keepNext w:val="0"/>
              <w:keepLines w:val="0"/>
              <w:pageBreakBefore w:val="0"/>
              <w:kinsoku/>
              <w:wordWrap/>
              <w:overflowPunct/>
              <w:topLinePunct w:val="0"/>
              <w:autoSpaceDE/>
              <w:autoSpaceDN/>
              <w:bidi w:val="0"/>
              <w:adjustRightInd/>
              <w:snapToGrid/>
              <w:spacing w:line="290" w:lineRule="exact"/>
              <w:textAlignment w:val="auto"/>
              <w:rPr>
                <w:rFonts w:hint="eastAsia" w:ascii="宋体" w:hAnsi="宋体" w:eastAsia="宋体" w:cs="宋体"/>
                <w:bCs/>
                <w:i w:val="0"/>
                <w:iCs w:val="0"/>
                <w:color w:val="auto"/>
                <w:kern w:val="0"/>
                <w:sz w:val="21"/>
                <w:szCs w:val="21"/>
                <w:highlight w:val="none"/>
              </w:rPr>
            </w:pPr>
            <w:r>
              <w:rPr>
                <w:rFonts w:ascii="宋体" w:hAnsi="宋体" w:cs="宋体"/>
                <w:color w:val="auto"/>
                <w:highlight w:val="none"/>
              </w:rPr>
              <w:t>注</w:t>
            </w:r>
            <w:r>
              <w:rPr>
                <w:rFonts w:hint="eastAsia" w:ascii="宋体" w:hAnsi="宋体" w:cs="宋体"/>
                <w:color w:val="auto"/>
                <w:highlight w:val="none"/>
              </w:rPr>
              <w:t>：</w:t>
            </w:r>
            <w:r>
              <w:rPr>
                <w:rFonts w:ascii="宋体" w:hAnsi="宋体" w:cs="宋体"/>
                <w:color w:val="auto"/>
                <w:highlight w:val="none"/>
              </w:rPr>
              <w:t>需提供品目清单证明及国家确定的认定机构出具的、在有效期内的环境标志产品认证证书等证明材料。证明</w:t>
            </w:r>
            <w:r>
              <w:rPr>
                <w:rFonts w:hint="eastAsia" w:ascii="宋体" w:hAnsi="宋体" w:cs="宋体"/>
                <w:color w:val="auto"/>
                <w:highlight w:val="none"/>
              </w:rPr>
              <w:t>材料</w:t>
            </w:r>
            <w:r>
              <w:rPr>
                <w:rFonts w:ascii="宋体" w:hAnsi="宋体" w:cs="宋体"/>
                <w:color w:val="auto"/>
                <w:highlight w:val="none"/>
              </w:rPr>
              <w:t>复印件加盖公章。</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eastAsia" w:ascii="宋体" w:hAnsi="宋体" w:cs="宋体"/>
                <w:b/>
                <w:bCs/>
                <w:i w:val="0"/>
                <w:iCs w:val="0"/>
                <w:color w:val="auto"/>
                <w:kern w:val="0"/>
                <w:sz w:val="21"/>
                <w:szCs w:val="21"/>
                <w:highlight w:val="none"/>
                <w:lang w:val="en-US" w:eastAsia="zh-CN"/>
              </w:rPr>
            </w:pPr>
          </w:p>
        </w:tc>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c>
          <w:tcPr>
            <w:tcW w:w="7133"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投标人</w:t>
            </w:r>
            <w:r>
              <w:rPr>
                <w:rFonts w:hint="eastAsia" w:ascii="宋体" w:hAnsi="宋体" w:cs="宋体"/>
                <w:color w:val="auto"/>
                <w:kern w:val="0"/>
                <w:szCs w:val="21"/>
                <w:highlight w:val="none"/>
              </w:rPr>
              <w:t>按规定享受其他的国家政策支持、扶持的得</w:t>
            </w:r>
            <w:r>
              <w:rPr>
                <w:rFonts w:ascii="宋体" w:hAnsi="宋体" w:cs="宋体"/>
                <w:color w:val="auto"/>
                <w:highlight w:val="none"/>
              </w:rPr>
              <w:t>0</w:t>
            </w:r>
            <w:r>
              <w:rPr>
                <w:rFonts w:hint="default" w:ascii="宋体" w:hAnsi="宋体" w:cs="宋体"/>
                <w:color w:val="auto"/>
                <w:highlight w:val="none"/>
              </w:rPr>
              <w:t>.5</w:t>
            </w:r>
            <w:r>
              <w:rPr>
                <w:rFonts w:hint="eastAsia" w:ascii="宋体" w:hAnsi="宋体" w:cs="宋体"/>
                <w:color w:val="auto"/>
                <w:kern w:val="0"/>
                <w:szCs w:val="21"/>
                <w:highlight w:val="none"/>
              </w:rPr>
              <w:t>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宋体" w:hAnsi="宋体" w:eastAsia="宋体" w:cs="宋体"/>
                <w:bCs/>
                <w:i w:val="0"/>
                <w:iCs w:val="0"/>
                <w:color w:val="auto"/>
                <w:kern w:val="0"/>
                <w:sz w:val="21"/>
                <w:szCs w:val="21"/>
                <w:highlight w:val="none"/>
              </w:rPr>
            </w:pPr>
            <w:r>
              <w:rPr>
                <w:rFonts w:hint="eastAsia" w:ascii="宋体" w:hAnsi="宋体" w:cs="宋体"/>
                <w:color w:val="auto"/>
                <w:kern w:val="0"/>
                <w:szCs w:val="21"/>
                <w:highlight w:val="none"/>
              </w:rPr>
              <w:t>注：</w:t>
            </w:r>
            <w:r>
              <w:rPr>
                <w:rFonts w:hint="eastAsia" w:ascii="宋体" w:hAnsi="宋体" w:cs="宋体"/>
                <w:color w:val="auto"/>
                <w:szCs w:val="21"/>
                <w:highlight w:val="none"/>
                <w:lang w:val="en-US" w:eastAsia="zh-CN"/>
              </w:rPr>
              <w:t>投标人</w:t>
            </w:r>
            <w:r>
              <w:rPr>
                <w:rFonts w:hint="eastAsia" w:ascii="宋体" w:hAnsi="宋体" w:cs="宋体"/>
                <w:color w:val="auto"/>
                <w:kern w:val="0"/>
                <w:szCs w:val="21"/>
                <w:highlight w:val="none"/>
              </w:rPr>
              <w:t>提供相关证明材料（例：响应国家关于下岗工人再就业的政策等证明材料），证明材料复印件加盖公章。</w:t>
            </w:r>
          </w:p>
        </w:tc>
        <w:tc>
          <w:tcPr>
            <w:tcW w:w="682" w:type="dxa"/>
            <w:vMerge w:val="continue"/>
            <w:noWrap w:val="0"/>
            <w:vAlign w:val="center"/>
          </w:tcPr>
          <w:p>
            <w:pPr>
              <w:keepNext w:val="0"/>
              <w:keepLines w:val="0"/>
              <w:pageBreakBefore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iCs w:val="0"/>
                <w:color w:val="auto"/>
                <w:sz w:val="21"/>
                <w:szCs w:val="21"/>
                <w:highlight w:val="none"/>
              </w:rPr>
            </w:pPr>
          </w:p>
        </w:tc>
      </w:tr>
    </w:tbl>
    <w:p>
      <w:pPr>
        <w:pStyle w:val="4"/>
        <w:numPr>
          <w:ilvl w:val="0"/>
          <w:numId w:val="3"/>
        </w:numPr>
        <w:spacing w:before="0" w:after="0"/>
        <w:rPr>
          <w:rFonts w:ascii="宋体" w:hAnsi="宋体" w:eastAsia="宋体" w:cs="宋体"/>
          <w:color w:val="auto"/>
          <w:sz w:val="30"/>
          <w:szCs w:val="30"/>
          <w:highlight w:val="none"/>
        </w:rPr>
      </w:pPr>
      <w:bookmarkStart w:id="35" w:name="_Toc423016466"/>
      <w:r>
        <w:rPr>
          <w:rFonts w:hint="eastAsia" w:ascii="宋体" w:hAnsi="宋体" w:eastAsia="宋体" w:cs="宋体"/>
          <w:color w:val="auto"/>
          <w:sz w:val="30"/>
          <w:szCs w:val="30"/>
          <w:highlight w:val="none"/>
        </w:rPr>
        <w:t xml:space="preserve"> 合同主要条款</w:t>
      </w:r>
      <w:bookmarkEnd w:id="35"/>
    </w:p>
    <w:p>
      <w:pPr>
        <w:pStyle w:val="4"/>
        <w:spacing w:before="0" w:after="0"/>
        <w:rPr>
          <w:color w:val="auto"/>
          <w:sz w:val="30"/>
          <w:szCs w:val="30"/>
          <w:highlight w:val="none"/>
        </w:rPr>
      </w:pPr>
      <w:bookmarkStart w:id="36" w:name="_Toc351203652"/>
      <w:bookmarkStart w:id="37" w:name="_Toc423016467"/>
      <w:r>
        <w:rPr>
          <w:rFonts w:ascii="宋体" w:hAnsi="宋体"/>
          <w:bCs w:val="0"/>
          <w:color w:val="auto"/>
          <w:sz w:val="30"/>
          <w:szCs w:val="30"/>
          <w:highlight w:val="none"/>
        </w:rPr>
        <w:t>（</w:t>
      </w:r>
      <w:r>
        <w:rPr>
          <w:rFonts w:hint="eastAsia" w:ascii="宋体" w:hAnsi="宋体"/>
          <w:bCs w:val="0"/>
          <w:color w:val="auto"/>
          <w:sz w:val="30"/>
          <w:szCs w:val="30"/>
          <w:highlight w:val="none"/>
          <w:lang w:eastAsia="zh-CN"/>
        </w:rPr>
        <w:t>货物</w:t>
      </w:r>
      <w:r>
        <w:rPr>
          <w:rFonts w:hint="eastAsia" w:ascii="宋体" w:hAnsi="宋体"/>
          <w:bCs w:val="0"/>
          <w:color w:val="auto"/>
          <w:sz w:val="30"/>
          <w:szCs w:val="30"/>
          <w:highlight w:val="none"/>
        </w:rPr>
        <w:t>，</w:t>
      </w:r>
      <w:r>
        <w:rPr>
          <w:rFonts w:hint="eastAsia"/>
          <w:color w:val="auto"/>
          <w:sz w:val="30"/>
          <w:szCs w:val="30"/>
          <w:highlight w:val="none"/>
        </w:rPr>
        <w:t>供参考）</w:t>
      </w:r>
    </w:p>
    <w:p>
      <w:pPr>
        <w:pStyle w:val="13"/>
        <w:spacing w:line="310" w:lineRule="exact"/>
        <w:ind w:firstLine="420" w:firstLineChars="200"/>
        <w:rPr>
          <w:rFonts w:hAnsi="宋体" w:cs="宋体"/>
          <w:color w:val="auto"/>
          <w:kern w:val="0"/>
          <w:highlight w:val="none"/>
          <w:lang w:val="zh-CN"/>
        </w:rPr>
      </w:pPr>
      <w:r>
        <w:rPr>
          <w:rFonts w:hint="eastAsia" w:hAnsi="宋体" w:cs="宋体"/>
          <w:color w:val="auto"/>
          <w:highlight w:val="none"/>
          <w:lang w:val="zh-CN"/>
        </w:rPr>
        <w:t>项目名称：</w:t>
      </w:r>
      <w:r>
        <w:rPr>
          <w:rFonts w:hint="eastAsia" w:hAnsi="宋体" w:cs="宋体"/>
          <w:color w:val="auto"/>
          <w:kern w:val="0"/>
          <w:highlight w:val="none"/>
          <w:lang w:val="zh-CN"/>
        </w:rPr>
        <w:t>长兴县环境保护监测站应急及常规监测能力提升项目</w:t>
      </w:r>
      <w:r>
        <w:rPr>
          <w:rFonts w:hint="eastAsia" w:hAnsi="宋体" w:cs="宋体"/>
          <w:color w:val="auto"/>
          <w:highlight w:val="none"/>
          <w:lang w:val="zh-CN"/>
        </w:rPr>
        <w:t xml:space="preserve">                              </w:t>
      </w:r>
    </w:p>
    <w:p>
      <w:pPr>
        <w:pStyle w:val="13"/>
        <w:spacing w:line="310" w:lineRule="exact"/>
        <w:ind w:firstLine="420" w:firstLineChars="200"/>
        <w:rPr>
          <w:rFonts w:hint="eastAsia" w:hAnsi="宋体" w:eastAsia="宋体" w:cs="宋体"/>
          <w:color w:val="auto"/>
          <w:highlight w:val="none"/>
          <w:lang w:eastAsia="zh-CN"/>
        </w:rPr>
      </w:pPr>
      <w:r>
        <w:rPr>
          <w:rFonts w:hint="eastAsia" w:hAnsi="宋体" w:cs="宋体"/>
          <w:color w:val="auto"/>
          <w:highlight w:val="none"/>
          <w:lang w:val="zh-CN"/>
        </w:rPr>
        <w:t>项目编号：</w:t>
      </w:r>
      <w:r>
        <w:rPr>
          <w:rFonts w:hint="eastAsia" w:hAnsi="宋体" w:cs="宋体"/>
          <w:color w:val="auto"/>
          <w:highlight w:val="none"/>
          <w:lang w:eastAsia="zh-CN"/>
        </w:rPr>
        <w:t>ZJJWCG-2022-013</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 xml:space="preserve">甲方： 长兴县环境保护监测站 </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乙方：</w:t>
      </w:r>
      <w:r>
        <w:rPr>
          <w:rFonts w:hint="eastAsia" w:hAnsi="宋体" w:cs="宋体"/>
          <w:color w:val="auto"/>
          <w:highlight w:val="none"/>
        </w:rPr>
        <w:t xml:space="preserve">                    </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甲、乙双方根据东方经纬项目管理有限公司关于</w:t>
      </w:r>
      <w:r>
        <w:rPr>
          <w:rFonts w:hint="eastAsia" w:hAnsi="宋体" w:cs="宋体"/>
          <w:color w:val="auto"/>
          <w:kern w:val="0"/>
          <w:highlight w:val="none"/>
          <w:u w:val="single"/>
          <w:lang w:val="zh-CN"/>
        </w:rPr>
        <w:t>长兴县环境保护监测站应急及常规监测能力提升项目</w:t>
      </w:r>
      <w:r>
        <w:rPr>
          <w:rFonts w:hint="eastAsia" w:hAnsi="宋体" w:cs="宋体"/>
          <w:color w:val="auto"/>
          <w:highlight w:val="none"/>
          <w:lang w:val="zh-CN"/>
        </w:rPr>
        <w:t>公开招标中标的结果，签署本合同。</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kern w:val="2"/>
          <w:sz w:val="21"/>
          <w:szCs w:val="21"/>
          <w:highlight w:val="none"/>
          <w:lang w:val="zh-CN" w:eastAsia="zh-CN" w:bidi="ar"/>
        </w:rPr>
        <w:t>一、采购内容</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
        </w:rPr>
        <w:t>1. 产品名称：</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
        </w:rPr>
        <w:t>2. 技术规格：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
        </w:rPr>
        <w:t>3. 技术参数：</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
        </w:rPr>
        <w:t>4. 数量（单位）：</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kern w:val="2"/>
          <w:sz w:val="21"/>
          <w:szCs w:val="21"/>
          <w:highlight w:val="none"/>
          <w:lang w:val="zh-CN" w:eastAsia="zh-CN" w:bidi="ar"/>
        </w:rPr>
        <w:t>二、合同金额</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
        </w:rPr>
        <w:t xml:space="preserve"> 本合同金额为（大写）：__________________元（￥_______________元）人民币。</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三、技术资料</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1.乙方应按招标文件规定的时间向甲方提供产品的有关技术资料。</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四、知识产权</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乙方应保证所提供的产品或其任何一部分均不会侵犯任何第三方的知识产权。</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color w:val="auto"/>
          <w:sz w:val="21"/>
          <w:szCs w:val="21"/>
          <w:highlight w:val="none"/>
          <w:u w:val="single"/>
          <w:lang w:val="en-US"/>
        </w:rPr>
      </w:pPr>
      <w:r>
        <w:rPr>
          <w:rFonts w:hint="eastAsia" w:ascii="宋体" w:hAnsi="宋体" w:eastAsia="宋体" w:cs="宋体"/>
          <w:b/>
          <w:bCs w:val="0"/>
          <w:color w:val="auto"/>
          <w:kern w:val="2"/>
          <w:sz w:val="21"/>
          <w:szCs w:val="21"/>
          <w:highlight w:val="none"/>
          <w:lang w:val="en-US" w:eastAsia="zh-CN" w:bidi="ar"/>
        </w:rPr>
        <w:t>五、产权担保</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u w:val="single"/>
          <w:lang w:val="en-US"/>
        </w:rPr>
      </w:pPr>
      <w:r>
        <w:rPr>
          <w:rFonts w:hint="eastAsia" w:ascii="宋体" w:hAnsi="宋体" w:eastAsia="宋体" w:cs="宋体"/>
          <w:color w:val="auto"/>
          <w:kern w:val="2"/>
          <w:sz w:val="21"/>
          <w:szCs w:val="21"/>
          <w:highlight w:val="none"/>
          <w:lang w:val="en-US" w:eastAsia="zh-CN" w:bidi="ar"/>
        </w:rPr>
        <w:t>乙方保证所交付的产品的所有权完全属于乙方且无任何抵押、查封等产权瑕疵。</w:t>
      </w:r>
    </w:p>
    <w:p>
      <w:pPr>
        <w:pStyle w:val="13"/>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六、履约保证金</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乙方交纳</w:t>
      </w:r>
      <w:r>
        <w:rPr>
          <w:rFonts w:hint="eastAsia" w:cs="宋体"/>
          <w:color w:val="auto"/>
          <w:sz w:val="21"/>
          <w:szCs w:val="21"/>
          <w:highlight w:val="none"/>
          <w:u w:val="single"/>
          <w:lang w:eastAsia="zh-CN"/>
        </w:rPr>
        <w:t>合同</w:t>
      </w:r>
      <w:r>
        <w:rPr>
          <w:rFonts w:hint="eastAsia" w:ascii="宋体" w:hAnsi="宋体" w:eastAsia="宋体" w:cs="宋体"/>
          <w:color w:val="auto"/>
          <w:sz w:val="21"/>
          <w:szCs w:val="21"/>
          <w:highlight w:val="none"/>
          <w:u w:val="single"/>
        </w:rPr>
        <w:t>金额的</w:t>
      </w:r>
      <w:r>
        <w:rPr>
          <w:rFonts w:hint="eastAsia"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作为本合同的履约保证金。待项目验收合格后，经</w:t>
      </w:r>
      <w:r>
        <w:rPr>
          <w:rFonts w:hint="eastAsia" w:cs="宋体"/>
          <w:color w:val="auto"/>
          <w:sz w:val="21"/>
          <w:szCs w:val="21"/>
          <w:highlight w:val="none"/>
          <w:lang w:eastAsia="zh-CN"/>
        </w:rPr>
        <w:t>甲方</w:t>
      </w:r>
      <w:r>
        <w:rPr>
          <w:rFonts w:hint="eastAsia" w:ascii="宋体" w:hAnsi="宋体" w:eastAsia="宋体" w:cs="宋体"/>
          <w:color w:val="auto"/>
          <w:sz w:val="21"/>
          <w:szCs w:val="21"/>
          <w:highlight w:val="none"/>
        </w:rPr>
        <w:t>确认后无息退还（违约部分除外）。</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cs="宋体"/>
          <w:b/>
          <w:bCs w:val="0"/>
          <w:color w:val="auto"/>
          <w:kern w:val="2"/>
          <w:sz w:val="21"/>
          <w:szCs w:val="21"/>
          <w:highlight w:val="none"/>
          <w:lang w:val="en-US" w:eastAsia="zh-CN" w:bidi="ar"/>
        </w:rPr>
        <w:t>七</w:t>
      </w:r>
      <w:r>
        <w:rPr>
          <w:rFonts w:hint="eastAsia" w:ascii="宋体" w:hAnsi="宋体" w:eastAsia="宋体" w:cs="宋体"/>
          <w:b/>
          <w:bCs w:val="0"/>
          <w:color w:val="auto"/>
          <w:kern w:val="2"/>
          <w:sz w:val="21"/>
          <w:szCs w:val="21"/>
          <w:highlight w:val="none"/>
          <w:lang w:val="en-US" w:eastAsia="zh-CN" w:bidi="ar"/>
        </w:rPr>
        <w:t>、转包或分包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1.本合同范围的产品，应由乙方直接供应，不得转让他人供应；</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2.除非得到甲方的书面同意，乙方不得将本合同范围的货物全部或部分分包给他人供应；</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3.如有转让和未经甲方同意的分包行为，甲方有权解除合同，没收履约保证金并追究乙方的违约责任。</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cs="宋体"/>
          <w:b/>
          <w:bCs w:val="0"/>
          <w:color w:val="auto"/>
          <w:kern w:val="2"/>
          <w:sz w:val="21"/>
          <w:szCs w:val="21"/>
          <w:highlight w:val="none"/>
          <w:lang w:val="en-US" w:eastAsia="zh-CN" w:bidi="ar"/>
        </w:rPr>
        <w:t>八</w:t>
      </w:r>
      <w:r>
        <w:rPr>
          <w:rFonts w:hint="eastAsia" w:ascii="宋体" w:hAnsi="宋体" w:eastAsia="宋体" w:cs="宋体"/>
          <w:b/>
          <w:bCs w:val="0"/>
          <w:color w:val="auto"/>
          <w:kern w:val="2"/>
          <w:sz w:val="21"/>
          <w:szCs w:val="21"/>
          <w:highlight w:val="none"/>
          <w:lang w:val="en-US" w:eastAsia="zh-CN" w:bidi="ar"/>
        </w:rPr>
        <w:t>、交货期、</w:t>
      </w:r>
      <w:r>
        <w:rPr>
          <w:rFonts w:hint="eastAsia" w:cs="宋体"/>
          <w:b/>
          <w:bCs w:val="0"/>
          <w:color w:val="auto"/>
          <w:kern w:val="2"/>
          <w:sz w:val="21"/>
          <w:szCs w:val="21"/>
          <w:highlight w:val="none"/>
          <w:lang w:val="en-US" w:eastAsia="zh-CN" w:bidi="ar"/>
        </w:rPr>
        <w:t>质保期</w:t>
      </w:r>
      <w:r>
        <w:rPr>
          <w:rFonts w:hint="eastAsia" w:ascii="宋体" w:hAnsi="宋体" w:eastAsia="宋体" w:cs="宋体"/>
          <w:b/>
          <w:bCs w:val="0"/>
          <w:color w:val="auto"/>
          <w:kern w:val="2"/>
          <w:sz w:val="21"/>
          <w:szCs w:val="21"/>
          <w:highlight w:val="none"/>
          <w:lang w:val="en-US" w:eastAsia="zh-CN" w:bidi="ar"/>
        </w:rPr>
        <w:t>及交货地点</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交货时间：合同签订后90日内完成供货、安装调试。</w:t>
      </w:r>
      <w:r>
        <w:rPr>
          <w:rFonts w:hint="eastAsia" w:cs="宋体"/>
          <w:color w:val="auto"/>
          <w:kern w:val="2"/>
          <w:sz w:val="21"/>
          <w:szCs w:val="21"/>
          <w:highlight w:val="none"/>
          <w:lang w:val="en-US" w:eastAsia="zh-CN" w:bidi="ar"/>
        </w:rPr>
        <w:t xml:space="preserve">                </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cs="宋体"/>
          <w:color w:val="auto"/>
          <w:kern w:val="2"/>
          <w:sz w:val="21"/>
          <w:szCs w:val="21"/>
          <w:highlight w:val="none"/>
          <w:lang w:val="en-US" w:eastAsia="zh-CN" w:bidi="ar"/>
        </w:rPr>
      </w:pPr>
      <w:r>
        <w:rPr>
          <w:rFonts w:hint="eastAsia" w:cs="宋体"/>
          <w:color w:val="auto"/>
          <w:kern w:val="2"/>
          <w:sz w:val="21"/>
          <w:szCs w:val="21"/>
          <w:highlight w:val="none"/>
          <w:lang w:val="en-US" w:eastAsia="zh-CN" w:bidi="ar"/>
        </w:rPr>
        <w:t>质保期：自验收合格后一年</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交货地点：</w:t>
      </w:r>
      <w:r>
        <w:rPr>
          <w:rFonts w:hint="eastAsia" w:cs="宋体"/>
          <w:color w:val="auto"/>
          <w:kern w:val="2"/>
          <w:sz w:val="21"/>
          <w:szCs w:val="21"/>
          <w:highlight w:val="none"/>
          <w:lang w:val="en-US" w:eastAsia="zh-CN" w:bidi="ar"/>
        </w:rPr>
        <w:t>甲方</w:t>
      </w:r>
      <w:r>
        <w:rPr>
          <w:rFonts w:hint="eastAsia" w:ascii="宋体" w:hAnsi="宋体" w:eastAsia="宋体" w:cs="宋体"/>
          <w:color w:val="auto"/>
          <w:kern w:val="2"/>
          <w:sz w:val="21"/>
          <w:szCs w:val="21"/>
          <w:highlight w:val="none"/>
          <w:lang w:val="en-US" w:eastAsia="zh-CN" w:bidi="ar"/>
        </w:rPr>
        <w:t>指定地点</w:t>
      </w:r>
    </w:p>
    <w:p>
      <w:pPr>
        <w:pStyle w:val="21"/>
        <w:keepNext w:val="0"/>
        <w:keepLines w:val="0"/>
        <w:pageBreakBefore w:val="0"/>
        <w:widowControl w:val="0"/>
        <w:numPr>
          <w:ilvl w:val="0"/>
          <w:numId w:val="0"/>
        </w:numPr>
        <w:suppressLineNumbers w:val="0"/>
        <w:tabs>
          <w:tab w:val="left" w:pos="0"/>
        </w:tabs>
        <w:kinsoku/>
        <w:wordWrap/>
        <w:overflowPunct/>
        <w:topLinePunct w:val="0"/>
        <w:bidi w:val="0"/>
        <w:adjustRightInd/>
        <w:snapToGrid/>
        <w:spacing w:beforeAutospacing="0" w:afterAutospacing="0" w:line="320" w:lineRule="exact"/>
        <w:ind w:leftChars="0" w:right="0" w:rightChars="0" w:firstLine="422" w:firstLineChars="200"/>
        <w:jc w:val="both"/>
        <w:textAlignment w:val="auto"/>
        <w:rPr>
          <w:rFonts w:hint="eastAsia" w:ascii="宋体" w:hAnsi="宋体" w:eastAsia="宋体" w:cs="宋体"/>
          <w:color w:val="auto"/>
          <w:sz w:val="21"/>
          <w:szCs w:val="21"/>
          <w:highlight w:val="none"/>
          <w:lang w:val="en-US"/>
        </w:rPr>
      </w:pPr>
      <w:r>
        <w:rPr>
          <w:rFonts w:hint="eastAsia" w:cs="宋体"/>
          <w:b/>
          <w:bCs w:val="0"/>
          <w:color w:val="auto"/>
          <w:kern w:val="2"/>
          <w:sz w:val="21"/>
          <w:szCs w:val="21"/>
          <w:highlight w:val="none"/>
          <w:lang w:val="en-US" w:eastAsia="zh-CN" w:bidi="ar"/>
        </w:rPr>
        <w:t>九</w:t>
      </w:r>
      <w:r>
        <w:rPr>
          <w:rFonts w:hint="eastAsia" w:ascii="宋体" w:hAnsi="宋体" w:eastAsia="宋体" w:cs="宋体"/>
          <w:b/>
          <w:bCs w:val="0"/>
          <w:color w:val="auto"/>
          <w:kern w:val="2"/>
          <w:sz w:val="21"/>
          <w:szCs w:val="21"/>
          <w:highlight w:val="none"/>
          <w:lang w:val="en-US" w:eastAsia="zh-CN" w:bidi="ar"/>
        </w:rPr>
        <w:t>、货款支付</w:t>
      </w:r>
      <w:r>
        <w:rPr>
          <w:rFonts w:hint="eastAsia" w:ascii="宋体" w:hAnsi="宋体" w:eastAsia="宋体" w:cs="宋体"/>
          <w:color w:val="auto"/>
          <w:kern w:val="2"/>
          <w:sz w:val="21"/>
          <w:szCs w:val="21"/>
          <w:highlight w:val="none"/>
          <w:lang w:val="en-US" w:eastAsia="zh-CN" w:bidi="ar"/>
        </w:rPr>
        <w:t xml:space="preserve"> </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合同生效以及具备实施条件后7个工作日内支付合同价的40%作为合同预付款，全部交货完成并经采购人验收合格后一次性付清合同金额余款。</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ascii="宋体" w:hAnsi="宋体" w:cs="宋体"/>
          <w:b/>
          <w:bCs w:val="0"/>
          <w:color w:val="auto"/>
          <w:kern w:val="2"/>
          <w:sz w:val="21"/>
          <w:szCs w:val="21"/>
          <w:highlight w:val="none"/>
          <w:lang w:val="en-US" w:eastAsia="zh-CN" w:bidi="ar"/>
        </w:rPr>
        <w:t>十</w:t>
      </w:r>
      <w:r>
        <w:rPr>
          <w:rFonts w:hint="eastAsia" w:ascii="宋体" w:hAnsi="宋体" w:eastAsia="宋体" w:cs="宋体"/>
          <w:b/>
          <w:bCs w:val="0"/>
          <w:color w:val="auto"/>
          <w:kern w:val="2"/>
          <w:sz w:val="21"/>
          <w:szCs w:val="21"/>
          <w:highlight w:val="none"/>
          <w:lang w:val="en-US" w:eastAsia="zh-CN" w:bidi="ar"/>
        </w:rPr>
        <w:t>、税费</w:t>
      </w:r>
    </w:p>
    <w:p>
      <w:pPr>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本合同执行中相关的一切税费均由乙方负担。</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十</w:t>
      </w:r>
      <w:r>
        <w:rPr>
          <w:rFonts w:hint="eastAsia" w:cs="宋体"/>
          <w:b/>
          <w:bCs w:val="0"/>
          <w:color w:val="auto"/>
          <w:kern w:val="2"/>
          <w:sz w:val="21"/>
          <w:szCs w:val="21"/>
          <w:highlight w:val="none"/>
          <w:lang w:val="en-US" w:eastAsia="zh-CN" w:bidi="ar"/>
        </w:rPr>
        <w:t>一</w:t>
      </w:r>
      <w:r>
        <w:rPr>
          <w:rFonts w:hint="eastAsia" w:ascii="宋体" w:hAnsi="宋体" w:eastAsia="宋体" w:cs="宋体"/>
          <w:b/>
          <w:bCs w:val="0"/>
          <w:color w:val="auto"/>
          <w:kern w:val="2"/>
          <w:sz w:val="21"/>
          <w:szCs w:val="21"/>
          <w:highlight w:val="none"/>
          <w:lang w:val="en-US" w:eastAsia="zh-CN" w:bidi="ar"/>
        </w:rPr>
        <w:t>、质量保证及售后服务</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1.乙方应按</w:t>
      </w:r>
      <w:r>
        <w:rPr>
          <w:rFonts w:hint="eastAsia" w:hAnsi="宋体" w:cs="宋体"/>
          <w:color w:val="auto"/>
          <w:szCs w:val="21"/>
          <w:highlight w:val="none"/>
          <w:lang w:eastAsia="zh-CN"/>
        </w:rPr>
        <w:t>招标文件</w:t>
      </w:r>
      <w:r>
        <w:rPr>
          <w:rFonts w:hint="eastAsia" w:hAnsi="宋体" w:cs="宋体"/>
          <w:color w:val="auto"/>
          <w:szCs w:val="21"/>
          <w:highlight w:val="none"/>
        </w:rPr>
        <w:t>规定的货物性能、技术要求、质量标准向甲方提供未经使用的全新产品。</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2.乙方提供的货物（包括设备及更换的零部件、软件和服务）在质保期内因货物本身的质量问题发生故障，乙方应负责免费更换。对达不到技术要求者，根据实际情况，经双方协商，可按以下办法处理：</w:t>
      </w:r>
    </w:p>
    <w:p>
      <w:pPr>
        <w:pStyle w:val="13"/>
        <w:spacing w:line="320" w:lineRule="exact"/>
        <w:ind w:firstLine="420"/>
        <w:rPr>
          <w:rFonts w:hint="eastAsia" w:hAnsi="宋体" w:cs="宋体"/>
          <w:color w:val="auto"/>
          <w:szCs w:val="21"/>
          <w:highlight w:val="none"/>
        </w:rPr>
      </w:pPr>
      <w:r>
        <w:rPr>
          <w:rFonts w:hint="eastAsia" w:hAnsi="宋体" w:cs="宋体"/>
          <w:color w:val="auto"/>
          <w:szCs w:val="21"/>
          <w:highlight w:val="none"/>
        </w:rPr>
        <w:t>⑴更换：由乙方承担所发生的全部费用。</w:t>
      </w:r>
    </w:p>
    <w:p>
      <w:pPr>
        <w:pStyle w:val="13"/>
        <w:spacing w:line="320" w:lineRule="exact"/>
        <w:ind w:firstLine="420"/>
        <w:rPr>
          <w:rFonts w:hint="eastAsia" w:hAnsi="宋体" w:cs="宋体"/>
          <w:color w:val="auto"/>
          <w:szCs w:val="21"/>
          <w:highlight w:val="none"/>
        </w:rPr>
      </w:pPr>
      <w:r>
        <w:rPr>
          <w:rFonts w:hint="eastAsia" w:hAnsi="宋体" w:cs="宋体"/>
          <w:color w:val="auto"/>
          <w:szCs w:val="21"/>
          <w:highlight w:val="none"/>
        </w:rPr>
        <w:t>⑵贬值处理：由甲乙双方合议定价。</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⑶退货处理：乙方应退还甲方支付的合同款，同时应承担该货物的直接费用（运输、保险、检验、货款利息及银行手续费等）。</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3.在质保期内，乙方应对货物出现的质量及安全问题负责处理解决并承担一切费用。</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4.上述的货物免费保修期</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年，因人为因素出现的故障不在免费保修范围内。超过保修期的设备，终生维修，维修时只收部件成本费。</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5</w:t>
      </w:r>
      <w:r>
        <w:rPr>
          <w:rFonts w:hint="eastAsia" w:hAnsi="宋体" w:cs="宋体"/>
          <w:b w:val="0"/>
          <w:bCs/>
          <w:color w:val="auto"/>
          <w:szCs w:val="21"/>
          <w:highlight w:val="none"/>
        </w:rPr>
        <w:t>.保修期内要求全部免费，终身维修。在质保期内，发生故障在2小时内响应，紧急状况8小时以内抵达现场（不可抗力因素影响除外）；不能当场修复的，24小时内必须采取提供备品、备件或备机等措施，以保证</w:t>
      </w:r>
      <w:r>
        <w:rPr>
          <w:rFonts w:hint="eastAsia" w:hAnsi="宋体" w:cs="宋体"/>
          <w:b w:val="0"/>
          <w:bCs/>
          <w:color w:val="auto"/>
          <w:szCs w:val="21"/>
          <w:highlight w:val="none"/>
          <w:lang w:eastAsia="zh-CN"/>
        </w:rPr>
        <w:t>甲方</w:t>
      </w:r>
      <w:r>
        <w:rPr>
          <w:rFonts w:hint="eastAsia" w:hAnsi="宋体" w:cs="宋体"/>
          <w:b w:val="0"/>
          <w:bCs/>
          <w:color w:val="auto"/>
          <w:szCs w:val="21"/>
          <w:highlight w:val="none"/>
        </w:rPr>
        <w:t>的正常使用。如果逾期未作出响应，</w:t>
      </w:r>
      <w:r>
        <w:rPr>
          <w:rFonts w:hint="eastAsia" w:hAnsi="宋体" w:cs="宋体"/>
          <w:b w:val="0"/>
          <w:bCs/>
          <w:color w:val="auto"/>
          <w:szCs w:val="21"/>
          <w:highlight w:val="none"/>
          <w:lang w:eastAsia="zh-CN"/>
        </w:rPr>
        <w:t>乙方</w:t>
      </w:r>
      <w:r>
        <w:rPr>
          <w:rFonts w:hint="eastAsia" w:hAnsi="宋体" w:cs="宋体"/>
          <w:b w:val="0"/>
          <w:bCs/>
          <w:color w:val="auto"/>
          <w:szCs w:val="21"/>
          <w:highlight w:val="none"/>
        </w:rPr>
        <w:t>应承担由于故障所造成的全部损失。在质保期内，</w:t>
      </w:r>
      <w:r>
        <w:rPr>
          <w:rFonts w:hint="eastAsia" w:hAnsi="宋体" w:cs="宋体"/>
          <w:b w:val="0"/>
          <w:bCs/>
          <w:color w:val="auto"/>
          <w:szCs w:val="21"/>
          <w:highlight w:val="none"/>
          <w:lang w:eastAsia="zh-CN"/>
        </w:rPr>
        <w:t>乙方</w:t>
      </w:r>
      <w:r>
        <w:rPr>
          <w:rFonts w:hint="eastAsia" w:hAnsi="宋体" w:cs="宋体"/>
          <w:b w:val="0"/>
          <w:bCs/>
          <w:color w:val="auto"/>
          <w:szCs w:val="21"/>
          <w:highlight w:val="none"/>
        </w:rPr>
        <w:t>应提供充足的备品备件服务。在质保期内，</w:t>
      </w:r>
      <w:r>
        <w:rPr>
          <w:rFonts w:hint="eastAsia" w:hAnsi="宋体" w:cs="宋体"/>
          <w:b w:val="0"/>
          <w:bCs/>
          <w:color w:val="auto"/>
          <w:szCs w:val="21"/>
          <w:highlight w:val="none"/>
          <w:lang w:eastAsia="zh-CN"/>
        </w:rPr>
        <w:t>乙方</w:t>
      </w:r>
      <w:r>
        <w:rPr>
          <w:rFonts w:hint="eastAsia" w:hAnsi="宋体" w:cs="宋体"/>
          <w:b w:val="0"/>
          <w:bCs/>
          <w:color w:val="auto"/>
          <w:szCs w:val="21"/>
          <w:highlight w:val="none"/>
        </w:rPr>
        <w:t>应对设备提供电话支持、现场故障排查等服务，并提供在保修期内的定期回访（费用全部包括在保修中）。</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6</w:t>
      </w:r>
      <w:r>
        <w:rPr>
          <w:rFonts w:hint="eastAsia" w:hAnsi="宋体" w:cs="宋体"/>
          <w:b w:val="0"/>
          <w:bCs/>
          <w:color w:val="auto"/>
          <w:szCs w:val="21"/>
          <w:highlight w:val="none"/>
        </w:rPr>
        <w:t>.接到</w:t>
      </w:r>
      <w:r>
        <w:rPr>
          <w:rFonts w:hint="eastAsia" w:hAnsi="宋体" w:cs="宋体"/>
          <w:b w:val="0"/>
          <w:bCs/>
          <w:color w:val="auto"/>
          <w:szCs w:val="21"/>
          <w:highlight w:val="none"/>
          <w:lang w:eastAsia="zh-CN"/>
        </w:rPr>
        <w:t>甲方</w:t>
      </w:r>
      <w:r>
        <w:rPr>
          <w:rFonts w:hint="eastAsia" w:hAnsi="宋体" w:cs="宋体"/>
          <w:b w:val="0"/>
          <w:bCs/>
          <w:color w:val="auto"/>
          <w:szCs w:val="21"/>
          <w:highlight w:val="none"/>
        </w:rPr>
        <w:t>到货通知后，一周内执行安装调试直到达到验收指标。</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7</w:t>
      </w:r>
      <w:r>
        <w:rPr>
          <w:rFonts w:hint="eastAsia" w:hAnsi="宋体" w:cs="宋体"/>
          <w:b w:val="0"/>
          <w:bCs/>
          <w:color w:val="auto"/>
          <w:szCs w:val="21"/>
          <w:highlight w:val="none"/>
        </w:rPr>
        <w:t>.</w:t>
      </w:r>
      <w:r>
        <w:rPr>
          <w:rFonts w:hint="eastAsia" w:hAnsi="宋体" w:cs="宋体"/>
          <w:b w:val="0"/>
          <w:bCs/>
          <w:color w:val="auto"/>
          <w:szCs w:val="21"/>
          <w:highlight w:val="none"/>
          <w:lang w:eastAsia="zh-CN"/>
        </w:rPr>
        <w:t>乙方</w:t>
      </w:r>
      <w:r>
        <w:rPr>
          <w:rFonts w:hint="eastAsia" w:hAnsi="宋体" w:cs="宋体"/>
          <w:b w:val="0"/>
          <w:bCs/>
          <w:color w:val="auto"/>
          <w:szCs w:val="21"/>
          <w:highlight w:val="none"/>
        </w:rPr>
        <w:t>在交货时提供的技术资料中包含但不限于如下资料：</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rPr>
        <w:t>（1）操作及维护说明书</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rPr>
        <w:t>（2）装箱清单及质量保证书</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8</w:t>
      </w:r>
      <w:r>
        <w:rPr>
          <w:rFonts w:hint="eastAsia" w:hAnsi="宋体" w:cs="宋体"/>
          <w:b w:val="0"/>
          <w:bCs/>
          <w:color w:val="auto"/>
          <w:szCs w:val="21"/>
          <w:highlight w:val="none"/>
        </w:rPr>
        <w:t>.培训：设备安装后在</w:t>
      </w:r>
      <w:r>
        <w:rPr>
          <w:rFonts w:hint="eastAsia" w:hAnsi="宋体" w:cs="宋体"/>
          <w:b w:val="0"/>
          <w:bCs/>
          <w:color w:val="auto"/>
          <w:szCs w:val="21"/>
          <w:highlight w:val="none"/>
          <w:lang w:eastAsia="zh-CN"/>
        </w:rPr>
        <w:t>甲方</w:t>
      </w:r>
      <w:r>
        <w:rPr>
          <w:rFonts w:hint="eastAsia" w:hAnsi="宋体" w:cs="宋体"/>
          <w:b w:val="0"/>
          <w:bCs/>
          <w:color w:val="auto"/>
          <w:szCs w:val="21"/>
          <w:highlight w:val="none"/>
        </w:rPr>
        <w:t>所在地对操作人员对用户进行仪器的基本操作和日常维护的现场培训，内容包括仪器原理，使用方法和维护方法等。</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9</w:t>
      </w:r>
      <w:r>
        <w:rPr>
          <w:rFonts w:hint="eastAsia" w:hAnsi="宋体" w:cs="宋体"/>
          <w:b w:val="0"/>
          <w:bCs/>
          <w:color w:val="auto"/>
          <w:szCs w:val="21"/>
          <w:highlight w:val="none"/>
        </w:rPr>
        <w:t>.质保期内免费技术支持服务，具体包括软硬件产品的技术支持、软硬件产品的故障诊断及故障排除及新技术及新需求的咨询与交流等。</w:t>
      </w:r>
    </w:p>
    <w:p>
      <w:pPr>
        <w:pStyle w:val="13"/>
        <w:spacing w:line="320" w:lineRule="exact"/>
        <w:ind w:firstLine="420" w:firstLineChars="200"/>
        <w:rPr>
          <w:rFonts w:hint="eastAsia" w:hAnsi="宋体" w:cs="宋体"/>
          <w:b w:val="0"/>
          <w:bCs/>
          <w:color w:val="auto"/>
          <w:szCs w:val="21"/>
          <w:highlight w:val="none"/>
        </w:rPr>
      </w:pPr>
      <w:r>
        <w:rPr>
          <w:rFonts w:hint="eastAsia" w:hAnsi="宋体" w:cs="宋体"/>
          <w:b w:val="0"/>
          <w:bCs/>
          <w:color w:val="auto"/>
          <w:szCs w:val="21"/>
          <w:highlight w:val="none"/>
          <w:lang w:val="en-US" w:eastAsia="zh-CN"/>
        </w:rPr>
        <w:t>10</w:t>
      </w:r>
      <w:r>
        <w:rPr>
          <w:rFonts w:hint="eastAsia" w:hAnsi="宋体" w:cs="宋体"/>
          <w:b w:val="0"/>
          <w:bCs/>
          <w:color w:val="auto"/>
          <w:szCs w:val="21"/>
          <w:highlight w:val="none"/>
        </w:rPr>
        <w:t>.投标时有其它服务承诺的，一并履行。</w:t>
      </w:r>
    </w:p>
    <w:p>
      <w:pPr>
        <w:pStyle w:val="13"/>
        <w:spacing w:line="3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十</w:t>
      </w:r>
      <w:r>
        <w:rPr>
          <w:rFonts w:hint="eastAsia" w:hAnsi="宋体" w:cs="宋体"/>
          <w:b/>
          <w:color w:val="auto"/>
          <w:szCs w:val="21"/>
          <w:highlight w:val="none"/>
          <w:lang w:val="en-US" w:eastAsia="zh-CN"/>
        </w:rPr>
        <w:t>二</w:t>
      </w:r>
      <w:r>
        <w:rPr>
          <w:rFonts w:hint="eastAsia" w:hAnsi="宋体" w:cs="宋体"/>
          <w:b/>
          <w:color w:val="auto"/>
          <w:szCs w:val="21"/>
          <w:highlight w:val="none"/>
        </w:rPr>
        <w:t>、调试和检测</w:t>
      </w:r>
    </w:p>
    <w:p>
      <w:pPr>
        <w:pStyle w:val="13"/>
        <w:spacing w:line="3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1.甲方对乙方提交的货物依据磋商文件上的技术规格要求和国家有关质量标准进行现场初步检测，外观、说明书符合磋商文件技术要求的，给予签收，初步检测不合格的不予签收。货到后，甲方需在五个工作日内检测。</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2.乙方交货前应对产品作出全面检查和对检测文件进行整理，并列出清单，作为甲方收货检测和使用的技术条件依据，检验的结果应随货物交甲方。</w:t>
      </w:r>
    </w:p>
    <w:p>
      <w:pPr>
        <w:pStyle w:val="13"/>
        <w:spacing w:line="320" w:lineRule="exact"/>
        <w:ind w:firstLine="420" w:firstLineChars="200"/>
        <w:rPr>
          <w:rFonts w:hint="eastAsia" w:hAnsi="宋体" w:cs="宋体"/>
          <w:color w:val="auto"/>
          <w:szCs w:val="21"/>
          <w:highlight w:val="none"/>
          <w:u w:val="single"/>
        </w:rPr>
      </w:pPr>
      <w:r>
        <w:rPr>
          <w:rFonts w:hint="eastAsia" w:hAnsi="宋体" w:cs="宋体"/>
          <w:color w:val="auto"/>
          <w:szCs w:val="21"/>
          <w:highlight w:val="none"/>
        </w:rPr>
        <w:t>3.甲方对乙方提供的货物在使用前进行调试时，乙方需负责安装并培训甲方的使用操作人员，并协助甲方一起调试，直到符合技术要求，甲方才做最终验收。</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4.对技术复杂的货物，甲方应请国家认可的专业检测机构参与初步检测及最终检测，并由其出具质量检测报告。</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5.检测时乙方必须在现场，检测完毕后作出检测结果报告；检测费用由乙方负责。</w:t>
      </w:r>
    </w:p>
    <w:p>
      <w:pPr>
        <w:pStyle w:val="13"/>
        <w:spacing w:line="3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十</w:t>
      </w:r>
      <w:r>
        <w:rPr>
          <w:rFonts w:hint="eastAsia" w:hAnsi="宋体" w:cs="宋体"/>
          <w:b/>
          <w:color w:val="auto"/>
          <w:szCs w:val="21"/>
          <w:highlight w:val="none"/>
          <w:lang w:val="en-US" w:eastAsia="zh-CN"/>
        </w:rPr>
        <w:t>三</w:t>
      </w:r>
      <w:r>
        <w:rPr>
          <w:rFonts w:hint="eastAsia" w:hAnsi="宋体" w:cs="宋体"/>
          <w:b/>
          <w:color w:val="auto"/>
          <w:szCs w:val="21"/>
          <w:highlight w:val="none"/>
        </w:rPr>
        <w:t>、货物包装、发运及运输</w:t>
      </w:r>
    </w:p>
    <w:p>
      <w:pPr>
        <w:pStyle w:val="13"/>
        <w:spacing w:line="320" w:lineRule="exact"/>
        <w:ind w:left="420" w:leftChars="200"/>
        <w:rPr>
          <w:rFonts w:hint="eastAsia" w:hAnsi="宋体" w:cs="宋体"/>
          <w:color w:val="auto"/>
          <w:szCs w:val="21"/>
          <w:highlight w:val="none"/>
        </w:rPr>
      </w:pPr>
      <w:r>
        <w:rPr>
          <w:rFonts w:hint="eastAsia" w:hAnsi="宋体" w:cs="宋体"/>
          <w:color w:val="auto"/>
          <w:szCs w:val="21"/>
          <w:highlight w:val="none"/>
        </w:rPr>
        <w:t>1.乙方应在货物发运前对其进行满足运输距离、防潮、防震、防锈和防破损装卸等要求包装，以保</w:t>
      </w:r>
    </w:p>
    <w:p>
      <w:pPr>
        <w:pStyle w:val="13"/>
        <w:spacing w:line="320" w:lineRule="exact"/>
        <w:rPr>
          <w:rFonts w:hint="eastAsia" w:hAnsi="宋体" w:cs="宋体"/>
          <w:color w:val="auto"/>
          <w:szCs w:val="21"/>
          <w:highlight w:val="none"/>
        </w:rPr>
      </w:pPr>
      <w:r>
        <w:rPr>
          <w:rFonts w:hint="eastAsia" w:hAnsi="宋体" w:cs="宋体"/>
          <w:color w:val="auto"/>
          <w:szCs w:val="21"/>
          <w:highlight w:val="none"/>
        </w:rPr>
        <w:t>证货物安全运达甲方指定地点。</w:t>
      </w:r>
    </w:p>
    <w:p>
      <w:pPr>
        <w:pStyle w:val="13"/>
        <w:spacing w:line="320" w:lineRule="exact"/>
        <w:ind w:left="420" w:leftChars="200"/>
        <w:rPr>
          <w:rFonts w:hint="eastAsia" w:hAnsi="宋体" w:cs="宋体"/>
          <w:color w:val="auto"/>
          <w:szCs w:val="21"/>
          <w:highlight w:val="none"/>
        </w:rPr>
      </w:pPr>
      <w:r>
        <w:rPr>
          <w:rFonts w:hint="eastAsia" w:hAnsi="宋体" w:cs="宋体"/>
          <w:color w:val="auto"/>
          <w:szCs w:val="21"/>
          <w:highlight w:val="none"/>
        </w:rPr>
        <w:t>2.使用说明书、质量检验证明书、随配附件和工具以及清单一并附于货物内。</w:t>
      </w:r>
    </w:p>
    <w:p>
      <w:pPr>
        <w:pStyle w:val="13"/>
        <w:spacing w:line="320" w:lineRule="exact"/>
        <w:ind w:left="420" w:leftChars="200"/>
        <w:rPr>
          <w:rFonts w:hint="eastAsia" w:hAnsi="宋体" w:cs="宋体"/>
          <w:color w:val="auto"/>
          <w:szCs w:val="21"/>
          <w:highlight w:val="none"/>
        </w:rPr>
      </w:pPr>
      <w:r>
        <w:rPr>
          <w:rFonts w:hint="eastAsia" w:hAnsi="宋体" w:cs="宋体"/>
          <w:color w:val="auto"/>
          <w:szCs w:val="21"/>
          <w:highlight w:val="none"/>
        </w:rPr>
        <w:t>3.乙方在货物发运手续办理完毕后24小时内或货到甲方48小时前通知甲方，以准备接货。</w:t>
      </w:r>
    </w:p>
    <w:p>
      <w:pPr>
        <w:pStyle w:val="13"/>
        <w:spacing w:line="320" w:lineRule="exact"/>
        <w:ind w:left="420" w:leftChars="200"/>
        <w:rPr>
          <w:rFonts w:hint="eastAsia" w:hAnsi="宋体" w:cs="宋体"/>
          <w:color w:val="auto"/>
          <w:szCs w:val="21"/>
          <w:highlight w:val="none"/>
        </w:rPr>
      </w:pPr>
      <w:r>
        <w:rPr>
          <w:rFonts w:hint="eastAsia" w:hAnsi="宋体" w:cs="宋体"/>
          <w:color w:val="auto"/>
          <w:szCs w:val="21"/>
          <w:highlight w:val="none"/>
        </w:rPr>
        <w:t>4.货物在交付甲方前发生的风险均由乙方负责。</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5.货物在规定的交付期限内由乙方送达甲方指定的地点视为交付，乙方同时需通知甲方货物已送达。</w:t>
      </w:r>
    </w:p>
    <w:p>
      <w:pPr>
        <w:pStyle w:val="13"/>
        <w:spacing w:line="3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十</w:t>
      </w:r>
      <w:r>
        <w:rPr>
          <w:rFonts w:hint="eastAsia" w:hAnsi="宋体" w:cs="宋体"/>
          <w:b/>
          <w:color w:val="auto"/>
          <w:szCs w:val="21"/>
          <w:highlight w:val="none"/>
          <w:lang w:val="en-US" w:eastAsia="zh-CN"/>
        </w:rPr>
        <w:t>四</w:t>
      </w:r>
      <w:r>
        <w:rPr>
          <w:rFonts w:hint="eastAsia" w:hAnsi="宋体" w:cs="宋体"/>
          <w:b/>
          <w:color w:val="auto"/>
          <w:szCs w:val="21"/>
          <w:highlight w:val="none"/>
        </w:rPr>
        <w:t>、违约责任</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1.甲方无正当理由拒收货物的，甲方向乙方偿付拒收货款总值的百分之五违约金。</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2.甲方无故逾期检测和办理货款支付手续的,甲方应按逾期付款总额每日万分之五向乙方支付违约金。</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spacing w:line="320" w:lineRule="exact"/>
        <w:ind w:firstLine="420" w:firstLineChars="200"/>
        <w:rPr>
          <w:rFonts w:hint="eastAsia" w:hAnsi="宋体" w:cs="宋体"/>
          <w:color w:val="auto"/>
          <w:szCs w:val="21"/>
          <w:highlight w:val="none"/>
        </w:rPr>
      </w:pPr>
      <w:r>
        <w:rPr>
          <w:rFonts w:hint="eastAsia" w:hAnsi="宋体" w:cs="宋体"/>
          <w:color w:val="auto"/>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utoSpaceDE w:val="0"/>
        <w:autoSpaceDN w:val="0"/>
        <w:adjustRightInd w:val="0"/>
        <w:snapToGrid w:val="0"/>
        <w:spacing w:line="32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为保障甲方利益，甲方在验收时经测试主要指标功能无法满足</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lang w:eastAsia="zh-CN"/>
        </w:rPr>
        <w:t>需求</w:t>
      </w:r>
      <w:r>
        <w:rPr>
          <w:rFonts w:hint="eastAsia" w:ascii="宋体" w:hAnsi="宋体" w:cs="宋体"/>
          <w:b/>
          <w:bCs/>
          <w:color w:val="auto"/>
          <w:szCs w:val="21"/>
          <w:highlight w:val="none"/>
          <w:lang w:val="en-US" w:eastAsia="zh-CN"/>
        </w:rPr>
        <w:t>或经核验技术参数中要求提供检测报告等证明材料与投标响应时不一致或虚假响应的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验收不予通过，</w:t>
      </w:r>
      <w:r>
        <w:rPr>
          <w:rFonts w:hint="eastAsia" w:ascii="宋体" w:hAnsi="宋体" w:cs="宋体"/>
          <w:b/>
          <w:bCs/>
          <w:color w:val="auto"/>
          <w:szCs w:val="21"/>
          <w:highlight w:val="none"/>
          <w:lang w:eastAsia="zh-CN"/>
        </w:rPr>
        <w:t>对于乙方提供虚假参数强行</w:t>
      </w:r>
      <w:r>
        <w:rPr>
          <w:rFonts w:hint="eastAsia" w:ascii="宋体" w:hAnsi="宋体" w:cs="宋体"/>
          <w:b/>
          <w:bCs/>
          <w:color w:val="auto"/>
          <w:szCs w:val="21"/>
          <w:highlight w:val="none"/>
          <w:lang w:val="en-US" w:eastAsia="zh-CN"/>
        </w:rPr>
        <w:t>中标</w:t>
      </w:r>
      <w:r>
        <w:rPr>
          <w:rFonts w:hint="eastAsia" w:ascii="宋体" w:hAnsi="宋体" w:cs="宋体"/>
          <w:b/>
          <w:bCs/>
          <w:color w:val="auto"/>
          <w:szCs w:val="21"/>
          <w:highlight w:val="none"/>
          <w:lang w:eastAsia="zh-CN"/>
        </w:rPr>
        <w:t>的行为，经测试查实后，甲方有权单方面解除合同，并有权按相关要求乙方赔偿相关损失，同时将此行为上报监管部门。</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十</w:t>
      </w:r>
      <w:r>
        <w:rPr>
          <w:rFonts w:hint="eastAsia" w:cs="宋体"/>
          <w:b/>
          <w:bCs w:val="0"/>
          <w:color w:val="auto"/>
          <w:kern w:val="2"/>
          <w:sz w:val="21"/>
          <w:szCs w:val="21"/>
          <w:highlight w:val="none"/>
          <w:lang w:val="en-US" w:eastAsia="zh-CN" w:bidi="ar"/>
        </w:rPr>
        <w:t>四</w:t>
      </w:r>
      <w:r>
        <w:rPr>
          <w:rFonts w:hint="eastAsia" w:ascii="宋体" w:hAnsi="宋体" w:eastAsia="宋体" w:cs="宋体"/>
          <w:b/>
          <w:bCs w:val="0"/>
          <w:color w:val="auto"/>
          <w:kern w:val="2"/>
          <w:sz w:val="21"/>
          <w:szCs w:val="21"/>
          <w:highlight w:val="none"/>
          <w:lang w:val="en-US" w:eastAsia="zh-CN" w:bidi="ar"/>
        </w:rPr>
        <w:t>、不可抗力事件处理</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 在合同有效期内，任何一方因不可抗力事件导致不能履行合同，则合同履行期可延长，其延长期与不可抗力影响期相同。</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 不可抗力事件发生后，应立即通知对方，并寄送有关权威机构出具的证明。</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 不可抗力事件延续120天以上，双方应通过友好协商，确定是否继续履行合同。</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2" w:firstLineChars="200"/>
        <w:jc w:val="both"/>
        <w:textAlignment w:val="auto"/>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十</w:t>
      </w:r>
      <w:r>
        <w:rPr>
          <w:rFonts w:hint="eastAsia" w:cs="宋体"/>
          <w:b/>
          <w:bCs w:val="0"/>
          <w:color w:val="auto"/>
          <w:kern w:val="2"/>
          <w:sz w:val="21"/>
          <w:szCs w:val="21"/>
          <w:highlight w:val="none"/>
          <w:lang w:val="en-US" w:eastAsia="zh-CN" w:bidi="ar"/>
        </w:rPr>
        <w:t>五</w:t>
      </w:r>
      <w:r>
        <w:rPr>
          <w:rFonts w:hint="eastAsia" w:ascii="宋体" w:hAnsi="宋体" w:eastAsia="宋体" w:cs="宋体"/>
          <w:b/>
          <w:bCs w:val="0"/>
          <w:color w:val="auto"/>
          <w:kern w:val="2"/>
          <w:sz w:val="21"/>
          <w:szCs w:val="21"/>
          <w:highlight w:val="none"/>
          <w:lang w:val="en-US" w:eastAsia="zh-CN" w:bidi="ar"/>
        </w:rPr>
        <w:t>、诉讼</w:t>
      </w:r>
    </w:p>
    <w:p>
      <w:pPr>
        <w:pStyle w:val="21"/>
        <w:keepNext w:val="0"/>
        <w:keepLines w:val="0"/>
        <w:pageBreakBefore w:val="0"/>
        <w:widowControl w:val="0"/>
        <w:suppressLineNumbers w:val="0"/>
        <w:kinsoku/>
        <w:wordWrap/>
        <w:overflowPunct/>
        <w:topLinePunct w:val="0"/>
        <w:bidi w:val="0"/>
        <w:adjustRightInd/>
        <w:snapToGrid/>
        <w:spacing w:beforeAutospacing="0" w:afterAutospacing="0" w:line="320" w:lineRule="exact"/>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 xml:space="preserve"> 双方在执行合同中所发生的一切争议，应通过协商解决。如协商不成，可向甲方所在地法院起诉。</w:t>
      </w:r>
    </w:p>
    <w:p>
      <w:pPr>
        <w:pStyle w:val="13"/>
        <w:keepNext w:val="0"/>
        <w:keepLines w:val="0"/>
        <w:pageBreakBefore w:val="0"/>
        <w:widowControl w:val="0"/>
        <w:kinsoku/>
        <w:wordWrap/>
        <w:overflowPunct/>
        <w:topLinePunct w:val="0"/>
        <w:bidi w:val="0"/>
        <w:adjustRightInd/>
        <w:snapToGrid/>
        <w:spacing w:line="320" w:lineRule="exact"/>
        <w:ind w:leftChars="0" w:firstLine="422" w:firstLineChars="200"/>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六</w:t>
      </w:r>
      <w:r>
        <w:rPr>
          <w:rFonts w:hint="eastAsia" w:hAnsi="宋体" w:cs="宋体"/>
          <w:b/>
          <w:color w:val="auto"/>
          <w:highlight w:val="none"/>
        </w:rPr>
        <w:t>、合同生效及其它</w:t>
      </w:r>
    </w:p>
    <w:p>
      <w:pPr>
        <w:pStyle w:val="13"/>
        <w:keepNext w:val="0"/>
        <w:keepLines w:val="0"/>
        <w:pageBreakBefore w:val="0"/>
        <w:widowControl w:val="0"/>
        <w:kinsoku/>
        <w:wordWrap/>
        <w:overflowPunct/>
        <w:topLinePunct w:val="0"/>
        <w:bidi w:val="0"/>
        <w:adjustRightInd/>
        <w:snapToGrid/>
        <w:spacing w:line="320" w:lineRule="exact"/>
        <w:ind w:leftChars="0" w:firstLine="420" w:firstLineChars="200"/>
        <w:textAlignment w:val="auto"/>
        <w:rPr>
          <w:rFonts w:hAnsi="宋体" w:cs="宋体"/>
          <w:color w:val="auto"/>
          <w:highlight w:val="none"/>
        </w:rPr>
      </w:pPr>
      <w:r>
        <w:rPr>
          <w:rFonts w:hint="eastAsia" w:hAnsi="宋体" w:cs="宋体"/>
          <w:color w:val="auto"/>
          <w:highlight w:val="none"/>
        </w:rPr>
        <w:t>1. 合同经双方法定代表人或授权代表签字并加盖单位公章后生效。</w:t>
      </w:r>
    </w:p>
    <w:p>
      <w:pPr>
        <w:pStyle w:val="13"/>
        <w:keepNext w:val="0"/>
        <w:keepLines w:val="0"/>
        <w:pageBreakBefore w:val="0"/>
        <w:widowControl w:val="0"/>
        <w:kinsoku/>
        <w:wordWrap/>
        <w:overflowPunct/>
        <w:topLinePunct w:val="0"/>
        <w:bidi w:val="0"/>
        <w:adjustRightInd/>
        <w:snapToGrid/>
        <w:spacing w:line="320" w:lineRule="exact"/>
        <w:ind w:leftChars="0" w:firstLine="42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2.合同执行中涉及采购资金和采购内容修改或补充的，须经财政部门审批，方可作为主合同不可分割的一部分。</w:t>
      </w:r>
    </w:p>
    <w:p>
      <w:pPr>
        <w:pStyle w:val="13"/>
        <w:keepNext w:val="0"/>
        <w:keepLines w:val="0"/>
        <w:pageBreakBefore w:val="0"/>
        <w:widowControl w:val="0"/>
        <w:kinsoku/>
        <w:wordWrap/>
        <w:overflowPunct/>
        <w:topLinePunct w:val="0"/>
        <w:bidi w:val="0"/>
        <w:adjustRightInd/>
        <w:snapToGrid/>
        <w:spacing w:line="320" w:lineRule="exact"/>
        <w:ind w:leftChars="0" w:firstLine="42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pPr>
        <w:pStyle w:val="13"/>
        <w:keepNext w:val="0"/>
        <w:keepLines w:val="0"/>
        <w:pageBreakBefore w:val="0"/>
        <w:widowControl w:val="0"/>
        <w:kinsoku/>
        <w:wordWrap/>
        <w:overflowPunct/>
        <w:topLinePunct w:val="0"/>
        <w:bidi w:val="0"/>
        <w:adjustRightInd/>
        <w:snapToGrid/>
        <w:spacing w:line="320" w:lineRule="exact"/>
        <w:ind w:leftChars="0" w:firstLine="420" w:firstLineChars="200"/>
        <w:textAlignment w:val="auto"/>
        <w:rPr>
          <w:rFonts w:hAnsi="宋体" w:cs="宋体"/>
          <w:color w:val="auto"/>
          <w:highlight w:val="none"/>
        </w:rPr>
      </w:pPr>
      <w:r>
        <w:rPr>
          <w:rFonts w:hint="eastAsia" w:hAnsi="宋体" w:cs="宋体"/>
          <w:color w:val="auto"/>
          <w:highlight w:val="none"/>
        </w:rPr>
        <w:t>4.本合同未涉及的部分以</w:t>
      </w:r>
      <w:r>
        <w:rPr>
          <w:rFonts w:hint="eastAsia" w:hAnsi="宋体" w:cs="宋体"/>
          <w:color w:val="auto"/>
          <w:highlight w:val="none"/>
          <w:lang w:eastAsia="zh-CN"/>
        </w:rPr>
        <w:t>长兴县环境保护监测站应急及常规监测能力提升项目</w:t>
      </w:r>
      <w:r>
        <w:rPr>
          <w:rFonts w:hint="eastAsia" w:hAnsi="宋体" w:cs="宋体"/>
          <w:color w:val="auto"/>
          <w:highlight w:val="none"/>
        </w:rPr>
        <w:t>（编号：</w:t>
      </w:r>
      <w:r>
        <w:rPr>
          <w:rFonts w:hint="eastAsia" w:hAnsi="宋体" w:cs="宋体"/>
          <w:color w:val="auto"/>
          <w:highlight w:val="none"/>
          <w:lang w:eastAsia="zh-CN"/>
        </w:rPr>
        <w:t>ZJJWCG-2022-013</w:t>
      </w:r>
      <w:r>
        <w:rPr>
          <w:rFonts w:hint="eastAsia" w:hAnsi="宋体" w:cs="宋体"/>
          <w:color w:val="auto"/>
          <w:highlight w:val="none"/>
        </w:rPr>
        <w:t>）招标文件及其补充、修改文件为准，上述文件和乙方针对本项目的投标文件及承诺是本合同的附件，与本合同具有同等法律效力，但附件与主合同的规定不一致时，以主合同为准。</w:t>
      </w:r>
    </w:p>
    <w:p>
      <w:pPr>
        <w:pStyle w:val="13"/>
        <w:keepNext w:val="0"/>
        <w:keepLines w:val="0"/>
        <w:pageBreakBefore w:val="0"/>
        <w:widowControl w:val="0"/>
        <w:kinsoku/>
        <w:wordWrap/>
        <w:overflowPunct/>
        <w:topLinePunct w:val="0"/>
        <w:bidi w:val="0"/>
        <w:adjustRightInd/>
        <w:snapToGrid/>
        <w:spacing w:line="320" w:lineRule="exact"/>
        <w:ind w:leftChars="0" w:firstLine="420" w:firstLineChars="200"/>
        <w:textAlignment w:val="auto"/>
        <w:rPr>
          <w:rFonts w:hAnsi="宋体" w:cs="宋体"/>
          <w:color w:val="auto"/>
          <w:highlight w:val="none"/>
        </w:rPr>
      </w:pPr>
      <w:r>
        <w:rPr>
          <w:rFonts w:hint="eastAsia" w:hAnsi="宋体" w:cs="宋体"/>
          <w:color w:val="auto"/>
          <w:highlight w:val="none"/>
        </w:rPr>
        <w:t>5.本合同正本一式伍份，具有同等法律效力，甲乙双方各执贰份；采购代理机构壹份。</w:t>
      </w:r>
    </w:p>
    <w:p>
      <w:pPr>
        <w:pStyle w:val="13"/>
        <w:spacing w:line="320" w:lineRule="exact"/>
        <w:ind w:left="420" w:hanging="420" w:hangingChars="200"/>
        <w:rPr>
          <w:rFonts w:hAnsi="宋体" w:cs="宋体"/>
          <w:color w:val="auto"/>
          <w:highlight w:val="none"/>
        </w:rPr>
      </w:pPr>
    </w:p>
    <w:p>
      <w:pPr>
        <w:pStyle w:val="13"/>
        <w:spacing w:line="320" w:lineRule="exact"/>
        <w:ind w:left="420" w:hanging="420" w:hangingChars="200"/>
        <w:rPr>
          <w:rFonts w:hAnsi="宋体" w:cs="宋体"/>
          <w:color w:val="auto"/>
          <w:highlight w:val="none"/>
        </w:rPr>
      </w:pPr>
    </w:p>
    <w:p>
      <w:pPr>
        <w:pStyle w:val="13"/>
        <w:spacing w:line="320" w:lineRule="exact"/>
        <w:ind w:left="420" w:hanging="420" w:hangingChars="200"/>
        <w:rPr>
          <w:rFonts w:hAnsi="宋体" w:cs="宋体"/>
          <w:color w:val="auto"/>
          <w:highlight w:val="none"/>
        </w:rPr>
      </w:pPr>
      <w:r>
        <w:rPr>
          <w:rFonts w:hint="eastAsia" w:hAnsi="宋体" w:cs="宋体"/>
          <w:color w:val="auto"/>
          <w:highlight w:val="none"/>
        </w:rPr>
        <w:t xml:space="preserve">  甲方：                                   乙方： </w:t>
      </w:r>
    </w:p>
    <w:p>
      <w:pPr>
        <w:pStyle w:val="13"/>
        <w:spacing w:line="320" w:lineRule="exact"/>
        <w:rPr>
          <w:rFonts w:hAnsi="宋体" w:cs="宋体"/>
          <w:color w:val="auto"/>
          <w:highlight w:val="none"/>
        </w:rPr>
      </w:pPr>
      <w:r>
        <w:rPr>
          <w:rFonts w:hint="eastAsia" w:hAnsi="宋体" w:cs="宋体"/>
          <w:color w:val="auto"/>
          <w:highlight w:val="none"/>
        </w:rPr>
        <w:t xml:space="preserve">  地址：                                   地址： </w:t>
      </w:r>
    </w:p>
    <w:p>
      <w:pPr>
        <w:pStyle w:val="13"/>
        <w:spacing w:line="320" w:lineRule="exact"/>
        <w:rPr>
          <w:rFonts w:hAnsi="宋体" w:cs="宋体"/>
          <w:color w:val="auto"/>
          <w:highlight w:val="none"/>
        </w:rPr>
      </w:pPr>
      <w:r>
        <w:rPr>
          <w:rFonts w:hint="eastAsia" w:hAnsi="宋体" w:cs="宋体"/>
          <w:color w:val="auto"/>
          <w:highlight w:val="none"/>
        </w:rPr>
        <w:t xml:space="preserve">  法定（授权）代表人：                     法定（授权）代表人：</w:t>
      </w:r>
    </w:p>
    <w:p>
      <w:pPr>
        <w:pStyle w:val="13"/>
        <w:spacing w:line="320" w:lineRule="exact"/>
        <w:rPr>
          <w:rFonts w:hint="eastAsia" w:hAnsi="宋体" w:cs="宋体"/>
          <w:color w:val="auto"/>
          <w:highlight w:val="none"/>
        </w:rPr>
      </w:pPr>
      <w:r>
        <w:rPr>
          <w:rFonts w:hint="eastAsia" w:hAnsi="宋体" w:cs="宋体"/>
          <w:color w:val="auto"/>
          <w:highlight w:val="none"/>
        </w:rPr>
        <w:t xml:space="preserve">  签字日期：      年  月  日     </w:t>
      </w:r>
    </w:p>
    <w:p>
      <w:pPr>
        <w:pStyle w:val="3"/>
        <w:rPr>
          <w:rFonts w:hint="eastAsia" w:hAnsi="宋体" w:cs="宋体"/>
          <w:color w:val="auto"/>
          <w:highlight w:val="none"/>
        </w:rPr>
      </w:pPr>
    </w:p>
    <w:p>
      <w:pPr>
        <w:pStyle w:val="2"/>
        <w:rPr>
          <w:rFonts w:hint="eastAsia" w:hAnsi="宋体" w:cs="宋体"/>
          <w:color w:val="auto"/>
          <w:highlight w:val="none"/>
        </w:rPr>
      </w:pPr>
    </w:p>
    <w:p>
      <w:pPr>
        <w:rPr>
          <w:rFonts w:hint="eastAsia" w:hAnsi="宋体" w:cs="宋体"/>
          <w:color w:val="auto"/>
          <w:highlight w:val="none"/>
        </w:rPr>
      </w:pPr>
    </w:p>
    <w:p>
      <w:pPr>
        <w:pStyle w:val="13"/>
        <w:spacing w:line="320" w:lineRule="exact"/>
        <w:rPr>
          <w:rFonts w:hAnsi="宋体" w:cs="宋体"/>
          <w:color w:val="auto"/>
          <w:highlight w:val="none"/>
        </w:rPr>
      </w:pPr>
    </w:p>
    <w:p>
      <w:pPr>
        <w:pStyle w:val="3"/>
        <w:rPr>
          <w:color w:val="auto"/>
          <w:highlight w:val="none"/>
        </w:rPr>
      </w:pPr>
    </w:p>
    <w:bookmarkEnd w:id="36"/>
    <w:p>
      <w:pPr>
        <w:pStyle w:val="4"/>
        <w:numPr>
          <w:ilvl w:val="0"/>
          <w:numId w:val="3"/>
        </w:numPr>
        <w:spacing w:before="0" w:after="0"/>
        <w:rPr>
          <w:rFonts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rPr>
        <w:t xml:space="preserve"> 投标文件格式</w:t>
      </w:r>
      <w:bookmarkEnd w:id="37"/>
    </w:p>
    <w:p>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ZJJWCG-2022-013</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ZJJWCG-2022-013</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ZJJWCG-2022-013</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2"/>
        <w:ind w:firstLine="210"/>
        <w:rPr>
          <w:rFonts w:hint="default" w:ascii="宋体" w:hAnsi="宋体" w:cs="宋体"/>
          <w:color w:val="auto"/>
          <w:szCs w:val="21"/>
          <w:highlight w:val="none"/>
          <w:lang w:val="zh-CN"/>
        </w:rPr>
      </w:pPr>
    </w:p>
    <w:p>
      <w:pPr>
        <w:pStyle w:val="5"/>
        <w:adjustRightInd w:val="0"/>
        <w:snapToGrid w:val="0"/>
        <w:spacing w:beforeLines="0" w:afterLines="0" w:line="36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adjustRightInd w:val="0"/>
        <w:snapToGrid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ZJJWCG-2022-013</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adjustRightInd w:val="0"/>
        <w:snapToGrid w:val="0"/>
        <w:spacing w:line="36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autoSpaceDE w:val="0"/>
        <w:autoSpaceDN w:val="0"/>
        <w:adjustRightInd w:val="0"/>
        <w:snapToGrid w:val="0"/>
        <w:spacing w:line="36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pPr>
        <w:adjustRightInd w:val="0"/>
        <w:snapToGrid w:val="0"/>
        <w:spacing w:line="360" w:lineRule="exact"/>
        <w:rPr>
          <w:rFonts w:hint="default" w:ascii="宋体" w:hAnsi="宋体" w:cs="宋体"/>
          <w:color w:val="auto"/>
          <w:highlight w:val="none"/>
        </w:rPr>
      </w:pP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pPr>
        <w:pStyle w:val="6"/>
        <w:adjustRightInd w:val="0"/>
        <w:snapToGrid w:val="0"/>
        <w:spacing w:line="36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pPr>
        <w:adjustRightInd w:val="0"/>
        <w:snapToGrid w:val="0"/>
        <w:spacing w:line="360" w:lineRule="exact"/>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pPr>
        <w:adjustRightInd w:val="0"/>
        <w:snapToGrid w:val="0"/>
        <w:spacing w:line="360" w:lineRule="exact"/>
        <w:ind w:firstLine="630" w:firstLineChars="300"/>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pPr>
        <w:adjustRightInd w:val="0"/>
        <w:snapToGrid w:val="0"/>
        <w:spacing w:line="360" w:lineRule="exact"/>
        <w:ind w:firstLine="645"/>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长兴县环境保护监测站应急及常规监测能力提升项目</w:t>
      </w:r>
      <w:r>
        <w:rPr>
          <w:rFonts w:ascii="宋体" w:hAnsi="宋体" w:cs="宋体"/>
          <w:color w:val="auto"/>
          <w:szCs w:val="21"/>
          <w:highlight w:val="none"/>
        </w:rPr>
        <w:t>的投标，为便于贵方公正、择优地确定中标人及其投标产品和服务，我方就本次投标有关事项郑重声明如下：</w:t>
      </w:r>
    </w:p>
    <w:p>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4.我方通过“信用中国”网站（www.creditchina.gov.cn）、中国政府采购网（www.ccgp.gov.cn）查询，未被列入失信被执行人、重大税收违法案件当事人名单、政府采购严重违法失信行为记录名单。</w:t>
      </w:r>
    </w:p>
    <w:p>
      <w:pPr>
        <w:autoSpaceDE w:val="0"/>
        <w:autoSpaceDN w:val="0"/>
        <w:snapToGrid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pPr>
        <w:adjustRightInd w:val="0"/>
        <w:snapToGrid w:val="0"/>
        <w:spacing w:line="360" w:lineRule="exact"/>
        <w:ind w:firstLine="279" w:firstLineChars="133"/>
        <w:rPr>
          <w:rFonts w:hint="default" w:ascii="宋体" w:hAnsi="宋体" w:cs="宋体"/>
          <w:color w:val="auto"/>
          <w:szCs w:val="21"/>
          <w:highlight w:val="none"/>
        </w:rPr>
      </w:pPr>
    </w:p>
    <w:p>
      <w:pPr>
        <w:adjustRightInd w:val="0"/>
        <w:snapToGrid w:val="0"/>
        <w:spacing w:line="360" w:lineRule="exact"/>
        <w:ind w:firstLine="279" w:firstLineChars="133"/>
        <w:rPr>
          <w:rFonts w:hint="default"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pPr>
        <w:adjustRightInd w:val="0"/>
        <w:snapToGrid w:val="0"/>
        <w:spacing w:line="360" w:lineRule="exact"/>
        <w:ind w:firstLine="315" w:firstLineChars="150"/>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adjustRightInd w:val="0"/>
        <w:snapToGrid w:val="0"/>
        <w:spacing w:line="360" w:lineRule="exact"/>
        <w:ind w:firstLine="5460" w:firstLineChars="2600"/>
        <w:rPr>
          <w:rFonts w:hint="default" w:ascii="宋体" w:hAnsi="宋体" w:cs="宋体"/>
          <w:color w:val="auto"/>
          <w:szCs w:val="21"/>
          <w:highlight w:val="none"/>
        </w:rPr>
      </w:pPr>
      <w:r>
        <w:rPr>
          <w:rFonts w:ascii="宋体" w:hAnsi="宋体" w:cs="宋体"/>
          <w:color w:val="auto"/>
          <w:szCs w:val="21"/>
          <w:highlight w:val="none"/>
        </w:rPr>
        <w:t>年    月    日</w:t>
      </w:r>
    </w:p>
    <w:p>
      <w:pPr>
        <w:pStyle w:val="2"/>
        <w:ind w:firstLine="210"/>
        <w:rPr>
          <w:rFonts w:hint="default"/>
          <w:color w:val="auto"/>
          <w:highlight w:val="none"/>
          <w:lang w:val="zh-CN"/>
        </w:rPr>
      </w:pPr>
    </w:p>
    <w:p>
      <w:pPr>
        <w:adjustRightInd w:val="0"/>
        <w:snapToGrid w:val="0"/>
        <w:spacing w:line="360" w:lineRule="exact"/>
        <w:rPr>
          <w:rFonts w:hint="default" w:ascii="宋体" w:hAnsi="宋体" w:cs="宋体"/>
          <w:b/>
          <w:color w:val="auto"/>
          <w:szCs w:val="21"/>
          <w:highlight w:val="none"/>
        </w:rPr>
      </w:pPr>
    </w:p>
    <w:p>
      <w:pPr>
        <w:adjustRightInd w:val="0"/>
        <w:snapToGrid w:val="0"/>
        <w:spacing w:line="360" w:lineRule="exact"/>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pPr>
        <w:pStyle w:val="2"/>
        <w:adjustRightInd w:val="0"/>
        <w:snapToGrid w:val="0"/>
        <w:spacing w:after="0" w:line="360" w:lineRule="exact"/>
        <w:ind w:firstLine="0" w:firstLineChars="0"/>
        <w:jc w:val="center"/>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pPr>
        <w:pStyle w:val="10"/>
        <w:adjustRightInd w:val="0"/>
        <w:snapToGrid w:val="0"/>
        <w:spacing w:line="360" w:lineRule="exact"/>
        <w:ind w:firstLine="735" w:firstLineChars="350"/>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pPr>
        <w:pStyle w:val="10"/>
        <w:adjustRightInd w:val="0"/>
        <w:snapToGrid w:val="0"/>
        <w:spacing w:line="360" w:lineRule="exact"/>
        <w:ind w:firstLine="0"/>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特此证明！</w:t>
      </w: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pPr>
        <w:pStyle w:val="10"/>
        <w:adjustRightInd w:val="0"/>
        <w:snapToGrid w:val="0"/>
        <w:spacing w:line="36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日期：    年   月   日</w:t>
      </w:r>
    </w:p>
    <w:p>
      <w:pPr>
        <w:pStyle w:val="10"/>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有效身份证明复印件粘贴处</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p>
    <w:p>
      <w:pPr>
        <w:adjustRightInd w:val="0"/>
        <w:snapToGrid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pPr>
        <w:autoSpaceDE w:val="0"/>
        <w:autoSpaceDN w:val="0"/>
        <w:adjustRightInd w:val="0"/>
        <w:snapToGrid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pPr>
        <w:autoSpaceDE w:val="0"/>
        <w:autoSpaceDN w:val="0"/>
        <w:adjustRightInd w:val="0"/>
        <w:snapToGrid w:val="0"/>
        <w:spacing w:line="360" w:lineRule="exact"/>
        <w:ind w:firstLine="720"/>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长兴县环境保护监测站应急及常规监测能力提升项目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pPr>
        <w:autoSpaceDE w:val="0"/>
        <w:autoSpaceDN w:val="0"/>
        <w:adjustRightInd w:val="0"/>
        <w:snapToGrid w:val="0"/>
        <w:spacing w:line="36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pPr>
        <w:autoSpaceDE w:val="0"/>
        <w:autoSpaceDN w:val="0"/>
        <w:adjustRightInd w:val="0"/>
        <w:snapToGrid w:val="0"/>
        <w:spacing w:line="360" w:lineRule="exact"/>
        <w:ind w:firstLine="840" w:firstLineChars="400"/>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60" w:lineRule="exact"/>
        <w:ind w:firstLine="6447" w:firstLineChars="307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2"/>
        <w:adjustRightInd w:val="0"/>
        <w:snapToGrid w:val="0"/>
        <w:spacing w:after="0" w:line="360" w:lineRule="exact"/>
        <w:ind w:firstLine="210"/>
        <w:rPr>
          <w:rFonts w:hint="default" w:ascii="宋体" w:hAnsi="宋体" w:cs="宋体"/>
          <w:color w:val="auto"/>
          <w:highlight w:val="none"/>
        </w:rPr>
      </w:pPr>
    </w:p>
    <w:p>
      <w:pPr>
        <w:pStyle w:val="10"/>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pPr>
        <w:pStyle w:val="2"/>
        <w:adjustRightInd w:val="0"/>
        <w:snapToGrid w:val="0"/>
        <w:spacing w:after="0" w:line="320" w:lineRule="exact"/>
        <w:ind w:firstLine="210"/>
        <w:rPr>
          <w:rFonts w:hint="default" w:ascii="宋体" w:hAnsi="宋体" w:cs="宋体"/>
          <w:color w:val="auto"/>
          <w:highlight w:val="none"/>
        </w:rPr>
      </w:pPr>
    </w:p>
    <w:p>
      <w:pPr>
        <w:pStyle w:val="6"/>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pPr>
        <w:pStyle w:val="6"/>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 xml:space="preserve"> 长兴县环境保护监测站 </w:t>
      </w:r>
      <w:r>
        <w:rPr>
          <w:rFonts w:ascii="宋体" w:hAnsi="宋体" w:cs="宋体"/>
          <w:color w:val="auto"/>
          <w:szCs w:val="21"/>
          <w:highlight w:val="none"/>
        </w:rPr>
        <w:t>、</w:t>
      </w:r>
      <w:r>
        <w:rPr>
          <w:rFonts w:hint="eastAsia" w:ascii="宋体" w:hAnsi="宋体" w:cs="宋体"/>
          <w:color w:val="auto"/>
          <w:szCs w:val="21"/>
          <w:highlight w:val="none"/>
          <w:lang w:eastAsia="zh-CN"/>
        </w:rPr>
        <w:t>东方经纬项目管理有限公司</w:t>
      </w:r>
      <w:r>
        <w:rPr>
          <w:rFonts w:ascii="宋体" w:hAnsi="宋体" w:cs="宋体"/>
          <w:color w:val="auto"/>
          <w:szCs w:val="21"/>
          <w:highlight w:val="none"/>
        </w:rPr>
        <w:t>：</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我方决定参加</w:t>
      </w:r>
      <w:r>
        <w:rPr>
          <w:rFonts w:ascii="宋体" w:hAnsi="宋体" w:cs="宋体"/>
          <w:color w:val="auto"/>
          <w:szCs w:val="21"/>
          <w:highlight w:val="none"/>
          <w:u w:val="single"/>
        </w:rPr>
        <w:t xml:space="preserve">                   </w:t>
      </w:r>
      <w:r>
        <w:rPr>
          <w:rFonts w:ascii="宋体" w:hAnsi="宋体" w:cs="宋体"/>
          <w:color w:val="auto"/>
          <w:szCs w:val="21"/>
          <w:highlight w:val="none"/>
        </w:rPr>
        <w:t>（项目名称）的投标,向贵方自愿作出如下承诺: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第一条  廉洁承诺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我方保证：</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（一）不违反廉洁从业的相关规定，严格遵守国家法律法规；</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（二）不以任何理由向贵方及其工作人员行贿或赠送礼金、有价证券、贵重物品等；</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（三）不为贵方及其工作人员购置或提供通讯工具、交通工具、高档办公用品和装修住房等；</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（四）不以任何名义为贵方及其工作人员报销应由贵方或贵方工作人员个人支付的费用；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（五）不以任何理由安排贵方工作人员参加宴请及娱乐休闲和旅游等消费活动；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（六）不从事其他违反国家有关法律法规规章以及廉洁从业有关规定的行为。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第二条  廉洁保证金</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为履行廉洁承诺，我方同意将本次政府采购项目的廉洁保证金确定为</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贰</w:t>
      </w:r>
      <w:r>
        <w:rPr>
          <w:rFonts w:ascii="宋体" w:hAnsi="宋体" w:cs="宋体"/>
          <w:b/>
          <w:color w:val="auto"/>
          <w:szCs w:val="21"/>
          <w:highlight w:val="none"/>
          <w:u w:val="single"/>
        </w:rPr>
        <w:t>万</w:t>
      </w:r>
      <w:r>
        <w:rPr>
          <w:rFonts w:hint="eastAsia" w:ascii="宋体" w:hAnsi="宋体" w:cs="宋体"/>
          <w:b/>
          <w:color w:val="auto"/>
          <w:szCs w:val="21"/>
          <w:highlight w:val="none"/>
          <w:u w:val="single"/>
          <w:lang w:val="en-US" w:eastAsia="zh-CN"/>
        </w:rPr>
        <w:t>捌</w:t>
      </w:r>
      <w:r>
        <w:rPr>
          <w:rFonts w:ascii="宋体" w:hAnsi="宋体" w:cs="宋体"/>
          <w:b/>
          <w:color w:val="auto"/>
          <w:szCs w:val="21"/>
          <w:highlight w:val="none"/>
          <w:u w:val="single"/>
        </w:rPr>
        <w:t>仟</w:t>
      </w:r>
      <w:r>
        <w:rPr>
          <w:rFonts w:hint="eastAsia" w:ascii="宋体" w:hAnsi="宋体" w:cs="宋体"/>
          <w:b/>
          <w:color w:val="auto"/>
          <w:szCs w:val="21"/>
          <w:highlight w:val="none"/>
          <w:u w:val="single"/>
          <w:lang w:eastAsia="zh-CN"/>
        </w:rPr>
        <w:t>捌佰</w:t>
      </w:r>
      <w:r>
        <w:rPr>
          <w:rFonts w:ascii="宋体" w:hAnsi="宋体" w:cs="宋体"/>
          <w:b/>
          <w:color w:val="auto"/>
          <w:szCs w:val="21"/>
          <w:highlight w:val="none"/>
          <w:u w:val="single"/>
        </w:rPr>
        <w:t>元整</w:t>
      </w:r>
      <w:r>
        <w:rPr>
          <w:rFonts w:ascii="宋体" w:hAnsi="宋体" w:cs="宋体"/>
          <w:color w:val="auto"/>
          <w:szCs w:val="21"/>
          <w:highlight w:val="none"/>
        </w:rPr>
        <w:t>（大写）。</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我方按以下方式提交廉洁保证金：</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在发生违反本廉洁承诺书规定的行为时，由贵方在履约保证金或其他保证金中先行扣除相应数额的廉洁保证金，我方在7个工作日内补足扣除部分。</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第三条  违诺责任</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我方如发生违反本廉洁承诺书第一条第二款的规定，无论我方是否中标，在依法承担法定责任的同时，我方自愿承担如下廉洁承诺违诺责任： </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（一）导致贵方相关工作人员受到问责、通报批评或诫勉谈话等处理的（尚未达到党政纪处分），贵方有权要求我方交纳或直接扣除本廉洁承诺书第二条第一款确定金额的廉洁保证金的30%；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（二）导致贵方相关工作人员受到党内警告、严重警告处分或受到行政警告、记过处分的，贵方有权要求我方交纳或直接扣除本廉洁承诺书第二条第一款确定金额的廉洁保证金的50%；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（三）导致贵方相关工作人员受到撤销党内职务、留党察看或受到行政记大过、降级处分的，贵方有权要求我方交纳或直接扣除本廉洁承诺书第二条第一款确定金额的廉洁保证金的70%；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（四）导致贵方相关工作人员受到开除党籍处分、行政撤职、开除处分或被依法追究刑事责任的，贵方有权要求我方交纳或直接扣除本廉洁承诺书第二条第一款确定金额的廉洁保证金的100%。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第四条  承诺书的效力</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（一）时间效力。如我方未中标，本廉洁承诺书的效力及于整个项目招投标活动；如我方中标，则本廉洁承诺书的效力及于项目招投标活动开始直至质保期结束。</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（二）在招投标阶段，本廉洁承诺书是我方投标文件的组成部分，经我方签字盖章后生效，无论我方是否中标或中标后是否签订合同，对我方均具有法律约束力。</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（三）如我方中标，本廉洁承诺书将成为我方与贵方签订的合同的组成部分，如遇合同无效或效力终止的，本廉洁承诺书仍独立有效。</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第五条  其他</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（二）本廉洁承诺书一式三份，由贵我双方、主管部门各执一份，具有同等法律效力。　　                   </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法定代表人（负责人）（或授权代表）：</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签署时间 ：</w:t>
      </w:r>
    </w:p>
    <w:p>
      <w:pPr>
        <w:pStyle w:val="2"/>
        <w:ind w:firstLine="210"/>
        <w:rPr>
          <w:rFonts w:hint="default" w:ascii="宋体" w:hAnsi="宋体" w:cs="宋体"/>
          <w:color w:val="auto"/>
          <w:szCs w:val="21"/>
          <w:highlight w:val="none"/>
        </w:rPr>
      </w:pPr>
    </w:p>
    <w:p>
      <w:pPr>
        <w:pStyle w:val="2"/>
        <w:ind w:firstLine="210"/>
        <w:rPr>
          <w:rFonts w:hint="default" w:ascii="宋体" w:hAnsi="宋体" w:cs="宋体"/>
          <w:color w:val="auto"/>
          <w:szCs w:val="21"/>
          <w:highlight w:val="none"/>
        </w:rPr>
      </w:pPr>
    </w:p>
    <w:p>
      <w:pPr>
        <w:pStyle w:val="2"/>
        <w:ind w:firstLine="210"/>
        <w:rPr>
          <w:rFonts w:hint="default" w:ascii="宋体" w:hAnsi="宋体" w:cs="宋体"/>
          <w:color w:val="auto"/>
          <w:szCs w:val="21"/>
          <w:highlight w:val="none"/>
        </w:rPr>
      </w:pPr>
    </w:p>
    <w:p>
      <w:pPr>
        <w:pStyle w:val="2"/>
        <w:ind w:firstLine="210"/>
        <w:rPr>
          <w:rFonts w:hint="default" w:ascii="宋体" w:hAnsi="宋体" w:cs="宋体"/>
          <w:color w:val="auto"/>
          <w:szCs w:val="21"/>
          <w:highlight w:val="none"/>
        </w:rPr>
      </w:pPr>
    </w:p>
    <w:p>
      <w:pPr>
        <w:pStyle w:val="2"/>
        <w:ind w:firstLine="210"/>
        <w:rPr>
          <w:rFonts w:hint="default" w:ascii="宋体" w:hAnsi="宋体" w:cs="宋体"/>
          <w:color w:val="auto"/>
          <w:szCs w:val="21"/>
          <w:highlight w:val="none"/>
        </w:rPr>
      </w:pPr>
    </w:p>
    <w:p>
      <w:pPr>
        <w:pStyle w:val="2"/>
        <w:ind w:firstLine="210"/>
        <w:rPr>
          <w:rFonts w:hint="default" w:ascii="宋体" w:hAnsi="宋体" w:cs="宋体"/>
          <w:color w:val="auto"/>
          <w:szCs w:val="21"/>
          <w:highlight w:val="none"/>
        </w:rPr>
      </w:pPr>
    </w:p>
    <w:p>
      <w:pPr>
        <w:pStyle w:val="6"/>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5"/>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63"/>
        <w:gridCol w:w="697"/>
        <w:gridCol w:w="717"/>
        <w:gridCol w:w="700"/>
        <w:gridCol w:w="800"/>
        <w:gridCol w:w="583"/>
        <w:gridCol w:w="1333"/>
        <w:gridCol w:w="1084"/>
        <w:gridCol w:w="146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widowControl/>
              <w:jc w:val="center"/>
              <w:rPr>
                <w:rFonts w:hint="default" w:ascii="宋体" w:hAnsi="宋体" w:cs="宋体"/>
                <w:b/>
                <w:bCs/>
                <w:color w:val="auto"/>
                <w:kern w:val="0"/>
                <w:sz w:val="21"/>
                <w:szCs w:val="21"/>
                <w:highlight w:val="none"/>
              </w:rPr>
            </w:pPr>
            <w:r>
              <w:rPr>
                <w:rFonts w:ascii="宋体" w:hAnsi="宋体" w:cs="宋体"/>
                <w:b/>
                <w:bCs/>
                <w:color w:val="auto"/>
                <w:kern w:val="0"/>
                <w:sz w:val="21"/>
                <w:szCs w:val="21"/>
                <w:highlight w:val="none"/>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采购人</w:t>
            </w:r>
          </w:p>
        </w:tc>
        <w:tc>
          <w:tcPr>
            <w:tcW w:w="4160" w:type="dxa"/>
            <w:gridSpan w:val="6"/>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2417" w:type="dxa"/>
            <w:gridSpan w:val="2"/>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项目编号</w:t>
            </w:r>
          </w:p>
        </w:tc>
        <w:tc>
          <w:tcPr>
            <w:tcW w:w="2149" w:type="dxa"/>
            <w:gridSpan w:val="2"/>
            <w:tcBorders>
              <w:tl2br w:val="nil"/>
              <w:tr2bl w:val="nil"/>
            </w:tcBorders>
            <w:vAlign w:val="center"/>
          </w:tcPr>
          <w:p>
            <w:pPr>
              <w:widowControl/>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项目名称</w:t>
            </w:r>
          </w:p>
        </w:tc>
        <w:tc>
          <w:tcPr>
            <w:tcW w:w="8726" w:type="dxa"/>
            <w:gridSpan w:val="10"/>
            <w:tcBorders>
              <w:tl2br w:val="nil"/>
              <w:tr2bl w:val="nil"/>
            </w:tcBorders>
            <w:vAlign w:val="center"/>
          </w:tcPr>
          <w:p>
            <w:pPr>
              <w:widowControl/>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restart"/>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资格要求</w:t>
            </w:r>
          </w:p>
        </w:tc>
        <w:tc>
          <w:tcPr>
            <w:tcW w:w="5493" w:type="dxa"/>
            <w:gridSpan w:val="7"/>
            <w:tcBorders>
              <w:tl2br w:val="nil"/>
              <w:tr2bl w:val="nil"/>
            </w:tcBorders>
            <w:vAlign w:val="center"/>
          </w:tcPr>
          <w:p>
            <w:pPr>
              <w:widowControl/>
              <w:jc w:val="center"/>
              <w:rPr>
                <w:rFonts w:hint="default" w:ascii="宋体" w:hAnsi="宋体" w:cs="宋体"/>
                <w:color w:val="auto"/>
                <w:sz w:val="21"/>
                <w:szCs w:val="21"/>
                <w:highlight w:val="none"/>
              </w:rPr>
            </w:pPr>
            <w:r>
              <w:rPr>
                <w:rFonts w:ascii="宋体" w:hAnsi="宋体" w:cs="宋体"/>
                <w:color w:val="auto"/>
                <w:kern w:val="0"/>
                <w:sz w:val="21"/>
                <w:szCs w:val="21"/>
                <w:highlight w:val="none"/>
              </w:rPr>
              <w:t>基本资格要求</w:t>
            </w:r>
          </w:p>
        </w:tc>
        <w:tc>
          <w:tcPr>
            <w:tcW w:w="1084" w:type="dxa"/>
            <w:tcBorders>
              <w:tl2br w:val="nil"/>
              <w:tr2bl w:val="nil"/>
            </w:tcBorders>
            <w:vAlign w:val="center"/>
          </w:tcPr>
          <w:p>
            <w:pPr>
              <w:widowControl/>
              <w:wordWrap w:val="0"/>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落实政府采购政策需满足的资格要求</w:t>
            </w:r>
          </w:p>
        </w:tc>
        <w:tc>
          <w:tcPr>
            <w:tcW w:w="1466" w:type="dxa"/>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特定</w:t>
            </w:r>
          </w:p>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资格</w:t>
            </w:r>
          </w:p>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要求</w:t>
            </w:r>
          </w:p>
        </w:tc>
        <w:tc>
          <w:tcPr>
            <w:tcW w:w="683" w:type="dxa"/>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资格</w:t>
            </w:r>
          </w:p>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审查</w:t>
            </w:r>
          </w:p>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continue"/>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4160" w:type="dxa"/>
            <w:gridSpan w:val="6"/>
            <w:tcBorders>
              <w:tl2br w:val="nil"/>
              <w:tr2bl w:val="nil"/>
            </w:tcBorders>
            <w:vAlign w:val="center"/>
          </w:tcPr>
          <w:p>
            <w:pPr>
              <w:widowControl/>
              <w:adjustRightInd w:val="0"/>
              <w:snapToGrid w:val="0"/>
              <w:jc w:val="center"/>
              <w:rPr>
                <w:rFonts w:hint="default" w:ascii="宋体" w:hAnsi="宋体" w:cs="宋体"/>
                <w:color w:val="auto"/>
                <w:sz w:val="21"/>
                <w:szCs w:val="21"/>
                <w:highlight w:val="none"/>
              </w:rPr>
            </w:pPr>
            <w:r>
              <w:rPr>
                <w:rFonts w:ascii="宋体" w:hAnsi="宋体" w:cs="宋体"/>
                <w:color w:val="auto"/>
                <w:sz w:val="21"/>
                <w:szCs w:val="21"/>
                <w:highlight w:val="none"/>
              </w:rPr>
              <w:t>满足《中华人民共和国政府采购法》第二十二条规定</w:t>
            </w:r>
          </w:p>
        </w:tc>
        <w:tc>
          <w:tcPr>
            <w:tcW w:w="1333" w:type="dxa"/>
            <w:vMerge w:val="restart"/>
            <w:tcBorders>
              <w:tl2br w:val="nil"/>
              <w:tr2bl w:val="nil"/>
            </w:tcBorders>
            <w:vAlign w:val="center"/>
          </w:tcPr>
          <w:p>
            <w:pPr>
              <w:widowControl/>
              <w:adjustRightInd w:val="0"/>
              <w:snapToGrid w:val="0"/>
              <w:jc w:val="left"/>
              <w:rPr>
                <w:rFonts w:hint="default" w:ascii="宋体" w:hAnsi="宋体" w:cs="宋体"/>
                <w:color w:val="auto"/>
                <w:sz w:val="21"/>
                <w:szCs w:val="21"/>
                <w:highlight w:val="none"/>
              </w:rPr>
            </w:pPr>
            <w:r>
              <w:rPr>
                <w:rFonts w:ascii="宋体" w:hAnsi="宋体" w:cs="宋体"/>
                <w:color w:val="auto"/>
                <w:sz w:val="18"/>
                <w:szCs w:val="18"/>
                <w:highlight w:val="none"/>
              </w:rPr>
              <w:t>未被“信用中国”（www.creditchina.gov.cn)、中国政府采购网（www.ccgp.gov.cn）列入失信被执行人、重大税收违法案件当事人名单、政府采购严重违法失信行为记录名单</w:t>
            </w:r>
          </w:p>
        </w:tc>
        <w:tc>
          <w:tcPr>
            <w:tcW w:w="1084" w:type="dxa"/>
            <w:vMerge w:val="restart"/>
            <w:tcBorders>
              <w:tl2br w:val="nil"/>
              <w:tr2bl w:val="nil"/>
            </w:tcBorders>
            <w:vAlign w:val="center"/>
          </w:tcPr>
          <w:p>
            <w:pPr>
              <w:widowControl/>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无</w:t>
            </w:r>
          </w:p>
        </w:tc>
        <w:tc>
          <w:tcPr>
            <w:tcW w:w="1466" w:type="dxa"/>
            <w:vMerge w:val="restart"/>
            <w:tcBorders>
              <w:tl2br w:val="nil"/>
              <w:tr2bl w:val="nil"/>
            </w:tcBorders>
            <w:vAlign w:val="center"/>
          </w:tcPr>
          <w:p>
            <w:pPr>
              <w:widowControl/>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无</w:t>
            </w:r>
          </w:p>
        </w:tc>
        <w:tc>
          <w:tcPr>
            <w:tcW w:w="683" w:type="dxa"/>
            <w:vMerge w:val="restart"/>
            <w:tcBorders>
              <w:tl2br w:val="nil"/>
              <w:tr2bl w:val="nil"/>
            </w:tcBorders>
            <w:vAlign w:val="center"/>
          </w:tcPr>
          <w:p>
            <w:pPr>
              <w:widowControl/>
              <w:adjustRightInd w:val="0"/>
              <w:snapToGrid w:val="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continue"/>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66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697"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717"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700"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有依法缴纳税收和社会保障资金的良好记录</w:t>
            </w:r>
          </w:p>
        </w:tc>
        <w:tc>
          <w:tcPr>
            <w:tcW w:w="800"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参加政府采购活动前三年内，在经营活动中没有重大违法记录</w:t>
            </w:r>
          </w:p>
        </w:tc>
        <w:tc>
          <w:tcPr>
            <w:tcW w:w="58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333"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21"/>
                <w:szCs w:val="21"/>
                <w:highlight w:val="none"/>
              </w:rPr>
            </w:pPr>
          </w:p>
        </w:tc>
        <w:tc>
          <w:tcPr>
            <w:tcW w:w="1084"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21"/>
                <w:szCs w:val="21"/>
                <w:highlight w:val="none"/>
              </w:rPr>
            </w:pPr>
          </w:p>
        </w:tc>
        <w:tc>
          <w:tcPr>
            <w:tcW w:w="1466"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21"/>
                <w:szCs w:val="21"/>
                <w:highlight w:val="none"/>
              </w:rPr>
            </w:pPr>
          </w:p>
        </w:tc>
        <w:tc>
          <w:tcPr>
            <w:tcW w:w="683"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 w:val="21"/>
                <w:szCs w:val="21"/>
                <w:highlight w:val="none"/>
              </w:rPr>
            </w:pPr>
            <w:r>
              <w:rPr>
                <w:rFonts w:ascii="宋体" w:hAnsi="宋体" w:cs="宋体"/>
                <w:color w:val="auto"/>
                <w:kern w:val="0"/>
                <w:sz w:val="21"/>
                <w:szCs w:val="21"/>
                <w:highlight w:val="none"/>
              </w:rPr>
              <w:t>自查情况</w:t>
            </w:r>
          </w:p>
        </w:tc>
        <w:tc>
          <w:tcPr>
            <w:tcW w:w="663"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697"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717"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700"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800"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583"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1333"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1084"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1466" w:type="dxa"/>
            <w:tcBorders>
              <w:tl2br w:val="nil"/>
              <w:tr2bl w:val="nil"/>
            </w:tcBorders>
            <w:vAlign w:val="center"/>
          </w:tcPr>
          <w:p>
            <w:pPr>
              <w:widowControl/>
              <w:jc w:val="center"/>
              <w:rPr>
                <w:rFonts w:hint="default" w:ascii="宋体" w:hAnsi="宋体" w:cs="宋体"/>
                <w:color w:val="auto"/>
                <w:kern w:val="0"/>
                <w:sz w:val="21"/>
                <w:szCs w:val="21"/>
                <w:highlight w:val="none"/>
              </w:rPr>
            </w:pPr>
          </w:p>
        </w:tc>
        <w:tc>
          <w:tcPr>
            <w:tcW w:w="683" w:type="dxa"/>
            <w:tcBorders>
              <w:tl2br w:val="nil"/>
              <w:tr2bl w:val="nil"/>
            </w:tcBorders>
            <w:vAlign w:val="center"/>
          </w:tcPr>
          <w:p>
            <w:pPr>
              <w:widowControl/>
              <w:jc w:val="center"/>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widowControl/>
              <w:jc w:val="left"/>
              <w:rPr>
                <w:rFonts w:hint="default" w:ascii="宋体" w:hAnsi="宋体" w:cs="宋体"/>
                <w:color w:val="auto"/>
                <w:kern w:val="0"/>
                <w:sz w:val="21"/>
                <w:szCs w:val="21"/>
                <w:highlight w:val="none"/>
              </w:rPr>
            </w:pPr>
            <w:r>
              <w:rPr>
                <w:rFonts w:ascii="宋体" w:hAnsi="宋体" w:cs="宋体"/>
                <w:color w:val="auto"/>
                <w:kern w:val="0"/>
                <w:sz w:val="21"/>
                <w:szCs w:val="21"/>
                <w:highlight w:val="none"/>
              </w:rPr>
              <w:t>注：</w:t>
            </w:r>
          </w:p>
          <w:p>
            <w:pPr>
              <w:widowControl/>
              <w:jc w:val="left"/>
              <w:rPr>
                <w:rFonts w:hint="default" w:ascii="宋体" w:hAns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基本资格要求</w:t>
            </w:r>
          </w:p>
          <w:p>
            <w:pPr>
              <w:widowControl/>
              <w:adjustRightInd w:val="0"/>
              <w:snapToGrid w:val="0"/>
              <w:spacing w:line="260" w:lineRule="exact"/>
              <w:jc w:val="left"/>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1</w:t>
            </w:r>
            <w:r>
              <w:rPr>
                <w:rFonts w:hint="eastAsia" w:ascii="宋体" w:hAnsi="宋体" w:cs="宋体"/>
                <w:b/>
                <w:bCs/>
                <w:color w:val="auto"/>
                <w:kern w:val="0"/>
                <w:sz w:val="21"/>
                <w:szCs w:val="21"/>
                <w:highlight w:val="none"/>
                <w:lang w:eastAsia="zh-CN"/>
              </w:rPr>
              <w:t>）</w:t>
            </w:r>
            <w:r>
              <w:rPr>
                <w:rFonts w:ascii="宋体" w:hAnsi="宋体" w:cs="宋体"/>
                <w:b/>
                <w:bCs/>
                <w:color w:val="auto"/>
                <w:kern w:val="0"/>
                <w:sz w:val="21"/>
                <w:szCs w:val="21"/>
                <w:highlight w:val="none"/>
              </w:rPr>
              <w:t>查</w:t>
            </w:r>
            <w:r>
              <w:rPr>
                <w:rFonts w:hint="eastAsia" w:ascii="宋体" w:hAnsi="宋体" w:cs="宋体"/>
                <w:b/>
                <w:bCs/>
                <w:color w:val="auto"/>
                <w:kern w:val="0"/>
                <w:sz w:val="21"/>
                <w:szCs w:val="21"/>
                <w:highlight w:val="none"/>
              </w:rPr>
              <w:t>符合参加政府采购活动应当具备的</w:t>
            </w:r>
            <w:r>
              <w:rPr>
                <w:rFonts w:hint="eastAsia" w:ascii="宋体" w:hAnsi="宋体" w:cs="宋体"/>
                <w:b/>
                <w:bCs/>
                <w:color w:val="auto"/>
                <w:kern w:val="0"/>
                <w:sz w:val="21"/>
                <w:szCs w:val="21"/>
                <w:highlight w:val="none"/>
                <w:lang w:val="en-US" w:eastAsia="zh-CN"/>
              </w:rPr>
              <w:t>基本资格要求</w:t>
            </w:r>
            <w:r>
              <w:rPr>
                <w:rFonts w:hint="eastAsia" w:ascii="宋体" w:hAnsi="宋体" w:cs="宋体"/>
                <w:b/>
                <w:bCs/>
                <w:color w:val="auto"/>
                <w:kern w:val="0"/>
                <w:sz w:val="21"/>
                <w:szCs w:val="21"/>
                <w:highlight w:val="none"/>
              </w:rPr>
              <w:t>的承诺函</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格式附后。</w:t>
            </w:r>
          </w:p>
          <w:p>
            <w:pPr>
              <w:widowControl/>
              <w:adjustRightInd w:val="0"/>
              <w:snapToGrid w:val="0"/>
              <w:spacing w:line="260" w:lineRule="exact"/>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2</w:t>
            </w:r>
            <w:r>
              <w:rPr>
                <w:rFonts w:hint="eastAsia" w:ascii="宋体" w:hAnsi="宋体" w:cs="宋体"/>
                <w:b/>
                <w:bCs/>
                <w:color w:val="auto"/>
                <w:kern w:val="0"/>
                <w:sz w:val="21"/>
                <w:szCs w:val="21"/>
                <w:highlight w:val="none"/>
                <w:lang w:eastAsia="zh-CN"/>
              </w:rPr>
              <w:t>）</w:t>
            </w:r>
            <w:r>
              <w:rPr>
                <w:rFonts w:ascii="宋体" w:hAnsi="宋体" w:cs="宋体"/>
                <w:b/>
                <w:bCs/>
                <w:color w:val="auto"/>
                <w:kern w:val="0"/>
                <w:sz w:val="21"/>
                <w:szCs w:val="21"/>
                <w:highlight w:val="none"/>
              </w:rPr>
              <w:t>查投标人身份证明文件（有效的营业执照（或法人证书））</w:t>
            </w:r>
          </w:p>
          <w:p>
            <w:pPr>
              <w:widowControl/>
              <w:adjustRightInd w:val="0"/>
              <w:snapToGrid w:val="0"/>
              <w:spacing w:line="260" w:lineRule="exact"/>
              <w:jc w:val="left"/>
              <w:rPr>
                <w:rFonts w:hint="eastAsia"/>
                <w:b/>
                <w:bCs/>
                <w:color w:val="auto"/>
                <w:sz w:val="21"/>
                <w:szCs w:val="21"/>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3</w:t>
            </w:r>
            <w:r>
              <w:rPr>
                <w:rFonts w:hint="eastAsia"/>
                <w:b/>
                <w:bCs/>
                <w:color w:val="auto"/>
                <w:sz w:val="21"/>
                <w:szCs w:val="21"/>
                <w:highlight w:val="none"/>
                <w:lang w:eastAsia="zh-CN"/>
              </w:rPr>
              <w:t>）</w:t>
            </w:r>
            <w:r>
              <w:rPr>
                <w:rFonts w:hint="default"/>
                <w:b/>
                <w:bCs/>
                <w:color w:val="auto"/>
                <w:sz w:val="21"/>
                <w:szCs w:val="21"/>
                <w:highlight w:val="none"/>
              </w:rPr>
              <w:t>金</w:t>
            </w:r>
            <w:r>
              <w:rPr>
                <w:rFonts w:hint="default"/>
                <w:b/>
                <w:bCs/>
                <w:color w:val="auto"/>
                <w:sz w:val="21"/>
                <w:szCs w:val="21"/>
                <w:highlight w:val="none"/>
              </w:rPr>
              <w:t>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Pr>
                <w:rFonts w:hint="eastAsia"/>
                <w:b/>
                <w:bCs/>
                <w:color w:val="auto"/>
                <w:sz w:val="21"/>
                <w:szCs w:val="21"/>
                <w:highlight w:val="none"/>
                <w:lang w:eastAsia="zh-CN"/>
              </w:rPr>
              <w:t>。（若符合，查提供的符合要求的相关证明材料）</w:t>
            </w:r>
          </w:p>
          <w:p>
            <w:pPr>
              <w:widowControl/>
              <w:adjustRightInd w:val="0"/>
              <w:snapToGrid w:val="0"/>
              <w:spacing w:line="260" w:lineRule="exact"/>
              <w:jc w:val="left"/>
              <w:rPr>
                <w:rFonts w:hint="default" w:ascii="宋体" w:hAnsi="宋体" w:cs="宋体"/>
                <w:color w:val="auto"/>
                <w:kern w:val="0"/>
                <w:sz w:val="21"/>
                <w:szCs w:val="21"/>
                <w:highlight w:val="none"/>
              </w:rPr>
            </w:pPr>
            <w:r>
              <w:rPr>
                <w:rFonts w:ascii="宋体" w:hAnsi="宋体" w:cs="宋体"/>
                <w:color w:val="auto"/>
                <w:kern w:val="0"/>
                <w:sz w:val="21"/>
                <w:szCs w:val="21"/>
                <w:highlight w:val="none"/>
              </w:rPr>
              <w:t>2.落实政府采购政策需满足的资格要求</w:t>
            </w:r>
          </w:p>
          <w:p>
            <w:pPr>
              <w:widowControl/>
              <w:adjustRightInd w:val="0"/>
              <w:snapToGrid w:val="0"/>
              <w:spacing w:line="260" w:lineRule="exact"/>
              <w:jc w:val="left"/>
              <w:rPr>
                <w:rFonts w:hint="default"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无</w:t>
            </w:r>
            <w:r>
              <w:rPr>
                <w:rFonts w:hint="eastAsia" w:ascii="宋体" w:hAnsi="宋体" w:cs="宋体"/>
                <w:b/>
                <w:bCs/>
                <w:color w:val="auto"/>
                <w:kern w:val="0"/>
                <w:sz w:val="21"/>
                <w:szCs w:val="21"/>
                <w:highlight w:val="none"/>
              </w:rPr>
              <w:t>。</w:t>
            </w:r>
          </w:p>
          <w:p>
            <w:pPr>
              <w:widowControl/>
              <w:jc w:val="left"/>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ascii="宋体" w:hAnsi="宋体" w:cs="宋体"/>
                <w:color w:val="auto"/>
                <w:kern w:val="0"/>
                <w:sz w:val="21"/>
                <w:szCs w:val="21"/>
                <w:highlight w:val="none"/>
              </w:rPr>
              <w:t>.特定资格要求。</w:t>
            </w:r>
          </w:p>
          <w:p>
            <w:pPr>
              <w:widowControl/>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无。</w:t>
            </w:r>
          </w:p>
          <w:p>
            <w:pPr>
              <w:widowControl/>
              <w:jc w:val="left"/>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ascii="宋体" w:hAnsi="宋体" w:cs="宋体"/>
                <w:color w:val="auto"/>
                <w:kern w:val="0"/>
                <w:sz w:val="21"/>
                <w:szCs w:val="21"/>
                <w:highlight w:val="none"/>
              </w:rPr>
              <w:t>.自查情况：</w:t>
            </w:r>
            <w:r>
              <w:rPr>
                <w:rFonts w:ascii="宋体" w:hAnsi="宋体" w:cs="宋体"/>
                <w:b/>
                <w:bCs/>
                <w:color w:val="auto"/>
                <w:kern w:val="0"/>
                <w:sz w:val="21"/>
                <w:szCs w:val="21"/>
                <w:highlight w:val="none"/>
              </w:rPr>
              <w:t>符合要求的打“√”，不符合要求的打“×”。</w:t>
            </w:r>
          </w:p>
          <w:p>
            <w:pPr>
              <w:widowControl/>
              <w:jc w:val="left"/>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ascii="宋体" w:hAnsi="宋体" w:cs="宋体"/>
                <w:color w:val="auto"/>
                <w:kern w:val="0"/>
                <w:sz w:val="21"/>
                <w:szCs w:val="21"/>
                <w:highlight w:val="none"/>
              </w:rPr>
              <w:t>.资格审查结论为</w:t>
            </w:r>
            <w:r>
              <w:rPr>
                <w:rFonts w:ascii="宋体" w:hAnsi="宋体" w:cs="宋体"/>
                <w:b/>
                <w:bCs/>
                <w:color w:val="auto"/>
                <w:kern w:val="0"/>
                <w:sz w:val="21"/>
                <w:szCs w:val="21"/>
                <w:highlight w:val="none"/>
              </w:rPr>
              <w:t>符合要求</w:t>
            </w:r>
            <w:r>
              <w:rPr>
                <w:rFonts w:ascii="宋体" w:hAnsi="宋体" w:cs="宋体"/>
                <w:color w:val="auto"/>
                <w:kern w:val="0"/>
                <w:sz w:val="21"/>
                <w:szCs w:val="21"/>
                <w:highlight w:val="none"/>
              </w:rPr>
              <w:t>或</w:t>
            </w:r>
            <w:r>
              <w:rPr>
                <w:rFonts w:ascii="宋体" w:hAnsi="宋体" w:cs="宋体"/>
                <w:b/>
                <w:bCs/>
                <w:color w:val="auto"/>
                <w:kern w:val="0"/>
                <w:sz w:val="21"/>
                <w:szCs w:val="21"/>
                <w:highlight w:val="none"/>
              </w:rPr>
              <w:t>不符合要求</w:t>
            </w:r>
            <w:r>
              <w:rPr>
                <w:rFonts w:ascii="宋体" w:hAns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adjustRightInd w:val="0"/>
              <w:snapToGrid w:val="0"/>
              <w:jc w:val="left"/>
              <w:rPr>
                <w:rFonts w:hint="default" w:ascii="宋体" w:hAnsi="宋体" w:cs="宋体"/>
                <w:color w:val="auto"/>
                <w:sz w:val="21"/>
                <w:szCs w:val="21"/>
                <w:highlight w:val="none"/>
              </w:rPr>
            </w:pPr>
            <w:r>
              <w:rPr>
                <w:rFonts w:ascii="宋体" w:hAnsi="宋体" w:cs="宋体"/>
                <w:color w:val="auto"/>
                <w:sz w:val="21"/>
                <w:szCs w:val="21"/>
                <w:highlight w:val="none"/>
              </w:rPr>
              <w:t>投标人名称（盖章）：</w:t>
            </w:r>
          </w:p>
          <w:p>
            <w:pPr>
              <w:adjustRightInd w:val="0"/>
              <w:snapToGrid w:val="0"/>
              <w:jc w:val="left"/>
              <w:rPr>
                <w:rFonts w:hint="default" w:ascii="宋体" w:hAnsi="宋体" w:cs="宋体"/>
                <w:color w:val="auto"/>
                <w:sz w:val="21"/>
                <w:szCs w:val="21"/>
                <w:highlight w:val="none"/>
              </w:rPr>
            </w:pPr>
            <w:r>
              <w:rPr>
                <w:rFonts w:ascii="宋体" w:hAnsi="宋体" w:cs="宋体"/>
                <w:color w:val="auto"/>
                <w:sz w:val="21"/>
                <w:szCs w:val="21"/>
                <w:highlight w:val="none"/>
              </w:rPr>
              <w:t>授权委托人（签字）：</w:t>
            </w:r>
          </w:p>
          <w:p>
            <w:pPr>
              <w:adjustRightInd w:val="0"/>
              <w:snapToGrid w:val="0"/>
              <w:jc w:val="left"/>
              <w:rPr>
                <w:rFonts w:hint="default" w:ascii="宋体" w:hAnsi="宋体" w:cs="宋体"/>
                <w:color w:val="auto"/>
                <w:kern w:val="0"/>
                <w:sz w:val="21"/>
                <w:szCs w:val="21"/>
                <w:highlight w:val="none"/>
              </w:rPr>
            </w:pPr>
            <w:r>
              <w:rPr>
                <w:rFonts w:ascii="宋体" w:hAnsi="宋体" w:cs="宋体"/>
                <w:color w:val="auto"/>
                <w:sz w:val="21"/>
                <w:szCs w:val="21"/>
                <w:highlight w:val="none"/>
              </w:rPr>
              <w:t>日期：</w:t>
            </w:r>
          </w:p>
        </w:tc>
      </w:tr>
    </w:tbl>
    <w:p>
      <w:pPr>
        <w:pStyle w:val="6"/>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复印件加盖公章，</w:t>
      </w:r>
      <w:r>
        <w:rPr>
          <w:rFonts w:hint="eastAsia" w:ascii="宋体" w:hAnsi="宋体" w:cs="宋体"/>
          <w:b/>
          <w:bCs/>
          <w:color w:val="auto"/>
          <w:kern w:val="0"/>
          <w:sz w:val="21"/>
          <w:szCs w:val="21"/>
          <w:highlight w:val="none"/>
        </w:rPr>
        <w:t>符合参加政府采购活动应当具备的</w:t>
      </w:r>
      <w:r>
        <w:rPr>
          <w:rFonts w:hint="eastAsia" w:ascii="宋体" w:hAnsi="宋体" w:cs="宋体"/>
          <w:b/>
          <w:bCs/>
          <w:color w:val="auto"/>
          <w:kern w:val="0"/>
          <w:sz w:val="21"/>
          <w:szCs w:val="21"/>
          <w:highlight w:val="none"/>
          <w:lang w:val="en-US" w:eastAsia="zh-CN"/>
        </w:rPr>
        <w:t>基本资格要求</w:t>
      </w:r>
      <w:r>
        <w:rPr>
          <w:rFonts w:hint="eastAsia" w:ascii="宋体" w:hAnsi="宋体" w:cs="宋体"/>
          <w:b/>
          <w:bCs/>
          <w:color w:val="auto"/>
          <w:kern w:val="0"/>
          <w:sz w:val="21"/>
          <w:szCs w:val="21"/>
          <w:highlight w:val="none"/>
        </w:rPr>
        <w:t>的承诺函</w:t>
      </w:r>
      <w:r>
        <w:rPr>
          <w:rFonts w:hint="eastAsia" w:ascii="宋体" w:hAnsi="宋体" w:cs="宋体"/>
          <w:color w:val="auto"/>
          <w:sz w:val="21"/>
          <w:szCs w:val="21"/>
          <w:highlight w:val="none"/>
          <w:lang w:val="en-US" w:eastAsia="zh-CN"/>
        </w:rPr>
        <w:t>格式如下</w:t>
      </w:r>
      <w:r>
        <w:rPr>
          <w:rFonts w:ascii="宋体" w:hAnsi="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spacing w:line="294" w:lineRule="exact"/>
        <w:textAlignment w:val="auto"/>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val="zh-CN"/>
        </w:rPr>
        <w:t>）符合参加政府采购活动应当具备的基本资格要求的承诺函格式：</w:t>
      </w:r>
    </w:p>
    <w:p>
      <w:pPr>
        <w:keepNext w:val="0"/>
        <w:keepLines w:val="0"/>
        <w:pageBreakBefore w:val="0"/>
        <w:widowControl w:val="0"/>
        <w:kinsoku/>
        <w:wordWrap/>
        <w:overflowPunct/>
        <w:topLinePunct w:val="0"/>
        <w:bidi w:val="0"/>
        <w:adjustRightInd/>
        <w:spacing w:line="294"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符合参加政府采购活动应当具备的基本资格要求的承诺函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eastAsia="zh-CN"/>
        </w:rPr>
        <w:t xml:space="preserve">长兴县环境保护监测站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东方经纬项目管理有限公司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 w:val="21"/>
          <w:szCs w:val="21"/>
          <w:highlight w:val="none"/>
          <w:lang w:eastAsia="zh-CN"/>
        </w:rPr>
        <w:t xml:space="preserve">长兴县环境保护监测站应急及常规监测能力提升项目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 xml:space="preserve">ZJJWCG-2022-013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具有独立承担民事责任的能力</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具有良好的商业信誉和健全的财务会计制度</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有依法缴纳税收和社会保障资金的良好记录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法律、行政法规规定的其他条件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pPr>
        <w:pStyle w:val="10"/>
        <w:adjustRightInd w:val="0"/>
        <w:snapToGrid w:val="0"/>
        <w:spacing w:line="360" w:lineRule="exact"/>
        <w:ind w:firstLine="2320" w:firstLineChars="1105"/>
        <w:rPr>
          <w:rFonts w:hint="eastAsia" w:ascii="宋体" w:hAnsi="宋体" w:eastAsia="宋体" w:cs="宋体"/>
          <w:color w:val="auto"/>
          <w:szCs w:val="21"/>
          <w:highlight w:val="none"/>
          <w:lang w:eastAsia="zh-CN"/>
        </w:rPr>
      </w:pPr>
      <w:r>
        <w:rPr>
          <w:rFonts w:ascii="宋体" w:hAnsi="宋体" w:cs="宋体"/>
          <w:color w:val="auto"/>
          <w:szCs w:val="21"/>
          <w:highlight w:val="none"/>
        </w:rPr>
        <w:t>法定代表人（负责人）或其授权代理人（签名或盖章）</w:t>
      </w:r>
      <w:r>
        <w:rPr>
          <w:rFonts w:hint="eastAsia" w:ascii="宋体" w:hAnsi="宋体" w:cs="宋体"/>
          <w:color w:val="auto"/>
          <w:szCs w:val="21"/>
          <w:highlight w:val="none"/>
          <w:lang w:eastAsia="zh-CN"/>
        </w:rPr>
        <w:t>：</w:t>
      </w:r>
    </w:p>
    <w:p>
      <w:pPr>
        <w:adjustRightInd w:val="0"/>
        <w:snapToGrid w:val="0"/>
        <w:spacing w:line="320" w:lineRule="exact"/>
        <w:ind w:firstLine="630" w:firstLineChars="300"/>
        <w:rPr>
          <w:rFonts w:hint="eastAsia" w:ascii="宋体" w:hAnsi="宋体" w:cs="宋体"/>
          <w:color w:val="auto"/>
          <w:sz w:val="21"/>
          <w:szCs w:val="21"/>
          <w:highlight w:val="none"/>
          <w:lang w:val="zh-CN"/>
        </w:rPr>
      </w:pPr>
      <w:r>
        <w:rPr>
          <w:rFonts w:ascii="宋体" w:hAnsi="宋体" w:cs="宋体"/>
          <w:color w:val="auto"/>
          <w:szCs w:val="21"/>
          <w:highlight w:val="none"/>
        </w:rPr>
        <w:t xml:space="preserve">                  签署时间 ：</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年    月    日</w:t>
      </w:r>
    </w:p>
    <w:p>
      <w:pPr>
        <w:rPr>
          <w:rFonts w:hint="default" w:ascii="宋体" w:hAnsi="宋体" w:cs="宋体"/>
          <w:color w:val="auto"/>
          <w:highlight w:val="none"/>
          <w:lang w:val="zh-CN"/>
        </w:rPr>
      </w:pPr>
    </w:p>
    <w:p>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ZJJWCG-2022-013</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spacing w:line="340" w:lineRule="exact"/>
        <w:rPr>
          <w:rFonts w:ascii="宋体" w:hAnsi="宋体" w:cs="宋体"/>
          <w:b/>
          <w:bCs/>
          <w:color w:val="auto"/>
          <w:szCs w:val="21"/>
          <w:highlight w:val="none"/>
        </w:rPr>
      </w:pPr>
    </w:p>
    <w:p>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pPr>
        <w:autoSpaceDE w:val="0"/>
        <w:autoSpaceDN w:val="0"/>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w:t>
      </w:r>
      <w:r>
        <w:rPr>
          <w:rFonts w:hint="eastAsia" w:ascii="宋体" w:hAnsi="宋体"/>
          <w:color w:val="auto"/>
          <w:szCs w:val="21"/>
          <w:highlight w:val="none"/>
        </w:rPr>
        <w:t>企业实力</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w:t>
      </w:r>
      <w:r>
        <w:rPr>
          <w:rFonts w:hint="eastAsia" w:ascii="宋体" w:hAnsi="宋体"/>
          <w:color w:val="auto"/>
          <w:szCs w:val="21"/>
          <w:highlight w:val="none"/>
        </w:rPr>
        <w:t>企业荣誉</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）企业业绩</w:t>
      </w:r>
      <w:r>
        <w:rPr>
          <w:rFonts w:ascii="宋体" w:hAnsi="宋体" w:cs="宋体"/>
          <w:color w:val="auto"/>
          <w:szCs w:val="21"/>
          <w:highlight w:val="none"/>
        </w:rPr>
        <w:t>————————</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）售后服务</w:t>
      </w:r>
      <w:r>
        <w:rPr>
          <w:rFonts w:ascii="宋体" w:hAnsi="宋体" w:cs="宋体"/>
          <w:color w:val="auto"/>
          <w:szCs w:val="21"/>
          <w:highlight w:val="none"/>
        </w:rPr>
        <w:t>————————</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w:t>
      </w:r>
      <w:r>
        <w:rPr>
          <w:rFonts w:hint="eastAsia" w:ascii="宋体" w:hAnsi="宋体"/>
          <w:color w:val="auto"/>
          <w:szCs w:val="21"/>
          <w:highlight w:val="none"/>
        </w:rPr>
        <w:t>技术培训</w:t>
      </w:r>
      <w:r>
        <w:rPr>
          <w:rFonts w:ascii="宋体" w:hAnsi="宋体" w:cs="宋体"/>
          <w:color w:val="auto"/>
          <w:szCs w:val="21"/>
          <w:highlight w:val="none"/>
        </w:rPr>
        <w:t>————————</w:t>
      </w:r>
    </w:p>
    <w:p>
      <w:pPr>
        <w:pStyle w:val="2"/>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）商务响应表</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）政策分相关证明材料</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w:t>
      </w:r>
      <w:r>
        <w:rPr>
          <w:rFonts w:hint="eastAsia" w:ascii="宋体" w:hAnsi="宋体"/>
          <w:color w:val="auto"/>
          <w:szCs w:val="21"/>
          <w:highlight w:val="none"/>
        </w:rPr>
        <w:t>项目理解</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w:t>
      </w:r>
      <w:r>
        <w:rPr>
          <w:rFonts w:hint="eastAsia" w:ascii="宋体" w:hAnsi="宋体"/>
          <w:color w:val="auto"/>
          <w:szCs w:val="21"/>
          <w:highlight w:val="none"/>
        </w:rPr>
        <w:t>项目实施方案</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12</w:t>
      </w:r>
      <w:r>
        <w:rPr>
          <w:rFonts w:ascii="宋体" w:hAnsi="宋体" w:cs="宋体"/>
          <w:color w:val="auto"/>
          <w:szCs w:val="21"/>
          <w:highlight w:val="none"/>
          <w:lang w:val="zh-CN"/>
        </w:rPr>
        <w:t>）</w:t>
      </w:r>
      <w:r>
        <w:rPr>
          <w:rFonts w:hint="eastAsia" w:ascii="宋体" w:hAnsi="宋体"/>
          <w:color w:val="auto"/>
          <w:szCs w:val="21"/>
          <w:highlight w:val="none"/>
        </w:rPr>
        <w:t>质量控制措施</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13</w:t>
      </w:r>
      <w:r>
        <w:rPr>
          <w:rFonts w:ascii="宋体" w:hAnsi="宋体" w:cs="宋体"/>
          <w:color w:val="auto"/>
          <w:szCs w:val="21"/>
          <w:highlight w:val="none"/>
          <w:lang w:val="zh-CN"/>
        </w:rPr>
        <w:t>）</w:t>
      </w:r>
      <w:r>
        <w:rPr>
          <w:rFonts w:hint="eastAsia" w:ascii="宋体" w:hAnsi="宋体"/>
          <w:color w:val="auto"/>
          <w:szCs w:val="21"/>
          <w:highlight w:val="none"/>
        </w:rPr>
        <w:t>应急保障能力</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14</w:t>
      </w:r>
      <w:r>
        <w:rPr>
          <w:rFonts w:ascii="宋体" w:hAnsi="宋体" w:cs="宋体"/>
          <w:color w:val="auto"/>
          <w:szCs w:val="21"/>
          <w:highlight w:val="none"/>
          <w:lang w:val="zh-CN"/>
        </w:rPr>
        <w:t>）</w:t>
      </w:r>
      <w:r>
        <w:rPr>
          <w:rFonts w:hint="eastAsia" w:ascii="宋体" w:hAnsi="宋体"/>
          <w:color w:val="auto"/>
          <w:szCs w:val="21"/>
          <w:highlight w:val="none"/>
        </w:rPr>
        <w:t>拟投入人员实力</w:t>
      </w:r>
      <w:r>
        <w:rPr>
          <w:rFonts w:ascii="宋体" w:hAnsi="宋体" w:cs="宋体"/>
          <w:color w:val="auto"/>
          <w:szCs w:val="21"/>
          <w:highlight w:val="none"/>
        </w:rPr>
        <w:t>————————</w:t>
      </w:r>
    </w:p>
    <w:p>
      <w:pPr>
        <w:spacing w:line="314"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）技术响应表</w:t>
      </w:r>
      <w:r>
        <w:rPr>
          <w:rFonts w:ascii="宋体" w:hAnsi="宋体" w:cs="宋体"/>
          <w:color w:val="auto"/>
          <w:szCs w:val="21"/>
          <w:highlight w:val="none"/>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）设备配置清单（均不含报价）</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）项目实施人员（主要从业人员及其技术资格）一览表</w:t>
      </w:r>
      <w:r>
        <w:rPr>
          <w:rFonts w:ascii="宋体" w:hAnsi="宋体" w:cs="宋体"/>
          <w:color w:val="auto"/>
          <w:szCs w:val="21"/>
          <w:highlight w:val="none"/>
        </w:rPr>
        <w:t>————————</w:t>
      </w:r>
      <w:r>
        <w:rPr>
          <w:rFonts w:ascii="宋体" w:hAnsi="宋体" w:cs="宋体"/>
          <w:color w:val="auto"/>
          <w:szCs w:val="21"/>
          <w:highlight w:val="none"/>
          <w:lang w:val="zh-CN"/>
        </w:rPr>
        <w:t xml:space="preserve">          </w:t>
      </w:r>
    </w:p>
    <w:p>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）投标人需要说明的其他文件和说明。（格式自拟）</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pPr>
        <w:pStyle w:val="6"/>
        <w:adjustRightInd w:val="0"/>
        <w:snapToGrid w:val="0"/>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1.商务分、技术分评分索引表格式：</w:t>
      </w:r>
    </w:p>
    <w:tbl>
      <w:tblPr>
        <w:tblStyle w:val="25"/>
        <w:tblpPr w:leftFromText="180" w:rightFromText="180" w:vertAnchor="text" w:horzAnchor="margin" w:tblpXSpec="center" w:tblpY="14"/>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48"/>
        <w:gridCol w:w="1193"/>
        <w:gridCol w:w="6489"/>
        <w:gridCol w:w="42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w:t>
            </w:r>
          </w:p>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号</w:t>
            </w:r>
          </w:p>
        </w:tc>
        <w:tc>
          <w:tcPr>
            <w:tcW w:w="648"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内容</w:t>
            </w:r>
          </w:p>
        </w:tc>
        <w:tc>
          <w:tcPr>
            <w:tcW w:w="7682" w:type="dxa"/>
            <w:gridSpan w:val="2"/>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评分原则</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w:t>
            </w:r>
          </w:p>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restart"/>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48" w:type="dxa"/>
            <w:vMerge w:val="restart"/>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技术分（</w:t>
            </w:r>
            <w:r>
              <w:rPr>
                <w:rFonts w:hint="eastAsia" w:ascii="宋体" w:hAnsi="宋体" w:cs="宋体"/>
                <w:color w:val="auto"/>
                <w:sz w:val="18"/>
                <w:szCs w:val="18"/>
                <w:highlight w:val="none"/>
                <w:lang w:val="en-US" w:eastAsia="zh-CN"/>
              </w:rPr>
              <w:t>47</w:t>
            </w:r>
            <w:r>
              <w:rPr>
                <w:rFonts w:hint="eastAsia" w:ascii="宋体" w:hAnsi="宋体" w:cs="宋体"/>
                <w:color w:val="auto"/>
                <w:sz w:val="18"/>
                <w:szCs w:val="18"/>
                <w:highlight w:val="none"/>
              </w:rPr>
              <w:t>分）</w:t>
            </w:r>
          </w:p>
        </w:tc>
        <w:tc>
          <w:tcPr>
            <w:tcW w:w="1193" w:type="dxa"/>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r>
              <w:rPr>
                <w:rFonts w:hint="eastAsia" w:ascii="宋体" w:hAnsi="宋体" w:eastAsia="宋体" w:cs="宋体"/>
                <w:i w:val="0"/>
                <w:iCs w:val="0"/>
                <w:color w:val="auto"/>
                <w:sz w:val="18"/>
                <w:szCs w:val="18"/>
                <w:highlight w:val="none"/>
              </w:rPr>
              <w:t>技术要求响应情况</w:t>
            </w:r>
            <w:r>
              <w:rPr>
                <w:rFonts w:hint="eastAsia" w:hAnsi="宋体" w:cs="宋体"/>
                <w:i w:val="0"/>
                <w:iCs w:val="0"/>
                <w:color w:val="auto"/>
                <w:sz w:val="18"/>
                <w:szCs w:val="18"/>
                <w:highlight w:val="none"/>
                <w:lang w:eastAsia="zh-CN"/>
              </w:rPr>
              <w:t>（</w:t>
            </w:r>
            <w:r>
              <w:rPr>
                <w:rFonts w:hint="eastAsia" w:hAnsi="宋体" w:cs="宋体"/>
                <w:i w:val="0"/>
                <w:iCs w:val="0"/>
                <w:color w:val="auto"/>
                <w:sz w:val="18"/>
                <w:szCs w:val="18"/>
                <w:highlight w:val="none"/>
                <w:lang w:val="en-US" w:eastAsia="zh-CN"/>
              </w:rPr>
              <w:t>0-27</w:t>
            </w:r>
            <w:r>
              <w:rPr>
                <w:rFonts w:hint="eastAsia" w:hAnsi="宋体" w:cs="宋体"/>
                <w:i w:val="0"/>
                <w:iCs w:val="0"/>
                <w:color w:val="auto"/>
                <w:sz w:val="18"/>
                <w:szCs w:val="18"/>
                <w:highlight w:val="none"/>
                <w:lang w:eastAsia="zh-CN"/>
              </w:rPr>
              <w:t>）</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2"/>
                <w:sz w:val="18"/>
                <w:szCs w:val="18"/>
                <w:highlight w:val="none"/>
                <w:lang w:val="en-US" w:eastAsia="zh-CN" w:bidi="ar-SA"/>
              </w:rPr>
            </w:pPr>
            <w:r>
              <w:rPr>
                <w:rFonts w:hint="eastAsia" w:ascii="宋体" w:hAnsi="宋体" w:cs="宋体"/>
                <w:color w:val="auto"/>
                <w:sz w:val="18"/>
                <w:szCs w:val="18"/>
                <w:highlight w:val="none"/>
              </w:rPr>
              <w:t>技术性和功能：根据各</w:t>
            </w:r>
            <w:r>
              <w:rPr>
                <w:rFonts w:hint="eastAsia" w:ascii="宋体" w:hAnsi="宋体" w:cs="宋体"/>
                <w:color w:val="auto"/>
                <w:sz w:val="18"/>
                <w:szCs w:val="18"/>
                <w:highlight w:val="none"/>
                <w:lang w:eastAsia="zh-CN"/>
              </w:rPr>
              <w:t>投标人</w:t>
            </w:r>
            <w:r>
              <w:rPr>
                <w:rFonts w:hint="eastAsia" w:ascii="宋体" w:hAnsi="宋体" w:cs="宋体"/>
                <w:color w:val="auto"/>
                <w:sz w:val="18"/>
                <w:szCs w:val="18"/>
                <w:highlight w:val="none"/>
              </w:rPr>
              <w:t>所投货物技术性能、功能以及对</w:t>
            </w:r>
            <w:r>
              <w:rPr>
                <w:rFonts w:hint="eastAsia" w:ascii="宋体" w:hAnsi="宋体" w:cs="宋体"/>
                <w:color w:val="auto"/>
                <w:sz w:val="18"/>
                <w:szCs w:val="18"/>
                <w:highlight w:val="none"/>
                <w:lang w:eastAsia="zh-CN"/>
              </w:rPr>
              <w:t>招标文件</w:t>
            </w:r>
            <w:r>
              <w:rPr>
                <w:rFonts w:hint="eastAsia" w:ascii="宋体" w:hAnsi="宋体" w:cs="宋体"/>
                <w:color w:val="auto"/>
                <w:sz w:val="18"/>
                <w:szCs w:val="18"/>
                <w:highlight w:val="none"/>
              </w:rPr>
              <w:t>各项技术要求的逐项响应承诺等方面情况由评委进行评分。所投货物技术性能、功能完全满足</w:t>
            </w:r>
            <w:r>
              <w:rPr>
                <w:rFonts w:hint="eastAsia" w:ascii="宋体" w:hAnsi="宋体" w:cs="宋体"/>
                <w:color w:val="auto"/>
                <w:sz w:val="18"/>
                <w:szCs w:val="18"/>
                <w:highlight w:val="none"/>
                <w:lang w:val="en-US" w:eastAsia="zh-CN"/>
              </w:rPr>
              <w:t>招标</w:t>
            </w:r>
            <w:r>
              <w:rPr>
                <w:rFonts w:hint="eastAsia" w:ascii="宋体" w:hAnsi="宋体" w:cs="宋体"/>
                <w:color w:val="auto"/>
                <w:sz w:val="18"/>
                <w:szCs w:val="18"/>
                <w:highlight w:val="none"/>
              </w:rPr>
              <w:t>文件要求的得</w:t>
            </w:r>
            <w:r>
              <w:rPr>
                <w:rFonts w:hint="eastAsia" w:ascii="宋体" w:hAnsi="宋体" w:cs="宋体"/>
                <w:color w:val="auto"/>
                <w:sz w:val="18"/>
                <w:szCs w:val="18"/>
                <w:highlight w:val="none"/>
                <w:lang w:val="en-US" w:eastAsia="zh-CN"/>
              </w:rPr>
              <w:t>27</w:t>
            </w:r>
            <w:r>
              <w:rPr>
                <w:rFonts w:hint="eastAsia" w:ascii="宋体" w:hAnsi="宋体" w:cs="宋体"/>
                <w:color w:val="auto"/>
                <w:sz w:val="18"/>
                <w:szCs w:val="18"/>
                <w:highlight w:val="none"/>
              </w:rPr>
              <w:t>分；每负偏离一条扣</w:t>
            </w:r>
            <w:r>
              <w:rPr>
                <w:rFonts w:hint="eastAsia" w:ascii="宋体" w:hAnsi="宋体" w:cs="宋体"/>
                <w:color w:val="auto"/>
                <w:sz w:val="18"/>
                <w:szCs w:val="18"/>
                <w:highlight w:val="none"/>
                <w:lang w:val="en-US" w:eastAsia="zh-CN"/>
              </w:rPr>
              <w:t>0.5</w:t>
            </w:r>
            <w:r>
              <w:rPr>
                <w:rFonts w:hint="eastAsia" w:ascii="宋体" w:hAnsi="宋体" w:cs="宋体"/>
                <w:color w:val="auto"/>
                <w:sz w:val="18"/>
                <w:szCs w:val="18"/>
                <w:highlight w:val="none"/>
              </w:rPr>
              <w:t>分，带★每负偏离一条扣</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分，扣完为止；本项最高得分2</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分。</w:t>
            </w:r>
            <w:r>
              <w:rPr>
                <w:rFonts w:hint="eastAsia" w:ascii="宋体" w:hAnsi="宋体" w:cs="宋体"/>
                <w:b/>
                <w:color w:val="auto"/>
                <w:sz w:val="18"/>
                <w:szCs w:val="18"/>
                <w:highlight w:val="none"/>
              </w:rPr>
              <w:t>（注：投标人必须如实地对招标文件采购需求中各条款作出明确的逐项响应承诺，并对其真实性负责。技术参数中要求提供检验报告等其他证明材料的，需按要求提供，未提供或未按要求提供的则视为负偏离。）</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r>
              <w:rPr>
                <w:rFonts w:hint="eastAsia" w:hAnsi="宋体" w:cs="宋体"/>
                <w:i w:val="0"/>
                <w:iCs w:val="0"/>
                <w:color w:val="auto"/>
                <w:sz w:val="18"/>
                <w:szCs w:val="18"/>
                <w:highlight w:val="none"/>
                <w:lang w:val="en-US" w:eastAsia="zh-CN"/>
              </w:rPr>
              <w:t>项目理解（0-4）</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根据</w:t>
            </w:r>
            <w:r>
              <w:rPr>
                <w:rFonts w:hint="eastAsia" w:ascii="宋体" w:hAnsi="宋体" w:cs="宋体"/>
                <w:color w:val="auto"/>
                <w:sz w:val="18"/>
                <w:szCs w:val="18"/>
                <w:highlight w:val="none"/>
                <w:lang w:eastAsia="zh-CN"/>
              </w:rPr>
              <w:t>投标人</w:t>
            </w:r>
            <w:r>
              <w:rPr>
                <w:rFonts w:hint="eastAsia" w:ascii="宋体" w:hAnsi="宋体" w:cs="宋体"/>
                <w:color w:val="auto"/>
                <w:sz w:val="18"/>
                <w:szCs w:val="18"/>
                <w:highlight w:val="none"/>
              </w:rPr>
              <w:t>对用户现状</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采购</w:t>
            </w:r>
            <w:r>
              <w:rPr>
                <w:rFonts w:hint="eastAsia" w:ascii="宋体" w:hAnsi="宋体" w:cs="宋体"/>
                <w:color w:val="auto"/>
                <w:sz w:val="18"/>
                <w:szCs w:val="18"/>
                <w:highlight w:val="none"/>
                <w:lang w:eastAsia="zh-CN"/>
              </w:rPr>
              <w:t>需求</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采购目标</w:t>
            </w:r>
            <w:r>
              <w:rPr>
                <w:rFonts w:hint="eastAsia" w:ascii="宋体" w:hAnsi="宋体" w:cs="宋体"/>
                <w:color w:val="auto"/>
                <w:sz w:val="18"/>
                <w:szCs w:val="18"/>
                <w:highlight w:val="none"/>
                <w:lang w:eastAsia="zh-CN"/>
              </w:rPr>
              <w:t>的理解程度</w:t>
            </w:r>
            <w:r>
              <w:rPr>
                <w:rFonts w:hint="eastAsia" w:ascii="宋体" w:hAnsi="宋体" w:cs="宋体"/>
                <w:color w:val="auto"/>
                <w:sz w:val="18"/>
                <w:szCs w:val="18"/>
                <w:highlight w:val="none"/>
              </w:rPr>
              <w:t>的优劣得</w:t>
            </w:r>
            <w:r>
              <w:rPr>
                <w:rFonts w:hint="eastAsia" w:ascii="宋体" w:hAnsi="宋体" w:cs="宋体"/>
                <w:color w:val="auto"/>
                <w:sz w:val="18"/>
                <w:szCs w:val="18"/>
                <w:highlight w:val="none"/>
                <w:lang w:val="en-US" w:eastAsia="zh-CN"/>
              </w:rPr>
              <w:t>0-4</w:t>
            </w:r>
            <w:r>
              <w:rPr>
                <w:rFonts w:hint="eastAsia" w:ascii="宋体" w:hAnsi="宋体" w:cs="宋体"/>
                <w:color w:val="auto"/>
                <w:sz w:val="18"/>
                <w:szCs w:val="18"/>
                <w:highlight w:val="none"/>
              </w:rPr>
              <w:t>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项目实施方案</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0-7</w:t>
            </w:r>
            <w:r>
              <w:rPr>
                <w:rFonts w:hint="eastAsia" w:ascii="宋体" w:hAnsi="宋体" w:cs="宋体"/>
                <w:color w:val="auto"/>
                <w:sz w:val="18"/>
                <w:szCs w:val="18"/>
                <w:highlight w:val="none"/>
                <w:lang w:eastAsia="zh-CN"/>
              </w:rPr>
              <w:t>）</w:t>
            </w:r>
          </w:p>
        </w:tc>
        <w:tc>
          <w:tcPr>
            <w:tcW w:w="64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bCs/>
                <w:color w:val="auto"/>
                <w:sz w:val="18"/>
                <w:szCs w:val="18"/>
                <w:highlight w:val="none"/>
              </w:rPr>
              <w:t>（1）</w:t>
            </w:r>
            <w:r>
              <w:rPr>
                <w:rFonts w:ascii="宋体" w:hAnsi="宋体"/>
                <w:bCs/>
                <w:color w:val="auto"/>
                <w:sz w:val="18"/>
                <w:szCs w:val="18"/>
                <w:highlight w:val="none"/>
              </w:rPr>
              <w:t>根据</w:t>
            </w:r>
            <w:r>
              <w:rPr>
                <w:rFonts w:hint="eastAsia" w:ascii="宋体" w:hAnsi="宋体" w:cs="宋体"/>
                <w:color w:val="auto"/>
                <w:sz w:val="18"/>
                <w:szCs w:val="18"/>
                <w:highlight w:val="none"/>
                <w:lang w:eastAsia="zh-CN"/>
              </w:rPr>
              <w:t>投标人</w:t>
            </w:r>
            <w:r>
              <w:rPr>
                <w:rFonts w:ascii="宋体" w:hAnsi="宋体"/>
                <w:bCs/>
                <w:color w:val="auto"/>
                <w:sz w:val="18"/>
                <w:szCs w:val="18"/>
                <w:highlight w:val="none"/>
              </w:rPr>
              <w:t>提供的</w:t>
            </w:r>
            <w:r>
              <w:rPr>
                <w:rFonts w:hint="eastAsia" w:ascii="宋体" w:hAnsi="宋体" w:cs="华文仿宋"/>
                <w:color w:val="auto"/>
                <w:kern w:val="0"/>
                <w:sz w:val="18"/>
                <w:szCs w:val="18"/>
                <w:highlight w:val="none"/>
              </w:rPr>
              <w:t>进度安排方案的内容、逻辑、针对性的优劣得0-</w:t>
            </w:r>
            <w:r>
              <w:rPr>
                <w:rFonts w:hint="eastAsia" w:ascii="宋体" w:hAnsi="宋体" w:cs="华文仿宋"/>
                <w:color w:val="auto"/>
                <w:kern w:val="0"/>
                <w:sz w:val="18"/>
                <w:szCs w:val="18"/>
                <w:highlight w:val="none"/>
                <w:lang w:val="en-US" w:eastAsia="zh-CN"/>
              </w:rPr>
              <w:t>2</w:t>
            </w:r>
            <w:r>
              <w:rPr>
                <w:rFonts w:hint="eastAsia" w:ascii="宋体" w:hAnsi="宋体" w:cs="华文仿宋"/>
                <w:color w:val="auto"/>
                <w:kern w:val="0"/>
                <w:sz w:val="18"/>
                <w:szCs w:val="18"/>
                <w:highlight w:val="none"/>
              </w:rPr>
              <w:t>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vMerge w:val="continue"/>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Times New Roman"/>
                <w:bCs/>
                <w:color w:val="auto"/>
                <w:kern w:val="2"/>
                <w:sz w:val="18"/>
                <w:szCs w:val="18"/>
                <w:highlight w:val="none"/>
                <w:lang w:val="en-US" w:eastAsia="zh-CN" w:bidi="ar-SA"/>
              </w:rPr>
            </w:pPr>
            <w:r>
              <w:rPr>
                <w:rFonts w:hint="eastAsia" w:ascii="宋体" w:hAnsi="宋体"/>
                <w:bCs/>
                <w:color w:val="auto"/>
                <w:sz w:val="18"/>
                <w:szCs w:val="18"/>
                <w:highlight w:val="none"/>
              </w:rPr>
              <w:t>（2）</w:t>
            </w:r>
            <w:r>
              <w:rPr>
                <w:rFonts w:ascii="宋体" w:hAnsi="宋体"/>
                <w:bCs/>
                <w:color w:val="auto"/>
                <w:sz w:val="18"/>
                <w:szCs w:val="18"/>
                <w:highlight w:val="none"/>
              </w:rPr>
              <w:t>根据</w:t>
            </w:r>
            <w:r>
              <w:rPr>
                <w:rFonts w:hint="eastAsia" w:ascii="宋体" w:hAnsi="宋体" w:cs="宋体"/>
                <w:color w:val="auto"/>
                <w:sz w:val="18"/>
                <w:szCs w:val="18"/>
                <w:highlight w:val="none"/>
                <w:lang w:eastAsia="zh-CN"/>
              </w:rPr>
              <w:t>投标人</w:t>
            </w:r>
            <w:r>
              <w:rPr>
                <w:rFonts w:ascii="宋体" w:hAnsi="宋体"/>
                <w:bCs/>
                <w:color w:val="auto"/>
                <w:sz w:val="18"/>
                <w:szCs w:val="18"/>
                <w:highlight w:val="none"/>
              </w:rPr>
              <w:t>提供的</w:t>
            </w:r>
            <w:r>
              <w:rPr>
                <w:rFonts w:hint="eastAsia" w:ascii="宋体" w:hAnsi="宋体"/>
                <w:color w:val="auto"/>
                <w:sz w:val="18"/>
                <w:szCs w:val="18"/>
                <w:highlight w:val="none"/>
              </w:rPr>
              <w:t>供货</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安装调试</w:t>
            </w:r>
            <w:r>
              <w:rPr>
                <w:rFonts w:hint="eastAsia" w:ascii="宋体" w:hAnsi="宋体"/>
                <w:bCs/>
                <w:color w:val="auto"/>
                <w:sz w:val="18"/>
                <w:szCs w:val="18"/>
                <w:highlight w:val="none"/>
              </w:rPr>
              <w:t>方案</w:t>
            </w:r>
            <w:r>
              <w:rPr>
                <w:rFonts w:hint="eastAsia" w:ascii="宋体" w:hAnsi="宋体" w:cs="华文仿宋"/>
                <w:color w:val="auto"/>
                <w:kern w:val="0"/>
                <w:sz w:val="18"/>
                <w:szCs w:val="18"/>
                <w:highlight w:val="none"/>
              </w:rPr>
              <w:t>的内容、逻辑、针对性的优劣得0-3分。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vMerge w:val="continue"/>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Times New Roman"/>
                <w:bCs/>
                <w:color w:val="auto"/>
                <w:kern w:val="2"/>
                <w:sz w:val="18"/>
                <w:szCs w:val="18"/>
                <w:highlight w:val="none"/>
                <w:lang w:val="en-US" w:eastAsia="zh-CN" w:bidi="ar-SA"/>
              </w:rPr>
            </w:pPr>
            <w:r>
              <w:rPr>
                <w:rFonts w:hint="eastAsia" w:ascii="宋体" w:hAnsi="宋体"/>
                <w:bCs/>
                <w:color w:val="auto"/>
                <w:sz w:val="18"/>
                <w:szCs w:val="18"/>
                <w:highlight w:val="none"/>
              </w:rPr>
              <w:t>（3）</w:t>
            </w:r>
            <w:r>
              <w:rPr>
                <w:rFonts w:ascii="宋体" w:hAnsi="宋体"/>
                <w:bCs/>
                <w:color w:val="auto"/>
                <w:sz w:val="18"/>
                <w:szCs w:val="18"/>
                <w:highlight w:val="none"/>
              </w:rPr>
              <w:t>根据</w:t>
            </w:r>
            <w:r>
              <w:rPr>
                <w:rFonts w:hint="eastAsia" w:ascii="宋体" w:hAnsi="宋体" w:cs="宋体"/>
                <w:color w:val="auto"/>
                <w:sz w:val="18"/>
                <w:szCs w:val="18"/>
                <w:highlight w:val="none"/>
                <w:lang w:eastAsia="zh-CN"/>
              </w:rPr>
              <w:t>投标人</w:t>
            </w:r>
            <w:r>
              <w:rPr>
                <w:rFonts w:ascii="宋体" w:hAnsi="宋体"/>
                <w:bCs/>
                <w:color w:val="auto"/>
                <w:sz w:val="18"/>
                <w:szCs w:val="18"/>
                <w:highlight w:val="none"/>
              </w:rPr>
              <w:t>提供的</w:t>
            </w:r>
            <w:r>
              <w:rPr>
                <w:rFonts w:hint="eastAsia" w:ascii="宋体" w:hAnsi="宋体"/>
                <w:color w:val="auto"/>
                <w:sz w:val="18"/>
                <w:szCs w:val="18"/>
                <w:highlight w:val="none"/>
              </w:rPr>
              <w:t>验收方案</w:t>
            </w:r>
            <w:r>
              <w:rPr>
                <w:rFonts w:hint="eastAsia" w:ascii="宋体" w:hAnsi="宋体" w:cs="华文仿宋"/>
                <w:color w:val="auto"/>
                <w:kern w:val="0"/>
                <w:sz w:val="18"/>
                <w:szCs w:val="18"/>
                <w:highlight w:val="none"/>
              </w:rPr>
              <w:t>的内容、逻辑、针对性的优劣得0-</w:t>
            </w:r>
            <w:r>
              <w:rPr>
                <w:rFonts w:hint="eastAsia" w:ascii="宋体" w:hAnsi="宋体" w:cs="华文仿宋"/>
                <w:color w:val="auto"/>
                <w:kern w:val="0"/>
                <w:sz w:val="18"/>
                <w:szCs w:val="18"/>
                <w:highlight w:val="none"/>
                <w:lang w:val="en-US" w:eastAsia="zh-CN"/>
              </w:rPr>
              <w:t>2</w:t>
            </w:r>
            <w:r>
              <w:rPr>
                <w:rFonts w:hint="eastAsia" w:ascii="宋体" w:hAnsi="宋体" w:cs="华文仿宋"/>
                <w:color w:val="auto"/>
                <w:kern w:val="0"/>
                <w:sz w:val="18"/>
                <w:szCs w:val="18"/>
                <w:highlight w:val="none"/>
              </w:rPr>
              <w:t>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r>
              <w:rPr>
                <w:rFonts w:hint="eastAsia" w:ascii="宋体" w:hAnsi="宋体"/>
                <w:bCs/>
                <w:color w:val="auto"/>
                <w:sz w:val="18"/>
                <w:szCs w:val="18"/>
                <w:highlight w:val="none"/>
                <w:lang w:val="en-US" w:eastAsia="zh-CN"/>
              </w:rPr>
              <w:t>质量控制措施</w:t>
            </w:r>
            <w:r>
              <w:rPr>
                <w:rFonts w:hint="eastAsia" w:hAnsi="宋体"/>
                <w:bCs/>
                <w:color w:val="auto"/>
                <w:sz w:val="18"/>
                <w:szCs w:val="18"/>
                <w:highlight w:val="none"/>
                <w:lang w:val="en-US" w:eastAsia="zh-CN"/>
              </w:rPr>
              <w:t>（0-2）</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2"/>
                <w:sz w:val="18"/>
                <w:szCs w:val="18"/>
                <w:highlight w:val="none"/>
                <w:lang w:val="en-US" w:eastAsia="zh-CN" w:bidi="ar-SA"/>
              </w:rPr>
            </w:pPr>
            <w:r>
              <w:rPr>
                <w:rFonts w:ascii="宋体" w:hAnsi="宋体"/>
                <w:bCs/>
                <w:color w:val="auto"/>
                <w:sz w:val="18"/>
                <w:szCs w:val="18"/>
                <w:highlight w:val="none"/>
              </w:rPr>
              <w:t>根据</w:t>
            </w:r>
            <w:r>
              <w:rPr>
                <w:rFonts w:hint="eastAsia" w:ascii="宋体" w:hAnsi="宋体" w:cs="宋体"/>
                <w:color w:val="auto"/>
                <w:sz w:val="18"/>
                <w:szCs w:val="18"/>
                <w:highlight w:val="none"/>
                <w:lang w:eastAsia="zh-CN"/>
              </w:rPr>
              <w:t>投标人</w:t>
            </w:r>
            <w:r>
              <w:rPr>
                <w:rFonts w:ascii="宋体" w:hAnsi="宋体"/>
                <w:bCs/>
                <w:color w:val="auto"/>
                <w:sz w:val="18"/>
                <w:szCs w:val="18"/>
                <w:highlight w:val="none"/>
              </w:rPr>
              <w:t>提供的</w:t>
            </w:r>
            <w:r>
              <w:rPr>
                <w:rFonts w:hint="eastAsia" w:ascii="宋体" w:hAnsi="宋体"/>
                <w:bCs/>
                <w:color w:val="auto"/>
                <w:sz w:val="18"/>
                <w:szCs w:val="18"/>
                <w:highlight w:val="none"/>
                <w:lang w:val="en-US" w:eastAsia="zh-CN"/>
              </w:rPr>
              <w:t>质量控制措施的优劣得0-2分。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shd w:val="clear" w:color="auto" w:fill="FFFFFF"/>
            <w:vAlign w:val="center"/>
          </w:tcPr>
          <w:p>
            <w:pPr>
              <w:pStyle w:val="1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Cs/>
                <w:color w:val="auto"/>
                <w:kern w:val="2"/>
                <w:sz w:val="18"/>
                <w:szCs w:val="18"/>
                <w:highlight w:val="none"/>
                <w:lang w:val="en-US" w:eastAsia="zh-CN" w:bidi="ar-SA"/>
              </w:rPr>
            </w:pPr>
            <w:r>
              <w:rPr>
                <w:rFonts w:ascii="宋体" w:hAnsi="宋体" w:cs="宋体"/>
                <w:color w:val="auto"/>
                <w:kern w:val="0"/>
                <w:sz w:val="18"/>
                <w:szCs w:val="18"/>
                <w:highlight w:val="none"/>
              </w:rPr>
              <w:t>应急</w:t>
            </w:r>
            <w:r>
              <w:rPr>
                <w:rFonts w:hint="eastAsia" w:hAnsi="宋体" w:cs="宋体"/>
                <w:color w:val="auto"/>
                <w:kern w:val="0"/>
                <w:sz w:val="18"/>
                <w:szCs w:val="18"/>
                <w:highlight w:val="none"/>
                <w:lang w:eastAsia="zh-CN"/>
              </w:rPr>
              <w:t>保障</w:t>
            </w:r>
            <w:r>
              <w:rPr>
                <w:rFonts w:ascii="宋体" w:hAnsi="宋体" w:cs="宋体"/>
                <w:color w:val="auto"/>
                <w:kern w:val="0"/>
                <w:sz w:val="18"/>
                <w:szCs w:val="18"/>
                <w:highlight w:val="none"/>
              </w:rPr>
              <w:t>能力</w:t>
            </w:r>
            <w:r>
              <w:rPr>
                <w:rFonts w:hint="eastAsia" w:hAnsi="宋体" w:cs="宋体"/>
                <w:color w:val="auto"/>
                <w:kern w:val="0"/>
                <w:sz w:val="18"/>
                <w:szCs w:val="18"/>
                <w:highlight w:val="none"/>
                <w:lang w:eastAsia="zh-CN"/>
              </w:rPr>
              <w:t>（</w:t>
            </w:r>
            <w:r>
              <w:rPr>
                <w:rFonts w:hint="eastAsia" w:hAnsi="宋体" w:cs="宋体"/>
                <w:color w:val="auto"/>
                <w:kern w:val="0"/>
                <w:sz w:val="18"/>
                <w:szCs w:val="18"/>
                <w:highlight w:val="none"/>
                <w:lang w:val="en-US" w:eastAsia="zh-CN"/>
              </w:rPr>
              <w:t>0-2</w:t>
            </w:r>
            <w:r>
              <w:rPr>
                <w:rFonts w:hint="eastAsia" w:hAnsi="宋体" w:cs="宋体"/>
                <w:color w:val="auto"/>
                <w:kern w:val="0"/>
                <w:sz w:val="18"/>
                <w:szCs w:val="18"/>
                <w:highlight w:val="none"/>
                <w:lang w:eastAsia="zh-CN"/>
              </w:rPr>
              <w:t>）</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Times New Roman"/>
                <w:bCs/>
                <w:color w:val="auto"/>
                <w:kern w:val="2"/>
                <w:sz w:val="18"/>
                <w:szCs w:val="18"/>
                <w:highlight w:val="none"/>
                <w:lang w:val="en-US" w:eastAsia="zh-CN" w:bidi="ar-SA"/>
              </w:rPr>
            </w:pPr>
            <w:r>
              <w:rPr>
                <w:rFonts w:ascii="宋体" w:hAnsi="宋体" w:cs="宋体"/>
                <w:color w:val="auto"/>
                <w:kern w:val="0"/>
                <w:sz w:val="18"/>
                <w:szCs w:val="18"/>
                <w:highlight w:val="none"/>
              </w:rPr>
              <w:t>投标人</w:t>
            </w:r>
            <w:r>
              <w:rPr>
                <w:rFonts w:hint="eastAsia" w:ascii="宋体" w:hAnsi="宋体" w:cs="宋体"/>
                <w:color w:val="auto"/>
                <w:kern w:val="0"/>
                <w:sz w:val="18"/>
                <w:szCs w:val="18"/>
                <w:highlight w:val="none"/>
                <w:lang w:eastAsia="zh-CN"/>
              </w:rPr>
              <w:t>需具备</w:t>
            </w:r>
            <w:r>
              <w:rPr>
                <w:rFonts w:ascii="宋体" w:hAnsi="宋体" w:cs="宋体"/>
                <w:color w:val="auto"/>
                <w:kern w:val="0"/>
                <w:sz w:val="18"/>
                <w:szCs w:val="18"/>
                <w:highlight w:val="none"/>
              </w:rPr>
              <w:t>应急</w:t>
            </w:r>
            <w:r>
              <w:rPr>
                <w:rFonts w:hint="eastAsia" w:hAnsi="宋体" w:cs="宋体"/>
                <w:color w:val="auto"/>
                <w:kern w:val="0"/>
                <w:sz w:val="18"/>
                <w:szCs w:val="18"/>
                <w:highlight w:val="none"/>
                <w:lang w:eastAsia="zh-CN"/>
              </w:rPr>
              <w:t>保障</w:t>
            </w:r>
            <w:r>
              <w:rPr>
                <w:rFonts w:ascii="宋体" w:hAnsi="宋体" w:cs="宋体"/>
                <w:color w:val="auto"/>
                <w:kern w:val="0"/>
                <w:sz w:val="18"/>
                <w:szCs w:val="18"/>
                <w:highlight w:val="none"/>
              </w:rPr>
              <w:t>能力，可以在突发性环境污染事件发生后提供应急保障监测</w:t>
            </w:r>
            <w:r>
              <w:rPr>
                <w:rFonts w:hint="eastAsia" w:ascii="宋体" w:hAnsi="宋体" w:cs="宋体"/>
                <w:color w:val="auto"/>
                <w:kern w:val="0"/>
                <w:sz w:val="18"/>
                <w:szCs w:val="18"/>
                <w:highlight w:val="none"/>
                <w:lang w:eastAsia="zh-CN"/>
              </w:rPr>
              <w:t>，配备备用车辆（如</w:t>
            </w:r>
            <w:r>
              <w:rPr>
                <w:rFonts w:ascii="宋体" w:hAnsi="宋体" w:cs="宋体"/>
                <w:color w:val="auto"/>
                <w:kern w:val="0"/>
                <w:sz w:val="18"/>
                <w:szCs w:val="18"/>
                <w:highlight w:val="none"/>
              </w:rPr>
              <w:t>应急监测车等</w:t>
            </w:r>
            <w:r>
              <w:rPr>
                <w:rFonts w:hint="eastAsia" w:ascii="宋体" w:hAnsi="宋体" w:cs="宋体"/>
                <w:color w:val="auto"/>
                <w:kern w:val="0"/>
                <w:sz w:val="18"/>
                <w:szCs w:val="18"/>
                <w:highlight w:val="none"/>
                <w:lang w:eastAsia="zh-CN"/>
              </w:rPr>
              <w:t>）：</w:t>
            </w:r>
            <w:r>
              <w:rPr>
                <w:rFonts w:ascii="宋体" w:hAnsi="宋体" w:cs="宋体"/>
                <w:color w:val="auto"/>
                <w:kern w:val="0"/>
                <w:sz w:val="18"/>
                <w:szCs w:val="18"/>
                <w:highlight w:val="none"/>
              </w:rPr>
              <w:t>每提供一辆得</w:t>
            </w:r>
            <w:r>
              <w:rPr>
                <w:rFonts w:hint="default" w:ascii="宋体" w:hAnsi="宋体" w:cs="宋体"/>
                <w:color w:val="auto"/>
                <w:kern w:val="0"/>
                <w:sz w:val="18"/>
                <w:szCs w:val="18"/>
                <w:highlight w:val="none"/>
              </w:rPr>
              <w:t>2</w:t>
            </w:r>
            <w:r>
              <w:rPr>
                <w:rFonts w:ascii="宋体" w:hAnsi="宋体" w:cs="宋体"/>
                <w:color w:val="auto"/>
                <w:kern w:val="0"/>
                <w:sz w:val="18"/>
                <w:szCs w:val="18"/>
                <w:highlight w:val="none"/>
              </w:rPr>
              <w:t>分，最高得2分。（须提供应急保障承诺函、备用车辆内外部照片和车辆行驶证等证明材料</w:t>
            </w:r>
            <w:r>
              <w:rPr>
                <w:rFonts w:ascii="宋体" w:hAnsi="宋体" w:cs="宋体"/>
                <w:color w:val="auto"/>
                <w:sz w:val="18"/>
                <w:szCs w:val="18"/>
                <w:highlight w:val="none"/>
              </w:rPr>
              <w:t>并加盖投标人公章</w:t>
            </w:r>
            <w:r>
              <w:rPr>
                <w:rFonts w:ascii="宋体" w:hAnsi="宋体" w:cs="宋体"/>
                <w:color w:val="auto"/>
                <w:kern w:val="0"/>
                <w:sz w:val="18"/>
                <w:szCs w:val="18"/>
                <w:highlight w:val="none"/>
              </w:rPr>
              <w:t>，否则不得分）</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18"/>
                <w:szCs w:val="18"/>
                <w:highlight w:val="none"/>
              </w:rPr>
            </w:pPr>
          </w:p>
        </w:tc>
        <w:tc>
          <w:tcPr>
            <w:tcW w:w="11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r>
              <w:rPr>
                <w:rFonts w:hint="eastAsia" w:ascii="宋体" w:hAnsi="宋体" w:eastAsia="宋体" w:cs="宋体"/>
                <w:i w:val="0"/>
                <w:iCs w:val="0"/>
                <w:color w:val="auto"/>
                <w:sz w:val="18"/>
                <w:szCs w:val="18"/>
                <w:highlight w:val="none"/>
              </w:rPr>
              <w:t>拟投入人员</w:t>
            </w:r>
            <w:r>
              <w:rPr>
                <w:rFonts w:hint="eastAsia" w:ascii="宋体" w:hAnsi="宋体" w:cs="宋体"/>
                <w:i w:val="0"/>
                <w:iCs w:val="0"/>
                <w:color w:val="auto"/>
                <w:sz w:val="18"/>
                <w:szCs w:val="18"/>
                <w:highlight w:val="none"/>
                <w:lang w:val="en-US" w:eastAsia="zh-CN"/>
              </w:rPr>
              <w:t>实力（0-5）</w:t>
            </w:r>
          </w:p>
        </w:tc>
        <w:tc>
          <w:tcPr>
            <w:tcW w:w="6489" w:type="dxa"/>
            <w:shd w:val="clear" w:color="auto" w:fill="FFFFFF"/>
            <w:vAlign w:val="center"/>
          </w:tcPr>
          <w:p>
            <w:pPr>
              <w:keepNext w:val="0"/>
              <w:keepLines w:val="0"/>
              <w:pageBreakBefore w:val="0"/>
              <w:tabs>
                <w:tab w:val="left" w:pos="1080"/>
              </w:tabs>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2"/>
                <w:sz w:val="18"/>
                <w:szCs w:val="18"/>
                <w:highlight w:val="none"/>
                <w:lang w:val="en-US" w:eastAsia="zh-CN" w:bidi="ar-SA"/>
              </w:rPr>
            </w:pPr>
            <w:r>
              <w:rPr>
                <w:rFonts w:hint="eastAsia" w:ascii="宋体" w:hAnsi="宋体" w:eastAsia="宋体" w:cs="宋体"/>
                <w:i w:val="0"/>
                <w:iCs w:val="0"/>
                <w:color w:val="auto"/>
                <w:sz w:val="18"/>
                <w:szCs w:val="18"/>
                <w:highlight w:val="none"/>
              </w:rPr>
              <w:t>投标人项目售后团队中项目成员具有仪器或仪表专业高级工程师</w:t>
            </w:r>
            <w:r>
              <w:rPr>
                <w:rFonts w:hint="eastAsia" w:ascii="宋体" w:hAnsi="宋体" w:cs="宋体"/>
                <w:i w:val="0"/>
                <w:iCs w:val="0"/>
                <w:color w:val="auto"/>
                <w:sz w:val="18"/>
                <w:szCs w:val="18"/>
                <w:highlight w:val="none"/>
                <w:lang w:val="en-US" w:eastAsia="zh-CN"/>
              </w:rPr>
              <w:t>及以上</w:t>
            </w:r>
            <w:r>
              <w:rPr>
                <w:rFonts w:hint="eastAsia" w:ascii="宋体" w:hAnsi="宋体" w:eastAsia="宋体" w:cs="宋体"/>
                <w:i w:val="0"/>
                <w:iCs w:val="0"/>
                <w:color w:val="auto"/>
                <w:sz w:val="18"/>
                <w:szCs w:val="18"/>
                <w:highlight w:val="none"/>
              </w:rPr>
              <w:t>证书的</w:t>
            </w:r>
            <w:r>
              <w:rPr>
                <w:rFonts w:hint="eastAsia" w:ascii="宋体" w:hAnsi="宋体" w:cs="宋体"/>
                <w:i w:val="0"/>
                <w:iCs w:val="0"/>
                <w:color w:val="auto"/>
                <w:sz w:val="18"/>
                <w:szCs w:val="18"/>
                <w:highlight w:val="none"/>
                <w:lang w:eastAsia="zh-CN"/>
              </w:rPr>
              <w:t>：</w:t>
            </w:r>
            <w:r>
              <w:rPr>
                <w:rFonts w:hint="eastAsia" w:ascii="宋体" w:hAnsi="宋体" w:cs="宋体"/>
                <w:i w:val="0"/>
                <w:iCs w:val="0"/>
                <w:color w:val="auto"/>
                <w:sz w:val="18"/>
                <w:szCs w:val="18"/>
                <w:highlight w:val="none"/>
                <w:lang w:val="en-US" w:eastAsia="zh-CN"/>
              </w:rPr>
              <w:t>每人</w:t>
            </w:r>
            <w:r>
              <w:rPr>
                <w:rFonts w:hint="eastAsia" w:ascii="宋体" w:hAnsi="宋体" w:eastAsia="宋体" w:cs="宋体"/>
                <w:i w:val="0"/>
                <w:iCs w:val="0"/>
                <w:color w:val="auto"/>
                <w:sz w:val="18"/>
                <w:szCs w:val="18"/>
                <w:highlight w:val="none"/>
              </w:rPr>
              <w:t>得</w:t>
            </w:r>
            <w:r>
              <w:rPr>
                <w:rFonts w:hint="eastAsia" w:ascii="宋体" w:hAnsi="宋体" w:cs="宋体"/>
                <w:i w:val="0"/>
                <w:iCs w:val="0"/>
                <w:color w:val="auto"/>
                <w:sz w:val="18"/>
                <w:szCs w:val="18"/>
                <w:highlight w:val="none"/>
                <w:lang w:val="en-US" w:eastAsia="zh-CN"/>
              </w:rPr>
              <w:t>1</w:t>
            </w:r>
            <w:r>
              <w:rPr>
                <w:rFonts w:hint="eastAsia" w:ascii="宋体" w:hAnsi="宋体" w:eastAsia="宋体" w:cs="宋体"/>
                <w:i w:val="0"/>
                <w:iCs w:val="0"/>
                <w:color w:val="auto"/>
                <w:sz w:val="18"/>
                <w:szCs w:val="18"/>
                <w:highlight w:val="none"/>
              </w:rPr>
              <w:t>分，最高得</w:t>
            </w:r>
            <w:r>
              <w:rPr>
                <w:rFonts w:hint="eastAsia" w:ascii="宋体" w:hAnsi="宋体" w:cs="宋体"/>
                <w:i w:val="0"/>
                <w:iCs w:val="0"/>
                <w:color w:val="auto"/>
                <w:sz w:val="18"/>
                <w:szCs w:val="18"/>
                <w:highlight w:val="none"/>
                <w:lang w:val="en-US" w:eastAsia="zh-CN"/>
              </w:rPr>
              <w:t>5</w:t>
            </w:r>
            <w:r>
              <w:rPr>
                <w:rFonts w:hint="eastAsia" w:ascii="宋体" w:hAnsi="宋体" w:eastAsia="宋体" w:cs="宋体"/>
                <w:i w:val="0"/>
                <w:iCs w:val="0"/>
                <w:color w:val="auto"/>
                <w:sz w:val="18"/>
                <w:szCs w:val="18"/>
                <w:highlight w:val="none"/>
              </w:rPr>
              <w:t>分。</w:t>
            </w:r>
            <w:r>
              <w:rPr>
                <w:rFonts w:hint="eastAsia" w:ascii="宋体" w:hAnsi="宋体" w:cs="宋体"/>
                <w:i w:val="0"/>
                <w:iCs w:val="0"/>
                <w:color w:val="auto"/>
                <w:sz w:val="18"/>
                <w:szCs w:val="18"/>
                <w:highlight w:val="none"/>
                <w:lang w:eastAsia="zh-CN"/>
              </w:rPr>
              <w:t>（</w:t>
            </w:r>
            <w:r>
              <w:rPr>
                <w:rFonts w:hint="eastAsia" w:ascii="宋体" w:hAnsi="宋体" w:eastAsia="宋体" w:cs="宋体"/>
                <w:i w:val="0"/>
                <w:iCs w:val="0"/>
                <w:color w:val="auto"/>
                <w:sz w:val="18"/>
                <w:szCs w:val="18"/>
                <w:highlight w:val="none"/>
              </w:rPr>
              <w:t>需提供</w:t>
            </w:r>
            <w:r>
              <w:rPr>
                <w:rFonts w:hint="eastAsia" w:ascii="宋体" w:hAnsi="宋体" w:cs="宋体"/>
                <w:i w:val="0"/>
                <w:iCs w:val="0"/>
                <w:color w:val="auto"/>
                <w:sz w:val="18"/>
                <w:szCs w:val="18"/>
                <w:highlight w:val="none"/>
                <w:lang w:val="en-US" w:eastAsia="zh-CN"/>
              </w:rPr>
              <w:t>以上</w:t>
            </w:r>
            <w:r>
              <w:rPr>
                <w:rFonts w:hint="eastAsia" w:ascii="宋体" w:hAnsi="宋体" w:eastAsia="宋体" w:cs="宋体"/>
                <w:i w:val="0"/>
                <w:iCs w:val="0"/>
                <w:color w:val="auto"/>
                <w:sz w:val="18"/>
                <w:szCs w:val="18"/>
                <w:highlight w:val="none"/>
              </w:rPr>
              <w:t>人员的职称证明材料</w:t>
            </w:r>
            <w:r>
              <w:rPr>
                <w:rFonts w:hint="eastAsia" w:ascii="宋体" w:hAnsi="宋体" w:cs="宋体"/>
                <w:i w:val="0"/>
                <w:iCs w:val="0"/>
                <w:color w:val="auto"/>
                <w:sz w:val="18"/>
                <w:szCs w:val="18"/>
                <w:highlight w:val="none"/>
                <w:lang w:val="en-US" w:eastAsia="zh-CN"/>
              </w:rPr>
              <w:t>及</w:t>
            </w:r>
            <w:r>
              <w:rPr>
                <w:rFonts w:hint="eastAsia" w:ascii="宋体" w:hAnsi="宋体" w:eastAsia="宋体" w:cs="宋体"/>
                <w:i w:val="0"/>
                <w:iCs w:val="0"/>
                <w:color w:val="auto"/>
                <w:sz w:val="18"/>
                <w:szCs w:val="18"/>
                <w:highlight w:val="none"/>
              </w:rPr>
              <w:t>投标人近</w:t>
            </w:r>
            <w:r>
              <w:rPr>
                <w:rFonts w:hint="eastAsia" w:ascii="宋体" w:hAnsi="宋体" w:cs="宋体"/>
                <w:i w:val="0"/>
                <w:iCs w:val="0"/>
                <w:color w:val="auto"/>
                <w:sz w:val="18"/>
                <w:szCs w:val="18"/>
                <w:highlight w:val="none"/>
                <w:lang w:val="en-US" w:eastAsia="zh-CN"/>
              </w:rPr>
              <w:t>6</w:t>
            </w:r>
            <w:r>
              <w:rPr>
                <w:rFonts w:hint="eastAsia" w:ascii="宋体" w:hAnsi="宋体" w:eastAsia="宋体" w:cs="宋体"/>
                <w:i w:val="0"/>
                <w:iCs w:val="0"/>
                <w:color w:val="auto"/>
                <w:sz w:val="18"/>
                <w:szCs w:val="18"/>
                <w:highlight w:val="none"/>
              </w:rPr>
              <w:t>个月</w:t>
            </w:r>
            <w:r>
              <w:rPr>
                <w:rFonts w:hint="eastAsia" w:ascii="宋体" w:hAnsi="宋体" w:cs="宋体"/>
                <w:i w:val="0"/>
                <w:iCs w:val="0"/>
                <w:color w:val="auto"/>
                <w:sz w:val="18"/>
                <w:szCs w:val="18"/>
                <w:highlight w:val="none"/>
                <w:lang w:val="en-US" w:eastAsia="zh-CN"/>
              </w:rPr>
              <w:t>为其缴纳的社保证明复印件</w:t>
            </w:r>
            <w:r>
              <w:rPr>
                <w:rFonts w:ascii="宋体" w:hAnsi="宋体" w:cs="宋体"/>
                <w:color w:val="auto"/>
                <w:sz w:val="18"/>
                <w:szCs w:val="18"/>
                <w:highlight w:val="none"/>
              </w:rPr>
              <w:t>并加盖投标人公章</w:t>
            </w:r>
            <w:r>
              <w:rPr>
                <w:rFonts w:hint="eastAsia" w:ascii="宋体" w:hAnsi="宋体" w:eastAsia="宋体" w:cs="宋体"/>
                <w:i w:val="0"/>
                <w:iCs w:val="0"/>
                <w:color w:val="auto"/>
                <w:sz w:val="18"/>
                <w:szCs w:val="18"/>
                <w:highlight w:val="none"/>
              </w:rPr>
              <w:t>，含人员姓名明细。</w:t>
            </w:r>
            <w:r>
              <w:rPr>
                <w:rFonts w:hint="eastAsia" w:ascii="宋体" w:hAnsi="宋体" w:cs="宋体"/>
                <w:i w:val="0"/>
                <w:iCs w:val="0"/>
                <w:color w:val="auto"/>
                <w:sz w:val="18"/>
                <w:szCs w:val="18"/>
                <w:highlight w:val="none"/>
                <w:lang w:eastAsia="zh-CN"/>
              </w:rPr>
              <w:t>）</w:t>
            </w:r>
          </w:p>
        </w:tc>
        <w:tc>
          <w:tcPr>
            <w:tcW w:w="42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c>
          <w:tcPr>
            <w:tcW w:w="630" w:type="dxa"/>
            <w:shd w:val="clear" w:color="000000"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restart"/>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8" w:type="dxa"/>
            <w:vMerge w:val="restart"/>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商务分（</w:t>
            </w:r>
            <w:r>
              <w:rPr>
                <w:rFonts w:hint="eastAsia" w:ascii="宋体" w:hAnsi="宋体" w:cs="宋体"/>
                <w:color w:val="auto"/>
                <w:kern w:val="0"/>
                <w:sz w:val="18"/>
                <w:szCs w:val="18"/>
                <w:highlight w:val="none"/>
                <w:lang w:val="en-US" w:eastAsia="zh-CN"/>
              </w:rPr>
              <w:t>23</w:t>
            </w:r>
            <w:r>
              <w:rPr>
                <w:rFonts w:hint="eastAsia" w:ascii="宋体" w:hAnsi="宋体" w:cs="宋体"/>
                <w:color w:val="auto"/>
                <w:kern w:val="0"/>
                <w:sz w:val="18"/>
                <w:szCs w:val="18"/>
                <w:highlight w:val="none"/>
              </w:rPr>
              <w:t>分）</w:t>
            </w:r>
          </w:p>
        </w:tc>
        <w:tc>
          <w:tcPr>
            <w:tcW w:w="1193"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bidi="ar-SA"/>
              </w:rPr>
            </w:pPr>
            <w:r>
              <w:rPr>
                <w:rFonts w:hint="eastAsia" w:ascii="宋体" w:hAnsi="宋体" w:cs="宋体"/>
                <w:i w:val="0"/>
                <w:iCs w:val="0"/>
                <w:color w:val="auto"/>
                <w:kern w:val="0"/>
                <w:sz w:val="18"/>
                <w:szCs w:val="18"/>
                <w:highlight w:val="none"/>
                <w:lang w:val="en-US" w:eastAsia="zh-CN"/>
              </w:rPr>
              <w:t>企业实力（0-3.5）</w:t>
            </w: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0"/>
                <w:sz w:val="18"/>
                <w:szCs w:val="18"/>
                <w:highlight w:val="none"/>
                <w:lang w:val="en-US" w:eastAsia="zh-CN" w:bidi="ar-SA"/>
              </w:rPr>
            </w:pPr>
            <w:r>
              <w:rPr>
                <w:rFonts w:ascii="宋体" w:hAnsi="宋体" w:cs="宋体"/>
                <w:color w:val="auto"/>
                <w:kern w:val="0"/>
                <w:sz w:val="18"/>
                <w:szCs w:val="18"/>
                <w:highlight w:val="none"/>
              </w:rPr>
              <w:t>（1）投标人具有国家级高新技术企业认证证书的得1分。</w:t>
            </w:r>
            <w:r>
              <w:rPr>
                <w:rFonts w:ascii="宋体" w:hAnsi="宋体" w:cs="宋体"/>
                <w:color w:val="auto"/>
                <w:sz w:val="18"/>
                <w:szCs w:val="18"/>
                <w:highlight w:val="none"/>
              </w:rPr>
              <w:t>（提供证书复印件并加盖投标人公章。）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0"/>
                <w:sz w:val="18"/>
                <w:szCs w:val="18"/>
                <w:highlight w:val="none"/>
                <w:lang w:val="en-US" w:eastAsia="zh-CN" w:bidi="ar-SA"/>
              </w:rPr>
            </w:pPr>
            <w:r>
              <w:rPr>
                <w:rFonts w:ascii="宋体" w:hAnsi="宋体" w:cs="宋体"/>
                <w:color w:val="auto"/>
                <w:kern w:val="0"/>
                <w:sz w:val="18"/>
                <w:szCs w:val="18"/>
                <w:highlight w:val="none"/>
              </w:rPr>
              <w:t>（2）投标人被国家工业和信息化部列入符合《环保装备制造行业（环境监测仪器）规范条件》企业名单，主要业务领域包括便携式监测仪器和实验室分析仪器，提供企业名单目录和工业及信息化部官网截图的得</w:t>
            </w:r>
            <w:r>
              <w:rPr>
                <w:rFonts w:hint="default" w:ascii="宋体" w:hAnsi="宋体" w:cs="宋体"/>
                <w:color w:val="auto"/>
                <w:kern w:val="0"/>
                <w:sz w:val="18"/>
                <w:szCs w:val="18"/>
                <w:highlight w:val="none"/>
              </w:rPr>
              <w:t>1</w:t>
            </w:r>
            <w:r>
              <w:rPr>
                <w:rFonts w:ascii="宋体" w:hAnsi="宋体" w:cs="宋体"/>
                <w:color w:val="auto"/>
                <w:kern w:val="0"/>
                <w:sz w:val="18"/>
                <w:szCs w:val="18"/>
                <w:highlight w:val="none"/>
              </w:rPr>
              <w:t>分。（提供要求的证明材料</w:t>
            </w:r>
            <w:r>
              <w:rPr>
                <w:rFonts w:ascii="宋体" w:hAnsi="宋体" w:cs="宋体"/>
                <w:color w:val="auto"/>
                <w:sz w:val="18"/>
                <w:szCs w:val="18"/>
                <w:highlight w:val="none"/>
              </w:rPr>
              <w:t>并加盖投标人公章</w:t>
            </w:r>
            <w:r>
              <w:rPr>
                <w:rFonts w:ascii="宋体" w:hAnsi="宋体" w:cs="宋体"/>
                <w:color w:val="auto"/>
                <w:kern w:val="0"/>
                <w:sz w:val="18"/>
                <w:szCs w:val="18"/>
                <w:highlight w:val="none"/>
              </w:rPr>
              <w:t>）</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0"/>
                <w:sz w:val="18"/>
                <w:szCs w:val="18"/>
                <w:highlight w:val="none"/>
                <w:lang w:val="en-US" w:eastAsia="zh-CN" w:bidi="ar-SA"/>
              </w:rPr>
            </w:pPr>
            <w:r>
              <w:rPr>
                <w:rFonts w:ascii="宋体" w:hAnsi="宋体" w:cs="宋体"/>
                <w:color w:val="auto"/>
                <w:kern w:val="0"/>
                <w:sz w:val="18"/>
                <w:szCs w:val="18"/>
                <w:highlight w:val="none"/>
              </w:rPr>
              <w:t>（3）投标人或其所属子公司有用于质量控制的CMA实验室的得</w:t>
            </w:r>
            <w:r>
              <w:rPr>
                <w:rFonts w:hint="default" w:ascii="宋体" w:hAnsi="宋体" w:cs="宋体"/>
                <w:color w:val="auto"/>
                <w:kern w:val="0"/>
                <w:sz w:val="18"/>
                <w:szCs w:val="18"/>
                <w:highlight w:val="none"/>
              </w:rPr>
              <w:t>1</w:t>
            </w:r>
            <w:r>
              <w:rPr>
                <w:rFonts w:ascii="宋体" w:hAnsi="宋体" w:cs="宋体"/>
                <w:color w:val="auto"/>
                <w:kern w:val="0"/>
                <w:sz w:val="18"/>
                <w:szCs w:val="18"/>
                <w:highlight w:val="none"/>
              </w:rPr>
              <w:t>分。（须提供实验室资质证书</w:t>
            </w:r>
            <w:r>
              <w:rPr>
                <w:rFonts w:hint="eastAsia" w:ascii="宋体" w:hAnsi="宋体" w:cs="宋体"/>
                <w:color w:val="auto"/>
                <w:kern w:val="0"/>
                <w:sz w:val="18"/>
                <w:szCs w:val="18"/>
                <w:highlight w:val="none"/>
                <w:lang w:eastAsia="zh-CN"/>
              </w:rPr>
              <w:t>复印件</w:t>
            </w:r>
            <w:r>
              <w:rPr>
                <w:rFonts w:ascii="宋体" w:hAnsi="宋体" w:cs="宋体"/>
                <w:color w:val="auto"/>
                <w:sz w:val="18"/>
                <w:szCs w:val="18"/>
                <w:highlight w:val="none"/>
              </w:rPr>
              <w:t>并加盖投标人公章</w:t>
            </w:r>
            <w:r>
              <w:rPr>
                <w:rFonts w:hint="eastAsia" w:ascii="宋体" w:hAnsi="宋体" w:cs="宋体"/>
                <w:color w:val="auto"/>
                <w:kern w:val="0"/>
                <w:sz w:val="18"/>
                <w:szCs w:val="18"/>
                <w:highlight w:val="none"/>
                <w:lang w:eastAsia="zh-CN"/>
              </w:rPr>
              <w:t>，</w:t>
            </w:r>
            <w:r>
              <w:rPr>
                <w:rFonts w:ascii="宋体" w:hAnsi="宋体" w:cs="宋体"/>
                <w:color w:val="auto"/>
                <w:kern w:val="0"/>
                <w:sz w:val="18"/>
                <w:szCs w:val="18"/>
                <w:highlight w:val="none"/>
              </w:rPr>
              <w:t>未提供不得分。</w:t>
            </w:r>
            <w:r>
              <w:rPr>
                <w:rFonts w:hint="eastAsia" w:ascii="宋体" w:hAnsi="宋体" w:cs="宋体"/>
                <w:color w:val="auto"/>
                <w:kern w:val="0"/>
                <w:sz w:val="18"/>
                <w:szCs w:val="18"/>
                <w:highlight w:val="none"/>
                <w:lang w:eastAsia="zh-CN"/>
              </w:rPr>
              <w:t>）</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0"/>
                <w:sz w:val="18"/>
                <w:szCs w:val="18"/>
                <w:highlight w:val="none"/>
                <w:lang w:val="en-US" w:eastAsia="zh-CN" w:bidi="ar-SA"/>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）投标人具有省级或以上企业高新技术研究开发中心得</w:t>
            </w:r>
            <w:r>
              <w:rPr>
                <w:rFonts w:hint="default" w:ascii="宋体" w:hAnsi="宋体" w:cs="宋体"/>
                <w:color w:val="auto"/>
                <w:kern w:val="0"/>
                <w:sz w:val="18"/>
                <w:szCs w:val="18"/>
                <w:highlight w:val="none"/>
              </w:rPr>
              <w:t>0.5</w:t>
            </w:r>
            <w:r>
              <w:rPr>
                <w:rFonts w:ascii="宋体" w:hAnsi="宋体" w:cs="宋体"/>
                <w:color w:val="auto"/>
                <w:kern w:val="0"/>
                <w:sz w:val="18"/>
                <w:szCs w:val="18"/>
                <w:highlight w:val="none"/>
              </w:rPr>
              <w:t>分。</w:t>
            </w:r>
            <w:r>
              <w:rPr>
                <w:rFonts w:ascii="宋体" w:hAnsi="宋体" w:cs="宋体"/>
                <w:color w:val="auto"/>
                <w:sz w:val="18"/>
                <w:szCs w:val="18"/>
                <w:highlight w:val="none"/>
              </w:rPr>
              <w:t>（提供证书复印件并加盖投标人公章。）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bidi="ar-SA"/>
              </w:rPr>
            </w:pPr>
            <w:r>
              <w:rPr>
                <w:rFonts w:hint="eastAsia" w:ascii="宋体" w:hAnsi="宋体" w:cs="宋体"/>
                <w:i w:val="0"/>
                <w:iCs w:val="0"/>
                <w:color w:val="auto"/>
                <w:kern w:val="0"/>
                <w:sz w:val="18"/>
                <w:szCs w:val="18"/>
                <w:highlight w:val="none"/>
                <w:lang w:val="en-US" w:eastAsia="zh-CN"/>
              </w:rPr>
              <w:t>企业荣誉（0-4）</w:t>
            </w: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0"/>
                <w:sz w:val="18"/>
                <w:szCs w:val="18"/>
                <w:highlight w:val="none"/>
                <w:lang w:val="en-US" w:eastAsia="zh-CN" w:bidi="ar-SA"/>
              </w:rPr>
            </w:pPr>
            <w:r>
              <w:rPr>
                <w:rFonts w:ascii="宋体" w:hAnsi="宋体" w:cs="宋体"/>
                <w:b/>
                <w:color w:val="auto"/>
                <w:kern w:val="0"/>
                <w:sz w:val="18"/>
                <w:szCs w:val="18"/>
                <w:highlight w:val="none"/>
              </w:rPr>
              <w:t>投标人近3年</w:t>
            </w:r>
            <w:r>
              <w:rPr>
                <w:rFonts w:hint="eastAsia" w:ascii="宋体" w:hAnsi="宋体" w:cs="宋体"/>
                <w:b/>
                <w:color w:val="auto"/>
                <w:kern w:val="0"/>
                <w:sz w:val="18"/>
                <w:szCs w:val="18"/>
                <w:highlight w:val="none"/>
                <w:lang w:eastAsia="zh-CN"/>
              </w:rPr>
              <w:t>内</w:t>
            </w:r>
            <w:r>
              <w:rPr>
                <w:rFonts w:ascii="宋体" w:hAnsi="宋体" w:cs="宋体"/>
                <w:b/>
                <w:color w:val="auto"/>
                <w:kern w:val="0"/>
                <w:sz w:val="18"/>
                <w:szCs w:val="18"/>
                <w:highlight w:val="none"/>
              </w:rPr>
              <w:t>获得省级或以上政府类（非协会或学会类）科学技术进步奖的</w:t>
            </w:r>
            <w:r>
              <w:rPr>
                <w:rFonts w:ascii="宋体" w:hAnsi="宋体" w:cs="宋体"/>
                <w:color w:val="auto"/>
                <w:kern w:val="0"/>
                <w:sz w:val="18"/>
                <w:szCs w:val="18"/>
                <w:highlight w:val="none"/>
              </w:rPr>
              <w:t>，每提供一个得</w:t>
            </w:r>
            <w:r>
              <w:rPr>
                <w:rFonts w:hint="default" w:ascii="宋体" w:hAnsi="宋体" w:cs="宋体"/>
                <w:color w:val="auto"/>
                <w:kern w:val="0"/>
                <w:sz w:val="18"/>
                <w:szCs w:val="18"/>
                <w:highlight w:val="none"/>
              </w:rPr>
              <w:t>2</w:t>
            </w:r>
            <w:r>
              <w:rPr>
                <w:rFonts w:ascii="宋体" w:hAnsi="宋体" w:cs="宋体"/>
                <w:color w:val="auto"/>
                <w:kern w:val="0"/>
                <w:sz w:val="18"/>
                <w:szCs w:val="18"/>
                <w:highlight w:val="none"/>
              </w:rPr>
              <w:t>分，最高可得</w:t>
            </w:r>
            <w:r>
              <w:rPr>
                <w:rFonts w:hint="default" w:ascii="宋体" w:hAnsi="宋体" w:cs="宋体"/>
                <w:color w:val="auto"/>
                <w:kern w:val="0"/>
                <w:sz w:val="18"/>
                <w:szCs w:val="18"/>
                <w:highlight w:val="none"/>
              </w:rPr>
              <w:t>4</w:t>
            </w:r>
            <w:r>
              <w:rPr>
                <w:rFonts w:ascii="宋体" w:hAnsi="宋体" w:cs="宋体"/>
                <w:color w:val="auto"/>
                <w:kern w:val="0"/>
                <w:sz w:val="18"/>
                <w:szCs w:val="18"/>
                <w:highlight w:val="none"/>
              </w:rPr>
              <w:t>分。（提供相关证明材料复印件并加盖投标人公章）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rPr>
              <w:t>企业业绩</w:t>
            </w:r>
            <w:r>
              <w:rPr>
                <w:rFonts w:hint="eastAsia" w:ascii="宋体" w:hAnsi="宋体" w:cs="宋体"/>
                <w:i w:val="0"/>
                <w:iCs w:val="0"/>
                <w:color w:val="auto"/>
                <w:kern w:val="0"/>
                <w:sz w:val="18"/>
                <w:szCs w:val="18"/>
                <w:highlight w:val="none"/>
                <w:lang w:eastAsia="zh-CN"/>
              </w:rPr>
              <w:t>（</w:t>
            </w:r>
            <w:r>
              <w:rPr>
                <w:rFonts w:hint="eastAsia" w:ascii="宋体" w:hAnsi="宋体" w:cs="宋体"/>
                <w:i w:val="0"/>
                <w:iCs w:val="0"/>
                <w:color w:val="auto"/>
                <w:kern w:val="0"/>
                <w:sz w:val="18"/>
                <w:szCs w:val="18"/>
                <w:highlight w:val="none"/>
                <w:lang w:val="en-US" w:eastAsia="zh-CN"/>
              </w:rPr>
              <w:t>0-2</w:t>
            </w:r>
            <w:r>
              <w:rPr>
                <w:rFonts w:hint="eastAsia" w:ascii="宋体" w:hAnsi="宋体" w:cs="宋体"/>
                <w:i w:val="0"/>
                <w:iCs w:val="0"/>
                <w:color w:val="auto"/>
                <w:kern w:val="0"/>
                <w:sz w:val="18"/>
                <w:szCs w:val="18"/>
                <w:highlight w:val="none"/>
                <w:lang w:eastAsia="zh-CN"/>
              </w:rPr>
              <w:t>）</w:t>
            </w:r>
          </w:p>
        </w:tc>
        <w:tc>
          <w:tcPr>
            <w:tcW w:w="6489" w:type="dxa"/>
            <w:shd w:val="clear" w:color="auto" w:fill="FFFFFF"/>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i w:val="0"/>
                <w:iCs w:val="0"/>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lang w:eastAsia="zh-CN"/>
              </w:rPr>
              <w:t>投标人</w:t>
            </w:r>
            <w:r>
              <w:rPr>
                <w:rFonts w:hint="eastAsia" w:ascii="宋体" w:hAnsi="宋体" w:eastAsia="宋体" w:cs="宋体"/>
                <w:i w:val="0"/>
                <w:iCs w:val="0"/>
                <w:color w:val="auto"/>
                <w:kern w:val="0"/>
                <w:sz w:val="18"/>
                <w:szCs w:val="18"/>
                <w:highlight w:val="none"/>
              </w:rPr>
              <w:t>自201</w:t>
            </w:r>
            <w:r>
              <w:rPr>
                <w:rFonts w:hint="eastAsia" w:ascii="宋体" w:hAnsi="宋体" w:cs="宋体"/>
                <w:i w:val="0"/>
                <w:iCs w:val="0"/>
                <w:color w:val="auto"/>
                <w:kern w:val="0"/>
                <w:sz w:val="18"/>
                <w:szCs w:val="18"/>
                <w:highlight w:val="none"/>
                <w:lang w:val="en-US" w:eastAsia="zh-CN"/>
              </w:rPr>
              <w:t>9</w:t>
            </w:r>
            <w:r>
              <w:rPr>
                <w:rFonts w:hint="eastAsia" w:ascii="宋体" w:hAnsi="宋体" w:eastAsia="宋体" w:cs="宋体"/>
                <w:i w:val="0"/>
                <w:iCs w:val="0"/>
                <w:color w:val="auto"/>
                <w:kern w:val="0"/>
                <w:sz w:val="18"/>
                <w:szCs w:val="18"/>
                <w:highlight w:val="none"/>
              </w:rPr>
              <w:t>年1月1日以来</w:t>
            </w:r>
            <w:r>
              <w:rPr>
                <w:rFonts w:hint="eastAsia" w:ascii="宋体" w:hAnsi="宋体" w:cs="宋体"/>
                <w:i w:val="0"/>
                <w:iCs w:val="0"/>
                <w:color w:val="auto"/>
                <w:kern w:val="0"/>
                <w:sz w:val="18"/>
                <w:szCs w:val="18"/>
                <w:highlight w:val="none"/>
                <w:lang w:eastAsia="zh-CN"/>
              </w:rPr>
              <w:t>具有</w:t>
            </w:r>
            <w:r>
              <w:rPr>
                <w:rFonts w:hint="eastAsia" w:ascii="宋体" w:hAnsi="宋体" w:eastAsia="宋体" w:cs="宋体"/>
                <w:i w:val="0"/>
                <w:iCs w:val="0"/>
                <w:color w:val="auto"/>
                <w:kern w:val="0"/>
                <w:sz w:val="18"/>
                <w:szCs w:val="18"/>
                <w:highlight w:val="none"/>
              </w:rPr>
              <w:t>所投</w:t>
            </w:r>
            <w:r>
              <w:rPr>
                <w:rFonts w:hint="eastAsia" w:ascii="宋体" w:hAnsi="宋体" w:cs="宋体"/>
                <w:i w:val="0"/>
                <w:iCs w:val="0"/>
                <w:color w:val="auto"/>
                <w:kern w:val="0"/>
                <w:sz w:val="18"/>
                <w:szCs w:val="18"/>
                <w:highlight w:val="none"/>
                <w:lang w:val="en-US" w:eastAsia="zh-CN"/>
              </w:rPr>
              <w:t>核心</w:t>
            </w:r>
            <w:r>
              <w:rPr>
                <w:rFonts w:hint="eastAsia" w:ascii="宋体" w:hAnsi="宋体" w:eastAsia="宋体" w:cs="宋体"/>
                <w:i w:val="0"/>
                <w:iCs w:val="0"/>
                <w:color w:val="auto"/>
                <w:kern w:val="0"/>
                <w:sz w:val="18"/>
                <w:szCs w:val="18"/>
                <w:highlight w:val="none"/>
              </w:rPr>
              <w:t>产品</w:t>
            </w:r>
            <w:r>
              <w:rPr>
                <w:rFonts w:ascii="Times New Roman" w:hAnsi="Times New Roman"/>
                <w:bCs/>
                <w:color w:val="auto"/>
                <w:sz w:val="18"/>
                <w:szCs w:val="18"/>
                <w:highlight w:val="none"/>
                <w:lang w:eastAsia="zh-Hans" w:bidi="zh-CN"/>
              </w:rPr>
              <w:t>同</w:t>
            </w:r>
            <w:r>
              <w:rPr>
                <w:rFonts w:ascii="Times New Roman" w:hAnsi="Times New Roman"/>
                <w:bCs/>
                <w:color w:val="auto"/>
                <w:sz w:val="18"/>
                <w:szCs w:val="18"/>
                <w:highlight w:val="none"/>
                <w:lang w:bidi="zh-CN"/>
              </w:rPr>
              <w:t>型号</w:t>
            </w:r>
            <w:r>
              <w:rPr>
                <w:rFonts w:ascii="Times New Roman" w:hAnsi="Times New Roman"/>
                <w:bCs/>
                <w:color w:val="auto"/>
                <w:sz w:val="18"/>
                <w:szCs w:val="18"/>
                <w:highlight w:val="none"/>
              </w:rPr>
              <w:t>产品</w:t>
            </w:r>
            <w:r>
              <w:rPr>
                <w:rFonts w:hint="eastAsia" w:ascii="宋体" w:hAnsi="宋体" w:eastAsia="宋体" w:cs="宋体"/>
                <w:i w:val="0"/>
                <w:iCs w:val="0"/>
                <w:color w:val="auto"/>
                <w:kern w:val="0"/>
                <w:sz w:val="18"/>
                <w:szCs w:val="18"/>
                <w:highlight w:val="none"/>
              </w:rPr>
              <w:t>业绩，每个得</w:t>
            </w:r>
            <w:r>
              <w:rPr>
                <w:rFonts w:hint="eastAsia" w:ascii="宋体" w:hAnsi="宋体" w:cs="宋体"/>
                <w:i w:val="0"/>
                <w:iCs w:val="0"/>
                <w:color w:val="auto"/>
                <w:kern w:val="0"/>
                <w:sz w:val="18"/>
                <w:szCs w:val="18"/>
                <w:highlight w:val="none"/>
                <w:lang w:val="en-US" w:eastAsia="zh-CN"/>
              </w:rPr>
              <w:t>0.5</w:t>
            </w:r>
            <w:r>
              <w:rPr>
                <w:rFonts w:hint="eastAsia" w:ascii="宋体" w:hAnsi="宋体" w:eastAsia="宋体" w:cs="宋体"/>
                <w:i w:val="0"/>
                <w:iCs w:val="0"/>
                <w:color w:val="auto"/>
                <w:kern w:val="0"/>
                <w:sz w:val="18"/>
                <w:szCs w:val="18"/>
                <w:highlight w:val="none"/>
              </w:rPr>
              <w:t>分，最高</w:t>
            </w:r>
            <w:r>
              <w:rPr>
                <w:rFonts w:hint="eastAsia" w:ascii="宋体" w:hAnsi="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分；（业绩必须提供相应的证明文件（合同和中标通知书复印件</w:t>
            </w:r>
            <w:r>
              <w:rPr>
                <w:rFonts w:ascii="宋体" w:hAnsi="宋体" w:cs="宋体"/>
                <w:color w:val="auto"/>
                <w:sz w:val="18"/>
                <w:szCs w:val="18"/>
                <w:highlight w:val="none"/>
              </w:rPr>
              <w:t>并加盖投标人公章</w:t>
            </w:r>
            <w:r>
              <w:rPr>
                <w:rFonts w:hint="eastAsia" w:ascii="宋体" w:hAnsi="宋体" w:eastAsia="宋体" w:cs="宋体"/>
                <w:i w:val="0"/>
                <w:iCs w:val="0"/>
                <w:color w:val="auto"/>
                <w:kern w:val="0"/>
                <w:sz w:val="18"/>
                <w:szCs w:val="18"/>
                <w:highlight w:val="none"/>
              </w:rPr>
              <w:t>），时间以合同签订时间为准</w:t>
            </w:r>
            <w:r>
              <w:rPr>
                <w:rFonts w:hint="eastAsia" w:ascii="宋体" w:hAnsi="宋体" w:cs="宋体"/>
                <w:i w:val="0"/>
                <w:iCs w:val="0"/>
                <w:color w:val="auto"/>
                <w:kern w:val="0"/>
                <w:sz w:val="18"/>
                <w:szCs w:val="18"/>
                <w:highlight w:val="none"/>
                <w:lang w:eastAsia="zh-CN"/>
              </w:rPr>
              <w:t>，</w:t>
            </w:r>
            <w:r>
              <w:rPr>
                <w:rFonts w:ascii="Times New Roman" w:hAnsi="Times New Roman"/>
                <w:bCs/>
                <w:color w:val="auto"/>
                <w:sz w:val="18"/>
                <w:szCs w:val="18"/>
                <w:highlight w:val="none"/>
                <w:lang w:bidi="zh-CN"/>
              </w:rPr>
              <w:t>未提供</w:t>
            </w:r>
            <w:r>
              <w:rPr>
                <w:rFonts w:ascii="Times New Roman" w:hAnsi="Times New Roman"/>
                <w:bCs/>
                <w:color w:val="auto"/>
                <w:sz w:val="18"/>
                <w:szCs w:val="18"/>
                <w:highlight w:val="none"/>
              </w:rPr>
              <w:t>或提供不齐全不得分</w:t>
            </w:r>
            <w:r>
              <w:rPr>
                <w:rFonts w:hint="eastAsia" w:ascii="宋体" w:hAnsi="宋体" w:eastAsia="宋体" w:cs="宋体"/>
                <w:i w:val="0"/>
                <w:iCs w:val="0"/>
                <w:color w:val="auto"/>
                <w:kern w:val="0"/>
                <w:sz w:val="18"/>
                <w:szCs w:val="18"/>
                <w:highlight w:val="none"/>
              </w:rPr>
              <w:t>。）</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Cs/>
                <w:color w:val="auto"/>
                <w:kern w:val="2"/>
                <w:sz w:val="18"/>
                <w:szCs w:val="18"/>
                <w:highlight w:val="none"/>
                <w:lang w:val="en-US" w:eastAsia="zh-CN" w:bidi="ar-SA"/>
              </w:rPr>
            </w:pPr>
            <w:r>
              <w:rPr>
                <w:rFonts w:hint="eastAsia" w:ascii="宋体" w:hAnsi="宋体"/>
                <w:bCs/>
                <w:color w:val="auto"/>
                <w:sz w:val="18"/>
                <w:szCs w:val="18"/>
                <w:highlight w:val="none"/>
              </w:rPr>
              <w:t>售后服务</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0-10</w:t>
            </w:r>
            <w:r>
              <w:rPr>
                <w:rFonts w:hint="eastAsia" w:ascii="宋体" w:hAnsi="宋体"/>
                <w:bCs/>
                <w:color w:val="auto"/>
                <w:sz w:val="18"/>
                <w:szCs w:val="18"/>
                <w:highlight w:val="none"/>
                <w:lang w:eastAsia="zh-CN"/>
              </w:rPr>
              <w:t>）</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Cs/>
                <w:color w:val="auto"/>
                <w:kern w:val="2"/>
                <w:sz w:val="18"/>
                <w:szCs w:val="18"/>
                <w:highlight w:val="none"/>
                <w:lang w:val="en-US" w:eastAsia="zh-CN" w:bidi="ar-SA"/>
              </w:rPr>
            </w:pPr>
            <w:r>
              <w:rPr>
                <w:rFonts w:ascii="宋体" w:hAnsi="宋体"/>
                <w:bCs/>
                <w:color w:val="auto"/>
                <w:sz w:val="18"/>
                <w:szCs w:val="18"/>
                <w:highlight w:val="none"/>
              </w:rPr>
              <w:t>（1）根据售后服务承诺的范围和完善程度（包括质保响应程度、保修部件范围，保修服务标准等）的优劣得0-3分。</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Cs/>
                <w:color w:val="auto"/>
                <w:kern w:val="2"/>
                <w:sz w:val="18"/>
                <w:szCs w:val="18"/>
                <w:highlight w:val="none"/>
                <w:lang w:val="en-US" w:eastAsia="zh-CN" w:bidi="ar-SA"/>
              </w:rPr>
            </w:pPr>
            <w:r>
              <w:rPr>
                <w:rFonts w:ascii="宋体" w:hAnsi="宋体"/>
                <w:bCs/>
                <w:color w:val="auto"/>
                <w:sz w:val="18"/>
                <w:szCs w:val="18"/>
                <w:highlight w:val="none"/>
              </w:rPr>
              <w:t>（2）根据供应商服务机构、备品备件及维护技术力量的优劣得0-3分。</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Cs/>
                <w:color w:val="auto"/>
                <w:kern w:val="2"/>
                <w:sz w:val="18"/>
                <w:szCs w:val="18"/>
                <w:highlight w:val="none"/>
                <w:lang w:val="en-US" w:eastAsia="zh-CN" w:bidi="ar-SA"/>
              </w:rPr>
            </w:pPr>
            <w:r>
              <w:rPr>
                <w:rFonts w:ascii="宋体" w:hAnsi="宋体"/>
                <w:bCs/>
                <w:color w:val="auto"/>
                <w:sz w:val="18"/>
                <w:szCs w:val="18"/>
                <w:highlight w:val="none"/>
              </w:rPr>
              <w:t>（3）供应商承诺的应急预案（包括故障响应修复时间方式及保障措施等）的优劣得0-3分。</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Cs/>
                <w:color w:val="auto"/>
                <w:kern w:val="2"/>
                <w:sz w:val="18"/>
                <w:szCs w:val="18"/>
                <w:highlight w:val="none"/>
                <w:lang w:val="en-US" w:eastAsia="zh-CN" w:bidi="ar-SA"/>
              </w:rPr>
            </w:pPr>
            <w:r>
              <w:rPr>
                <w:rFonts w:ascii="宋体" w:hAnsi="宋体"/>
                <w:bCs/>
                <w:color w:val="auto"/>
                <w:sz w:val="18"/>
                <w:szCs w:val="18"/>
                <w:highlight w:val="none"/>
              </w:rPr>
              <w:t>（4）投标人具有GB/T27922五星级售后服务评价认证证书（服务认证应适用于色谱分析仪器、环境监测仪器、无组织排放监控系统等内容）的得1分。（提供证书复印件并加盖投标人公章。）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Cs/>
                <w:color w:val="auto"/>
                <w:kern w:val="2"/>
                <w:sz w:val="18"/>
                <w:szCs w:val="18"/>
                <w:highlight w:val="none"/>
                <w:lang w:val="en-US" w:eastAsia="zh-CN" w:bidi="ar-SA"/>
              </w:rPr>
            </w:pPr>
            <w:r>
              <w:rPr>
                <w:rFonts w:hint="eastAsia" w:ascii="宋体" w:hAnsi="宋体"/>
                <w:bCs/>
                <w:color w:val="auto"/>
                <w:sz w:val="18"/>
                <w:szCs w:val="18"/>
                <w:highlight w:val="none"/>
              </w:rPr>
              <w:t>技术培训</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0-2</w:t>
            </w:r>
            <w:r>
              <w:rPr>
                <w:rFonts w:hint="eastAsia" w:ascii="宋体" w:hAnsi="宋体"/>
                <w:bCs/>
                <w:color w:val="auto"/>
                <w:sz w:val="18"/>
                <w:szCs w:val="18"/>
                <w:highlight w:val="none"/>
                <w:lang w:eastAsia="zh-CN"/>
              </w:rPr>
              <w:t>）</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Cs/>
                <w:color w:val="auto"/>
                <w:kern w:val="2"/>
                <w:sz w:val="18"/>
                <w:szCs w:val="18"/>
                <w:highlight w:val="none"/>
                <w:lang w:val="en-US" w:eastAsia="zh-CN" w:bidi="ar-SA"/>
              </w:rPr>
            </w:pPr>
            <w:r>
              <w:rPr>
                <w:rFonts w:hint="eastAsia" w:ascii="宋体" w:hAnsi="宋体"/>
                <w:bCs/>
                <w:color w:val="auto"/>
                <w:sz w:val="18"/>
                <w:szCs w:val="18"/>
                <w:highlight w:val="none"/>
              </w:rPr>
              <w:t>根据培训方案（包括人员、时间、培训内容和目标）的优劣得0-</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分。</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rPr>
            </w:pPr>
          </w:p>
        </w:tc>
        <w:tc>
          <w:tcPr>
            <w:tcW w:w="1193"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kern w:val="2"/>
                <w:sz w:val="18"/>
                <w:szCs w:val="18"/>
                <w:highlight w:val="none"/>
                <w:lang w:val="en-US" w:eastAsia="zh-CN" w:bidi="ar-SA"/>
              </w:rPr>
            </w:pPr>
            <w:r>
              <w:rPr>
                <w:rFonts w:hint="eastAsia" w:ascii="宋体" w:hAnsi="宋体" w:cs="宋体"/>
                <w:color w:val="auto"/>
                <w:sz w:val="18"/>
                <w:szCs w:val="18"/>
                <w:highlight w:val="none"/>
              </w:rPr>
              <w:t>政策分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0-1.5</w:t>
            </w:r>
            <w:r>
              <w:rPr>
                <w:rFonts w:hint="eastAsia" w:ascii="宋体" w:hAnsi="宋体" w:cs="宋体"/>
                <w:color w:val="auto"/>
                <w:sz w:val="18"/>
                <w:szCs w:val="18"/>
                <w:highlight w:val="none"/>
                <w:lang w:eastAsia="zh-CN"/>
              </w:rPr>
              <w:t>）</w:t>
            </w: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18"/>
                <w:szCs w:val="18"/>
                <w:highlight w:val="none"/>
              </w:rPr>
            </w:pPr>
            <w:r>
              <w:rPr>
                <w:rFonts w:ascii="宋体" w:hAnsi="宋体" w:cs="宋体"/>
                <w:color w:val="auto"/>
                <w:sz w:val="18"/>
                <w:szCs w:val="18"/>
                <w:highlight w:val="none"/>
              </w:rPr>
              <w:t>（1）投标产品中有属于国家公布的节能产品品目清单范围的，得0</w:t>
            </w:r>
            <w:r>
              <w:rPr>
                <w:rFonts w:hint="default" w:ascii="宋体" w:hAnsi="宋体" w:cs="宋体"/>
                <w:color w:val="auto"/>
                <w:sz w:val="18"/>
                <w:szCs w:val="18"/>
                <w:highlight w:val="none"/>
              </w:rPr>
              <w:t>.5</w:t>
            </w:r>
            <w:r>
              <w:rPr>
                <w:rFonts w:ascii="宋体" w:hAnsi="宋体" w:cs="宋体"/>
                <w:color w:val="auto"/>
                <w:sz w:val="18"/>
                <w:szCs w:val="18"/>
                <w:highlight w:val="none"/>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i w:val="0"/>
                <w:iCs w:val="0"/>
                <w:color w:val="auto"/>
                <w:kern w:val="2"/>
                <w:sz w:val="18"/>
                <w:szCs w:val="18"/>
                <w:highlight w:val="none"/>
                <w:lang w:val="en-US" w:eastAsia="zh-CN" w:bidi="ar-SA"/>
              </w:rPr>
            </w:pPr>
            <w:r>
              <w:rPr>
                <w:rFonts w:ascii="宋体" w:hAnsi="宋体" w:cs="宋体"/>
                <w:color w:val="auto"/>
                <w:sz w:val="18"/>
                <w:szCs w:val="18"/>
                <w:highlight w:val="none"/>
              </w:rPr>
              <w:t>注：需提供品目清单证明及国家确定的认定机构出具的、在有效期内的节能产品认证证书等证明材料。证明</w:t>
            </w:r>
            <w:r>
              <w:rPr>
                <w:rFonts w:hint="eastAsia" w:ascii="宋体" w:hAnsi="宋体" w:cs="宋体"/>
                <w:color w:val="auto"/>
                <w:sz w:val="18"/>
                <w:szCs w:val="18"/>
                <w:highlight w:val="none"/>
              </w:rPr>
              <w:t>材料</w:t>
            </w:r>
            <w:r>
              <w:rPr>
                <w:rFonts w:ascii="宋体" w:hAnsi="宋体" w:cs="宋体"/>
                <w:color w:val="auto"/>
                <w:sz w:val="18"/>
                <w:szCs w:val="18"/>
                <w:highlight w:val="none"/>
              </w:rPr>
              <w:t>复印件加盖公章。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lang w:eastAsia="zh-CN"/>
              </w:rPr>
            </w:pPr>
          </w:p>
        </w:tc>
        <w:tc>
          <w:tcPr>
            <w:tcW w:w="648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18"/>
                <w:szCs w:val="18"/>
                <w:highlight w:val="none"/>
              </w:rPr>
            </w:pPr>
            <w:r>
              <w:rPr>
                <w:rFonts w:ascii="宋体" w:hAnsi="宋体" w:cs="宋体"/>
                <w:color w:val="auto"/>
                <w:sz w:val="18"/>
                <w:szCs w:val="18"/>
                <w:highlight w:val="none"/>
              </w:rPr>
              <w:t>（2）投标产品中有属于国家公布的环保产品品目清单范围的，得0</w:t>
            </w:r>
            <w:r>
              <w:rPr>
                <w:rFonts w:hint="default" w:ascii="宋体" w:hAnsi="宋体" w:cs="宋体"/>
                <w:color w:val="auto"/>
                <w:sz w:val="18"/>
                <w:szCs w:val="18"/>
                <w:highlight w:val="none"/>
              </w:rPr>
              <w:t>.5</w:t>
            </w:r>
            <w:r>
              <w:rPr>
                <w:rFonts w:ascii="宋体" w:hAnsi="宋体" w:cs="宋体"/>
                <w:color w:val="auto"/>
                <w:sz w:val="18"/>
                <w:szCs w:val="18"/>
                <w:highlight w:val="none"/>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i w:val="0"/>
                <w:iCs w:val="0"/>
                <w:color w:val="auto"/>
                <w:kern w:val="0"/>
                <w:sz w:val="18"/>
                <w:szCs w:val="18"/>
                <w:highlight w:val="none"/>
                <w:lang w:val="en-US" w:eastAsia="zh-CN" w:bidi="ar-SA"/>
              </w:rPr>
            </w:pPr>
            <w:r>
              <w:rPr>
                <w:rFonts w:ascii="宋体" w:hAnsi="宋体" w:cs="宋体"/>
                <w:color w:val="auto"/>
                <w:sz w:val="18"/>
                <w:szCs w:val="18"/>
                <w:highlight w:val="none"/>
              </w:rPr>
              <w:t>注</w:t>
            </w:r>
            <w:r>
              <w:rPr>
                <w:rFonts w:hint="eastAsia" w:ascii="宋体" w:hAnsi="宋体" w:cs="宋体"/>
                <w:color w:val="auto"/>
                <w:sz w:val="18"/>
                <w:szCs w:val="18"/>
                <w:highlight w:val="none"/>
              </w:rPr>
              <w:t>：</w:t>
            </w:r>
            <w:r>
              <w:rPr>
                <w:rFonts w:ascii="宋体" w:hAnsi="宋体" w:cs="宋体"/>
                <w:color w:val="auto"/>
                <w:sz w:val="18"/>
                <w:szCs w:val="18"/>
                <w:highlight w:val="none"/>
              </w:rPr>
              <w:t>需提供品目清单证明及国家确定的认定机构出具的、在有效期内的环境标志产品认证证书等证明材料。证明</w:t>
            </w:r>
            <w:r>
              <w:rPr>
                <w:rFonts w:hint="eastAsia" w:ascii="宋体" w:hAnsi="宋体" w:cs="宋体"/>
                <w:color w:val="auto"/>
                <w:sz w:val="18"/>
                <w:szCs w:val="18"/>
                <w:highlight w:val="none"/>
              </w:rPr>
              <w:t>材料</w:t>
            </w:r>
            <w:r>
              <w:rPr>
                <w:rFonts w:ascii="宋体" w:hAnsi="宋体" w:cs="宋体"/>
                <w:color w:val="auto"/>
                <w:sz w:val="18"/>
                <w:szCs w:val="18"/>
                <w:highlight w:val="none"/>
              </w:rPr>
              <w:t>复印件加盖公章。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48" w:type="dxa"/>
            <w:vMerge w:val="continue"/>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1193"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kern w:val="2"/>
                <w:sz w:val="18"/>
                <w:szCs w:val="18"/>
                <w:highlight w:val="none"/>
                <w:lang w:val="en-US" w:eastAsia="zh-CN" w:bidi="ar-SA"/>
              </w:rPr>
            </w:pPr>
          </w:p>
        </w:tc>
        <w:tc>
          <w:tcPr>
            <w:tcW w:w="64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18"/>
                <w:szCs w:val="18"/>
                <w:highlight w:val="none"/>
              </w:rPr>
            </w:pPr>
            <w:r>
              <w:rPr>
                <w:rFonts w:hint="eastAsia" w:ascii="宋体" w:hAnsi="宋体" w:cs="宋体"/>
                <w:color w:val="auto"/>
                <w:sz w:val="18"/>
                <w:szCs w:val="18"/>
                <w:highlight w:val="none"/>
              </w:rPr>
              <w:t>（3）</w:t>
            </w:r>
            <w:r>
              <w:rPr>
                <w:rFonts w:hint="eastAsia" w:ascii="宋体" w:hAnsi="宋体" w:cs="宋体"/>
                <w:color w:val="auto"/>
                <w:sz w:val="18"/>
                <w:szCs w:val="18"/>
                <w:highlight w:val="none"/>
                <w:lang w:val="en-US" w:eastAsia="zh-CN"/>
              </w:rPr>
              <w:t>投标人</w:t>
            </w:r>
            <w:r>
              <w:rPr>
                <w:rFonts w:hint="eastAsia" w:ascii="宋体" w:hAnsi="宋体" w:cs="宋体"/>
                <w:color w:val="auto"/>
                <w:kern w:val="0"/>
                <w:sz w:val="18"/>
                <w:szCs w:val="18"/>
                <w:highlight w:val="none"/>
              </w:rPr>
              <w:t>按规定享受其他的国家政策支持、扶持的得</w:t>
            </w:r>
            <w:r>
              <w:rPr>
                <w:rFonts w:ascii="宋体" w:hAnsi="宋体" w:cs="宋体"/>
                <w:color w:val="auto"/>
                <w:sz w:val="18"/>
                <w:szCs w:val="18"/>
                <w:highlight w:val="none"/>
              </w:rPr>
              <w:t>0</w:t>
            </w:r>
            <w:r>
              <w:rPr>
                <w:rFonts w:hint="default" w:ascii="宋体" w:hAnsi="宋体" w:cs="宋体"/>
                <w:color w:val="auto"/>
                <w:sz w:val="18"/>
                <w:szCs w:val="18"/>
                <w:highlight w:val="none"/>
              </w:rPr>
              <w:t>.5</w:t>
            </w:r>
            <w:r>
              <w:rPr>
                <w:rFonts w:hint="eastAsia" w:ascii="宋体" w:hAnsi="宋体" w:cs="宋体"/>
                <w:color w:val="auto"/>
                <w:kern w:val="0"/>
                <w:sz w:val="18"/>
                <w:szCs w:val="18"/>
                <w:highlight w:val="none"/>
              </w:rPr>
              <w:t>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Cs/>
                <w:i w:val="0"/>
                <w:iCs w:val="0"/>
                <w:color w:val="auto"/>
                <w:kern w:val="0"/>
                <w:sz w:val="18"/>
                <w:szCs w:val="18"/>
                <w:highlight w:val="none"/>
                <w:lang w:val="en-US" w:eastAsia="zh-CN" w:bidi="ar-SA"/>
              </w:rPr>
            </w:pPr>
            <w:r>
              <w:rPr>
                <w:rFonts w:hint="eastAsia" w:ascii="宋体" w:hAnsi="宋体" w:cs="宋体"/>
                <w:color w:val="auto"/>
                <w:kern w:val="0"/>
                <w:sz w:val="18"/>
                <w:szCs w:val="18"/>
                <w:highlight w:val="none"/>
              </w:rPr>
              <w:t>注：</w:t>
            </w:r>
            <w:r>
              <w:rPr>
                <w:rFonts w:hint="eastAsia" w:ascii="宋体" w:hAnsi="宋体" w:cs="宋体"/>
                <w:color w:val="auto"/>
                <w:sz w:val="18"/>
                <w:szCs w:val="18"/>
                <w:highlight w:val="none"/>
                <w:lang w:val="en-US" w:eastAsia="zh-CN"/>
              </w:rPr>
              <w:t>投标人</w:t>
            </w:r>
            <w:r>
              <w:rPr>
                <w:rFonts w:hint="eastAsia" w:ascii="宋体" w:hAnsi="宋体" w:cs="宋体"/>
                <w:color w:val="auto"/>
                <w:kern w:val="0"/>
                <w:sz w:val="18"/>
                <w:szCs w:val="18"/>
                <w:highlight w:val="none"/>
              </w:rPr>
              <w:t>提供相关证明材料（例：响应国家关于下岗工人再就业的政策等证明材料），证明材料复印件加盖公章。</w:t>
            </w:r>
          </w:p>
        </w:tc>
        <w:tc>
          <w:tcPr>
            <w:tcW w:w="42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c>
          <w:tcPr>
            <w:tcW w:w="630" w:type="dxa"/>
            <w:shd w:val="clear" w:color="000000" w:fill="FFFFFF"/>
            <w:vAlign w:val="center"/>
          </w:tcPr>
          <w:p>
            <w:pPr>
              <w:pStyle w:val="32"/>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18"/>
                <w:szCs w:val="18"/>
                <w:highlight w:val="none"/>
              </w:rPr>
            </w:pPr>
          </w:p>
        </w:tc>
      </w:tr>
    </w:tbl>
    <w:p>
      <w:pPr>
        <w:autoSpaceDE w:val="0"/>
        <w:autoSpaceDN w:val="0"/>
        <w:adjustRightInd w:val="0"/>
        <w:snapToGrid w:val="0"/>
        <w:spacing w:line="300" w:lineRule="exact"/>
        <w:jc w:val="left"/>
        <w:rPr>
          <w:rFonts w:hint="eastAsia" w:ascii="宋体" w:hAnsi="宋体"/>
          <w:b/>
          <w:bCs/>
          <w:color w:val="auto"/>
          <w:szCs w:val="21"/>
          <w:highlight w:val="none"/>
          <w:lang w:val="en-US" w:eastAsia="zh-CN"/>
        </w:rPr>
      </w:pPr>
    </w:p>
    <w:p>
      <w:pPr>
        <w:autoSpaceDE w:val="0"/>
        <w:autoSpaceDN w:val="0"/>
        <w:adjustRightInd w:val="0"/>
        <w:snapToGrid w:val="0"/>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2.投标人情况介绍；（格式自拟）</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企业实力</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企业荣誉</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w:t>
      </w:r>
    </w:p>
    <w:p>
      <w:pPr>
        <w:autoSpaceDE w:val="0"/>
        <w:autoSpaceDN w:val="0"/>
        <w:adjustRightInd w:val="0"/>
        <w:snapToGrid w:val="0"/>
        <w:spacing w:line="300" w:lineRule="exact"/>
        <w:jc w:val="left"/>
        <w:rPr>
          <w:rFonts w:ascii="宋体" w:hAnsi="宋体" w:cs="宋体"/>
          <w:b/>
          <w:bCs/>
          <w:color w:val="auto"/>
          <w:szCs w:val="21"/>
          <w:highlight w:val="none"/>
        </w:rPr>
      </w:pPr>
    </w:p>
    <w:p>
      <w:pPr>
        <w:spacing w:line="300" w:lineRule="exact"/>
        <w:rPr>
          <w:rFonts w:hint="default" w:ascii="宋体" w:hAnsi="宋体" w:cs="宋体"/>
          <w:b/>
          <w:color w:val="auto"/>
          <w:szCs w:val="21"/>
          <w:highlight w:val="none"/>
        </w:rPr>
      </w:pPr>
      <w:r>
        <w:rPr>
          <w:rFonts w:hint="eastAsia" w:ascii="宋体" w:hAnsi="宋体" w:cs="宋体"/>
          <w:b/>
          <w:color w:val="auto"/>
          <w:szCs w:val="21"/>
          <w:highlight w:val="none"/>
          <w:lang w:val="en-US" w:eastAsia="zh-CN"/>
        </w:rPr>
        <w:t>5</w:t>
      </w:r>
      <w:r>
        <w:rPr>
          <w:rFonts w:ascii="宋体" w:hAnsi="宋体" w:cs="宋体"/>
          <w:b/>
          <w:color w:val="auto"/>
          <w:szCs w:val="21"/>
          <w:highlight w:val="none"/>
        </w:rPr>
        <w:t>.</w:t>
      </w:r>
      <w:r>
        <w:rPr>
          <w:rFonts w:ascii="宋体" w:hAnsi="宋体" w:cs="宋体"/>
          <w:b/>
          <w:color w:val="auto"/>
          <w:szCs w:val="21"/>
          <w:highlight w:val="none"/>
          <w:lang w:val="zh-CN"/>
        </w:rPr>
        <w:t>企业业绩</w:t>
      </w:r>
      <w:r>
        <w:rPr>
          <w:rFonts w:hint="eastAsia" w:ascii="宋体" w:hAnsi="宋体" w:cs="宋体"/>
          <w:b/>
          <w:color w:val="auto"/>
          <w:szCs w:val="21"/>
          <w:highlight w:val="none"/>
          <w:lang w:val="zh-CN"/>
        </w:rPr>
        <w:t>格式：</w:t>
      </w:r>
      <w:r>
        <w:rPr>
          <w:rFonts w:ascii="宋体" w:hAnsi="宋体" w:cs="宋体"/>
          <w:b/>
          <w:color w:val="auto"/>
          <w:szCs w:val="21"/>
          <w:highlight w:val="none"/>
          <w:lang w:val="zh-CN"/>
        </w:rPr>
        <w:t>（投标人同类项目实施情况一览表</w:t>
      </w:r>
      <w:r>
        <w:rPr>
          <w:rFonts w:hint="eastAsia" w:ascii="宋体" w:hAnsi="宋体" w:cs="宋体"/>
          <w:b/>
          <w:color w:val="auto"/>
          <w:szCs w:val="21"/>
          <w:highlight w:val="none"/>
          <w:lang w:val="zh-CN"/>
        </w:rPr>
        <w:t>，如有，</w:t>
      </w:r>
      <w:r>
        <w:rPr>
          <w:rFonts w:ascii="宋体" w:hAnsi="宋体" w:cs="宋体"/>
          <w:b/>
          <w:color w:val="auto"/>
          <w:szCs w:val="21"/>
          <w:highlight w:val="none"/>
          <w:lang w:val="zh-CN"/>
        </w:rPr>
        <w:t>相关证明材料复印件加盖公章）</w:t>
      </w:r>
    </w:p>
    <w:p>
      <w:pPr>
        <w:spacing w:line="300" w:lineRule="exact"/>
        <w:jc w:val="center"/>
        <w:rPr>
          <w:rFonts w:hint="default" w:ascii="宋体" w:hAnsi="宋体" w:cs="宋体"/>
          <w:b/>
          <w:color w:val="auto"/>
          <w:szCs w:val="21"/>
          <w:highlight w:val="none"/>
        </w:rPr>
      </w:pPr>
      <w:r>
        <w:rPr>
          <w:rFonts w:ascii="宋体" w:hAnsi="宋体" w:cs="宋体"/>
          <w:b/>
          <w:color w:val="auto"/>
          <w:szCs w:val="21"/>
          <w:highlight w:val="none"/>
        </w:rPr>
        <w:t>投标人</w:t>
      </w:r>
      <w:r>
        <w:rPr>
          <w:rFonts w:ascii="宋体" w:hAnsi="宋体" w:cs="宋体"/>
          <w:b/>
          <w:bCs/>
          <w:color w:val="auto"/>
          <w:szCs w:val="21"/>
          <w:highlight w:val="none"/>
        </w:rPr>
        <w:t>201</w:t>
      </w:r>
      <w:r>
        <w:rPr>
          <w:rFonts w:hint="eastAsia" w:ascii="宋体" w:hAnsi="宋体" w:cs="宋体"/>
          <w:b/>
          <w:bCs/>
          <w:color w:val="auto"/>
          <w:szCs w:val="21"/>
          <w:highlight w:val="none"/>
          <w:lang w:val="en-US" w:eastAsia="zh-CN"/>
        </w:rPr>
        <w:t>9</w:t>
      </w:r>
      <w:r>
        <w:rPr>
          <w:rFonts w:ascii="宋体" w:hAnsi="宋体" w:cs="宋体"/>
          <w:b/>
          <w:bCs/>
          <w:color w:val="auto"/>
          <w:szCs w:val="21"/>
          <w:highlight w:val="none"/>
        </w:rPr>
        <w:t>年1月1日至今</w:t>
      </w:r>
      <w:r>
        <w:rPr>
          <w:rFonts w:ascii="宋体" w:hAnsi="宋体" w:cs="宋体"/>
          <w:b/>
          <w:color w:val="auto"/>
          <w:szCs w:val="21"/>
          <w:highlight w:val="none"/>
        </w:rPr>
        <w:t>同类项目实施情况一览表</w:t>
      </w:r>
    </w:p>
    <w:tbl>
      <w:tblPr>
        <w:tblStyle w:val="25"/>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bl>
    <w:p>
      <w:pPr>
        <w:rPr>
          <w:rFonts w:hint="default" w:ascii="宋体" w:hAnsi="宋体" w:cs="宋体"/>
          <w:b/>
          <w:color w:val="auto"/>
          <w:szCs w:val="21"/>
          <w:highlight w:val="none"/>
        </w:rPr>
      </w:pPr>
      <w:r>
        <w:rPr>
          <w:rFonts w:ascii="宋体" w:hAnsi="宋体" w:cs="宋体"/>
          <w:b/>
          <w:color w:val="auto"/>
          <w:szCs w:val="21"/>
          <w:highlight w:val="none"/>
        </w:rPr>
        <w:t>注：1.此表不提供或者未提供相关证明材料复印件可视为无证明材料，未提供不得分。</w:t>
      </w:r>
    </w:p>
    <w:p>
      <w:pPr>
        <w:rPr>
          <w:rFonts w:hint="default"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pPr>
        <w:autoSpaceDE w:val="0"/>
        <w:autoSpaceDN w:val="0"/>
        <w:rPr>
          <w:rFonts w:hint="default"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法定代表人（负责人）签名：</w:t>
      </w:r>
      <w:r>
        <w:rPr>
          <w:rFonts w:ascii="宋体" w:hAnsi="宋体" w:cs="宋体"/>
          <w:color w:val="auto"/>
          <w:szCs w:val="21"/>
          <w:highlight w:val="none"/>
          <w:u w:val="single"/>
          <w:lang w:val="zh-CN"/>
        </w:rPr>
        <w:t>　　　　　</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w:t>
      </w:r>
      <w:r>
        <w:rPr>
          <w:rFonts w:ascii="宋体" w:hAnsi="宋体" w:cs="宋体"/>
          <w:color w:val="auto"/>
          <w:szCs w:val="21"/>
          <w:highlight w:val="none"/>
        </w:rPr>
        <w:t xml:space="preserve"> </w:t>
      </w:r>
      <w:r>
        <w:rPr>
          <w:rFonts w:ascii="宋体" w:hAnsi="宋体" w:cs="宋体"/>
          <w:color w:val="auto"/>
          <w:szCs w:val="21"/>
          <w:highlight w:val="none"/>
          <w:lang w:val="zh-CN"/>
        </w:rPr>
        <w:t>标</w:t>
      </w:r>
      <w:r>
        <w:rPr>
          <w:rFonts w:ascii="宋体" w:hAnsi="宋体" w:cs="宋体"/>
          <w:color w:val="auto"/>
          <w:szCs w:val="21"/>
          <w:highlight w:val="none"/>
        </w:rPr>
        <w:t xml:space="preserve"> </w:t>
      </w:r>
      <w:r>
        <w:rPr>
          <w:rFonts w:ascii="宋体" w:hAnsi="宋体" w:cs="宋体"/>
          <w:color w:val="auto"/>
          <w:szCs w:val="21"/>
          <w:highlight w:val="none"/>
          <w:lang w:val="zh-CN"/>
        </w:rPr>
        <w:t>人 公 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年    月  日    </w:t>
      </w:r>
    </w:p>
    <w:p>
      <w:pPr>
        <w:pStyle w:val="2"/>
        <w:adjustRightInd w:val="0"/>
        <w:snapToGrid w:val="0"/>
        <w:spacing w:after="0" w:line="300" w:lineRule="exact"/>
        <w:ind w:left="0" w:leftChars="0" w:firstLine="0" w:firstLineChars="0"/>
        <w:rPr>
          <w:rFonts w:ascii="宋体" w:hAnsi="宋体" w:cs="宋体"/>
          <w:b/>
          <w:bCs/>
          <w:color w:val="auto"/>
          <w:szCs w:val="21"/>
          <w:highlight w:val="none"/>
          <w:lang w:val="zh-CN"/>
        </w:rPr>
      </w:pPr>
    </w:p>
    <w:p>
      <w:pPr>
        <w:pStyle w:val="2"/>
        <w:adjustRightInd w:val="0"/>
        <w:snapToGrid w:val="0"/>
        <w:spacing w:after="0" w:line="300" w:lineRule="exact"/>
        <w:ind w:left="0" w:leftChars="0" w:firstLine="0" w:firstLineChars="0"/>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lang w:val="zh-CN"/>
        </w:rPr>
        <w:t>售后服务；（根据评标方法提供</w:t>
      </w:r>
      <w:r>
        <w:rPr>
          <w:rFonts w:ascii="宋体" w:hAnsi="宋体" w:cs="宋体"/>
          <w:b/>
          <w:bCs/>
          <w:color w:val="auto"/>
          <w:szCs w:val="21"/>
          <w:highlight w:val="none"/>
        </w:rPr>
        <w:t>,</w:t>
      </w:r>
      <w:r>
        <w:rPr>
          <w:rFonts w:ascii="宋体" w:hAnsi="宋体" w:cs="宋体"/>
          <w:b/>
          <w:bCs/>
          <w:color w:val="auto"/>
          <w:szCs w:val="21"/>
          <w:highlight w:val="none"/>
          <w:lang w:val="zh-CN"/>
        </w:rPr>
        <w:t>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w:t>
      </w:r>
    </w:p>
    <w:p>
      <w:pPr>
        <w:pStyle w:val="2"/>
        <w:adjustRightInd w:val="0"/>
        <w:snapToGrid w:val="0"/>
        <w:spacing w:after="0" w:line="300" w:lineRule="exact"/>
        <w:ind w:left="0" w:leftChars="0" w:firstLine="0" w:firstLineChars="0"/>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7.</w:t>
      </w:r>
      <w:r>
        <w:rPr>
          <w:rFonts w:hint="eastAsia" w:ascii="宋体" w:hAnsi="宋体"/>
          <w:b/>
          <w:bCs/>
          <w:color w:val="auto"/>
          <w:szCs w:val="21"/>
          <w:highlight w:val="none"/>
        </w:rPr>
        <w:t>技术培训</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w:t>
      </w:r>
    </w:p>
    <w:p>
      <w:pPr>
        <w:pStyle w:val="2"/>
        <w:rPr>
          <w:rFonts w:hint="default"/>
          <w:color w:val="auto"/>
          <w:highlight w:val="none"/>
        </w:rPr>
      </w:pPr>
    </w:p>
    <w:p>
      <w:pPr>
        <w:autoSpaceDE w:val="0"/>
        <w:autoSpaceDN w:val="0"/>
        <w:adjustRightInd w:val="0"/>
        <w:snapToGrid w:val="0"/>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8</w:t>
      </w:r>
      <w:r>
        <w:rPr>
          <w:rFonts w:ascii="宋体" w:hAnsi="宋体" w:cs="宋体"/>
          <w:b/>
          <w:color w:val="auto"/>
          <w:szCs w:val="21"/>
          <w:highlight w:val="none"/>
        </w:rPr>
        <w:t>.</w:t>
      </w:r>
      <w:r>
        <w:rPr>
          <w:rFonts w:ascii="宋体" w:hAnsi="宋体" w:cs="宋体"/>
          <w:b/>
          <w:color w:val="auto"/>
          <w:szCs w:val="21"/>
          <w:highlight w:val="none"/>
          <w:lang w:val="zh-CN"/>
        </w:rPr>
        <w:t>商务响应表格式：</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商务响应表</w:t>
      </w:r>
    </w:p>
    <w:tbl>
      <w:tblPr>
        <w:tblStyle w:val="25"/>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10"/>
              <w:adjustRightInd w:val="0"/>
              <w:snapToGrid w:val="0"/>
              <w:spacing w:line="240" w:lineRule="auto"/>
              <w:ind w:firstLine="0" w:firstLineChars="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质保期</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10"/>
              <w:adjustRightInd w:val="0"/>
              <w:snapToGrid w:val="0"/>
              <w:spacing w:line="240" w:lineRule="auto"/>
              <w:ind w:firstLine="0" w:firstLineChars="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售后服务要求</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
              </w:rPr>
              <w:t>交货时间及地点</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cs="宋体" w:eastAsiaTheme="minorEastAsia"/>
                <w:color w:val="auto"/>
                <w:kern w:val="2"/>
                <w:sz w:val="21"/>
                <w:szCs w:val="21"/>
                <w:highlight w:val="none"/>
                <w:lang w:val="zh-CN" w:eastAsia="zh-CN" w:bidi="ar-SA"/>
              </w:rPr>
            </w:pPr>
            <w:r>
              <w:rPr>
                <w:rFonts w:ascii="宋体" w:hAnsi="宋体" w:cs="宋体"/>
                <w:color w:val="auto"/>
                <w:szCs w:val="21"/>
                <w:highlight w:val="none"/>
              </w:rPr>
              <w:t>付款方式</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bl>
    <w:p>
      <w:pPr>
        <w:autoSpaceDE w:val="0"/>
        <w:autoSpaceDN w:val="0"/>
        <w:adjustRightInd w:val="0"/>
        <w:snapToGrid w:val="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pPr>
        <w:pStyle w:val="2"/>
        <w:ind w:firstLine="210"/>
        <w:rPr>
          <w:rFonts w:hint="default" w:ascii="宋体" w:hAnsi="宋体" w:cs="宋体"/>
          <w:color w:val="auto"/>
          <w:highlight w:val="none"/>
          <w:lang w:val="zh-CN"/>
        </w:rPr>
      </w:pPr>
    </w:p>
    <w:p>
      <w:pPr>
        <w:spacing w:line="320" w:lineRule="exac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9</w:t>
      </w:r>
      <w:r>
        <w:rPr>
          <w:rFonts w:ascii="宋体" w:hAnsi="宋体" w:cs="宋体"/>
          <w:b/>
          <w:bCs/>
          <w:color w:val="auto"/>
          <w:szCs w:val="21"/>
          <w:highlight w:val="none"/>
        </w:rPr>
        <w:t>.</w:t>
      </w:r>
      <w:r>
        <w:rPr>
          <w:rFonts w:ascii="宋体" w:hAnsi="宋体" w:cs="宋体"/>
          <w:b/>
          <w:bCs/>
          <w:color w:val="auto"/>
          <w:szCs w:val="21"/>
          <w:highlight w:val="none"/>
          <w:lang w:val="zh-CN"/>
        </w:rPr>
        <w:t>政策分相关证明材料；（除小微企业扶持外的政策扶持，根据评标方法提供，如有，复印件加盖公章，</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autoSpaceDE w:val="0"/>
        <w:autoSpaceDN w:val="0"/>
        <w:adjustRightInd w:val="0"/>
        <w:snapToGrid w:val="0"/>
        <w:spacing w:line="300" w:lineRule="exact"/>
        <w:ind w:firstLine="422" w:firstLineChars="200"/>
        <w:jc w:val="left"/>
        <w:rPr>
          <w:rFonts w:ascii="宋体" w:hAnsi="宋体" w:cs="宋体"/>
          <w:b/>
          <w:bCs/>
          <w:color w:val="auto"/>
          <w:szCs w:val="21"/>
          <w:highlight w:val="none"/>
          <w:lang w:val="zh-CN"/>
        </w:rPr>
      </w:pP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10.</w:t>
      </w:r>
      <w:r>
        <w:rPr>
          <w:rFonts w:hint="eastAsia" w:ascii="宋体" w:hAnsi="宋体"/>
          <w:b/>
          <w:bCs/>
          <w:color w:val="auto"/>
          <w:szCs w:val="21"/>
          <w:highlight w:val="none"/>
        </w:rPr>
        <w:t>项目理解</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 xml:space="preserve">）               </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11.</w:t>
      </w:r>
      <w:r>
        <w:rPr>
          <w:rFonts w:hint="eastAsia" w:ascii="宋体" w:hAnsi="宋体"/>
          <w:b/>
          <w:bCs/>
          <w:color w:val="auto"/>
          <w:szCs w:val="21"/>
          <w:highlight w:val="none"/>
        </w:rPr>
        <w:t>项目实施方案</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 xml:space="preserve">）               </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12.</w:t>
      </w:r>
      <w:r>
        <w:rPr>
          <w:rFonts w:hint="eastAsia" w:ascii="宋体" w:hAnsi="宋体"/>
          <w:b/>
          <w:bCs/>
          <w:color w:val="auto"/>
          <w:szCs w:val="21"/>
          <w:highlight w:val="none"/>
        </w:rPr>
        <w:t>质量控制措施</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 xml:space="preserve">）               </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b/>
          <w:bCs/>
          <w:color w:val="auto"/>
          <w:szCs w:val="21"/>
          <w:highlight w:val="none"/>
          <w:lang w:val="en-US" w:eastAsia="zh-CN"/>
        </w:rPr>
        <w:t>13.</w:t>
      </w:r>
      <w:r>
        <w:rPr>
          <w:rFonts w:hint="eastAsia" w:ascii="宋体" w:hAnsi="宋体"/>
          <w:b/>
          <w:bCs/>
          <w:color w:val="auto"/>
          <w:szCs w:val="21"/>
          <w:highlight w:val="none"/>
        </w:rPr>
        <w:t>应急保障能力</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en-US" w:eastAsia="zh-CN"/>
        </w:rPr>
        <w:t>14.</w:t>
      </w:r>
      <w:r>
        <w:rPr>
          <w:rFonts w:hint="eastAsia" w:ascii="宋体" w:hAnsi="宋体"/>
          <w:b/>
          <w:bCs/>
          <w:color w:val="auto"/>
          <w:szCs w:val="21"/>
          <w:highlight w:val="none"/>
        </w:rPr>
        <w:t>拟投入人员实力</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格式自拟</w:t>
      </w:r>
      <w:r>
        <w:rPr>
          <w:rFonts w:ascii="宋体" w:hAnsi="宋体" w:cs="宋体"/>
          <w:b/>
          <w:bCs/>
          <w:color w:val="auto"/>
          <w:szCs w:val="21"/>
          <w:highlight w:val="none"/>
          <w:lang w:val="zh-CN"/>
        </w:rPr>
        <w:t>）</w:t>
      </w:r>
    </w:p>
    <w:p>
      <w:pPr>
        <w:rPr>
          <w:rFonts w:ascii="宋体" w:hAnsi="宋体" w:cs="宋体"/>
          <w:b/>
          <w:color w:val="auto"/>
          <w:szCs w:val="21"/>
          <w:highlight w:val="none"/>
        </w:rPr>
      </w:pPr>
    </w:p>
    <w:p>
      <w:pPr>
        <w:pStyle w:val="2"/>
        <w:rPr>
          <w:rFonts w:ascii="宋体" w:hAnsi="宋体" w:cs="宋体"/>
          <w:b/>
          <w:color w:val="auto"/>
          <w:szCs w:val="21"/>
          <w:highlight w:val="none"/>
        </w:rPr>
      </w:pPr>
    </w:p>
    <w:p>
      <w:pPr>
        <w:rPr>
          <w:rFonts w:ascii="宋体" w:hAnsi="宋体" w:cs="宋体"/>
          <w:b/>
          <w:color w:val="auto"/>
          <w:szCs w:val="21"/>
          <w:highlight w:val="none"/>
        </w:rPr>
      </w:pPr>
    </w:p>
    <w:p>
      <w:pPr>
        <w:pStyle w:val="2"/>
        <w:rPr>
          <w:color w:val="auto"/>
          <w:highlight w:val="none"/>
        </w:rPr>
      </w:pPr>
    </w:p>
    <w:p>
      <w:pPr>
        <w:rPr>
          <w:rFonts w:hint="default" w:ascii="宋体" w:hAnsi="宋体" w:cs="宋体"/>
          <w:b/>
          <w:color w:val="auto"/>
          <w:szCs w:val="21"/>
          <w:highlight w:val="none"/>
          <w:lang w:val="zh-CN"/>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ascii="宋体" w:hAnsi="宋体" w:cs="宋体"/>
          <w:b/>
          <w:color w:val="auto"/>
          <w:szCs w:val="21"/>
          <w:highlight w:val="none"/>
        </w:rPr>
        <w:t>.</w:t>
      </w: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5"/>
        <w:tblpPr w:leftFromText="180" w:rightFromText="180" w:vertAnchor="text" w:horzAnchor="page" w:tblpX="1377" w:tblpY="168"/>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p>
            <w:pPr>
              <w:adjustRightInd w:val="0"/>
              <w:snapToGrid w:val="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tc>
      </w:tr>
    </w:tbl>
    <w:p>
      <w:pPr>
        <w:pStyle w:val="2"/>
        <w:ind w:firstLine="0" w:firstLineChars="0"/>
        <w:rPr>
          <w:rFonts w:hint="default" w:ascii="宋体" w:hAnsi="宋体" w:cs="宋体"/>
          <w:color w:val="auto"/>
          <w:sz w:val="10"/>
          <w:szCs w:val="10"/>
          <w:highlight w:val="none"/>
          <w:lang w:val="zh-CN"/>
        </w:rPr>
      </w:pPr>
    </w:p>
    <w:p>
      <w:pPr>
        <w:autoSpaceDE w:val="0"/>
        <w:autoSpaceDN w:val="0"/>
        <w:rPr>
          <w:rFonts w:hint="default" w:ascii="宋体" w:hAnsi="宋体" w:cs="宋体"/>
          <w:color w:val="auto"/>
          <w:szCs w:val="21"/>
          <w:highlight w:val="none"/>
        </w:rPr>
      </w:pPr>
      <w:r>
        <w:rPr>
          <w:rFonts w:ascii="宋体" w:hAnsi="宋体" w:cs="宋体"/>
          <w:b/>
          <w:color w:val="auto"/>
          <w:szCs w:val="21"/>
          <w:highlight w:val="none"/>
          <w:lang w:val="zh-CN"/>
        </w:rPr>
        <w:t>注：</w:t>
      </w:r>
      <w:r>
        <w:rPr>
          <w:rFonts w:hint="eastAsia" w:ascii="宋体" w:hAnsi="宋体" w:cs="宋体"/>
          <w:b/>
          <w:color w:val="auto"/>
          <w:szCs w:val="21"/>
          <w:highlight w:val="none"/>
          <w:lang w:val="en-US" w:eastAsia="zh-CN"/>
        </w:rPr>
        <w:t>1.</w:t>
      </w:r>
      <w:r>
        <w:rPr>
          <w:rFonts w:ascii="宋体" w:hAnsi="宋体" w:cs="宋体"/>
          <w:b/>
          <w:color w:val="auto"/>
          <w:szCs w:val="21"/>
          <w:highlight w:val="none"/>
          <w:lang w:val="zh-CN"/>
        </w:rPr>
        <w:t>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pPr>
        <w:pStyle w:val="2"/>
        <w:spacing w:after="0" w:line="300" w:lineRule="exact"/>
        <w:ind w:firstLine="211"/>
        <w:rPr>
          <w:rFonts w:hint="eastAsia" w:ascii="宋体" w:hAnsi="宋体"/>
          <w:b/>
          <w:bCs/>
          <w:color w:val="auto"/>
          <w:szCs w:val="21"/>
          <w:highlight w:val="none"/>
        </w:rPr>
      </w:pPr>
      <w:r>
        <w:rPr>
          <w:rFonts w:ascii="宋体" w:hAnsi="宋体" w:cs="宋体"/>
          <w:color w:val="auto"/>
          <w:szCs w:val="21"/>
          <w:highlight w:val="none"/>
        </w:rPr>
        <w:t xml:space="preserve"> </w:t>
      </w:r>
      <w:r>
        <w:rPr>
          <w:rFonts w:hint="eastAsia" w:ascii="宋体" w:hAnsi="宋体"/>
          <w:b/>
          <w:bCs/>
          <w:color w:val="auto"/>
          <w:szCs w:val="21"/>
          <w:highlight w:val="none"/>
        </w:rPr>
        <w:t xml:space="preserve"> 2.技术参数中提及需提供证明或证书等的需在本表后提供相关证明资料，未提供或未按要求提供的则视为负偏离。</w:t>
      </w:r>
    </w:p>
    <w:p>
      <w:pPr>
        <w:autoSpaceDE w:val="0"/>
        <w:autoSpaceDN w:val="0"/>
        <w:rPr>
          <w:rFonts w:ascii="宋体" w:hAnsi="宋体" w:cs="宋体"/>
          <w:color w:val="auto"/>
          <w:szCs w:val="21"/>
          <w:highlight w:val="none"/>
        </w:rPr>
      </w:pPr>
    </w:p>
    <w:p>
      <w:pPr>
        <w:autoSpaceDE w:val="0"/>
        <w:autoSpaceDN w:val="0"/>
        <w:ind w:firstLine="420" w:firstLineChars="20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pPr>
        <w:spacing w:line="320" w:lineRule="exact"/>
        <w:rPr>
          <w:rFonts w:hint="eastAsia" w:ascii="宋体" w:hAnsi="宋体" w:cs="宋体"/>
          <w:b/>
          <w:bCs/>
          <w:color w:val="auto"/>
          <w:szCs w:val="21"/>
          <w:highlight w:val="none"/>
          <w:lang w:val="en-US" w:eastAsia="zh-CN"/>
        </w:rPr>
      </w:pPr>
    </w:p>
    <w:p>
      <w:pPr>
        <w:spacing w:line="32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rPr>
        <w:t>设备配置清单（均不含报价）；（根据采购清单提供，需注明品牌、型号</w:t>
      </w:r>
      <w:r>
        <w:rPr>
          <w:rFonts w:hint="eastAsia" w:ascii="宋体" w:hAnsi="宋体" w:cs="宋体"/>
          <w:b/>
          <w:bCs/>
          <w:color w:val="auto"/>
          <w:szCs w:val="21"/>
          <w:highlight w:val="none"/>
          <w:lang w:eastAsia="zh-CN"/>
        </w:rPr>
        <w:t>、制造商</w:t>
      </w:r>
      <w:r>
        <w:rPr>
          <w:rFonts w:hint="eastAsia" w:ascii="宋体" w:hAnsi="宋体" w:cs="宋体"/>
          <w:b/>
          <w:bCs/>
          <w:color w:val="auto"/>
          <w:szCs w:val="21"/>
          <w:highlight w:val="none"/>
        </w:rPr>
        <w:t>等，</w:t>
      </w:r>
      <w:r>
        <w:rPr>
          <w:rFonts w:hint="eastAsia" w:ascii="宋体" w:hAnsi="宋体"/>
          <w:b/>
          <w:bCs/>
          <w:color w:val="auto"/>
          <w:szCs w:val="21"/>
          <w:highlight w:val="none"/>
        </w:rPr>
        <w:t>格式自拟</w:t>
      </w:r>
      <w:r>
        <w:rPr>
          <w:rFonts w:hint="eastAsia" w:ascii="宋体" w:hAnsi="宋体" w:cs="宋体"/>
          <w:b/>
          <w:bCs/>
          <w:color w:val="auto"/>
          <w:szCs w:val="21"/>
          <w:highlight w:val="none"/>
        </w:rPr>
        <w:t>）</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w:t>
      </w:r>
      <w:r>
        <w:rPr>
          <w:rFonts w:ascii="宋体" w:hAnsi="宋体" w:cs="宋体"/>
          <w:b/>
          <w:bCs/>
          <w:color w:val="auto"/>
          <w:szCs w:val="21"/>
          <w:highlight w:val="none"/>
          <w:lang w:val="zh-CN"/>
        </w:rPr>
        <w:t xml:space="preserve">项目实施人员（主要从业人员及其技术资格）一览表；  （格式自拟）           </w:t>
      </w:r>
    </w:p>
    <w:p>
      <w:pPr>
        <w:widowControl/>
        <w:adjustRightInd w:val="0"/>
        <w:snapToGrid w:val="0"/>
        <w:spacing w:line="300" w:lineRule="exact"/>
        <w:jc w:val="left"/>
        <w:rPr>
          <w:rFonts w:hint="default" w:ascii="宋体" w:hAnsi="宋体" w:cs="宋体"/>
          <w:color w:val="auto"/>
          <w:szCs w:val="21"/>
          <w:highlight w:val="none"/>
          <w:lang w:val="zh-CN"/>
        </w:rPr>
      </w:pPr>
      <w:r>
        <w:rPr>
          <w:rFonts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8</w:t>
      </w:r>
      <w:r>
        <w:rPr>
          <w:rFonts w:ascii="宋体" w:hAnsi="宋体" w:cs="宋体"/>
          <w:b/>
          <w:bCs/>
          <w:color w:val="auto"/>
          <w:kern w:val="0"/>
          <w:szCs w:val="21"/>
          <w:highlight w:val="none"/>
        </w:rPr>
        <w:t>.</w:t>
      </w:r>
      <w:r>
        <w:rPr>
          <w:rFonts w:ascii="宋体" w:hAnsi="宋体" w:cs="宋体"/>
          <w:b/>
          <w:bCs/>
          <w:color w:val="auto"/>
          <w:szCs w:val="21"/>
          <w:highlight w:val="none"/>
          <w:lang w:val="zh-CN"/>
        </w:rPr>
        <w:t>投标人需要说明的其他文件和说明。（格式自拟）</w:t>
      </w:r>
    </w:p>
    <w:p>
      <w:pPr>
        <w:pStyle w:val="5"/>
        <w:adjustRightInd w:val="0"/>
        <w:snapToGrid w:val="0"/>
        <w:spacing w:beforeLines="0" w:afterLines="0" w:line="320" w:lineRule="exact"/>
        <w:rPr>
          <w:rFonts w:hint="eastAsia" w:ascii="宋体" w:hAnsi="宋体" w:cs="宋体"/>
          <w:color w:val="auto"/>
          <w:sz w:val="21"/>
          <w:szCs w:val="21"/>
          <w:highlight w:val="none"/>
          <w:lang w:val="zh-CN"/>
        </w:rPr>
      </w:pPr>
    </w:p>
    <w:p>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pPr>
        <w:autoSpaceDE w:val="0"/>
        <w:autoSpaceDN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pPr>
        <w:autoSpaceDE w:val="0"/>
        <w:autoSpaceDN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长兴县环境保护监测站应急及常规监测能力提升项目</w:t>
      </w:r>
    </w:p>
    <w:p>
      <w:pPr>
        <w:autoSpaceDE w:val="0"/>
        <w:autoSpaceDN w:val="0"/>
        <w:spacing w:line="36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ZJJWCG-2022-013</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spacing w:line="360" w:lineRule="exact"/>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2"/>
        <w:rPr>
          <w:rFonts w:hint="default"/>
          <w:color w:val="auto"/>
          <w:highlight w:val="none"/>
          <w:lang w:val="zh-CN"/>
        </w:rPr>
      </w:pPr>
    </w:p>
    <w:p>
      <w:pPr>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（2）中小企业声明函————————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（5）招标代理服务费承诺函————————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（6）投标报价明细表————————</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（7）</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（8）开标一览表————————</w:t>
      </w:r>
    </w:p>
    <w:p>
      <w:pPr>
        <w:pStyle w:val="6"/>
        <w:adjustRightInd w:val="0"/>
        <w:snapToGrid w:val="0"/>
        <w:spacing w:line="300" w:lineRule="exact"/>
        <w:rPr>
          <w:rFonts w:ascii="宋体" w:hAnsi="宋体" w:cs="宋体"/>
          <w:color w:val="auto"/>
          <w:sz w:val="21"/>
          <w:szCs w:val="21"/>
          <w:highlight w:val="none"/>
        </w:rPr>
      </w:pPr>
    </w:p>
    <w:p>
      <w:pPr>
        <w:rPr>
          <w:rFonts w:ascii="宋体" w:hAnsi="宋体" w:cs="宋体"/>
          <w:color w:val="auto"/>
          <w:sz w:val="21"/>
          <w:szCs w:val="21"/>
          <w:highlight w:val="none"/>
        </w:rPr>
      </w:pPr>
    </w:p>
    <w:p>
      <w:pPr>
        <w:pStyle w:val="2"/>
        <w:rPr>
          <w:color w:val="auto"/>
          <w:highlight w:val="none"/>
        </w:rPr>
      </w:pPr>
    </w:p>
    <w:p>
      <w:pPr>
        <w:pStyle w:val="6"/>
        <w:adjustRightInd w:val="0"/>
        <w:snapToGrid w:val="0"/>
        <w:spacing w:line="300" w:lineRule="exact"/>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pPr>
        <w:adjustRightInd w:val="0"/>
        <w:snapToGrid w:val="0"/>
        <w:spacing w:line="300" w:lineRule="exact"/>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pPr>
        <w:autoSpaceDE w:val="0"/>
        <w:autoSpaceDN w:val="0"/>
        <w:adjustRightInd w:val="0"/>
        <w:snapToGrid w:val="0"/>
        <w:spacing w:line="30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长兴县环境保护监测站应急及常规监测能力提升项目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ZJJWCG-2022-013</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（投标人名称）提交投标文件。</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pPr>
        <w:autoSpaceDE w:val="0"/>
        <w:autoSpaceDN w:val="0"/>
        <w:adjustRightInd w:val="0"/>
        <w:snapToGrid w:val="0"/>
        <w:spacing w:line="30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0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autoSpaceDE w:val="0"/>
        <w:autoSpaceDN w:val="0"/>
        <w:spacing w:line="300" w:lineRule="exact"/>
        <w:rPr>
          <w:rFonts w:hint="eastAsia" w:ascii="宋体" w:hAnsi="宋体" w:cs="宋体"/>
          <w:b/>
          <w:color w:val="auto"/>
          <w:szCs w:val="21"/>
          <w:highlight w:val="none"/>
          <w:lang w:val="zh-CN"/>
        </w:rPr>
      </w:pPr>
      <w:r>
        <w:rPr>
          <w:rFonts w:hint="eastAsia" w:ascii="宋体" w:hAnsi="宋体" w:cs="宋体"/>
          <w:b/>
          <w:color w:val="auto"/>
          <w:szCs w:val="21"/>
          <w:highlight w:val="none"/>
        </w:rPr>
        <w:t>2.</w:t>
      </w:r>
      <w:r>
        <w:rPr>
          <w:rFonts w:hint="eastAsia" w:ascii="宋体" w:hAnsi="宋体" w:cs="宋体"/>
          <w:b/>
          <w:color w:val="auto"/>
          <w:szCs w:val="21"/>
          <w:highlight w:val="none"/>
          <w:lang w:val="zh-CN"/>
        </w:rPr>
        <w:t>中小企业声明函格式：（投标人必须在声明函中如实填写货物制造企业相关情况；若不符合可不提供。）</w:t>
      </w:r>
    </w:p>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中小企业声明函（货物）</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 （含联合体中的中小企业、签订分包意向协议的中小企业） 的具体情况如下：</w:t>
      </w:r>
    </w:p>
    <w:p>
      <w:pPr>
        <w:numPr>
          <w:ilvl w:val="0"/>
          <w:numId w:val="4"/>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numPr>
          <w:ilvl w:val="0"/>
          <w:numId w:val="4"/>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 </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 法承担相应责任。 </w:t>
      </w:r>
    </w:p>
    <w:p>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30"/>
        <w:rPr>
          <w:rFonts w:hint="eastAsia" w:ascii="宋体" w:hAnsi="宋体" w:cs="宋体"/>
          <w:color w:val="auto"/>
          <w:highlight w:val="none"/>
        </w:rPr>
      </w:pPr>
    </w:p>
    <w:p>
      <w:pPr>
        <w:pBdr>
          <w:bottom w:val="single" w:color="auto" w:sz="6" w:space="1"/>
        </w:pBd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pacing w:val="6"/>
          <w:szCs w:val="21"/>
          <w:highlight w:val="none"/>
        </w:rPr>
        <w:t>从业人员、营业收入、资产总额填报上一年度数据，无上一年度数据的新成立企业可不填</w:t>
      </w:r>
      <w:r>
        <w:rPr>
          <w:rFonts w:hint="eastAsia" w:ascii="宋体" w:hAnsi="宋体" w:cs="宋体"/>
          <w:color w:val="auto"/>
          <w:szCs w:val="21"/>
          <w:highlight w:val="none"/>
        </w:rPr>
        <w:t>报。 </w:t>
      </w:r>
    </w:p>
    <w:p>
      <w:pPr>
        <w:spacing w:line="320" w:lineRule="exact"/>
        <w:ind w:firstLine="420" w:firstLineChars="200"/>
        <w:rPr>
          <w:rFonts w:hint="eastAsia" w:ascii="宋体" w:hAnsi="宋体" w:cs="宋体"/>
          <w:color w:val="auto"/>
          <w:szCs w:val="21"/>
          <w:highlight w:val="none"/>
        </w:rPr>
      </w:pP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填写说明：</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（1）货物制造企业为中型、小型、微型企业的提供此函；</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（2）中型企业不享受价格扣除，符合要求的小型、微型企业享受价格扣除。</w:t>
      </w:r>
    </w:p>
    <w:p>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残疾人福利性单位声明函格式：（若不符合可不提供。）</w:t>
      </w:r>
    </w:p>
    <w:p>
      <w:pPr>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pPr>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单位名称（盖章）：</w:t>
      </w:r>
    </w:p>
    <w:p>
      <w:pPr>
        <w:ind w:firstLine="420" w:firstLineChars="200"/>
        <w:jc w:val="center"/>
        <w:rPr>
          <w:rFonts w:hint="default" w:ascii="宋体" w:hAnsi="宋体" w:cs="宋体"/>
          <w:color w:val="auto"/>
          <w:szCs w:val="21"/>
          <w:highlight w:val="none"/>
        </w:rPr>
      </w:pPr>
      <w:r>
        <w:rPr>
          <w:rFonts w:ascii="宋体" w:hAnsi="宋体" w:cs="宋体"/>
          <w:color w:val="auto"/>
          <w:szCs w:val="21"/>
          <w:highlight w:val="none"/>
        </w:rPr>
        <w:t xml:space="preserve">                                                    日  期：</w:t>
      </w:r>
    </w:p>
    <w:p>
      <w:pPr>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格式自拟，</w:t>
      </w:r>
      <w:r>
        <w:rPr>
          <w:rFonts w:ascii="宋体" w:hAnsi="宋体" w:cs="宋体"/>
          <w:b/>
          <w:color w:val="auto"/>
          <w:szCs w:val="21"/>
          <w:highlight w:val="none"/>
          <w:lang w:val="zh-CN"/>
        </w:rPr>
        <w:t>若不符合可不提供。）</w:t>
      </w:r>
    </w:p>
    <w:p>
      <w:pPr>
        <w:rPr>
          <w:rFonts w:hint="default" w:ascii="宋体" w:hAnsi="宋体" w:cs="宋体"/>
          <w:b/>
          <w:color w:val="auto"/>
          <w:szCs w:val="21"/>
          <w:highlight w:val="none"/>
        </w:rPr>
      </w:pPr>
    </w:p>
    <w:p>
      <w:pPr>
        <w:spacing w:line="360" w:lineRule="auto"/>
        <w:rPr>
          <w:rFonts w:hint="default" w:ascii="宋体" w:hAnsi="宋体" w:cs="宋体"/>
          <w:b/>
          <w:color w:val="auto"/>
          <w:szCs w:val="21"/>
          <w:highlight w:val="none"/>
        </w:rPr>
      </w:pPr>
      <w:r>
        <w:rPr>
          <w:rFonts w:hint="eastAsia" w:ascii="宋体" w:hAnsi="宋体" w:cs="宋体"/>
          <w:b/>
          <w:color w:val="auto"/>
          <w:szCs w:val="21"/>
          <w:highlight w:val="none"/>
          <w:lang w:val="en-US" w:eastAsia="zh-CN"/>
        </w:rPr>
        <w:t>5</w:t>
      </w:r>
      <w:r>
        <w:rPr>
          <w:rFonts w:ascii="宋体" w:hAnsi="宋体" w:cs="宋体"/>
          <w:b/>
          <w:color w:val="auto"/>
          <w:szCs w:val="21"/>
          <w:highlight w:val="none"/>
        </w:rPr>
        <w:t>.招标代理服务费承诺函格式：</w:t>
      </w:r>
    </w:p>
    <w:p>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hint="eastAsia" w:ascii="宋体" w:hAnsi="宋体" w:cs="宋体"/>
          <w:color w:val="auto"/>
          <w:szCs w:val="21"/>
          <w:highlight w:val="none"/>
          <w:lang w:val="zh-CN"/>
        </w:rPr>
        <w:t>东方经纬项目管理有限公司</w:t>
      </w:r>
      <w:r>
        <w:rPr>
          <w:rFonts w:ascii="宋体" w:hAnsi="宋体" w:cs="宋体"/>
          <w:color w:val="auto"/>
          <w:szCs w:val="21"/>
          <w:highlight w:val="none"/>
          <w:lang w:val="zh-CN"/>
        </w:rPr>
        <w:t>：</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pPr>
        <w:autoSpaceDE w:val="0"/>
        <w:autoSpaceDN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招标代理服务费汇款账户如下：</w:t>
      </w:r>
    </w:p>
    <w:p>
      <w:pPr>
        <w:keepNext w:val="0"/>
        <w:keepLines w:val="0"/>
        <w:pageBreakBefore w:val="0"/>
        <w:widowControl w:val="0"/>
        <w:kinsoku/>
        <w:wordWrap/>
        <w:overflowPunct/>
        <w:topLinePunct w:val="0"/>
        <w:autoSpaceDE w:val="0"/>
        <w:autoSpaceDN w:val="0"/>
        <w:bidi w:val="0"/>
        <w:adjustRightInd/>
        <w:spacing w:line="300" w:lineRule="exact"/>
        <w:ind w:left="420" w:left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帐户名称：</w:t>
      </w:r>
      <w:r>
        <w:rPr>
          <w:rFonts w:hint="eastAsia" w:ascii="宋体" w:hAnsi="宋体" w:cs="宋体"/>
          <w:color w:val="auto"/>
          <w:szCs w:val="21"/>
          <w:highlight w:val="none"/>
          <w:lang w:val="zh-CN"/>
        </w:rPr>
        <w:t>东方经纬项目管理有限公司</w:t>
      </w:r>
      <w:r>
        <w:rPr>
          <w:rFonts w:ascii="宋体" w:hAnsi="宋体" w:cs="宋体"/>
          <w:color w:val="auto"/>
          <w:szCs w:val="21"/>
          <w:highlight w:val="none"/>
          <w:lang w:val="zh-CN"/>
        </w:rPr>
        <w:t>长兴分公司</w:t>
      </w:r>
    </w:p>
    <w:p>
      <w:pPr>
        <w:keepNext w:val="0"/>
        <w:keepLines w:val="0"/>
        <w:pageBreakBefore w:val="0"/>
        <w:widowControl w:val="0"/>
        <w:kinsoku/>
        <w:wordWrap/>
        <w:overflowPunct/>
        <w:topLinePunct w:val="0"/>
        <w:autoSpaceDE w:val="0"/>
        <w:autoSpaceDN w:val="0"/>
        <w:bidi w:val="0"/>
        <w:adjustRightInd/>
        <w:spacing w:line="300" w:lineRule="exact"/>
        <w:ind w:left="420" w:left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开户银行：浙江长兴联合村镇银行股份有限公司-长兴联合村镇银行营业部</w:t>
      </w:r>
    </w:p>
    <w:p>
      <w:pPr>
        <w:keepNext w:val="0"/>
        <w:keepLines w:val="0"/>
        <w:pageBreakBefore w:val="0"/>
        <w:widowControl w:val="0"/>
        <w:kinsoku/>
        <w:wordWrap/>
        <w:overflowPunct/>
        <w:topLinePunct w:val="0"/>
        <w:autoSpaceDE w:val="0"/>
        <w:autoSpaceDN w:val="0"/>
        <w:bidi w:val="0"/>
        <w:adjustRightInd/>
        <w:spacing w:line="300" w:lineRule="exact"/>
        <w:ind w:left="420" w:left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银行账号：201012010149024528</w:t>
      </w:r>
    </w:p>
    <w:p>
      <w:pPr>
        <w:keepNext w:val="0"/>
        <w:keepLines w:val="0"/>
        <w:pageBreakBefore w:val="0"/>
        <w:widowControl w:val="0"/>
        <w:kinsoku/>
        <w:wordWrap/>
        <w:overflowPunct/>
        <w:topLinePunct w:val="0"/>
        <w:autoSpaceDE w:val="0"/>
        <w:autoSpaceDN w:val="0"/>
        <w:bidi w:val="0"/>
        <w:adjustRightInd/>
        <w:spacing w:line="300" w:lineRule="exact"/>
        <w:ind w:left="420" w:leftChars="200"/>
        <w:textAlignment w:val="auto"/>
        <w:rPr>
          <w:rFonts w:ascii="宋体" w:hAnsi="宋体" w:eastAsia="宋体" w:cs="宋体"/>
          <w:color w:val="auto"/>
          <w:szCs w:val="21"/>
          <w:highlight w:val="none"/>
          <w:lang w:val="zh-CN"/>
        </w:rPr>
      </w:pPr>
      <w:r>
        <w:rPr>
          <w:rFonts w:ascii="宋体" w:hAnsi="宋体" w:eastAsia="宋体" w:cs="宋体"/>
          <w:color w:val="auto"/>
          <w:szCs w:val="21"/>
          <w:highlight w:val="none"/>
          <w:lang w:val="zh-CN"/>
        </w:rPr>
        <w:t>联行号：320336220105</w:t>
      </w:r>
      <w:r>
        <w:rPr>
          <w:rFonts w:ascii="宋体" w:hAnsi="宋体" w:eastAsia="宋体" w:cs="宋体"/>
          <w:color w:val="auto"/>
          <w:szCs w:val="21"/>
          <w:highlight w:val="none"/>
          <w:lang w:val="zh-CN"/>
        </w:rPr>
        <w:br w:type="textWrapping"/>
      </w:r>
      <w:r>
        <w:rPr>
          <w:rFonts w:ascii="宋体" w:hAnsi="宋体" w:eastAsia="宋体" w:cs="宋体"/>
          <w:color w:val="auto"/>
          <w:szCs w:val="21"/>
          <w:highlight w:val="none"/>
          <w:lang w:val="zh-CN"/>
        </w:rPr>
        <w:t>电汇或转账时请在用途栏中注明：</w:t>
      </w:r>
      <w:r>
        <w:rPr>
          <w:rFonts w:hint="eastAsia" w:ascii="宋体" w:hAnsi="宋体" w:cs="宋体"/>
          <w:color w:val="auto"/>
          <w:szCs w:val="21"/>
          <w:highlight w:val="none"/>
          <w:lang w:val="zh-CN"/>
        </w:rPr>
        <w:t>ZJJWCG-2022-013</w:t>
      </w:r>
      <w:r>
        <w:rPr>
          <w:rFonts w:ascii="宋体" w:hAnsi="宋体" w:eastAsia="宋体" w:cs="宋体"/>
          <w:color w:val="auto"/>
          <w:szCs w:val="21"/>
          <w:highlight w:val="none"/>
          <w:lang w:val="zh-CN"/>
        </w:rPr>
        <w:t>招标代理服务费</w:t>
      </w:r>
    </w:p>
    <w:p>
      <w:pPr>
        <w:autoSpaceDE w:val="0"/>
        <w:autoSpaceDN w:val="0"/>
        <w:spacing w:before="50" w:after="50"/>
        <w:rPr>
          <w:rFonts w:ascii="宋体" w:hAnsi="宋体" w:cs="宋体"/>
          <w:color w:val="auto"/>
          <w:szCs w:val="21"/>
          <w:highlight w:val="none"/>
          <w:lang w:val="zh-CN"/>
        </w:rPr>
      </w:pPr>
    </w:p>
    <w:p>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autoSpaceDE w:val="0"/>
        <w:autoSpaceDN w:val="0"/>
        <w:adjustRightInd w:val="0"/>
        <w:spacing w:line="460" w:lineRule="exact"/>
        <w:rPr>
          <w:rFonts w:hint="eastAsia" w:ascii="宋体" w:hAnsi="宋体" w:cs="宋体"/>
          <w:b/>
          <w:color w:val="auto"/>
          <w:szCs w:val="21"/>
          <w:highlight w:val="none"/>
          <w:lang w:val="en-US" w:eastAsia="zh-CN" w:bidi="ar"/>
        </w:rPr>
      </w:pPr>
    </w:p>
    <w:p>
      <w:pPr>
        <w:autoSpaceDE w:val="0"/>
        <w:autoSpaceDN w:val="0"/>
        <w:adjustRightInd w:val="0"/>
        <w:spacing w:line="460" w:lineRule="exact"/>
        <w:rPr>
          <w:rFonts w:hint="default" w:ascii="宋体" w:hAnsi="宋体" w:cs="宋体"/>
          <w:b/>
          <w:color w:val="auto"/>
          <w:szCs w:val="21"/>
          <w:highlight w:val="none"/>
          <w:lang w:bidi="ar"/>
        </w:rPr>
      </w:pPr>
      <w:r>
        <w:rPr>
          <w:rFonts w:hint="eastAsia" w:ascii="宋体" w:hAnsi="宋体" w:cs="宋体"/>
          <w:b/>
          <w:color w:val="auto"/>
          <w:szCs w:val="21"/>
          <w:highlight w:val="none"/>
          <w:lang w:val="en-US" w:eastAsia="zh-CN" w:bidi="ar"/>
        </w:rPr>
        <w:t>6</w:t>
      </w:r>
      <w:r>
        <w:rPr>
          <w:rFonts w:ascii="宋体" w:hAnsi="宋体" w:cs="宋体"/>
          <w:b/>
          <w:color w:val="auto"/>
          <w:szCs w:val="21"/>
          <w:highlight w:val="none"/>
          <w:lang w:bidi="ar"/>
        </w:rPr>
        <w:t>.投标报价明细表</w:t>
      </w:r>
      <w:r>
        <w:rPr>
          <w:rFonts w:hint="eastAsia" w:ascii="宋体" w:hAnsi="宋体" w:cs="宋体"/>
          <w:b/>
          <w:color w:val="auto"/>
          <w:szCs w:val="21"/>
          <w:highlight w:val="none"/>
          <w:lang w:eastAsia="zh-CN" w:bidi="ar"/>
        </w:rPr>
        <w:t>格式</w:t>
      </w:r>
      <w:r>
        <w:rPr>
          <w:rFonts w:ascii="宋体" w:hAnsi="宋体" w:cs="宋体"/>
          <w:b/>
          <w:color w:val="auto"/>
          <w:szCs w:val="21"/>
          <w:highlight w:val="none"/>
          <w:lang w:bidi="ar"/>
        </w:rPr>
        <w:t>：（</w:t>
      </w:r>
      <w:r>
        <w:rPr>
          <w:rFonts w:hint="eastAsia" w:ascii="宋体" w:hAnsi="宋体" w:cs="宋体"/>
          <w:b/>
          <w:bCs/>
          <w:color w:val="auto"/>
          <w:szCs w:val="21"/>
          <w:highlight w:val="none"/>
        </w:rPr>
        <w:t>根据采购清单提供，</w:t>
      </w:r>
      <w:r>
        <w:rPr>
          <w:rFonts w:hint="eastAsia" w:ascii="宋体" w:hAnsi="宋体" w:cs="宋体"/>
          <w:b/>
          <w:color w:val="auto"/>
          <w:szCs w:val="21"/>
          <w:highlight w:val="none"/>
          <w:lang w:bidi="ar"/>
        </w:rPr>
        <w:t>必须在报价明细表中说明制造商情况</w:t>
      </w:r>
      <w:r>
        <w:rPr>
          <w:rFonts w:ascii="宋体" w:hAnsi="宋体" w:cs="宋体"/>
          <w:b/>
          <w:color w:val="auto"/>
          <w:szCs w:val="21"/>
          <w:highlight w:val="none"/>
          <w:lang w:bidi="ar"/>
        </w:rPr>
        <w:t>）</w:t>
      </w:r>
    </w:p>
    <w:p>
      <w:pPr>
        <w:autoSpaceDE w:val="0"/>
        <w:autoSpaceDN w:val="0"/>
        <w:jc w:val="center"/>
        <w:rPr>
          <w:rFonts w:ascii="宋体"/>
          <w:b/>
          <w:bCs/>
          <w:color w:val="auto"/>
          <w:szCs w:val="21"/>
          <w:highlight w:val="none"/>
          <w:lang w:val="zh-CN"/>
        </w:rPr>
      </w:pPr>
      <w:r>
        <w:rPr>
          <w:rFonts w:hint="eastAsia" w:ascii="宋体"/>
          <w:b/>
          <w:bCs/>
          <w:color w:val="auto"/>
          <w:szCs w:val="21"/>
          <w:highlight w:val="none"/>
          <w:lang w:val="zh-CN"/>
        </w:rPr>
        <w:t>投标</w:t>
      </w:r>
      <w:r>
        <w:rPr>
          <w:rFonts w:ascii="宋体"/>
          <w:b/>
          <w:bCs/>
          <w:color w:val="auto"/>
          <w:szCs w:val="21"/>
          <w:highlight w:val="none"/>
          <w:lang w:val="zh-CN"/>
        </w:rPr>
        <w:t>报价明细表</w:t>
      </w:r>
    </w:p>
    <w:p>
      <w:pPr>
        <w:autoSpaceDE w:val="0"/>
        <w:autoSpaceDN w:val="0"/>
        <w:spacing w:line="320" w:lineRule="exact"/>
        <w:ind w:firstLine="150"/>
        <w:rPr>
          <w:rFonts w:ascii="宋体"/>
          <w:color w:val="auto"/>
          <w:szCs w:val="21"/>
          <w:highlight w:val="none"/>
          <w:lang w:val="zh-CN"/>
        </w:rPr>
      </w:pPr>
      <w:r>
        <w:rPr>
          <w:rFonts w:ascii="宋体"/>
          <w:color w:val="auto"/>
          <w:szCs w:val="21"/>
          <w:highlight w:val="none"/>
          <w:lang w:val="zh-CN"/>
        </w:rPr>
        <w:t xml:space="preserve">                </w:t>
      </w:r>
      <w:r>
        <w:rPr>
          <w:rFonts w:ascii="宋体"/>
          <w:color w:val="auto"/>
          <w:szCs w:val="21"/>
          <w:highlight w:val="none"/>
        </w:rPr>
        <w:t xml:space="preserve">                                                </w:t>
      </w:r>
      <w:r>
        <w:rPr>
          <w:rFonts w:ascii="宋体"/>
          <w:color w:val="auto"/>
          <w:szCs w:val="21"/>
          <w:highlight w:val="none"/>
          <w:lang w:val="zh-CN"/>
        </w:rPr>
        <w:t xml:space="preserve"> 金额单位：人民币（元）</w:t>
      </w:r>
    </w:p>
    <w:tbl>
      <w:tblPr>
        <w:tblStyle w:val="25"/>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hint="eastAsia" w:ascii="宋体"/>
                <w:color w:val="auto"/>
                <w:szCs w:val="21"/>
                <w:highlight w:val="none"/>
                <w:lang w:val="zh-CN"/>
              </w:rPr>
              <w:t>货物</w:t>
            </w:r>
            <w:r>
              <w:rPr>
                <w:rFonts w:ascii="宋体"/>
                <w:color w:val="auto"/>
                <w:szCs w:val="21"/>
                <w:highlight w:val="none"/>
                <w:lang w:val="zh-CN"/>
              </w:rPr>
              <w:t>名称</w:t>
            </w:r>
          </w:p>
        </w:tc>
        <w:tc>
          <w:tcPr>
            <w:tcW w:w="73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金额</w:t>
            </w: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hint="eastAsia" w:ascii="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企业规模</w:t>
            </w:r>
          </w:p>
        </w:tc>
        <w:tc>
          <w:tcPr>
            <w:tcW w:w="78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大型</w:t>
            </w:r>
          </w:p>
        </w:tc>
        <w:tc>
          <w:tcPr>
            <w:tcW w:w="66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中型</w:t>
            </w:r>
          </w:p>
        </w:tc>
        <w:tc>
          <w:tcPr>
            <w:tcW w:w="66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小型</w:t>
            </w:r>
          </w:p>
        </w:tc>
        <w:tc>
          <w:tcPr>
            <w:tcW w:w="75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微型</w:t>
            </w:r>
          </w:p>
        </w:tc>
        <w:tc>
          <w:tcPr>
            <w:tcW w:w="78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c>
          <w:tcPr>
            <w:tcW w:w="57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c>
          <w:tcPr>
            <w:tcW w:w="55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r>
      <w:tr>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r>
      <w:tr>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r>
      <w:tr>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hint="eastAsia" w:ascii="宋体"/>
                <w:color w:val="auto"/>
                <w:szCs w:val="21"/>
                <w:highlight w:val="none"/>
                <w:lang w:val="zh-CN"/>
              </w:rPr>
            </w:pPr>
            <w:r>
              <w:rPr>
                <w:rFonts w:hint="eastAsia" w:ascii="宋体"/>
                <w:color w:val="auto"/>
                <w:szCs w:val="21"/>
                <w:highlight w:val="none"/>
                <w:lang w:val="zh-CN"/>
              </w:rPr>
              <w:t>投</w:t>
            </w:r>
            <w:r>
              <w:rPr>
                <w:rFonts w:hint="eastAsia" w:ascii="宋体"/>
                <w:color w:val="auto"/>
                <w:szCs w:val="21"/>
                <w:highlight w:val="none"/>
                <w:lang w:val="en-US" w:eastAsia="zh-CN"/>
              </w:rPr>
              <w:t xml:space="preserve"> </w:t>
            </w:r>
            <w:r>
              <w:rPr>
                <w:rFonts w:hint="eastAsia" w:ascii="宋体"/>
                <w:color w:val="auto"/>
                <w:szCs w:val="21"/>
                <w:highlight w:val="none"/>
                <w:lang w:val="zh-CN"/>
              </w:rPr>
              <w:t>标</w:t>
            </w:r>
            <w:r>
              <w:rPr>
                <w:rFonts w:hint="eastAsia" w:ascii="宋体"/>
                <w:color w:val="auto"/>
                <w:szCs w:val="21"/>
                <w:highlight w:val="none"/>
              </w:rPr>
              <w:t xml:space="preserve"> </w:t>
            </w:r>
            <w:r>
              <w:rPr>
                <w:rFonts w:ascii="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color w:val="auto"/>
                <w:szCs w:val="21"/>
                <w:highlight w:val="none"/>
                <w:lang w:val="zh-CN"/>
              </w:rPr>
            </w:pPr>
          </w:p>
        </w:tc>
      </w:tr>
    </w:tbl>
    <w:p>
      <w:pPr>
        <w:autoSpaceDE w:val="0"/>
        <w:autoSpaceDN w:val="0"/>
        <w:spacing w:before="50" w:after="50"/>
        <w:ind w:firstLine="420" w:firstLineChars="200"/>
        <w:rPr>
          <w:rFonts w:hint="eastAsia" w:ascii="宋体"/>
          <w:color w:val="auto"/>
          <w:szCs w:val="21"/>
          <w:highlight w:val="none"/>
        </w:rPr>
      </w:pPr>
      <w:r>
        <w:rPr>
          <w:rFonts w:ascii="宋体"/>
          <w:color w:val="auto"/>
          <w:szCs w:val="21"/>
          <w:highlight w:val="none"/>
          <w:lang w:val="zh-CN"/>
        </w:rPr>
        <w:t>注：</w:t>
      </w:r>
      <w:r>
        <w:rPr>
          <w:rFonts w:hint="eastAsia" w:ascii="宋体"/>
          <w:b/>
          <w:bCs/>
          <w:color w:val="auto"/>
          <w:szCs w:val="21"/>
          <w:highlight w:val="none"/>
        </w:rPr>
        <w:t>应根据工信部联企业[2011]300号规定的划分标准认定所投产品制造商的企业规模，并在报价明细表中如实说明制造商情况</w:t>
      </w:r>
      <w:r>
        <w:rPr>
          <w:rFonts w:ascii="宋体" w:hAnsi="宋体" w:cs="宋体"/>
          <w:b/>
          <w:color w:val="auto"/>
          <w:szCs w:val="21"/>
          <w:highlight w:val="none"/>
          <w:lang w:val="zh-CN"/>
        </w:rPr>
        <w:t>。</w:t>
      </w:r>
    </w:p>
    <w:p>
      <w:pPr>
        <w:autoSpaceDE w:val="0"/>
        <w:autoSpaceDN w:val="0"/>
        <w:spacing w:before="50" w:after="50"/>
        <w:rPr>
          <w:rFonts w:ascii="宋体"/>
          <w:color w:val="auto"/>
          <w:szCs w:val="21"/>
          <w:highlight w:val="none"/>
          <w:u w:val="single"/>
          <w:lang w:val="zh-CN"/>
        </w:rPr>
      </w:pPr>
      <w:r>
        <w:rPr>
          <w:rFonts w:ascii="宋体"/>
          <w:color w:val="auto"/>
          <w:szCs w:val="21"/>
          <w:highlight w:val="none"/>
          <w:lang w:val="zh-CN"/>
        </w:rPr>
        <w:t>授权代表签名：</w:t>
      </w:r>
      <w:r>
        <w:rPr>
          <w:rFonts w:ascii="宋体"/>
          <w:color w:val="auto"/>
          <w:szCs w:val="21"/>
          <w:highlight w:val="none"/>
          <w:u w:val="single"/>
          <w:lang w:val="zh-CN"/>
        </w:rPr>
        <w:t xml:space="preserve">          </w:t>
      </w:r>
    </w:p>
    <w:p>
      <w:pPr>
        <w:autoSpaceDE w:val="0"/>
        <w:autoSpaceDN w:val="0"/>
        <w:spacing w:before="50" w:after="50"/>
        <w:rPr>
          <w:rFonts w:ascii="宋体"/>
          <w:color w:val="auto"/>
          <w:szCs w:val="21"/>
          <w:highlight w:val="none"/>
          <w:u w:val="single"/>
          <w:lang w:val="zh-CN"/>
        </w:rPr>
      </w:pPr>
      <w:r>
        <w:rPr>
          <w:rFonts w:hint="eastAsia" w:ascii="宋体"/>
          <w:color w:val="auto"/>
          <w:szCs w:val="21"/>
          <w:highlight w:val="none"/>
          <w:lang w:val="zh-CN"/>
        </w:rPr>
        <w:t>投标人</w:t>
      </w:r>
      <w:r>
        <w:rPr>
          <w:rFonts w:ascii="宋体"/>
          <w:color w:val="auto"/>
          <w:szCs w:val="21"/>
          <w:highlight w:val="none"/>
          <w:lang w:val="zh-CN"/>
        </w:rPr>
        <w:t>盖章：</w:t>
      </w:r>
      <w:r>
        <w:rPr>
          <w:rFonts w:ascii="宋体"/>
          <w:color w:val="auto"/>
          <w:szCs w:val="21"/>
          <w:highlight w:val="none"/>
          <w:u w:val="single"/>
          <w:lang w:val="zh-CN"/>
        </w:rPr>
        <w:t xml:space="preserve">               </w:t>
      </w:r>
      <w:r>
        <w:rPr>
          <w:rFonts w:ascii="宋体"/>
          <w:color w:val="auto"/>
          <w:szCs w:val="21"/>
          <w:highlight w:val="none"/>
          <w:lang w:val="zh-CN"/>
        </w:rPr>
        <w:t xml:space="preserve">           日  期：</w:t>
      </w:r>
      <w:r>
        <w:rPr>
          <w:rFonts w:ascii="宋体"/>
          <w:color w:val="auto"/>
          <w:szCs w:val="21"/>
          <w:highlight w:val="none"/>
          <w:u w:val="single"/>
          <w:lang w:val="zh-CN"/>
        </w:rPr>
        <w:t xml:space="preserve">      </w:t>
      </w:r>
    </w:p>
    <w:p>
      <w:pPr>
        <w:pStyle w:val="6"/>
        <w:spacing w:line="240" w:lineRule="auto"/>
        <w:rPr>
          <w:rFonts w:hint="default" w:ascii="宋体" w:hAnsi="宋体" w:cs="宋体"/>
          <w:bCs/>
          <w:color w:val="auto"/>
          <w:sz w:val="21"/>
          <w:szCs w:val="21"/>
          <w:highlight w:val="none"/>
        </w:rPr>
      </w:pPr>
    </w:p>
    <w:p>
      <w:pPr>
        <w:pStyle w:val="6"/>
        <w:spacing w:line="240" w:lineRule="auto"/>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7</w:t>
      </w:r>
      <w:r>
        <w:rPr>
          <w:rFonts w:ascii="宋体" w:hAnsi="宋体" w:cs="宋体"/>
          <w:bCs/>
          <w:color w:val="auto"/>
          <w:sz w:val="21"/>
          <w:szCs w:val="21"/>
          <w:highlight w:val="none"/>
        </w:rPr>
        <w:t>.</w:t>
      </w:r>
      <w:r>
        <w:rPr>
          <w:rFonts w:ascii="宋体" w:hAnsi="宋体" w:cs="宋体"/>
          <w:bCs/>
          <w:color w:val="auto"/>
          <w:sz w:val="21"/>
          <w:szCs w:val="21"/>
          <w:highlight w:val="none"/>
          <w:lang w:val="zh-CN"/>
        </w:rPr>
        <w:t>投标人针对报价需要说明的其他文件和说明（格式自拟）</w:t>
      </w:r>
    </w:p>
    <w:p>
      <w:pPr>
        <w:rPr>
          <w:rFonts w:hint="default" w:ascii="宋体" w:hAnsi="宋体" w:cs="宋体"/>
          <w:color w:val="auto"/>
          <w:highlight w:val="none"/>
          <w:lang w:val="zh-CN"/>
        </w:rPr>
      </w:pPr>
    </w:p>
    <w:p>
      <w:pPr>
        <w:rPr>
          <w:rFonts w:hint="eastAsia" w:ascii="宋体" w:hAnsi="宋体" w:cs="宋体"/>
          <w:b/>
          <w:color w:val="auto"/>
          <w:szCs w:val="21"/>
          <w:highlight w:val="none"/>
          <w:lang w:val="en-US" w:eastAsia="zh-CN"/>
        </w:rPr>
      </w:pPr>
    </w:p>
    <w:p>
      <w:pPr>
        <w:rPr>
          <w:rFonts w:hint="eastAsia" w:ascii="宋体" w:hAnsi="宋体" w:cs="宋体"/>
          <w:b/>
          <w:color w:val="auto"/>
          <w:szCs w:val="21"/>
          <w:highlight w:val="none"/>
          <w:lang w:val="en-US" w:eastAsia="zh-CN"/>
        </w:rPr>
      </w:pPr>
    </w:p>
    <w:p>
      <w:pP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8</w:t>
      </w:r>
      <w:r>
        <w:rPr>
          <w:rFonts w:ascii="宋体" w:hAnsi="宋体" w:cs="宋体"/>
          <w:b/>
          <w:color w:val="auto"/>
          <w:szCs w:val="21"/>
          <w:highlight w:val="none"/>
        </w:rPr>
        <w:t>.开标一览表格式：</w:t>
      </w:r>
    </w:p>
    <w:p>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pPr>
        <w:ind w:firstLine="210" w:firstLineChars="100"/>
        <w:rPr>
          <w:rFonts w:hint="default" w:ascii="宋体" w:hAnsi="宋体" w:cs="宋体"/>
          <w:color w:val="auto"/>
          <w:szCs w:val="21"/>
          <w:highlight w:val="none"/>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单位：元</w:t>
      </w:r>
    </w:p>
    <w:tbl>
      <w:tblPr>
        <w:tblStyle w:val="25"/>
        <w:tblW w:w="8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40"/>
        <w:gridCol w:w="825"/>
        <w:gridCol w:w="855"/>
        <w:gridCol w:w="4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b/>
                <w:bCs/>
                <w:color w:val="auto"/>
                <w:szCs w:val="21"/>
                <w:highlight w:val="none"/>
              </w:rPr>
            </w:pPr>
            <w:r>
              <w:rPr>
                <w:rFonts w:ascii="宋体" w:hAnsi="宋体" w:cs="宋体"/>
                <w:b/>
                <w:bCs/>
                <w:color w:val="auto"/>
                <w:kern w:val="0"/>
                <w:szCs w:val="21"/>
                <w:highlight w:val="none"/>
              </w:rPr>
              <w:t>数量</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ascii="宋体" w:hAnsi="宋体" w:cs="宋体"/>
                <w:b/>
                <w:bCs/>
                <w:color w:val="auto"/>
                <w:kern w:val="0"/>
                <w:szCs w:val="21"/>
                <w:highlight w:val="none"/>
              </w:rPr>
              <w:t>单位</w:t>
            </w: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31"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2040"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长兴县环境保护监测站应急及常规监测能力提升项目</w:t>
            </w:r>
          </w:p>
        </w:tc>
        <w:tc>
          <w:tcPr>
            <w:tcW w:w="82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55"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批</w:t>
            </w: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31"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p>
        </w:tc>
        <w:tc>
          <w:tcPr>
            <w:tcW w:w="2040"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825"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855"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小写：</w:t>
            </w:r>
          </w:p>
        </w:tc>
      </w:tr>
    </w:tbl>
    <w:p>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注: 1.报价一经涂改，应在涂改处加盖单位公章或者由法定代表人（负责人）或授权委托人签字或盖章，否则其投标作无效标处理。</w:t>
      </w:r>
    </w:p>
    <w:p>
      <w:pPr>
        <w:snapToGrid w:val="0"/>
        <w:spacing w:before="50" w:after="50"/>
        <w:ind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费用</w:t>
      </w:r>
      <w:r>
        <w:rPr>
          <w:rFonts w:ascii="宋体" w:hAnsi="宋体" w:cs="宋体"/>
          <w:color w:val="auto"/>
          <w:szCs w:val="21"/>
          <w:highlight w:val="none"/>
          <w:lang w:val="zh-CN"/>
        </w:rPr>
        <w:t>包括</w:t>
      </w:r>
      <w:r>
        <w:rPr>
          <w:rFonts w:ascii="宋体" w:hAnsi="宋体" w:cs="宋体"/>
          <w:color w:val="auto"/>
          <w:szCs w:val="21"/>
          <w:highlight w:val="none"/>
        </w:rPr>
        <w:t>货物、安装及调试、必备的附件及材料、运输、安装调试、验收、质保期内的维护保养费、技术支持、技术服务、招投标服务费、因政策性文件规定产生的费用和税费等一切费用</w:t>
      </w:r>
      <w:r>
        <w:rPr>
          <w:rFonts w:ascii="宋体" w:hAnsi="宋体" w:cs="宋体"/>
          <w:color w:val="auto"/>
          <w:szCs w:val="21"/>
          <w:highlight w:val="none"/>
          <w:lang w:val="zh-CN"/>
        </w:rPr>
        <w:t>。</w:t>
      </w:r>
    </w:p>
    <w:p>
      <w:pPr>
        <w:snapToGrid w:val="0"/>
        <w:spacing w:before="50" w:after="50"/>
        <w:ind w:left="-2" w:leftChars="-1" w:right="-817" w:rightChars="-389"/>
        <w:rPr>
          <w:rFonts w:hint="default" w:ascii="宋体" w:hAnsi="宋体" w:cs="宋体"/>
          <w:color w:val="auto"/>
          <w:szCs w:val="21"/>
          <w:highlight w:val="none"/>
        </w:rPr>
      </w:pPr>
      <w:r>
        <w:rPr>
          <w:rFonts w:ascii="宋体" w:hAnsi="宋体" w:cs="宋体"/>
          <w:color w:val="auto"/>
          <w:szCs w:val="21"/>
          <w:highlight w:val="none"/>
        </w:rPr>
        <w:t xml:space="preserve">法定代表人（负责人）签字：                    </w:t>
      </w:r>
    </w:p>
    <w:p>
      <w:pPr>
        <w:snapToGrid w:val="0"/>
        <w:spacing w:before="50" w:after="50"/>
        <w:ind w:right="-817" w:rightChars="-389"/>
        <w:rPr>
          <w:rFonts w:hint="default" w:ascii="宋体" w:hAnsi="宋体" w:cs="宋体"/>
          <w:color w:val="auto"/>
          <w:highlight w:val="none"/>
        </w:rPr>
      </w:pPr>
      <w:r>
        <w:rPr>
          <w:rFonts w:ascii="宋体" w:hAnsi="宋体" w:cs="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altName w:val="NumberOnly"/>
    <w:panose1 w:val="02040503050406030204"/>
    <w:charset w:val="00"/>
    <w:family w:val="roman"/>
    <w:pitch w:val="default"/>
    <w:sig w:usb0="00000000" w:usb1="00000000" w:usb2="02000000" w:usb3="00000000" w:csb0="2000019F" w:csb1="00000000"/>
  </w:font>
  <w:font w:name="NumberOnly">
    <w:panose1 w:val="020B0500000000000000"/>
    <w:charset w:val="00"/>
    <w:family w:val="auto"/>
    <w:pitch w:val="default"/>
    <w:sig w:usb0="8000002F" w:usb1="10000048" w:usb2="00000000" w:usb3="00000000" w:csb0="00000111" w:csb1="40000000"/>
  </w:font>
  <w:font w:name="Courier">
    <w:panose1 w:val="020604090202050204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华文仿宋">
    <w:altName w:val="SJQY"/>
    <w:panose1 w:val="02010600040101010101"/>
    <w:charset w:val="86"/>
    <w:family w:val="auto"/>
    <w:pitch w:val="default"/>
    <w:sig w:usb0="00000000" w:usb1="00000000" w:usb2="00000000" w:usb3="00000000" w:csb0="0004009F" w:csb1="DFD70000"/>
  </w:font>
  <w:font w:name="SJQY">
    <w:panose1 w:val="02010600030101010101"/>
    <w:charset w:val="86"/>
    <w:family w:val="auto"/>
    <w:pitch w:val="default"/>
    <w:sig w:usb0="00000003" w:usb1="080E0000" w:usb2="00000000" w:usb3="00000000" w:csb0="00040001" w:csb1="00000000"/>
  </w:font>
  <w:font w:name="SymbolPS">
    <w:panose1 w:val="050501020106070206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eastAsia" w:eastAsia="宋体"/>
        <w:lang w:eastAsia="zh-CN"/>
      </w:rPr>
    </w:pPr>
    <w:r>
      <w:rPr>
        <w:rFonts w:hint="defaul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fill on="f" focussize="0,0"/>
              <v:stroke on="f"/>
              <v:imagedata o:title=""/>
              <o:lock v:ext="edit" aspectratio="f"/>
              <v:textbox inset="0mm,0mm,0mm,0mm" style="mso-fit-shape-to-text:t;">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r>
      <w:rPr>
        <w:rFonts w:hint="eastAsia"/>
        <w:lang w:eastAsia="zh-CN"/>
      </w:rPr>
      <w:t>东方经纬项目管理有限公司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eastAsia" w:eastAsia="宋体"/>
        <w:lang w:eastAsia="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v:textbox>
            </v:shape>
          </w:pict>
        </mc:Fallback>
      </mc:AlternateContent>
    </w:r>
    <w:r>
      <w:rPr>
        <w:rFonts w:hint="eastAsia"/>
        <w:lang w:eastAsia="zh-CN"/>
      </w:rPr>
      <w:t>东方经纬项目管理有限公司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r>
      <w:rPr>
        <w:rFonts w:hint="eastAsia"/>
        <w:bCs/>
        <w:szCs w:val="18"/>
        <w:lang w:eastAsia="zh-CN"/>
      </w:rPr>
      <w:t>长兴县环境保护监测站应急及常规监测能力提升项目</w:t>
    </w:r>
    <w:r>
      <w:rPr>
        <w:bCs/>
        <w:szCs w:val="18"/>
      </w:rPr>
      <w:t xml:space="preserve">                          </w:t>
    </w:r>
    <w:r>
      <w:rPr>
        <w:rFonts w:hint="eastAsia"/>
        <w:bCs/>
        <w:szCs w:val="18"/>
        <w:lang w:val="en-US" w:eastAsia="zh-CN"/>
      </w:rPr>
      <w:t xml:space="preserve">               </w:t>
    </w:r>
    <w:r>
      <w:rPr>
        <w:bCs/>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r>
      <w:rPr>
        <w:rFonts w:hint="eastAsia" w:ascii="宋体" w:hAnsi="宋体" w:cs="宋体"/>
        <w:bCs/>
        <w:szCs w:val="18"/>
        <w:lang w:eastAsia="zh-CN"/>
      </w:rPr>
      <w:t>长兴县环境保护监测站应急及常规监测能力提升项目</w:t>
    </w:r>
    <w:r>
      <w:rPr>
        <w:bCs/>
        <w:szCs w:val="18"/>
      </w:rPr>
      <w:t xml:space="preserve">                           </w:t>
    </w:r>
    <w:r>
      <w:rPr>
        <w:rFonts w:hint="eastAsia"/>
        <w:bCs/>
        <w:szCs w:val="18"/>
        <w:lang w:val="en-US" w:eastAsia="zh-CN"/>
      </w:rPr>
      <w:t xml:space="preserve">                </w:t>
    </w:r>
    <w:r>
      <w:rPr>
        <w:bCs/>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39BBB"/>
    <w:multiLevelType w:val="multilevel"/>
    <w:tmpl w:val="C9539BB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5371D6"/>
    <w:multiLevelType w:val="singleLevel"/>
    <w:tmpl w:val="075371D6"/>
    <w:lvl w:ilvl="0" w:tentative="0">
      <w:start w:val="1"/>
      <w:numFmt w:val="decimal"/>
      <w:suff w:val="space"/>
      <w:lvlText w:val="%1."/>
      <w:lvlJc w:val="left"/>
    </w:lvl>
  </w:abstractNum>
  <w:abstractNum w:abstractNumId="2">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7106323"/>
    <w:multiLevelType w:val="singleLevel"/>
    <w:tmpl w:val="57106323"/>
    <w:lvl w:ilvl="0" w:tentative="0">
      <w:start w:val="1"/>
      <w:numFmt w:val="chineseCounting"/>
      <w:suff w:val="space"/>
      <w:lvlText w:val="第%1章"/>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MjZmZTI0N2IwZTRlNmVkMGFkMTUyNzhiYmQ4ZjYifQ=="/>
  </w:docVars>
  <w:rsids>
    <w:rsidRoot w:val="1B9C179E"/>
    <w:rsid w:val="000058DA"/>
    <w:rsid w:val="00011CF2"/>
    <w:rsid w:val="00014DED"/>
    <w:rsid w:val="00040A1A"/>
    <w:rsid w:val="000850B4"/>
    <w:rsid w:val="00085A3A"/>
    <w:rsid w:val="000947FB"/>
    <w:rsid w:val="00096F02"/>
    <w:rsid w:val="000A3D8D"/>
    <w:rsid w:val="000C1893"/>
    <w:rsid w:val="000F4598"/>
    <w:rsid w:val="00120163"/>
    <w:rsid w:val="001433DC"/>
    <w:rsid w:val="001542E0"/>
    <w:rsid w:val="00163D51"/>
    <w:rsid w:val="0017527F"/>
    <w:rsid w:val="0019729C"/>
    <w:rsid w:val="001A2BF9"/>
    <w:rsid w:val="00215AA4"/>
    <w:rsid w:val="0022552C"/>
    <w:rsid w:val="00231D29"/>
    <w:rsid w:val="002A4123"/>
    <w:rsid w:val="002D6A8E"/>
    <w:rsid w:val="002E7061"/>
    <w:rsid w:val="003219CD"/>
    <w:rsid w:val="003304EE"/>
    <w:rsid w:val="00350F11"/>
    <w:rsid w:val="003921E1"/>
    <w:rsid w:val="003972E1"/>
    <w:rsid w:val="003D13A5"/>
    <w:rsid w:val="003D43A8"/>
    <w:rsid w:val="00426D27"/>
    <w:rsid w:val="0047124B"/>
    <w:rsid w:val="00530872"/>
    <w:rsid w:val="005559F8"/>
    <w:rsid w:val="00557F93"/>
    <w:rsid w:val="00576926"/>
    <w:rsid w:val="00586105"/>
    <w:rsid w:val="0059661B"/>
    <w:rsid w:val="005F4BEF"/>
    <w:rsid w:val="00605E45"/>
    <w:rsid w:val="00636508"/>
    <w:rsid w:val="00662E92"/>
    <w:rsid w:val="006A5EA7"/>
    <w:rsid w:val="006D7279"/>
    <w:rsid w:val="006F4BE0"/>
    <w:rsid w:val="00700660"/>
    <w:rsid w:val="0072078D"/>
    <w:rsid w:val="0074286D"/>
    <w:rsid w:val="00771B4F"/>
    <w:rsid w:val="00774109"/>
    <w:rsid w:val="00790378"/>
    <w:rsid w:val="007C5AFA"/>
    <w:rsid w:val="007D62CA"/>
    <w:rsid w:val="007E1AF0"/>
    <w:rsid w:val="007E21BD"/>
    <w:rsid w:val="00800421"/>
    <w:rsid w:val="008226C7"/>
    <w:rsid w:val="008353D4"/>
    <w:rsid w:val="00837CA4"/>
    <w:rsid w:val="00862D8D"/>
    <w:rsid w:val="008A4CA2"/>
    <w:rsid w:val="008D4269"/>
    <w:rsid w:val="008E4D32"/>
    <w:rsid w:val="00941FF0"/>
    <w:rsid w:val="009615A2"/>
    <w:rsid w:val="00977271"/>
    <w:rsid w:val="009A4B5A"/>
    <w:rsid w:val="009B02CF"/>
    <w:rsid w:val="009B195F"/>
    <w:rsid w:val="009B5E9A"/>
    <w:rsid w:val="009D4644"/>
    <w:rsid w:val="009D6828"/>
    <w:rsid w:val="009D68BC"/>
    <w:rsid w:val="009D7CA9"/>
    <w:rsid w:val="00A05745"/>
    <w:rsid w:val="00A11026"/>
    <w:rsid w:val="00A3400A"/>
    <w:rsid w:val="00A37E45"/>
    <w:rsid w:val="00A443B8"/>
    <w:rsid w:val="00A46186"/>
    <w:rsid w:val="00A53567"/>
    <w:rsid w:val="00A61EBB"/>
    <w:rsid w:val="00AC52F7"/>
    <w:rsid w:val="00AE053B"/>
    <w:rsid w:val="00AE53BA"/>
    <w:rsid w:val="00AF1080"/>
    <w:rsid w:val="00B040F1"/>
    <w:rsid w:val="00B77059"/>
    <w:rsid w:val="00B85C6E"/>
    <w:rsid w:val="00B94B7B"/>
    <w:rsid w:val="00BA55EC"/>
    <w:rsid w:val="00BF3091"/>
    <w:rsid w:val="00C17B20"/>
    <w:rsid w:val="00C24EDB"/>
    <w:rsid w:val="00C37A7A"/>
    <w:rsid w:val="00C44864"/>
    <w:rsid w:val="00C4494A"/>
    <w:rsid w:val="00C6185E"/>
    <w:rsid w:val="00C826DD"/>
    <w:rsid w:val="00C84CF0"/>
    <w:rsid w:val="00CC68CE"/>
    <w:rsid w:val="00CC69AF"/>
    <w:rsid w:val="00D074CA"/>
    <w:rsid w:val="00D12266"/>
    <w:rsid w:val="00D25653"/>
    <w:rsid w:val="00D3514F"/>
    <w:rsid w:val="00D73D5F"/>
    <w:rsid w:val="00D80FF0"/>
    <w:rsid w:val="00DF038C"/>
    <w:rsid w:val="00E152E0"/>
    <w:rsid w:val="00E46F62"/>
    <w:rsid w:val="00E5042C"/>
    <w:rsid w:val="00E96874"/>
    <w:rsid w:val="00EB4109"/>
    <w:rsid w:val="00EE427E"/>
    <w:rsid w:val="00F469D7"/>
    <w:rsid w:val="00F7255C"/>
    <w:rsid w:val="00F7363C"/>
    <w:rsid w:val="00FC21E8"/>
    <w:rsid w:val="01091B07"/>
    <w:rsid w:val="010B7647"/>
    <w:rsid w:val="01134476"/>
    <w:rsid w:val="01717790"/>
    <w:rsid w:val="01794D82"/>
    <w:rsid w:val="01797F87"/>
    <w:rsid w:val="018D29C3"/>
    <w:rsid w:val="01933587"/>
    <w:rsid w:val="01AF01FF"/>
    <w:rsid w:val="01C75DEB"/>
    <w:rsid w:val="01C83B0A"/>
    <w:rsid w:val="01CF059B"/>
    <w:rsid w:val="01E955CB"/>
    <w:rsid w:val="01F14386"/>
    <w:rsid w:val="01F43E50"/>
    <w:rsid w:val="01F51F4E"/>
    <w:rsid w:val="01FD7E4B"/>
    <w:rsid w:val="020D7E96"/>
    <w:rsid w:val="021B0367"/>
    <w:rsid w:val="02215589"/>
    <w:rsid w:val="022C431F"/>
    <w:rsid w:val="023F4F84"/>
    <w:rsid w:val="024D3401"/>
    <w:rsid w:val="0254430A"/>
    <w:rsid w:val="029D5E2C"/>
    <w:rsid w:val="02A3294B"/>
    <w:rsid w:val="02A910F7"/>
    <w:rsid w:val="02AA597E"/>
    <w:rsid w:val="02B524D4"/>
    <w:rsid w:val="02E31D33"/>
    <w:rsid w:val="02FB4D0C"/>
    <w:rsid w:val="02FE031F"/>
    <w:rsid w:val="030623BB"/>
    <w:rsid w:val="031B0350"/>
    <w:rsid w:val="033E556B"/>
    <w:rsid w:val="035D1960"/>
    <w:rsid w:val="035E4919"/>
    <w:rsid w:val="0363464D"/>
    <w:rsid w:val="036F2ECB"/>
    <w:rsid w:val="039564ED"/>
    <w:rsid w:val="03C350C4"/>
    <w:rsid w:val="03C52279"/>
    <w:rsid w:val="03E017D2"/>
    <w:rsid w:val="03F16552"/>
    <w:rsid w:val="04031410"/>
    <w:rsid w:val="040700A1"/>
    <w:rsid w:val="04114A69"/>
    <w:rsid w:val="04161369"/>
    <w:rsid w:val="04170672"/>
    <w:rsid w:val="042C5C94"/>
    <w:rsid w:val="044A30F0"/>
    <w:rsid w:val="044B056C"/>
    <w:rsid w:val="045839BC"/>
    <w:rsid w:val="0463308D"/>
    <w:rsid w:val="04644FF1"/>
    <w:rsid w:val="046D03D3"/>
    <w:rsid w:val="046D2BFE"/>
    <w:rsid w:val="04721F80"/>
    <w:rsid w:val="047630A0"/>
    <w:rsid w:val="0493563A"/>
    <w:rsid w:val="04A0065F"/>
    <w:rsid w:val="04B01EBC"/>
    <w:rsid w:val="04BA2023"/>
    <w:rsid w:val="04BF27F9"/>
    <w:rsid w:val="04C73020"/>
    <w:rsid w:val="04D813D4"/>
    <w:rsid w:val="04E4091F"/>
    <w:rsid w:val="04E85A0D"/>
    <w:rsid w:val="04FA148E"/>
    <w:rsid w:val="05062B81"/>
    <w:rsid w:val="0513341E"/>
    <w:rsid w:val="051E2855"/>
    <w:rsid w:val="05201E81"/>
    <w:rsid w:val="05240C70"/>
    <w:rsid w:val="05360016"/>
    <w:rsid w:val="053A44EF"/>
    <w:rsid w:val="0549046A"/>
    <w:rsid w:val="054C303D"/>
    <w:rsid w:val="055D4BEB"/>
    <w:rsid w:val="056E7017"/>
    <w:rsid w:val="05726DA2"/>
    <w:rsid w:val="05750060"/>
    <w:rsid w:val="057941B5"/>
    <w:rsid w:val="057F6C65"/>
    <w:rsid w:val="05801320"/>
    <w:rsid w:val="058368B9"/>
    <w:rsid w:val="05845B9E"/>
    <w:rsid w:val="05900DC9"/>
    <w:rsid w:val="059534D8"/>
    <w:rsid w:val="059D5366"/>
    <w:rsid w:val="05A31EE6"/>
    <w:rsid w:val="05A51452"/>
    <w:rsid w:val="05C4673D"/>
    <w:rsid w:val="05DC7463"/>
    <w:rsid w:val="05EF03F3"/>
    <w:rsid w:val="05F409DD"/>
    <w:rsid w:val="06052BD6"/>
    <w:rsid w:val="06081B99"/>
    <w:rsid w:val="06177D1B"/>
    <w:rsid w:val="061833C2"/>
    <w:rsid w:val="061C1C5A"/>
    <w:rsid w:val="06246B78"/>
    <w:rsid w:val="062E4802"/>
    <w:rsid w:val="06415BD2"/>
    <w:rsid w:val="0643381A"/>
    <w:rsid w:val="064967D6"/>
    <w:rsid w:val="064F4191"/>
    <w:rsid w:val="06552D09"/>
    <w:rsid w:val="065A1D10"/>
    <w:rsid w:val="06802946"/>
    <w:rsid w:val="06853272"/>
    <w:rsid w:val="06890BFC"/>
    <w:rsid w:val="068D204A"/>
    <w:rsid w:val="068F4F50"/>
    <w:rsid w:val="06982C09"/>
    <w:rsid w:val="06A70AE1"/>
    <w:rsid w:val="06B25DFC"/>
    <w:rsid w:val="06B26D0E"/>
    <w:rsid w:val="06DA4B43"/>
    <w:rsid w:val="06F0266E"/>
    <w:rsid w:val="070B4DB8"/>
    <w:rsid w:val="071C1741"/>
    <w:rsid w:val="072B1C5D"/>
    <w:rsid w:val="07352F2E"/>
    <w:rsid w:val="07446E8B"/>
    <w:rsid w:val="074D53D1"/>
    <w:rsid w:val="07513B92"/>
    <w:rsid w:val="07532853"/>
    <w:rsid w:val="075C49DC"/>
    <w:rsid w:val="07600913"/>
    <w:rsid w:val="076645CB"/>
    <w:rsid w:val="07751E48"/>
    <w:rsid w:val="07763638"/>
    <w:rsid w:val="0777507E"/>
    <w:rsid w:val="07856262"/>
    <w:rsid w:val="078F18C1"/>
    <w:rsid w:val="079401BB"/>
    <w:rsid w:val="079C753C"/>
    <w:rsid w:val="07B2270F"/>
    <w:rsid w:val="07CB3556"/>
    <w:rsid w:val="07DC0323"/>
    <w:rsid w:val="07DF1473"/>
    <w:rsid w:val="07FD02DB"/>
    <w:rsid w:val="07FE3718"/>
    <w:rsid w:val="08203D45"/>
    <w:rsid w:val="082C148A"/>
    <w:rsid w:val="082C79C6"/>
    <w:rsid w:val="083D56DF"/>
    <w:rsid w:val="085C0C65"/>
    <w:rsid w:val="0865227C"/>
    <w:rsid w:val="086667F0"/>
    <w:rsid w:val="086E1878"/>
    <w:rsid w:val="08717842"/>
    <w:rsid w:val="087355F5"/>
    <w:rsid w:val="08840388"/>
    <w:rsid w:val="08884326"/>
    <w:rsid w:val="08A37924"/>
    <w:rsid w:val="08A92345"/>
    <w:rsid w:val="08AC0807"/>
    <w:rsid w:val="08AD2C38"/>
    <w:rsid w:val="08B11389"/>
    <w:rsid w:val="08C21F23"/>
    <w:rsid w:val="08D16932"/>
    <w:rsid w:val="08D619DE"/>
    <w:rsid w:val="09100F5B"/>
    <w:rsid w:val="09133FE4"/>
    <w:rsid w:val="09334556"/>
    <w:rsid w:val="094527CC"/>
    <w:rsid w:val="09521540"/>
    <w:rsid w:val="09551590"/>
    <w:rsid w:val="097906FF"/>
    <w:rsid w:val="09811362"/>
    <w:rsid w:val="098826F0"/>
    <w:rsid w:val="09B67A3F"/>
    <w:rsid w:val="09CE00DF"/>
    <w:rsid w:val="09DC5817"/>
    <w:rsid w:val="09E2267D"/>
    <w:rsid w:val="09EA3FFB"/>
    <w:rsid w:val="09EC4960"/>
    <w:rsid w:val="09F4422A"/>
    <w:rsid w:val="09FF6910"/>
    <w:rsid w:val="0A084334"/>
    <w:rsid w:val="0A130E22"/>
    <w:rsid w:val="0A223977"/>
    <w:rsid w:val="0A2C0839"/>
    <w:rsid w:val="0A5A1518"/>
    <w:rsid w:val="0A7F2508"/>
    <w:rsid w:val="0A82384B"/>
    <w:rsid w:val="0A8C35B5"/>
    <w:rsid w:val="0AB55F29"/>
    <w:rsid w:val="0AB76600"/>
    <w:rsid w:val="0AD55664"/>
    <w:rsid w:val="0AE97F70"/>
    <w:rsid w:val="0AEA6F18"/>
    <w:rsid w:val="0AF16735"/>
    <w:rsid w:val="0AF26EE8"/>
    <w:rsid w:val="0B021D91"/>
    <w:rsid w:val="0B071D3B"/>
    <w:rsid w:val="0B0E0B7C"/>
    <w:rsid w:val="0B2C6FEE"/>
    <w:rsid w:val="0B6376C1"/>
    <w:rsid w:val="0B6C054A"/>
    <w:rsid w:val="0B7773FD"/>
    <w:rsid w:val="0BAE793E"/>
    <w:rsid w:val="0BBF6171"/>
    <w:rsid w:val="0BE015FF"/>
    <w:rsid w:val="0BE336B2"/>
    <w:rsid w:val="0BFC24AD"/>
    <w:rsid w:val="0C2E19AC"/>
    <w:rsid w:val="0C3813E7"/>
    <w:rsid w:val="0C3A7A43"/>
    <w:rsid w:val="0C57217D"/>
    <w:rsid w:val="0C7934D6"/>
    <w:rsid w:val="0C7F4D15"/>
    <w:rsid w:val="0C944036"/>
    <w:rsid w:val="0CA657CC"/>
    <w:rsid w:val="0CB372F6"/>
    <w:rsid w:val="0CB760F2"/>
    <w:rsid w:val="0CBC0A6F"/>
    <w:rsid w:val="0D0E1904"/>
    <w:rsid w:val="0D153B31"/>
    <w:rsid w:val="0D3F34E4"/>
    <w:rsid w:val="0D5033D9"/>
    <w:rsid w:val="0D5470ED"/>
    <w:rsid w:val="0D9B6A81"/>
    <w:rsid w:val="0DB8523C"/>
    <w:rsid w:val="0DB8735C"/>
    <w:rsid w:val="0DC80B12"/>
    <w:rsid w:val="0DCC57DF"/>
    <w:rsid w:val="0DDF0FC7"/>
    <w:rsid w:val="0DE04B4B"/>
    <w:rsid w:val="0DEB4371"/>
    <w:rsid w:val="0E082052"/>
    <w:rsid w:val="0E092375"/>
    <w:rsid w:val="0E165102"/>
    <w:rsid w:val="0E2C1F24"/>
    <w:rsid w:val="0E3745DC"/>
    <w:rsid w:val="0E427247"/>
    <w:rsid w:val="0E4A0396"/>
    <w:rsid w:val="0E4A7674"/>
    <w:rsid w:val="0E700383"/>
    <w:rsid w:val="0E7B1188"/>
    <w:rsid w:val="0E873835"/>
    <w:rsid w:val="0ECC2DBC"/>
    <w:rsid w:val="0ECE329B"/>
    <w:rsid w:val="0EE8685C"/>
    <w:rsid w:val="0EEC0678"/>
    <w:rsid w:val="0EEF0F52"/>
    <w:rsid w:val="0EFE4988"/>
    <w:rsid w:val="0F052688"/>
    <w:rsid w:val="0F1C2731"/>
    <w:rsid w:val="0F1D45FD"/>
    <w:rsid w:val="0F2B44AC"/>
    <w:rsid w:val="0F2D1658"/>
    <w:rsid w:val="0F35327C"/>
    <w:rsid w:val="0F37577A"/>
    <w:rsid w:val="0F4846A7"/>
    <w:rsid w:val="0F5823BB"/>
    <w:rsid w:val="0F6762DD"/>
    <w:rsid w:val="0F685857"/>
    <w:rsid w:val="0F874D4C"/>
    <w:rsid w:val="0FA128A3"/>
    <w:rsid w:val="0FB75ADD"/>
    <w:rsid w:val="0FBD34B7"/>
    <w:rsid w:val="0FE05514"/>
    <w:rsid w:val="0FE94E2E"/>
    <w:rsid w:val="0FFC4624"/>
    <w:rsid w:val="10386B45"/>
    <w:rsid w:val="10443544"/>
    <w:rsid w:val="106E1E55"/>
    <w:rsid w:val="10711094"/>
    <w:rsid w:val="107E7777"/>
    <w:rsid w:val="10985EED"/>
    <w:rsid w:val="10A440DF"/>
    <w:rsid w:val="10AE2AF4"/>
    <w:rsid w:val="10C678AA"/>
    <w:rsid w:val="10D87ECD"/>
    <w:rsid w:val="10E36818"/>
    <w:rsid w:val="10FD76F4"/>
    <w:rsid w:val="111C489C"/>
    <w:rsid w:val="112B060C"/>
    <w:rsid w:val="11370310"/>
    <w:rsid w:val="11395E0D"/>
    <w:rsid w:val="113B724E"/>
    <w:rsid w:val="114A30CB"/>
    <w:rsid w:val="114E01E8"/>
    <w:rsid w:val="11506BBC"/>
    <w:rsid w:val="118A0FD0"/>
    <w:rsid w:val="119D33EE"/>
    <w:rsid w:val="11A049EA"/>
    <w:rsid w:val="11A976A8"/>
    <w:rsid w:val="11B2097E"/>
    <w:rsid w:val="11B322D4"/>
    <w:rsid w:val="11B569AA"/>
    <w:rsid w:val="11BD381D"/>
    <w:rsid w:val="11C22C35"/>
    <w:rsid w:val="11D16BFE"/>
    <w:rsid w:val="11D96B78"/>
    <w:rsid w:val="11F61740"/>
    <w:rsid w:val="11F718FB"/>
    <w:rsid w:val="11FE6D86"/>
    <w:rsid w:val="1201143B"/>
    <w:rsid w:val="12354634"/>
    <w:rsid w:val="12355A90"/>
    <w:rsid w:val="1235687D"/>
    <w:rsid w:val="123829C5"/>
    <w:rsid w:val="128331B4"/>
    <w:rsid w:val="1283439D"/>
    <w:rsid w:val="129D5C89"/>
    <w:rsid w:val="12B10B35"/>
    <w:rsid w:val="12C05F9C"/>
    <w:rsid w:val="12EA0066"/>
    <w:rsid w:val="12F94073"/>
    <w:rsid w:val="13087FF1"/>
    <w:rsid w:val="13246A43"/>
    <w:rsid w:val="134A372A"/>
    <w:rsid w:val="135D359A"/>
    <w:rsid w:val="13A445CA"/>
    <w:rsid w:val="13AD56F4"/>
    <w:rsid w:val="13AE03E3"/>
    <w:rsid w:val="13BA2DB4"/>
    <w:rsid w:val="13DA623E"/>
    <w:rsid w:val="13E23911"/>
    <w:rsid w:val="13E7417C"/>
    <w:rsid w:val="13F10315"/>
    <w:rsid w:val="13F65C64"/>
    <w:rsid w:val="141F76BA"/>
    <w:rsid w:val="14266FB3"/>
    <w:rsid w:val="142E2A3E"/>
    <w:rsid w:val="14347138"/>
    <w:rsid w:val="14414A74"/>
    <w:rsid w:val="14424001"/>
    <w:rsid w:val="145F5E95"/>
    <w:rsid w:val="14783945"/>
    <w:rsid w:val="14A02ECC"/>
    <w:rsid w:val="14B072B5"/>
    <w:rsid w:val="14B10E19"/>
    <w:rsid w:val="14BC1AE4"/>
    <w:rsid w:val="14C52017"/>
    <w:rsid w:val="14D45FFE"/>
    <w:rsid w:val="14FE2676"/>
    <w:rsid w:val="15045DF1"/>
    <w:rsid w:val="151237B6"/>
    <w:rsid w:val="1512665B"/>
    <w:rsid w:val="151735AA"/>
    <w:rsid w:val="15304F6C"/>
    <w:rsid w:val="15373C22"/>
    <w:rsid w:val="153A7B83"/>
    <w:rsid w:val="153C2A6F"/>
    <w:rsid w:val="15424B68"/>
    <w:rsid w:val="15502B95"/>
    <w:rsid w:val="155E4626"/>
    <w:rsid w:val="1562434D"/>
    <w:rsid w:val="15632843"/>
    <w:rsid w:val="15811A0C"/>
    <w:rsid w:val="15AA147F"/>
    <w:rsid w:val="15C063B5"/>
    <w:rsid w:val="15C64795"/>
    <w:rsid w:val="15C66F13"/>
    <w:rsid w:val="15DA454F"/>
    <w:rsid w:val="1612643B"/>
    <w:rsid w:val="16163057"/>
    <w:rsid w:val="16184DFC"/>
    <w:rsid w:val="162B7441"/>
    <w:rsid w:val="162E11B1"/>
    <w:rsid w:val="162F0CBE"/>
    <w:rsid w:val="163118C5"/>
    <w:rsid w:val="16351069"/>
    <w:rsid w:val="167920A5"/>
    <w:rsid w:val="1679767B"/>
    <w:rsid w:val="16980B1D"/>
    <w:rsid w:val="169F4F72"/>
    <w:rsid w:val="16BE5964"/>
    <w:rsid w:val="16D847EC"/>
    <w:rsid w:val="16DA218A"/>
    <w:rsid w:val="16F05D79"/>
    <w:rsid w:val="16FD3C8D"/>
    <w:rsid w:val="170D431B"/>
    <w:rsid w:val="17141A67"/>
    <w:rsid w:val="171E3F27"/>
    <w:rsid w:val="17343534"/>
    <w:rsid w:val="17390AE0"/>
    <w:rsid w:val="17592EC6"/>
    <w:rsid w:val="17671E72"/>
    <w:rsid w:val="176C7826"/>
    <w:rsid w:val="179C1000"/>
    <w:rsid w:val="17A42190"/>
    <w:rsid w:val="17AC4E29"/>
    <w:rsid w:val="17AF20B6"/>
    <w:rsid w:val="17B1375A"/>
    <w:rsid w:val="17C53DBC"/>
    <w:rsid w:val="17C7285C"/>
    <w:rsid w:val="17D246A2"/>
    <w:rsid w:val="17D95CDE"/>
    <w:rsid w:val="17EC4A15"/>
    <w:rsid w:val="18410648"/>
    <w:rsid w:val="185365BF"/>
    <w:rsid w:val="185F3F0B"/>
    <w:rsid w:val="18662C1C"/>
    <w:rsid w:val="1867648F"/>
    <w:rsid w:val="18734287"/>
    <w:rsid w:val="18822BFD"/>
    <w:rsid w:val="18860E82"/>
    <w:rsid w:val="189D590C"/>
    <w:rsid w:val="18B42DFC"/>
    <w:rsid w:val="18C76745"/>
    <w:rsid w:val="18CB096B"/>
    <w:rsid w:val="18F45699"/>
    <w:rsid w:val="18F877F8"/>
    <w:rsid w:val="190714BF"/>
    <w:rsid w:val="19272BA7"/>
    <w:rsid w:val="19321E4C"/>
    <w:rsid w:val="193755BE"/>
    <w:rsid w:val="19B92FAE"/>
    <w:rsid w:val="19C40D7F"/>
    <w:rsid w:val="19C817F9"/>
    <w:rsid w:val="19CF6119"/>
    <w:rsid w:val="19D8714E"/>
    <w:rsid w:val="19DE635C"/>
    <w:rsid w:val="1A001515"/>
    <w:rsid w:val="1A0D711F"/>
    <w:rsid w:val="1A147FD0"/>
    <w:rsid w:val="1A265973"/>
    <w:rsid w:val="1A3131CC"/>
    <w:rsid w:val="1A367F46"/>
    <w:rsid w:val="1A425B23"/>
    <w:rsid w:val="1A542705"/>
    <w:rsid w:val="1A6C4378"/>
    <w:rsid w:val="1A8411DF"/>
    <w:rsid w:val="1A84783C"/>
    <w:rsid w:val="1A8756D4"/>
    <w:rsid w:val="1A9D72F0"/>
    <w:rsid w:val="1AA35F0F"/>
    <w:rsid w:val="1AA648BC"/>
    <w:rsid w:val="1ABE50A5"/>
    <w:rsid w:val="1AC35EBE"/>
    <w:rsid w:val="1ACE6EB3"/>
    <w:rsid w:val="1AD901F6"/>
    <w:rsid w:val="1B0319B8"/>
    <w:rsid w:val="1B127BB7"/>
    <w:rsid w:val="1B2E7406"/>
    <w:rsid w:val="1B302B1E"/>
    <w:rsid w:val="1B365511"/>
    <w:rsid w:val="1B3A0D64"/>
    <w:rsid w:val="1B4F12C0"/>
    <w:rsid w:val="1B6B0A01"/>
    <w:rsid w:val="1B6E4546"/>
    <w:rsid w:val="1B733D28"/>
    <w:rsid w:val="1B743582"/>
    <w:rsid w:val="1B766DA0"/>
    <w:rsid w:val="1B785586"/>
    <w:rsid w:val="1B854CE1"/>
    <w:rsid w:val="1B927D24"/>
    <w:rsid w:val="1B943177"/>
    <w:rsid w:val="1B9457E8"/>
    <w:rsid w:val="1B950128"/>
    <w:rsid w:val="1B9C179E"/>
    <w:rsid w:val="1B9E475B"/>
    <w:rsid w:val="1BA716AD"/>
    <w:rsid w:val="1BA71D08"/>
    <w:rsid w:val="1BB53ACF"/>
    <w:rsid w:val="1BB77D94"/>
    <w:rsid w:val="1BB8113F"/>
    <w:rsid w:val="1BBA2AB1"/>
    <w:rsid w:val="1BCA12AE"/>
    <w:rsid w:val="1BD3718D"/>
    <w:rsid w:val="1BD61CF0"/>
    <w:rsid w:val="1C192449"/>
    <w:rsid w:val="1C1F20D0"/>
    <w:rsid w:val="1C22664F"/>
    <w:rsid w:val="1C2F07A7"/>
    <w:rsid w:val="1C424836"/>
    <w:rsid w:val="1C435D8C"/>
    <w:rsid w:val="1C4F330E"/>
    <w:rsid w:val="1C7E358B"/>
    <w:rsid w:val="1C7F6B9F"/>
    <w:rsid w:val="1C8D5C1C"/>
    <w:rsid w:val="1C915017"/>
    <w:rsid w:val="1C93691E"/>
    <w:rsid w:val="1C9B0FF1"/>
    <w:rsid w:val="1CAC40D4"/>
    <w:rsid w:val="1CB0195B"/>
    <w:rsid w:val="1CB30F51"/>
    <w:rsid w:val="1CB909E7"/>
    <w:rsid w:val="1CCC31F3"/>
    <w:rsid w:val="1CDF6673"/>
    <w:rsid w:val="1CE6480C"/>
    <w:rsid w:val="1CE67C4D"/>
    <w:rsid w:val="1D047F8F"/>
    <w:rsid w:val="1D2E234D"/>
    <w:rsid w:val="1D3D3D70"/>
    <w:rsid w:val="1D471B2F"/>
    <w:rsid w:val="1D4825ED"/>
    <w:rsid w:val="1D4F4329"/>
    <w:rsid w:val="1D587E2B"/>
    <w:rsid w:val="1D722B62"/>
    <w:rsid w:val="1D730C40"/>
    <w:rsid w:val="1D841EA3"/>
    <w:rsid w:val="1D9F192C"/>
    <w:rsid w:val="1DA311A3"/>
    <w:rsid w:val="1DA467A6"/>
    <w:rsid w:val="1DB92CFC"/>
    <w:rsid w:val="1DC72859"/>
    <w:rsid w:val="1DD428EE"/>
    <w:rsid w:val="1DF12250"/>
    <w:rsid w:val="1E002183"/>
    <w:rsid w:val="1E055DCA"/>
    <w:rsid w:val="1E1265D5"/>
    <w:rsid w:val="1E221446"/>
    <w:rsid w:val="1E3B0799"/>
    <w:rsid w:val="1E45469F"/>
    <w:rsid w:val="1E567EE4"/>
    <w:rsid w:val="1E9D3803"/>
    <w:rsid w:val="1E9E4F48"/>
    <w:rsid w:val="1EA46A2E"/>
    <w:rsid w:val="1EA9614A"/>
    <w:rsid w:val="1EAC0530"/>
    <w:rsid w:val="1EAE34DA"/>
    <w:rsid w:val="1EB0172E"/>
    <w:rsid w:val="1EB056CB"/>
    <w:rsid w:val="1EB17182"/>
    <w:rsid w:val="1EC238D2"/>
    <w:rsid w:val="1EC86D20"/>
    <w:rsid w:val="1ECF3C95"/>
    <w:rsid w:val="1ED503B4"/>
    <w:rsid w:val="1ED850FC"/>
    <w:rsid w:val="1EE32352"/>
    <w:rsid w:val="1EE46C82"/>
    <w:rsid w:val="1EF72F7E"/>
    <w:rsid w:val="1F0A03D8"/>
    <w:rsid w:val="1F290B84"/>
    <w:rsid w:val="1F297729"/>
    <w:rsid w:val="1F2D0771"/>
    <w:rsid w:val="1F424AF3"/>
    <w:rsid w:val="1F60418F"/>
    <w:rsid w:val="1F6C7003"/>
    <w:rsid w:val="1F7A092C"/>
    <w:rsid w:val="1F93683D"/>
    <w:rsid w:val="1FB01A2F"/>
    <w:rsid w:val="1FB91CD8"/>
    <w:rsid w:val="1FCE585A"/>
    <w:rsid w:val="1FE8434F"/>
    <w:rsid w:val="1FFE52ED"/>
    <w:rsid w:val="20007004"/>
    <w:rsid w:val="201B3E66"/>
    <w:rsid w:val="20253ACC"/>
    <w:rsid w:val="203171E6"/>
    <w:rsid w:val="203C2624"/>
    <w:rsid w:val="204F3E74"/>
    <w:rsid w:val="2053130C"/>
    <w:rsid w:val="20540925"/>
    <w:rsid w:val="206C2864"/>
    <w:rsid w:val="206C6470"/>
    <w:rsid w:val="206D246A"/>
    <w:rsid w:val="2076109D"/>
    <w:rsid w:val="20977559"/>
    <w:rsid w:val="20AA6F98"/>
    <w:rsid w:val="20B823E5"/>
    <w:rsid w:val="20CD410B"/>
    <w:rsid w:val="20E7585A"/>
    <w:rsid w:val="21103D76"/>
    <w:rsid w:val="211A7195"/>
    <w:rsid w:val="21210FA5"/>
    <w:rsid w:val="212C1FA5"/>
    <w:rsid w:val="212E5975"/>
    <w:rsid w:val="21334CD5"/>
    <w:rsid w:val="21470C8B"/>
    <w:rsid w:val="21484306"/>
    <w:rsid w:val="216C7309"/>
    <w:rsid w:val="216F5D18"/>
    <w:rsid w:val="2171013C"/>
    <w:rsid w:val="21781481"/>
    <w:rsid w:val="219F5F57"/>
    <w:rsid w:val="21A41C03"/>
    <w:rsid w:val="21A6181E"/>
    <w:rsid w:val="21A9695D"/>
    <w:rsid w:val="21AD6D40"/>
    <w:rsid w:val="21CE21DF"/>
    <w:rsid w:val="21D7200F"/>
    <w:rsid w:val="21EE7685"/>
    <w:rsid w:val="21F4496F"/>
    <w:rsid w:val="21FC677C"/>
    <w:rsid w:val="220C323B"/>
    <w:rsid w:val="220F0E51"/>
    <w:rsid w:val="2226260E"/>
    <w:rsid w:val="223A42D8"/>
    <w:rsid w:val="22447B30"/>
    <w:rsid w:val="224C5BD7"/>
    <w:rsid w:val="224F4E62"/>
    <w:rsid w:val="22576A58"/>
    <w:rsid w:val="226D77B8"/>
    <w:rsid w:val="227071BD"/>
    <w:rsid w:val="22821F7B"/>
    <w:rsid w:val="22A470D9"/>
    <w:rsid w:val="22C23062"/>
    <w:rsid w:val="22CA3BCD"/>
    <w:rsid w:val="22DC1692"/>
    <w:rsid w:val="22ED7E98"/>
    <w:rsid w:val="22F70B22"/>
    <w:rsid w:val="23137D1B"/>
    <w:rsid w:val="23311B6F"/>
    <w:rsid w:val="23463DEE"/>
    <w:rsid w:val="234D2294"/>
    <w:rsid w:val="23673237"/>
    <w:rsid w:val="23704547"/>
    <w:rsid w:val="238B4FD2"/>
    <w:rsid w:val="23CF13A9"/>
    <w:rsid w:val="23D95DA0"/>
    <w:rsid w:val="23DC1638"/>
    <w:rsid w:val="24030E99"/>
    <w:rsid w:val="240C2057"/>
    <w:rsid w:val="24204701"/>
    <w:rsid w:val="242401BA"/>
    <w:rsid w:val="24354BAA"/>
    <w:rsid w:val="24374FE7"/>
    <w:rsid w:val="243F1A13"/>
    <w:rsid w:val="24405F70"/>
    <w:rsid w:val="244349D7"/>
    <w:rsid w:val="245956A4"/>
    <w:rsid w:val="24706EF2"/>
    <w:rsid w:val="24853463"/>
    <w:rsid w:val="24E15B5E"/>
    <w:rsid w:val="24FA22FE"/>
    <w:rsid w:val="250017E5"/>
    <w:rsid w:val="25054827"/>
    <w:rsid w:val="250B1AA6"/>
    <w:rsid w:val="250C7D63"/>
    <w:rsid w:val="25215429"/>
    <w:rsid w:val="2529078F"/>
    <w:rsid w:val="252A7694"/>
    <w:rsid w:val="2536183B"/>
    <w:rsid w:val="25627E42"/>
    <w:rsid w:val="25681B91"/>
    <w:rsid w:val="256A7C85"/>
    <w:rsid w:val="257B1DF5"/>
    <w:rsid w:val="258372C4"/>
    <w:rsid w:val="25872DBE"/>
    <w:rsid w:val="259C219D"/>
    <w:rsid w:val="25B409EE"/>
    <w:rsid w:val="25B57373"/>
    <w:rsid w:val="25CC7C15"/>
    <w:rsid w:val="25CD7C57"/>
    <w:rsid w:val="25CE197B"/>
    <w:rsid w:val="25DD0A31"/>
    <w:rsid w:val="25FC2044"/>
    <w:rsid w:val="260E5CF1"/>
    <w:rsid w:val="262C1A40"/>
    <w:rsid w:val="26491686"/>
    <w:rsid w:val="266871E4"/>
    <w:rsid w:val="26815AAE"/>
    <w:rsid w:val="26826C05"/>
    <w:rsid w:val="26CC5EBA"/>
    <w:rsid w:val="26EB73DF"/>
    <w:rsid w:val="26ED4743"/>
    <w:rsid w:val="26EE4679"/>
    <w:rsid w:val="272E0923"/>
    <w:rsid w:val="27567DFE"/>
    <w:rsid w:val="275B49B9"/>
    <w:rsid w:val="27757A01"/>
    <w:rsid w:val="279F26BA"/>
    <w:rsid w:val="27A024E8"/>
    <w:rsid w:val="27AA22FF"/>
    <w:rsid w:val="27C70926"/>
    <w:rsid w:val="27D04A73"/>
    <w:rsid w:val="27DE76B0"/>
    <w:rsid w:val="28097B61"/>
    <w:rsid w:val="28107A1C"/>
    <w:rsid w:val="281D5663"/>
    <w:rsid w:val="281E4F04"/>
    <w:rsid w:val="282271E4"/>
    <w:rsid w:val="28236FA1"/>
    <w:rsid w:val="28303F3A"/>
    <w:rsid w:val="28326EAE"/>
    <w:rsid w:val="2835626E"/>
    <w:rsid w:val="28426EB9"/>
    <w:rsid w:val="284274C6"/>
    <w:rsid w:val="28673F7C"/>
    <w:rsid w:val="287922EE"/>
    <w:rsid w:val="28825D43"/>
    <w:rsid w:val="288709FA"/>
    <w:rsid w:val="28924CE7"/>
    <w:rsid w:val="28AB1B51"/>
    <w:rsid w:val="28CF4A39"/>
    <w:rsid w:val="28D24B5F"/>
    <w:rsid w:val="28E76FDC"/>
    <w:rsid w:val="291C171C"/>
    <w:rsid w:val="293D4E4D"/>
    <w:rsid w:val="29405DEA"/>
    <w:rsid w:val="294B1F3F"/>
    <w:rsid w:val="29671ECA"/>
    <w:rsid w:val="29691E2F"/>
    <w:rsid w:val="29C92B9D"/>
    <w:rsid w:val="29CB1C75"/>
    <w:rsid w:val="29CB29C4"/>
    <w:rsid w:val="29D901AB"/>
    <w:rsid w:val="29DB27FE"/>
    <w:rsid w:val="29F07D64"/>
    <w:rsid w:val="2A187751"/>
    <w:rsid w:val="2A28315D"/>
    <w:rsid w:val="2A2C30D2"/>
    <w:rsid w:val="2A305031"/>
    <w:rsid w:val="2A32072A"/>
    <w:rsid w:val="2A353339"/>
    <w:rsid w:val="2A517607"/>
    <w:rsid w:val="2A542A52"/>
    <w:rsid w:val="2A6E0B99"/>
    <w:rsid w:val="2A6F25E6"/>
    <w:rsid w:val="2A772AB6"/>
    <w:rsid w:val="2A8265E4"/>
    <w:rsid w:val="2AB22E24"/>
    <w:rsid w:val="2ABC10A8"/>
    <w:rsid w:val="2ACA34DD"/>
    <w:rsid w:val="2ADA66CC"/>
    <w:rsid w:val="2AE059D3"/>
    <w:rsid w:val="2AEF073F"/>
    <w:rsid w:val="2AF5218C"/>
    <w:rsid w:val="2B183DCB"/>
    <w:rsid w:val="2B197A40"/>
    <w:rsid w:val="2B2D4541"/>
    <w:rsid w:val="2B3538EE"/>
    <w:rsid w:val="2B5A0740"/>
    <w:rsid w:val="2B600BB9"/>
    <w:rsid w:val="2B626CEC"/>
    <w:rsid w:val="2B6B482B"/>
    <w:rsid w:val="2B717970"/>
    <w:rsid w:val="2B7229D1"/>
    <w:rsid w:val="2B747B73"/>
    <w:rsid w:val="2B8D373E"/>
    <w:rsid w:val="2B947980"/>
    <w:rsid w:val="2B956E74"/>
    <w:rsid w:val="2BB4374E"/>
    <w:rsid w:val="2BBF2B2C"/>
    <w:rsid w:val="2BC12B90"/>
    <w:rsid w:val="2BCC491D"/>
    <w:rsid w:val="2BD917FA"/>
    <w:rsid w:val="2BDD5CB8"/>
    <w:rsid w:val="2BE32839"/>
    <w:rsid w:val="2BEC546B"/>
    <w:rsid w:val="2C074769"/>
    <w:rsid w:val="2C1A7B53"/>
    <w:rsid w:val="2C2B64D6"/>
    <w:rsid w:val="2C3257C2"/>
    <w:rsid w:val="2C326365"/>
    <w:rsid w:val="2C382A68"/>
    <w:rsid w:val="2C3D1073"/>
    <w:rsid w:val="2C487A80"/>
    <w:rsid w:val="2C524CE7"/>
    <w:rsid w:val="2C55459B"/>
    <w:rsid w:val="2C6131A3"/>
    <w:rsid w:val="2C684258"/>
    <w:rsid w:val="2C6A6005"/>
    <w:rsid w:val="2C7238BB"/>
    <w:rsid w:val="2C7B4A2B"/>
    <w:rsid w:val="2C8F4AD2"/>
    <w:rsid w:val="2C9E46F4"/>
    <w:rsid w:val="2CA23816"/>
    <w:rsid w:val="2CB61E19"/>
    <w:rsid w:val="2CC1365C"/>
    <w:rsid w:val="2CC160AE"/>
    <w:rsid w:val="2CC56806"/>
    <w:rsid w:val="2CCD4B0F"/>
    <w:rsid w:val="2CE03A77"/>
    <w:rsid w:val="2CE864EC"/>
    <w:rsid w:val="2CEB776B"/>
    <w:rsid w:val="2D054E87"/>
    <w:rsid w:val="2D0A596A"/>
    <w:rsid w:val="2D267FA7"/>
    <w:rsid w:val="2D770CC0"/>
    <w:rsid w:val="2D7A3741"/>
    <w:rsid w:val="2D8B3DAC"/>
    <w:rsid w:val="2D937732"/>
    <w:rsid w:val="2DA2535C"/>
    <w:rsid w:val="2DB670BA"/>
    <w:rsid w:val="2DDD0DF2"/>
    <w:rsid w:val="2DE53153"/>
    <w:rsid w:val="2DF473AF"/>
    <w:rsid w:val="2E261BFF"/>
    <w:rsid w:val="2E5A4A6A"/>
    <w:rsid w:val="2E653D29"/>
    <w:rsid w:val="2E7C7762"/>
    <w:rsid w:val="2E7E454C"/>
    <w:rsid w:val="2E8801EB"/>
    <w:rsid w:val="2E9A45C3"/>
    <w:rsid w:val="2EAB4607"/>
    <w:rsid w:val="2EB77014"/>
    <w:rsid w:val="2EC55E6C"/>
    <w:rsid w:val="2EF6065B"/>
    <w:rsid w:val="2F112E1A"/>
    <w:rsid w:val="2F2047D6"/>
    <w:rsid w:val="2F2847ED"/>
    <w:rsid w:val="2F3E157E"/>
    <w:rsid w:val="2F3F6C64"/>
    <w:rsid w:val="2F5F5C88"/>
    <w:rsid w:val="2F765055"/>
    <w:rsid w:val="2F7B3FC9"/>
    <w:rsid w:val="2F7F5115"/>
    <w:rsid w:val="2F8135BA"/>
    <w:rsid w:val="2FCB0F0A"/>
    <w:rsid w:val="2FEF1AE4"/>
    <w:rsid w:val="2FF64FD7"/>
    <w:rsid w:val="2FF870E4"/>
    <w:rsid w:val="30057EB0"/>
    <w:rsid w:val="300F5631"/>
    <w:rsid w:val="30117AF1"/>
    <w:rsid w:val="303B19BB"/>
    <w:rsid w:val="303D65C8"/>
    <w:rsid w:val="30680FD1"/>
    <w:rsid w:val="30722C62"/>
    <w:rsid w:val="30744FEF"/>
    <w:rsid w:val="30831046"/>
    <w:rsid w:val="308A0BA9"/>
    <w:rsid w:val="308B3429"/>
    <w:rsid w:val="309155D4"/>
    <w:rsid w:val="30994B76"/>
    <w:rsid w:val="30B50208"/>
    <w:rsid w:val="30CB59EF"/>
    <w:rsid w:val="30E87F18"/>
    <w:rsid w:val="30F473FB"/>
    <w:rsid w:val="311C3AA5"/>
    <w:rsid w:val="31254B89"/>
    <w:rsid w:val="312A6DB7"/>
    <w:rsid w:val="31546677"/>
    <w:rsid w:val="315F792B"/>
    <w:rsid w:val="3166797B"/>
    <w:rsid w:val="317675B8"/>
    <w:rsid w:val="31770F76"/>
    <w:rsid w:val="317D1B20"/>
    <w:rsid w:val="31974177"/>
    <w:rsid w:val="31A15019"/>
    <w:rsid w:val="31A1550F"/>
    <w:rsid w:val="31B80C15"/>
    <w:rsid w:val="31BE7AB8"/>
    <w:rsid w:val="31C90E3F"/>
    <w:rsid w:val="31D43E75"/>
    <w:rsid w:val="31E43039"/>
    <w:rsid w:val="31E47D40"/>
    <w:rsid w:val="32255414"/>
    <w:rsid w:val="323F32FA"/>
    <w:rsid w:val="3245575B"/>
    <w:rsid w:val="324C4465"/>
    <w:rsid w:val="326E42CA"/>
    <w:rsid w:val="327C3AEC"/>
    <w:rsid w:val="32925726"/>
    <w:rsid w:val="329939DF"/>
    <w:rsid w:val="32AA2E28"/>
    <w:rsid w:val="32B02800"/>
    <w:rsid w:val="32C223E2"/>
    <w:rsid w:val="32C40EC2"/>
    <w:rsid w:val="32CD3ADA"/>
    <w:rsid w:val="32D35A51"/>
    <w:rsid w:val="32E15130"/>
    <w:rsid w:val="32E427DE"/>
    <w:rsid w:val="32EE71B8"/>
    <w:rsid w:val="32F92D2A"/>
    <w:rsid w:val="32FB508A"/>
    <w:rsid w:val="33081EF9"/>
    <w:rsid w:val="33082C54"/>
    <w:rsid w:val="331210F9"/>
    <w:rsid w:val="331309CD"/>
    <w:rsid w:val="33161375"/>
    <w:rsid w:val="33221D33"/>
    <w:rsid w:val="3325122F"/>
    <w:rsid w:val="332D4B83"/>
    <w:rsid w:val="33495BB0"/>
    <w:rsid w:val="33753436"/>
    <w:rsid w:val="338B2903"/>
    <w:rsid w:val="33A20817"/>
    <w:rsid w:val="33A90C4E"/>
    <w:rsid w:val="33B32751"/>
    <w:rsid w:val="33B42F7F"/>
    <w:rsid w:val="33C6112F"/>
    <w:rsid w:val="33CA3652"/>
    <w:rsid w:val="33CB577F"/>
    <w:rsid w:val="33D11076"/>
    <w:rsid w:val="33E32945"/>
    <w:rsid w:val="33EC7B9C"/>
    <w:rsid w:val="340E5D39"/>
    <w:rsid w:val="34212C85"/>
    <w:rsid w:val="342464DC"/>
    <w:rsid w:val="34282136"/>
    <w:rsid w:val="342E48ED"/>
    <w:rsid w:val="345843A8"/>
    <w:rsid w:val="345E766E"/>
    <w:rsid w:val="34722142"/>
    <w:rsid w:val="348155C1"/>
    <w:rsid w:val="348F0527"/>
    <w:rsid w:val="34911DE8"/>
    <w:rsid w:val="34BF5C98"/>
    <w:rsid w:val="34E25B61"/>
    <w:rsid w:val="34F423E6"/>
    <w:rsid w:val="351F7605"/>
    <w:rsid w:val="352B48CC"/>
    <w:rsid w:val="3532729D"/>
    <w:rsid w:val="35357CB0"/>
    <w:rsid w:val="35441312"/>
    <w:rsid w:val="35694BE7"/>
    <w:rsid w:val="35964D24"/>
    <w:rsid w:val="359F050C"/>
    <w:rsid w:val="35D75D81"/>
    <w:rsid w:val="35D947DD"/>
    <w:rsid w:val="35E27934"/>
    <w:rsid w:val="35E57356"/>
    <w:rsid w:val="360E7B4B"/>
    <w:rsid w:val="361A7EDB"/>
    <w:rsid w:val="3620523A"/>
    <w:rsid w:val="36510D03"/>
    <w:rsid w:val="36511242"/>
    <w:rsid w:val="36555D65"/>
    <w:rsid w:val="369A1CFE"/>
    <w:rsid w:val="36A57E7F"/>
    <w:rsid w:val="36CB3943"/>
    <w:rsid w:val="36CC35C8"/>
    <w:rsid w:val="36D97406"/>
    <w:rsid w:val="36DF7C6D"/>
    <w:rsid w:val="36E2460C"/>
    <w:rsid w:val="371E2D73"/>
    <w:rsid w:val="372F2011"/>
    <w:rsid w:val="373628D7"/>
    <w:rsid w:val="37444327"/>
    <w:rsid w:val="37517D16"/>
    <w:rsid w:val="376212ED"/>
    <w:rsid w:val="376D3CDD"/>
    <w:rsid w:val="37884ECC"/>
    <w:rsid w:val="378B1180"/>
    <w:rsid w:val="378B6B48"/>
    <w:rsid w:val="378C2D5C"/>
    <w:rsid w:val="378C4907"/>
    <w:rsid w:val="378F0B0D"/>
    <w:rsid w:val="37A548C2"/>
    <w:rsid w:val="37BA502B"/>
    <w:rsid w:val="37D10AF0"/>
    <w:rsid w:val="37D757FC"/>
    <w:rsid w:val="37D8560C"/>
    <w:rsid w:val="37E15433"/>
    <w:rsid w:val="37E445B6"/>
    <w:rsid w:val="37F5365E"/>
    <w:rsid w:val="37FB08ED"/>
    <w:rsid w:val="383079A9"/>
    <w:rsid w:val="38314670"/>
    <w:rsid w:val="383218F5"/>
    <w:rsid w:val="38523D46"/>
    <w:rsid w:val="38535987"/>
    <w:rsid w:val="38595A62"/>
    <w:rsid w:val="385E7446"/>
    <w:rsid w:val="38600325"/>
    <w:rsid w:val="38685BDF"/>
    <w:rsid w:val="386D6059"/>
    <w:rsid w:val="387C5EEA"/>
    <w:rsid w:val="388E7486"/>
    <w:rsid w:val="38993C8D"/>
    <w:rsid w:val="38A96D4F"/>
    <w:rsid w:val="38B745D2"/>
    <w:rsid w:val="38BB1E2D"/>
    <w:rsid w:val="38C33E9C"/>
    <w:rsid w:val="38C47EDD"/>
    <w:rsid w:val="38C8656B"/>
    <w:rsid w:val="38D34AA3"/>
    <w:rsid w:val="38E072C7"/>
    <w:rsid w:val="38F70A7E"/>
    <w:rsid w:val="38FC1ED7"/>
    <w:rsid w:val="3927754F"/>
    <w:rsid w:val="3934527E"/>
    <w:rsid w:val="39494947"/>
    <w:rsid w:val="3949562C"/>
    <w:rsid w:val="394C3A06"/>
    <w:rsid w:val="3952214B"/>
    <w:rsid w:val="395C45BA"/>
    <w:rsid w:val="397D3766"/>
    <w:rsid w:val="39903C18"/>
    <w:rsid w:val="39A10F3D"/>
    <w:rsid w:val="39A31AF0"/>
    <w:rsid w:val="39B10A6B"/>
    <w:rsid w:val="39BB4735"/>
    <w:rsid w:val="39D96E81"/>
    <w:rsid w:val="39FC13BE"/>
    <w:rsid w:val="3A0B78A5"/>
    <w:rsid w:val="3A0F6378"/>
    <w:rsid w:val="3A3876C4"/>
    <w:rsid w:val="3A402C7E"/>
    <w:rsid w:val="3A4F5FA1"/>
    <w:rsid w:val="3A560EB0"/>
    <w:rsid w:val="3A9549DC"/>
    <w:rsid w:val="3AB3146D"/>
    <w:rsid w:val="3AC1484D"/>
    <w:rsid w:val="3AC76401"/>
    <w:rsid w:val="3AC9105E"/>
    <w:rsid w:val="3AEE7C53"/>
    <w:rsid w:val="3AFC4911"/>
    <w:rsid w:val="3B014272"/>
    <w:rsid w:val="3B0202C6"/>
    <w:rsid w:val="3B143E15"/>
    <w:rsid w:val="3B22304A"/>
    <w:rsid w:val="3B261E6C"/>
    <w:rsid w:val="3B334016"/>
    <w:rsid w:val="3B4B50B9"/>
    <w:rsid w:val="3B6221FE"/>
    <w:rsid w:val="3B7B5B5B"/>
    <w:rsid w:val="3B7D3255"/>
    <w:rsid w:val="3B8E773A"/>
    <w:rsid w:val="3B9644F5"/>
    <w:rsid w:val="3B9A66C5"/>
    <w:rsid w:val="3BA329F0"/>
    <w:rsid w:val="3BDB4640"/>
    <w:rsid w:val="3BDC5F0C"/>
    <w:rsid w:val="3BE64ED1"/>
    <w:rsid w:val="3BEC73D7"/>
    <w:rsid w:val="3C2670A1"/>
    <w:rsid w:val="3C2D0D52"/>
    <w:rsid w:val="3C3C4165"/>
    <w:rsid w:val="3C3D2C3D"/>
    <w:rsid w:val="3C4B7752"/>
    <w:rsid w:val="3C6B5008"/>
    <w:rsid w:val="3C7336E5"/>
    <w:rsid w:val="3C8A61A4"/>
    <w:rsid w:val="3C8C59A8"/>
    <w:rsid w:val="3C972C88"/>
    <w:rsid w:val="3C9F36FD"/>
    <w:rsid w:val="3CA34C0A"/>
    <w:rsid w:val="3CB866DA"/>
    <w:rsid w:val="3CC20823"/>
    <w:rsid w:val="3CC54D99"/>
    <w:rsid w:val="3CDE3F2E"/>
    <w:rsid w:val="3CE46EBC"/>
    <w:rsid w:val="3CF04D4E"/>
    <w:rsid w:val="3CF55825"/>
    <w:rsid w:val="3D0D2931"/>
    <w:rsid w:val="3D1E069A"/>
    <w:rsid w:val="3D257C7B"/>
    <w:rsid w:val="3D2D102A"/>
    <w:rsid w:val="3D344362"/>
    <w:rsid w:val="3D3C7024"/>
    <w:rsid w:val="3D470436"/>
    <w:rsid w:val="3D586208"/>
    <w:rsid w:val="3D6C43A7"/>
    <w:rsid w:val="3D7C70A5"/>
    <w:rsid w:val="3D7F2C25"/>
    <w:rsid w:val="3D8163C0"/>
    <w:rsid w:val="3DA520F0"/>
    <w:rsid w:val="3DE73182"/>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D53886"/>
    <w:rsid w:val="3EE0187B"/>
    <w:rsid w:val="3EEE3E37"/>
    <w:rsid w:val="3F040BCB"/>
    <w:rsid w:val="3F044E94"/>
    <w:rsid w:val="3F182078"/>
    <w:rsid w:val="3F2628BA"/>
    <w:rsid w:val="3F27481A"/>
    <w:rsid w:val="3F2D42B0"/>
    <w:rsid w:val="3F3604D6"/>
    <w:rsid w:val="3F554685"/>
    <w:rsid w:val="3F6F68EE"/>
    <w:rsid w:val="3F6F6DA1"/>
    <w:rsid w:val="3F7B3FA0"/>
    <w:rsid w:val="3F7C053B"/>
    <w:rsid w:val="3F93711E"/>
    <w:rsid w:val="3F996DFB"/>
    <w:rsid w:val="3FD34F5E"/>
    <w:rsid w:val="3FDF60C8"/>
    <w:rsid w:val="3FEF038A"/>
    <w:rsid w:val="40032C81"/>
    <w:rsid w:val="400566C9"/>
    <w:rsid w:val="400F4DBA"/>
    <w:rsid w:val="401B2C53"/>
    <w:rsid w:val="402C27F9"/>
    <w:rsid w:val="40307ED0"/>
    <w:rsid w:val="40381F17"/>
    <w:rsid w:val="403C48D4"/>
    <w:rsid w:val="403F3AA6"/>
    <w:rsid w:val="404D018C"/>
    <w:rsid w:val="405465FA"/>
    <w:rsid w:val="405C261A"/>
    <w:rsid w:val="40664DDF"/>
    <w:rsid w:val="40707081"/>
    <w:rsid w:val="407A1D3A"/>
    <w:rsid w:val="40984E14"/>
    <w:rsid w:val="40A342D9"/>
    <w:rsid w:val="40D372CF"/>
    <w:rsid w:val="40D45FE8"/>
    <w:rsid w:val="40E378FA"/>
    <w:rsid w:val="40F11D8A"/>
    <w:rsid w:val="41091D98"/>
    <w:rsid w:val="411B1CF4"/>
    <w:rsid w:val="411C1101"/>
    <w:rsid w:val="41256177"/>
    <w:rsid w:val="41257457"/>
    <w:rsid w:val="41274E55"/>
    <w:rsid w:val="413607BA"/>
    <w:rsid w:val="413F1131"/>
    <w:rsid w:val="413F17A8"/>
    <w:rsid w:val="413F48D6"/>
    <w:rsid w:val="413F5FB5"/>
    <w:rsid w:val="41474664"/>
    <w:rsid w:val="417A0E32"/>
    <w:rsid w:val="417B382A"/>
    <w:rsid w:val="4189630F"/>
    <w:rsid w:val="41A81418"/>
    <w:rsid w:val="41AE55D1"/>
    <w:rsid w:val="41B406F7"/>
    <w:rsid w:val="41B96000"/>
    <w:rsid w:val="41B967FA"/>
    <w:rsid w:val="41BF4495"/>
    <w:rsid w:val="41D9213F"/>
    <w:rsid w:val="41E24046"/>
    <w:rsid w:val="41EA3241"/>
    <w:rsid w:val="41F801F1"/>
    <w:rsid w:val="41FE3E63"/>
    <w:rsid w:val="42303A11"/>
    <w:rsid w:val="423524B0"/>
    <w:rsid w:val="423C7D94"/>
    <w:rsid w:val="42446DF5"/>
    <w:rsid w:val="42472441"/>
    <w:rsid w:val="42594DE1"/>
    <w:rsid w:val="425A5674"/>
    <w:rsid w:val="427030E0"/>
    <w:rsid w:val="42723962"/>
    <w:rsid w:val="427A3ABD"/>
    <w:rsid w:val="42805EA1"/>
    <w:rsid w:val="428D5C61"/>
    <w:rsid w:val="429D0A68"/>
    <w:rsid w:val="42A2202F"/>
    <w:rsid w:val="42A25040"/>
    <w:rsid w:val="42A876CF"/>
    <w:rsid w:val="42AA6545"/>
    <w:rsid w:val="42B2070B"/>
    <w:rsid w:val="42B8658B"/>
    <w:rsid w:val="42FB5BAB"/>
    <w:rsid w:val="430345BA"/>
    <w:rsid w:val="430A7691"/>
    <w:rsid w:val="430C0AFF"/>
    <w:rsid w:val="430C117D"/>
    <w:rsid w:val="430C431F"/>
    <w:rsid w:val="43115D2A"/>
    <w:rsid w:val="43234C5C"/>
    <w:rsid w:val="43255E68"/>
    <w:rsid w:val="43327619"/>
    <w:rsid w:val="43501988"/>
    <w:rsid w:val="4369198B"/>
    <w:rsid w:val="43747C54"/>
    <w:rsid w:val="437907B7"/>
    <w:rsid w:val="437B6846"/>
    <w:rsid w:val="43804DE3"/>
    <w:rsid w:val="43810B3B"/>
    <w:rsid w:val="438E7737"/>
    <w:rsid w:val="43902A60"/>
    <w:rsid w:val="43A54072"/>
    <w:rsid w:val="43B2183C"/>
    <w:rsid w:val="43C509D7"/>
    <w:rsid w:val="43CB4960"/>
    <w:rsid w:val="43D32E17"/>
    <w:rsid w:val="43DB54D5"/>
    <w:rsid w:val="43DE46A1"/>
    <w:rsid w:val="43E347FE"/>
    <w:rsid w:val="43FB6B26"/>
    <w:rsid w:val="44103EC2"/>
    <w:rsid w:val="441C589C"/>
    <w:rsid w:val="4445089E"/>
    <w:rsid w:val="44462809"/>
    <w:rsid w:val="444924A1"/>
    <w:rsid w:val="445E3832"/>
    <w:rsid w:val="4467501D"/>
    <w:rsid w:val="44857F7D"/>
    <w:rsid w:val="448A3A8E"/>
    <w:rsid w:val="448F1A4E"/>
    <w:rsid w:val="44913E48"/>
    <w:rsid w:val="44917C18"/>
    <w:rsid w:val="44B63FE4"/>
    <w:rsid w:val="44B83D21"/>
    <w:rsid w:val="44BA32C2"/>
    <w:rsid w:val="44CE0466"/>
    <w:rsid w:val="44CE3E51"/>
    <w:rsid w:val="44E519EC"/>
    <w:rsid w:val="4502349D"/>
    <w:rsid w:val="45043717"/>
    <w:rsid w:val="452405D3"/>
    <w:rsid w:val="452414AD"/>
    <w:rsid w:val="452759D3"/>
    <w:rsid w:val="452A0524"/>
    <w:rsid w:val="452B7F6C"/>
    <w:rsid w:val="452D4FB0"/>
    <w:rsid w:val="453155DC"/>
    <w:rsid w:val="4531675C"/>
    <w:rsid w:val="45470C8C"/>
    <w:rsid w:val="45605BCF"/>
    <w:rsid w:val="4589000D"/>
    <w:rsid w:val="459E65C6"/>
    <w:rsid w:val="45B95404"/>
    <w:rsid w:val="45F26969"/>
    <w:rsid w:val="460E3796"/>
    <w:rsid w:val="461B7E49"/>
    <w:rsid w:val="4630683A"/>
    <w:rsid w:val="4642318B"/>
    <w:rsid w:val="465A44EE"/>
    <w:rsid w:val="46691F05"/>
    <w:rsid w:val="46712CA9"/>
    <w:rsid w:val="46717131"/>
    <w:rsid w:val="46780E1B"/>
    <w:rsid w:val="469A5235"/>
    <w:rsid w:val="46A054BE"/>
    <w:rsid w:val="46A262AD"/>
    <w:rsid w:val="46A604FE"/>
    <w:rsid w:val="46AC749D"/>
    <w:rsid w:val="46AE2A8F"/>
    <w:rsid w:val="46BC1650"/>
    <w:rsid w:val="46C00EFD"/>
    <w:rsid w:val="46D5752D"/>
    <w:rsid w:val="46DB3927"/>
    <w:rsid w:val="46E842D3"/>
    <w:rsid w:val="46F12399"/>
    <w:rsid w:val="473B5B7F"/>
    <w:rsid w:val="47447EA5"/>
    <w:rsid w:val="47484CDF"/>
    <w:rsid w:val="474A44D1"/>
    <w:rsid w:val="47520E22"/>
    <w:rsid w:val="475A2703"/>
    <w:rsid w:val="475D63CD"/>
    <w:rsid w:val="477E4CF0"/>
    <w:rsid w:val="47995E78"/>
    <w:rsid w:val="47A143A2"/>
    <w:rsid w:val="47D163E8"/>
    <w:rsid w:val="47EE064E"/>
    <w:rsid w:val="47F002BB"/>
    <w:rsid w:val="47F144C9"/>
    <w:rsid w:val="47F941DE"/>
    <w:rsid w:val="482C71B1"/>
    <w:rsid w:val="48483767"/>
    <w:rsid w:val="484A67E7"/>
    <w:rsid w:val="484E5BBE"/>
    <w:rsid w:val="4857375D"/>
    <w:rsid w:val="486600FA"/>
    <w:rsid w:val="486C0E54"/>
    <w:rsid w:val="48717BF5"/>
    <w:rsid w:val="4883070B"/>
    <w:rsid w:val="488955BE"/>
    <w:rsid w:val="48AB3D9C"/>
    <w:rsid w:val="48AD45B9"/>
    <w:rsid w:val="48C810A2"/>
    <w:rsid w:val="48D72771"/>
    <w:rsid w:val="491312CF"/>
    <w:rsid w:val="492163CF"/>
    <w:rsid w:val="492E435B"/>
    <w:rsid w:val="49324702"/>
    <w:rsid w:val="493F2ED7"/>
    <w:rsid w:val="494228DE"/>
    <w:rsid w:val="49464656"/>
    <w:rsid w:val="494E44EC"/>
    <w:rsid w:val="49620754"/>
    <w:rsid w:val="496E267C"/>
    <w:rsid w:val="498D3915"/>
    <w:rsid w:val="49AA16A6"/>
    <w:rsid w:val="49AA240A"/>
    <w:rsid w:val="49AC3D0D"/>
    <w:rsid w:val="49AE2B77"/>
    <w:rsid w:val="49DF471F"/>
    <w:rsid w:val="49E6170B"/>
    <w:rsid w:val="49F20B18"/>
    <w:rsid w:val="49FC3D91"/>
    <w:rsid w:val="4A196D65"/>
    <w:rsid w:val="4A307BCF"/>
    <w:rsid w:val="4A3240C0"/>
    <w:rsid w:val="4A3E2FB0"/>
    <w:rsid w:val="4A422221"/>
    <w:rsid w:val="4A4D5D6E"/>
    <w:rsid w:val="4A565F73"/>
    <w:rsid w:val="4A5D2550"/>
    <w:rsid w:val="4A5D7735"/>
    <w:rsid w:val="4A796F11"/>
    <w:rsid w:val="4A8470C5"/>
    <w:rsid w:val="4A8C2351"/>
    <w:rsid w:val="4A957107"/>
    <w:rsid w:val="4AA735D1"/>
    <w:rsid w:val="4AB36883"/>
    <w:rsid w:val="4AB52017"/>
    <w:rsid w:val="4AB8212E"/>
    <w:rsid w:val="4ABD4D8E"/>
    <w:rsid w:val="4AC2786F"/>
    <w:rsid w:val="4AC449AD"/>
    <w:rsid w:val="4AD21191"/>
    <w:rsid w:val="4AE646DC"/>
    <w:rsid w:val="4AEB0CE7"/>
    <w:rsid w:val="4AF86D81"/>
    <w:rsid w:val="4AF92846"/>
    <w:rsid w:val="4B074FAD"/>
    <w:rsid w:val="4B116E61"/>
    <w:rsid w:val="4B2225B5"/>
    <w:rsid w:val="4B3D1874"/>
    <w:rsid w:val="4B452ACD"/>
    <w:rsid w:val="4B524A73"/>
    <w:rsid w:val="4B55572E"/>
    <w:rsid w:val="4B5D0CA2"/>
    <w:rsid w:val="4B6551CB"/>
    <w:rsid w:val="4B674AB6"/>
    <w:rsid w:val="4B6C09A7"/>
    <w:rsid w:val="4B7342A7"/>
    <w:rsid w:val="4B89584F"/>
    <w:rsid w:val="4B9233A5"/>
    <w:rsid w:val="4B934237"/>
    <w:rsid w:val="4BA6642B"/>
    <w:rsid w:val="4BA917D0"/>
    <w:rsid w:val="4BAA2742"/>
    <w:rsid w:val="4BC055B8"/>
    <w:rsid w:val="4BC17605"/>
    <w:rsid w:val="4BC5727C"/>
    <w:rsid w:val="4BEF002E"/>
    <w:rsid w:val="4BF241BF"/>
    <w:rsid w:val="4C081CB4"/>
    <w:rsid w:val="4C0A427B"/>
    <w:rsid w:val="4C0F7467"/>
    <w:rsid w:val="4C17184E"/>
    <w:rsid w:val="4C2E75A8"/>
    <w:rsid w:val="4C31168A"/>
    <w:rsid w:val="4C3839E9"/>
    <w:rsid w:val="4C3F0A87"/>
    <w:rsid w:val="4C4310AF"/>
    <w:rsid w:val="4C736A43"/>
    <w:rsid w:val="4C7663A2"/>
    <w:rsid w:val="4C785567"/>
    <w:rsid w:val="4C8115B1"/>
    <w:rsid w:val="4C892107"/>
    <w:rsid w:val="4CA34EE2"/>
    <w:rsid w:val="4CA4007B"/>
    <w:rsid w:val="4CB07D81"/>
    <w:rsid w:val="4CB72793"/>
    <w:rsid w:val="4CBA2530"/>
    <w:rsid w:val="4CBB7D13"/>
    <w:rsid w:val="4CBE7986"/>
    <w:rsid w:val="4CC20E32"/>
    <w:rsid w:val="4CD0401B"/>
    <w:rsid w:val="4CEC3E00"/>
    <w:rsid w:val="4CEF15B9"/>
    <w:rsid w:val="4D0B38F6"/>
    <w:rsid w:val="4D0E47D5"/>
    <w:rsid w:val="4D10034D"/>
    <w:rsid w:val="4D200673"/>
    <w:rsid w:val="4D485823"/>
    <w:rsid w:val="4D4E13CB"/>
    <w:rsid w:val="4D5F19E1"/>
    <w:rsid w:val="4D6844B8"/>
    <w:rsid w:val="4D7318DC"/>
    <w:rsid w:val="4D857554"/>
    <w:rsid w:val="4D8E0BFD"/>
    <w:rsid w:val="4D986247"/>
    <w:rsid w:val="4D9D50E7"/>
    <w:rsid w:val="4DA96ACF"/>
    <w:rsid w:val="4DB009A1"/>
    <w:rsid w:val="4DBF65F6"/>
    <w:rsid w:val="4DD92DD1"/>
    <w:rsid w:val="4DDF7997"/>
    <w:rsid w:val="4DF866DE"/>
    <w:rsid w:val="4DFB228E"/>
    <w:rsid w:val="4DFD527B"/>
    <w:rsid w:val="4DFF7216"/>
    <w:rsid w:val="4E0A4C49"/>
    <w:rsid w:val="4E0A5FB0"/>
    <w:rsid w:val="4E0D529C"/>
    <w:rsid w:val="4E126AE1"/>
    <w:rsid w:val="4E140960"/>
    <w:rsid w:val="4E1B2636"/>
    <w:rsid w:val="4E25142E"/>
    <w:rsid w:val="4E4F4458"/>
    <w:rsid w:val="4E762700"/>
    <w:rsid w:val="4E7E0CA1"/>
    <w:rsid w:val="4E8075F2"/>
    <w:rsid w:val="4ED17C62"/>
    <w:rsid w:val="4EDE7CBE"/>
    <w:rsid w:val="4EE20BB5"/>
    <w:rsid w:val="4EFC2740"/>
    <w:rsid w:val="4F212F37"/>
    <w:rsid w:val="4F2502AF"/>
    <w:rsid w:val="4F304815"/>
    <w:rsid w:val="4F322453"/>
    <w:rsid w:val="4F3D3178"/>
    <w:rsid w:val="4F467A6D"/>
    <w:rsid w:val="4F57555F"/>
    <w:rsid w:val="4F6B14BD"/>
    <w:rsid w:val="4F8563A9"/>
    <w:rsid w:val="4F8E2E7C"/>
    <w:rsid w:val="4FA81E62"/>
    <w:rsid w:val="4FAC2213"/>
    <w:rsid w:val="4FBF66D6"/>
    <w:rsid w:val="4FDE5E9D"/>
    <w:rsid w:val="4FF90DC3"/>
    <w:rsid w:val="50034CAA"/>
    <w:rsid w:val="500739B3"/>
    <w:rsid w:val="501B6CDA"/>
    <w:rsid w:val="50292EBE"/>
    <w:rsid w:val="502B7945"/>
    <w:rsid w:val="50463A17"/>
    <w:rsid w:val="5057256A"/>
    <w:rsid w:val="50654025"/>
    <w:rsid w:val="50656902"/>
    <w:rsid w:val="50686F91"/>
    <w:rsid w:val="5071672E"/>
    <w:rsid w:val="50741BF1"/>
    <w:rsid w:val="507C7B3F"/>
    <w:rsid w:val="507E3168"/>
    <w:rsid w:val="50855337"/>
    <w:rsid w:val="50A10324"/>
    <w:rsid w:val="50A900FC"/>
    <w:rsid w:val="50A924D3"/>
    <w:rsid w:val="50B35102"/>
    <w:rsid w:val="50B64ED1"/>
    <w:rsid w:val="50B93954"/>
    <w:rsid w:val="50C72E05"/>
    <w:rsid w:val="50D216E6"/>
    <w:rsid w:val="50DB4382"/>
    <w:rsid w:val="50DE0989"/>
    <w:rsid w:val="50E05F3B"/>
    <w:rsid w:val="50E15618"/>
    <w:rsid w:val="50F06CB4"/>
    <w:rsid w:val="50F54CD9"/>
    <w:rsid w:val="50F560CF"/>
    <w:rsid w:val="51106470"/>
    <w:rsid w:val="511172B8"/>
    <w:rsid w:val="511829A9"/>
    <w:rsid w:val="511D24C4"/>
    <w:rsid w:val="51305B1F"/>
    <w:rsid w:val="5131068C"/>
    <w:rsid w:val="51353367"/>
    <w:rsid w:val="51457326"/>
    <w:rsid w:val="514D1D88"/>
    <w:rsid w:val="516D4725"/>
    <w:rsid w:val="5176742D"/>
    <w:rsid w:val="518D47FD"/>
    <w:rsid w:val="51AF3E31"/>
    <w:rsid w:val="51B15B14"/>
    <w:rsid w:val="51C22C62"/>
    <w:rsid w:val="51CD098E"/>
    <w:rsid w:val="51EF0DE9"/>
    <w:rsid w:val="51F65FC6"/>
    <w:rsid w:val="51FF0643"/>
    <w:rsid w:val="52044B82"/>
    <w:rsid w:val="52062AC1"/>
    <w:rsid w:val="520D5B62"/>
    <w:rsid w:val="521B5288"/>
    <w:rsid w:val="523227C6"/>
    <w:rsid w:val="526603DE"/>
    <w:rsid w:val="526D7D79"/>
    <w:rsid w:val="527F647F"/>
    <w:rsid w:val="52857C4C"/>
    <w:rsid w:val="52A03BEC"/>
    <w:rsid w:val="52BF7DD2"/>
    <w:rsid w:val="52D10231"/>
    <w:rsid w:val="52DA51D6"/>
    <w:rsid w:val="52E5238E"/>
    <w:rsid w:val="52E53C9E"/>
    <w:rsid w:val="52F001A4"/>
    <w:rsid w:val="52F932E4"/>
    <w:rsid w:val="531753E5"/>
    <w:rsid w:val="533419D3"/>
    <w:rsid w:val="533A34AF"/>
    <w:rsid w:val="53503344"/>
    <w:rsid w:val="535B3E07"/>
    <w:rsid w:val="53700FFD"/>
    <w:rsid w:val="53826ACA"/>
    <w:rsid w:val="53826DA3"/>
    <w:rsid w:val="5390013C"/>
    <w:rsid w:val="53A354DA"/>
    <w:rsid w:val="53CA4B1B"/>
    <w:rsid w:val="53CF2A04"/>
    <w:rsid w:val="53E7102F"/>
    <w:rsid w:val="53F54E93"/>
    <w:rsid w:val="5410404D"/>
    <w:rsid w:val="542C75EE"/>
    <w:rsid w:val="543F4103"/>
    <w:rsid w:val="54483657"/>
    <w:rsid w:val="5452714F"/>
    <w:rsid w:val="545A6004"/>
    <w:rsid w:val="545E26F8"/>
    <w:rsid w:val="54664BD9"/>
    <w:rsid w:val="546B1FBF"/>
    <w:rsid w:val="54746B8B"/>
    <w:rsid w:val="54804FEA"/>
    <w:rsid w:val="54B03E76"/>
    <w:rsid w:val="54B35050"/>
    <w:rsid w:val="552B4A22"/>
    <w:rsid w:val="55360E79"/>
    <w:rsid w:val="555C5E4C"/>
    <w:rsid w:val="555E0B5C"/>
    <w:rsid w:val="555E7880"/>
    <w:rsid w:val="55661071"/>
    <w:rsid w:val="55674E7D"/>
    <w:rsid w:val="556B7C3B"/>
    <w:rsid w:val="55731C3D"/>
    <w:rsid w:val="557F14BC"/>
    <w:rsid w:val="55821560"/>
    <w:rsid w:val="55865BD4"/>
    <w:rsid w:val="558F4E84"/>
    <w:rsid w:val="559016D3"/>
    <w:rsid w:val="55960934"/>
    <w:rsid w:val="55C7052F"/>
    <w:rsid w:val="55CD7620"/>
    <w:rsid w:val="55E7548F"/>
    <w:rsid w:val="56040940"/>
    <w:rsid w:val="561531B8"/>
    <w:rsid w:val="561B6A04"/>
    <w:rsid w:val="56394061"/>
    <w:rsid w:val="56395354"/>
    <w:rsid w:val="56484C2F"/>
    <w:rsid w:val="565709F0"/>
    <w:rsid w:val="56704ADF"/>
    <w:rsid w:val="56752535"/>
    <w:rsid w:val="56763F66"/>
    <w:rsid w:val="568A3B00"/>
    <w:rsid w:val="56AD2D63"/>
    <w:rsid w:val="56B46071"/>
    <w:rsid w:val="56B74545"/>
    <w:rsid w:val="56C26350"/>
    <w:rsid w:val="56E77EC7"/>
    <w:rsid w:val="56EC0175"/>
    <w:rsid w:val="56EF189C"/>
    <w:rsid w:val="56F02523"/>
    <w:rsid w:val="56F50542"/>
    <w:rsid w:val="57083574"/>
    <w:rsid w:val="572110B2"/>
    <w:rsid w:val="572B7502"/>
    <w:rsid w:val="573A4CC3"/>
    <w:rsid w:val="577B69BD"/>
    <w:rsid w:val="57A87EDC"/>
    <w:rsid w:val="57B14B46"/>
    <w:rsid w:val="57B26CE3"/>
    <w:rsid w:val="57B73C36"/>
    <w:rsid w:val="57BD4DAB"/>
    <w:rsid w:val="57E6333C"/>
    <w:rsid w:val="57F92D5D"/>
    <w:rsid w:val="581A7EE7"/>
    <w:rsid w:val="582147FB"/>
    <w:rsid w:val="584271F0"/>
    <w:rsid w:val="58432DA9"/>
    <w:rsid w:val="585F1E3B"/>
    <w:rsid w:val="586157C1"/>
    <w:rsid w:val="586256B3"/>
    <w:rsid w:val="58647451"/>
    <w:rsid w:val="58810327"/>
    <w:rsid w:val="5889471D"/>
    <w:rsid w:val="588F7B56"/>
    <w:rsid w:val="58A75590"/>
    <w:rsid w:val="58B1424E"/>
    <w:rsid w:val="58B55DBC"/>
    <w:rsid w:val="58BD0709"/>
    <w:rsid w:val="58D46F07"/>
    <w:rsid w:val="58DB0192"/>
    <w:rsid w:val="58F171F6"/>
    <w:rsid w:val="590623E3"/>
    <w:rsid w:val="59093548"/>
    <w:rsid w:val="590A68D9"/>
    <w:rsid w:val="590B3A4C"/>
    <w:rsid w:val="591C300C"/>
    <w:rsid w:val="592F7DE7"/>
    <w:rsid w:val="59300600"/>
    <w:rsid w:val="59411CA1"/>
    <w:rsid w:val="59450153"/>
    <w:rsid w:val="59566552"/>
    <w:rsid w:val="595E5543"/>
    <w:rsid w:val="59666925"/>
    <w:rsid w:val="596A0A97"/>
    <w:rsid w:val="597C215B"/>
    <w:rsid w:val="59846EEA"/>
    <w:rsid w:val="599937A2"/>
    <w:rsid w:val="599F09CA"/>
    <w:rsid w:val="59B54EA2"/>
    <w:rsid w:val="59BF6AB6"/>
    <w:rsid w:val="59C97EB4"/>
    <w:rsid w:val="59D806D6"/>
    <w:rsid w:val="59FD190B"/>
    <w:rsid w:val="5A1B0061"/>
    <w:rsid w:val="5A1D3D5C"/>
    <w:rsid w:val="5A312AA0"/>
    <w:rsid w:val="5A365911"/>
    <w:rsid w:val="5A593830"/>
    <w:rsid w:val="5A824FB8"/>
    <w:rsid w:val="5AA834EC"/>
    <w:rsid w:val="5AAE354D"/>
    <w:rsid w:val="5AB05875"/>
    <w:rsid w:val="5ABB19B9"/>
    <w:rsid w:val="5AD332CD"/>
    <w:rsid w:val="5AD52E57"/>
    <w:rsid w:val="5AD73365"/>
    <w:rsid w:val="5AF50835"/>
    <w:rsid w:val="5B1A116B"/>
    <w:rsid w:val="5B2B014B"/>
    <w:rsid w:val="5B5A785B"/>
    <w:rsid w:val="5B6E5341"/>
    <w:rsid w:val="5B72351D"/>
    <w:rsid w:val="5B743E0A"/>
    <w:rsid w:val="5B771CA8"/>
    <w:rsid w:val="5B84345C"/>
    <w:rsid w:val="5B886A37"/>
    <w:rsid w:val="5B8E5D81"/>
    <w:rsid w:val="5B96265B"/>
    <w:rsid w:val="5BA8445F"/>
    <w:rsid w:val="5BCA7287"/>
    <w:rsid w:val="5BCE13CC"/>
    <w:rsid w:val="5BF00AB8"/>
    <w:rsid w:val="5C05719D"/>
    <w:rsid w:val="5C2D336B"/>
    <w:rsid w:val="5C5D0D76"/>
    <w:rsid w:val="5C7A1BA7"/>
    <w:rsid w:val="5C820FFA"/>
    <w:rsid w:val="5CAA0FD2"/>
    <w:rsid w:val="5CBC31E9"/>
    <w:rsid w:val="5CBC4B1D"/>
    <w:rsid w:val="5CC74BC1"/>
    <w:rsid w:val="5D084FA6"/>
    <w:rsid w:val="5D0A65E0"/>
    <w:rsid w:val="5D1F10FB"/>
    <w:rsid w:val="5D417A25"/>
    <w:rsid w:val="5D4A3856"/>
    <w:rsid w:val="5D4E1F3A"/>
    <w:rsid w:val="5D4F6537"/>
    <w:rsid w:val="5D50457D"/>
    <w:rsid w:val="5D607830"/>
    <w:rsid w:val="5D621DD5"/>
    <w:rsid w:val="5D637121"/>
    <w:rsid w:val="5D64080F"/>
    <w:rsid w:val="5D792DC4"/>
    <w:rsid w:val="5D830423"/>
    <w:rsid w:val="5DB53796"/>
    <w:rsid w:val="5DC84C48"/>
    <w:rsid w:val="5DDB68D6"/>
    <w:rsid w:val="5DF66E5D"/>
    <w:rsid w:val="5E00369B"/>
    <w:rsid w:val="5E005E6E"/>
    <w:rsid w:val="5E1B1FA2"/>
    <w:rsid w:val="5E1D073D"/>
    <w:rsid w:val="5E3D2D59"/>
    <w:rsid w:val="5E43509C"/>
    <w:rsid w:val="5E5503D5"/>
    <w:rsid w:val="5E57315D"/>
    <w:rsid w:val="5E6A39E4"/>
    <w:rsid w:val="5E71138B"/>
    <w:rsid w:val="5E877DF7"/>
    <w:rsid w:val="5E8B38AA"/>
    <w:rsid w:val="5EA76F39"/>
    <w:rsid w:val="5EB832C9"/>
    <w:rsid w:val="5EC01F4E"/>
    <w:rsid w:val="5EC078B7"/>
    <w:rsid w:val="5EE215FD"/>
    <w:rsid w:val="5EEE216B"/>
    <w:rsid w:val="5EF87FAA"/>
    <w:rsid w:val="5F007C29"/>
    <w:rsid w:val="5F09331E"/>
    <w:rsid w:val="5F2B2F85"/>
    <w:rsid w:val="5F374A88"/>
    <w:rsid w:val="5F4273EB"/>
    <w:rsid w:val="5F463D55"/>
    <w:rsid w:val="5F497F68"/>
    <w:rsid w:val="5F52047F"/>
    <w:rsid w:val="5F615572"/>
    <w:rsid w:val="5F657137"/>
    <w:rsid w:val="5F6E0BB6"/>
    <w:rsid w:val="5F746BBD"/>
    <w:rsid w:val="5F7546D0"/>
    <w:rsid w:val="5F7E7B1D"/>
    <w:rsid w:val="5F8B76C9"/>
    <w:rsid w:val="5F9E27E8"/>
    <w:rsid w:val="5FA07E5D"/>
    <w:rsid w:val="5FA27372"/>
    <w:rsid w:val="5FAA21A2"/>
    <w:rsid w:val="5FBC4DDC"/>
    <w:rsid w:val="5FC77C40"/>
    <w:rsid w:val="5FCF1BD7"/>
    <w:rsid w:val="5FD4663A"/>
    <w:rsid w:val="5FE175D9"/>
    <w:rsid w:val="5FE30C3E"/>
    <w:rsid w:val="5FE34364"/>
    <w:rsid w:val="5FE643EF"/>
    <w:rsid w:val="602C4AE4"/>
    <w:rsid w:val="60332649"/>
    <w:rsid w:val="603B322F"/>
    <w:rsid w:val="603D1618"/>
    <w:rsid w:val="604C6721"/>
    <w:rsid w:val="60540E52"/>
    <w:rsid w:val="60690C0E"/>
    <w:rsid w:val="60A256CE"/>
    <w:rsid w:val="60A91730"/>
    <w:rsid w:val="60C01052"/>
    <w:rsid w:val="60C20705"/>
    <w:rsid w:val="60D30368"/>
    <w:rsid w:val="60D37EE1"/>
    <w:rsid w:val="60D84F47"/>
    <w:rsid w:val="60E20CEF"/>
    <w:rsid w:val="60F57FE3"/>
    <w:rsid w:val="60FA6190"/>
    <w:rsid w:val="6106379C"/>
    <w:rsid w:val="610F411E"/>
    <w:rsid w:val="61190AFA"/>
    <w:rsid w:val="614461BD"/>
    <w:rsid w:val="614E1EC6"/>
    <w:rsid w:val="61690C85"/>
    <w:rsid w:val="61723041"/>
    <w:rsid w:val="617F78D1"/>
    <w:rsid w:val="6183303E"/>
    <w:rsid w:val="619446E2"/>
    <w:rsid w:val="61BC3252"/>
    <w:rsid w:val="61D0087A"/>
    <w:rsid w:val="61E340C9"/>
    <w:rsid w:val="61E96B48"/>
    <w:rsid w:val="61F12D7B"/>
    <w:rsid w:val="62173891"/>
    <w:rsid w:val="62223C85"/>
    <w:rsid w:val="62223DDA"/>
    <w:rsid w:val="62387CAF"/>
    <w:rsid w:val="624E28F8"/>
    <w:rsid w:val="625823ED"/>
    <w:rsid w:val="62585785"/>
    <w:rsid w:val="62623B2D"/>
    <w:rsid w:val="62653EDC"/>
    <w:rsid w:val="62820895"/>
    <w:rsid w:val="628B70B1"/>
    <w:rsid w:val="628C07EF"/>
    <w:rsid w:val="62BE5B41"/>
    <w:rsid w:val="62D54A2C"/>
    <w:rsid w:val="62EC3FC3"/>
    <w:rsid w:val="62FE04A2"/>
    <w:rsid w:val="62FE5438"/>
    <w:rsid w:val="631316BC"/>
    <w:rsid w:val="631674BF"/>
    <w:rsid w:val="63257FEA"/>
    <w:rsid w:val="632D1E92"/>
    <w:rsid w:val="633415C0"/>
    <w:rsid w:val="63370849"/>
    <w:rsid w:val="63414317"/>
    <w:rsid w:val="636C0CFF"/>
    <w:rsid w:val="63953DC3"/>
    <w:rsid w:val="63B64DDE"/>
    <w:rsid w:val="63BD69E2"/>
    <w:rsid w:val="63C8327F"/>
    <w:rsid w:val="63CC1DBC"/>
    <w:rsid w:val="63F639E3"/>
    <w:rsid w:val="64063AB3"/>
    <w:rsid w:val="640C0FA6"/>
    <w:rsid w:val="64195594"/>
    <w:rsid w:val="64196919"/>
    <w:rsid w:val="64447AF9"/>
    <w:rsid w:val="644E1280"/>
    <w:rsid w:val="646218B8"/>
    <w:rsid w:val="6478265D"/>
    <w:rsid w:val="6483789B"/>
    <w:rsid w:val="6489619F"/>
    <w:rsid w:val="64A946A2"/>
    <w:rsid w:val="64B15852"/>
    <w:rsid w:val="64BC3F68"/>
    <w:rsid w:val="64D058FF"/>
    <w:rsid w:val="64D97C99"/>
    <w:rsid w:val="64FB1DF0"/>
    <w:rsid w:val="650A6773"/>
    <w:rsid w:val="655078E2"/>
    <w:rsid w:val="65747025"/>
    <w:rsid w:val="65787D9E"/>
    <w:rsid w:val="657E41DF"/>
    <w:rsid w:val="658147C9"/>
    <w:rsid w:val="65955DD9"/>
    <w:rsid w:val="659A0BDD"/>
    <w:rsid w:val="659F1C77"/>
    <w:rsid w:val="65A22CA9"/>
    <w:rsid w:val="65BE7169"/>
    <w:rsid w:val="65D6440F"/>
    <w:rsid w:val="66261178"/>
    <w:rsid w:val="66276D85"/>
    <w:rsid w:val="66291CDA"/>
    <w:rsid w:val="66384BE6"/>
    <w:rsid w:val="665B6338"/>
    <w:rsid w:val="66736E8E"/>
    <w:rsid w:val="667B2DEB"/>
    <w:rsid w:val="669A61A1"/>
    <w:rsid w:val="66D84A53"/>
    <w:rsid w:val="66F74254"/>
    <w:rsid w:val="66FE6A0D"/>
    <w:rsid w:val="670342D9"/>
    <w:rsid w:val="6712664F"/>
    <w:rsid w:val="671A12AE"/>
    <w:rsid w:val="671C3AEC"/>
    <w:rsid w:val="673C6A62"/>
    <w:rsid w:val="673E2116"/>
    <w:rsid w:val="674D112B"/>
    <w:rsid w:val="67674868"/>
    <w:rsid w:val="676E425B"/>
    <w:rsid w:val="67772915"/>
    <w:rsid w:val="67805701"/>
    <w:rsid w:val="67892647"/>
    <w:rsid w:val="67A35670"/>
    <w:rsid w:val="67A44F0E"/>
    <w:rsid w:val="67B0620F"/>
    <w:rsid w:val="67C3787F"/>
    <w:rsid w:val="67DA3310"/>
    <w:rsid w:val="680247C0"/>
    <w:rsid w:val="680826EE"/>
    <w:rsid w:val="68210CDD"/>
    <w:rsid w:val="682E35D8"/>
    <w:rsid w:val="684E09B7"/>
    <w:rsid w:val="685C3B55"/>
    <w:rsid w:val="6865349E"/>
    <w:rsid w:val="68986EC0"/>
    <w:rsid w:val="68EF221C"/>
    <w:rsid w:val="690D561C"/>
    <w:rsid w:val="69161FD8"/>
    <w:rsid w:val="691B5C3A"/>
    <w:rsid w:val="691E53FA"/>
    <w:rsid w:val="691E6AA2"/>
    <w:rsid w:val="691E71BF"/>
    <w:rsid w:val="69232164"/>
    <w:rsid w:val="692353ED"/>
    <w:rsid w:val="692A3D9F"/>
    <w:rsid w:val="69407672"/>
    <w:rsid w:val="696405E4"/>
    <w:rsid w:val="6973785E"/>
    <w:rsid w:val="69971183"/>
    <w:rsid w:val="6999125E"/>
    <w:rsid w:val="69C51FB3"/>
    <w:rsid w:val="69CA69EE"/>
    <w:rsid w:val="69DA708E"/>
    <w:rsid w:val="69E94E41"/>
    <w:rsid w:val="69EE57F5"/>
    <w:rsid w:val="69F04C38"/>
    <w:rsid w:val="69FD68EE"/>
    <w:rsid w:val="6A08660F"/>
    <w:rsid w:val="6A171754"/>
    <w:rsid w:val="6A1A0491"/>
    <w:rsid w:val="6A7F0EBB"/>
    <w:rsid w:val="6A843983"/>
    <w:rsid w:val="6A863ED7"/>
    <w:rsid w:val="6A993CD4"/>
    <w:rsid w:val="6AA16833"/>
    <w:rsid w:val="6AC75BB5"/>
    <w:rsid w:val="6AC87E69"/>
    <w:rsid w:val="6ACC3F95"/>
    <w:rsid w:val="6ACF4DA2"/>
    <w:rsid w:val="6AD71DB0"/>
    <w:rsid w:val="6AD726FC"/>
    <w:rsid w:val="6AE06644"/>
    <w:rsid w:val="6AE2434E"/>
    <w:rsid w:val="6AF10E05"/>
    <w:rsid w:val="6AFF321F"/>
    <w:rsid w:val="6B072C8F"/>
    <w:rsid w:val="6B30778B"/>
    <w:rsid w:val="6B5A3E05"/>
    <w:rsid w:val="6B645DD8"/>
    <w:rsid w:val="6B710760"/>
    <w:rsid w:val="6B774315"/>
    <w:rsid w:val="6B924226"/>
    <w:rsid w:val="6BAA00E3"/>
    <w:rsid w:val="6BBB2285"/>
    <w:rsid w:val="6BC802CA"/>
    <w:rsid w:val="6BDA1651"/>
    <w:rsid w:val="6BE730EB"/>
    <w:rsid w:val="6C0A7EB8"/>
    <w:rsid w:val="6C0C216B"/>
    <w:rsid w:val="6C48781D"/>
    <w:rsid w:val="6C5B6113"/>
    <w:rsid w:val="6C685AB7"/>
    <w:rsid w:val="6C890780"/>
    <w:rsid w:val="6C9316F7"/>
    <w:rsid w:val="6C962516"/>
    <w:rsid w:val="6C9F2519"/>
    <w:rsid w:val="6C9F6C17"/>
    <w:rsid w:val="6CA51ED0"/>
    <w:rsid w:val="6CAF0C78"/>
    <w:rsid w:val="6CB81453"/>
    <w:rsid w:val="6CC4492E"/>
    <w:rsid w:val="6CE535BC"/>
    <w:rsid w:val="6CF3368C"/>
    <w:rsid w:val="6CFC6BC6"/>
    <w:rsid w:val="6D016455"/>
    <w:rsid w:val="6D0F0EDA"/>
    <w:rsid w:val="6D152FAC"/>
    <w:rsid w:val="6D400D25"/>
    <w:rsid w:val="6D5B07D4"/>
    <w:rsid w:val="6D5C4743"/>
    <w:rsid w:val="6D736419"/>
    <w:rsid w:val="6D770189"/>
    <w:rsid w:val="6D7936EE"/>
    <w:rsid w:val="6D7C7A40"/>
    <w:rsid w:val="6D7D6320"/>
    <w:rsid w:val="6D8E0B8E"/>
    <w:rsid w:val="6DAC5EEF"/>
    <w:rsid w:val="6DB334D0"/>
    <w:rsid w:val="6DC433FC"/>
    <w:rsid w:val="6DC628B0"/>
    <w:rsid w:val="6DC739ED"/>
    <w:rsid w:val="6DED6F8E"/>
    <w:rsid w:val="6DF10C6B"/>
    <w:rsid w:val="6E0502E1"/>
    <w:rsid w:val="6E092DDB"/>
    <w:rsid w:val="6E191840"/>
    <w:rsid w:val="6E1A0634"/>
    <w:rsid w:val="6E1F4304"/>
    <w:rsid w:val="6E205E98"/>
    <w:rsid w:val="6E2A4ADB"/>
    <w:rsid w:val="6E2E16DD"/>
    <w:rsid w:val="6E3556AA"/>
    <w:rsid w:val="6EB0281F"/>
    <w:rsid w:val="6EB41C93"/>
    <w:rsid w:val="6EC26180"/>
    <w:rsid w:val="6ECA079C"/>
    <w:rsid w:val="6ECD566E"/>
    <w:rsid w:val="6EDD093E"/>
    <w:rsid w:val="6EEC4437"/>
    <w:rsid w:val="6F0233E0"/>
    <w:rsid w:val="6F343BCA"/>
    <w:rsid w:val="6F5D3A4D"/>
    <w:rsid w:val="6F5F08BB"/>
    <w:rsid w:val="6F662B37"/>
    <w:rsid w:val="6F7333D7"/>
    <w:rsid w:val="6F780E0B"/>
    <w:rsid w:val="6F8B0368"/>
    <w:rsid w:val="6F8F5B5A"/>
    <w:rsid w:val="6FA813C6"/>
    <w:rsid w:val="6FC035B4"/>
    <w:rsid w:val="6FC74534"/>
    <w:rsid w:val="6FEE1189"/>
    <w:rsid w:val="6FFC52F7"/>
    <w:rsid w:val="6FFD4572"/>
    <w:rsid w:val="70181B73"/>
    <w:rsid w:val="701D41E0"/>
    <w:rsid w:val="702C2D9D"/>
    <w:rsid w:val="70336F9A"/>
    <w:rsid w:val="7044404B"/>
    <w:rsid w:val="7045045F"/>
    <w:rsid w:val="70686BBB"/>
    <w:rsid w:val="70781F4B"/>
    <w:rsid w:val="707E1BF5"/>
    <w:rsid w:val="709728C0"/>
    <w:rsid w:val="70984710"/>
    <w:rsid w:val="70F710F3"/>
    <w:rsid w:val="71013453"/>
    <w:rsid w:val="71015434"/>
    <w:rsid w:val="711F1004"/>
    <w:rsid w:val="71343D6C"/>
    <w:rsid w:val="713612E6"/>
    <w:rsid w:val="71374A06"/>
    <w:rsid w:val="714D0842"/>
    <w:rsid w:val="714F205F"/>
    <w:rsid w:val="71773641"/>
    <w:rsid w:val="71831C6A"/>
    <w:rsid w:val="71A71C9B"/>
    <w:rsid w:val="71B14724"/>
    <w:rsid w:val="71B420A9"/>
    <w:rsid w:val="71B572EA"/>
    <w:rsid w:val="71BB1607"/>
    <w:rsid w:val="71DC0A04"/>
    <w:rsid w:val="71E8587E"/>
    <w:rsid w:val="71FF6F43"/>
    <w:rsid w:val="7212568E"/>
    <w:rsid w:val="721F4BA7"/>
    <w:rsid w:val="72241383"/>
    <w:rsid w:val="722C1E03"/>
    <w:rsid w:val="72352E5C"/>
    <w:rsid w:val="72382032"/>
    <w:rsid w:val="72476B88"/>
    <w:rsid w:val="724856CB"/>
    <w:rsid w:val="725821AF"/>
    <w:rsid w:val="726B42E6"/>
    <w:rsid w:val="728F1BB3"/>
    <w:rsid w:val="72976CBE"/>
    <w:rsid w:val="729C0847"/>
    <w:rsid w:val="72AC33B4"/>
    <w:rsid w:val="72BD2035"/>
    <w:rsid w:val="72BF7367"/>
    <w:rsid w:val="72D12F6C"/>
    <w:rsid w:val="72F7244C"/>
    <w:rsid w:val="72FB7091"/>
    <w:rsid w:val="72FC67AC"/>
    <w:rsid w:val="73015AF1"/>
    <w:rsid w:val="731E10FD"/>
    <w:rsid w:val="732127B2"/>
    <w:rsid w:val="732D0CAE"/>
    <w:rsid w:val="733C6782"/>
    <w:rsid w:val="734555B5"/>
    <w:rsid w:val="736816C8"/>
    <w:rsid w:val="737268A9"/>
    <w:rsid w:val="737D0BA6"/>
    <w:rsid w:val="738708A0"/>
    <w:rsid w:val="739253E3"/>
    <w:rsid w:val="73A56E44"/>
    <w:rsid w:val="73A704D8"/>
    <w:rsid w:val="73B44DCA"/>
    <w:rsid w:val="73C43CAA"/>
    <w:rsid w:val="73E71D17"/>
    <w:rsid w:val="740A7A58"/>
    <w:rsid w:val="741E668C"/>
    <w:rsid w:val="742C2F31"/>
    <w:rsid w:val="74420908"/>
    <w:rsid w:val="74472019"/>
    <w:rsid w:val="746E3FC5"/>
    <w:rsid w:val="7472404D"/>
    <w:rsid w:val="74AE3AD6"/>
    <w:rsid w:val="74AF784E"/>
    <w:rsid w:val="74B547A1"/>
    <w:rsid w:val="74C345C1"/>
    <w:rsid w:val="74CD695B"/>
    <w:rsid w:val="74DB3382"/>
    <w:rsid w:val="74DC3BFD"/>
    <w:rsid w:val="74FA20FD"/>
    <w:rsid w:val="750C6E71"/>
    <w:rsid w:val="75157FF9"/>
    <w:rsid w:val="75233BB0"/>
    <w:rsid w:val="752667A9"/>
    <w:rsid w:val="75297601"/>
    <w:rsid w:val="753C4F6A"/>
    <w:rsid w:val="754F1F9F"/>
    <w:rsid w:val="75515A15"/>
    <w:rsid w:val="75750E2D"/>
    <w:rsid w:val="757A1C0A"/>
    <w:rsid w:val="758642B8"/>
    <w:rsid w:val="759E33C1"/>
    <w:rsid w:val="75D0430F"/>
    <w:rsid w:val="75F025A0"/>
    <w:rsid w:val="760372D2"/>
    <w:rsid w:val="760D1CDF"/>
    <w:rsid w:val="76145437"/>
    <w:rsid w:val="76194E63"/>
    <w:rsid w:val="761F4C65"/>
    <w:rsid w:val="762F2369"/>
    <w:rsid w:val="76434A01"/>
    <w:rsid w:val="7646137A"/>
    <w:rsid w:val="764C355E"/>
    <w:rsid w:val="764F753B"/>
    <w:rsid w:val="765B5EE0"/>
    <w:rsid w:val="76664DFE"/>
    <w:rsid w:val="7668461C"/>
    <w:rsid w:val="767E12E0"/>
    <w:rsid w:val="768E1E11"/>
    <w:rsid w:val="76A01B45"/>
    <w:rsid w:val="76A91D84"/>
    <w:rsid w:val="76B12CCC"/>
    <w:rsid w:val="76C575B1"/>
    <w:rsid w:val="76C73B21"/>
    <w:rsid w:val="76DE4BCD"/>
    <w:rsid w:val="76E14145"/>
    <w:rsid w:val="76E36A34"/>
    <w:rsid w:val="77112544"/>
    <w:rsid w:val="7734690C"/>
    <w:rsid w:val="77370659"/>
    <w:rsid w:val="77421E0D"/>
    <w:rsid w:val="774C4249"/>
    <w:rsid w:val="77574F1B"/>
    <w:rsid w:val="778365D3"/>
    <w:rsid w:val="778B2EDE"/>
    <w:rsid w:val="77A13DC6"/>
    <w:rsid w:val="77C43611"/>
    <w:rsid w:val="77E95B4C"/>
    <w:rsid w:val="780F6561"/>
    <w:rsid w:val="781C2CAD"/>
    <w:rsid w:val="78246E34"/>
    <w:rsid w:val="7830367B"/>
    <w:rsid w:val="783A08E2"/>
    <w:rsid w:val="784203E6"/>
    <w:rsid w:val="7850117C"/>
    <w:rsid w:val="7866665D"/>
    <w:rsid w:val="786C412D"/>
    <w:rsid w:val="788620D5"/>
    <w:rsid w:val="788710C8"/>
    <w:rsid w:val="788C2381"/>
    <w:rsid w:val="78966BA4"/>
    <w:rsid w:val="789A377A"/>
    <w:rsid w:val="78EC0942"/>
    <w:rsid w:val="78F34F46"/>
    <w:rsid w:val="78FF5947"/>
    <w:rsid w:val="79061053"/>
    <w:rsid w:val="7909275D"/>
    <w:rsid w:val="794948C7"/>
    <w:rsid w:val="79732E80"/>
    <w:rsid w:val="79746757"/>
    <w:rsid w:val="798E248C"/>
    <w:rsid w:val="798E24D1"/>
    <w:rsid w:val="79A01E4C"/>
    <w:rsid w:val="79A33C08"/>
    <w:rsid w:val="79AC1651"/>
    <w:rsid w:val="79C937C0"/>
    <w:rsid w:val="79D04F12"/>
    <w:rsid w:val="79F44F51"/>
    <w:rsid w:val="79F61893"/>
    <w:rsid w:val="7A0123C9"/>
    <w:rsid w:val="7A0373C3"/>
    <w:rsid w:val="7A28038C"/>
    <w:rsid w:val="7A2A7505"/>
    <w:rsid w:val="7A355C8C"/>
    <w:rsid w:val="7A464B94"/>
    <w:rsid w:val="7A4F5A5B"/>
    <w:rsid w:val="7A526D66"/>
    <w:rsid w:val="7A54443B"/>
    <w:rsid w:val="7A57076C"/>
    <w:rsid w:val="7A5A3040"/>
    <w:rsid w:val="7A5F493D"/>
    <w:rsid w:val="7A604193"/>
    <w:rsid w:val="7A773D21"/>
    <w:rsid w:val="7A7A6D58"/>
    <w:rsid w:val="7A91025A"/>
    <w:rsid w:val="7AA72F67"/>
    <w:rsid w:val="7ABD0D40"/>
    <w:rsid w:val="7AC202DC"/>
    <w:rsid w:val="7AC208AB"/>
    <w:rsid w:val="7ACC2320"/>
    <w:rsid w:val="7AD006AC"/>
    <w:rsid w:val="7AD60F1A"/>
    <w:rsid w:val="7ADE7264"/>
    <w:rsid w:val="7AE31EDF"/>
    <w:rsid w:val="7AE86D18"/>
    <w:rsid w:val="7AE907BA"/>
    <w:rsid w:val="7AED30D1"/>
    <w:rsid w:val="7AF6289A"/>
    <w:rsid w:val="7AFE47B7"/>
    <w:rsid w:val="7B0A7C80"/>
    <w:rsid w:val="7B212406"/>
    <w:rsid w:val="7B237F65"/>
    <w:rsid w:val="7B245364"/>
    <w:rsid w:val="7B295198"/>
    <w:rsid w:val="7B3A0EA3"/>
    <w:rsid w:val="7B5B25DD"/>
    <w:rsid w:val="7B5C61B1"/>
    <w:rsid w:val="7B5E4651"/>
    <w:rsid w:val="7B702958"/>
    <w:rsid w:val="7B735A7A"/>
    <w:rsid w:val="7B8473B4"/>
    <w:rsid w:val="7B881211"/>
    <w:rsid w:val="7B883A53"/>
    <w:rsid w:val="7B9D48A5"/>
    <w:rsid w:val="7BB11FED"/>
    <w:rsid w:val="7BC053BB"/>
    <w:rsid w:val="7BC71C51"/>
    <w:rsid w:val="7BCE3D75"/>
    <w:rsid w:val="7BFF0A24"/>
    <w:rsid w:val="7C090E55"/>
    <w:rsid w:val="7C360595"/>
    <w:rsid w:val="7C3C17C4"/>
    <w:rsid w:val="7C3F0497"/>
    <w:rsid w:val="7C407610"/>
    <w:rsid w:val="7C5757EC"/>
    <w:rsid w:val="7C5807CC"/>
    <w:rsid w:val="7C5E19BC"/>
    <w:rsid w:val="7C68067E"/>
    <w:rsid w:val="7C6B74DC"/>
    <w:rsid w:val="7C845318"/>
    <w:rsid w:val="7C916BBF"/>
    <w:rsid w:val="7C9718ED"/>
    <w:rsid w:val="7CC04CEF"/>
    <w:rsid w:val="7CD52FEB"/>
    <w:rsid w:val="7D101675"/>
    <w:rsid w:val="7D124A74"/>
    <w:rsid w:val="7D1C6DA2"/>
    <w:rsid w:val="7D2F77ED"/>
    <w:rsid w:val="7D3D0250"/>
    <w:rsid w:val="7D47592B"/>
    <w:rsid w:val="7DEA13B7"/>
    <w:rsid w:val="7DF32EA2"/>
    <w:rsid w:val="7DF830D2"/>
    <w:rsid w:val="7E0A761A"/>
    <w:rsid w:val="7E2F6B37"/>
    <w:rsid w:val="7E427627"/>
    <w:rsid w:val="7E5C27F5"/>
    <w:rsid w:val="7E5D2857"/>
    <w:rsid w:val="7E6B7402"/>
    <w:rsid w:val="7E7116E2"/>
    <w:rsid w:val="7E8B30DA"/>
    <w:rsid w:val="7E9F5164"/>
    <w:rsid w:val="7EA6355E"/>
    <w:rsid w:val="7EA96C28"/>
    <w:rsid w:val="7EB83C6E"/>
    <w:rsid w:val="7ED64786"/>
    <w:rsid w:val="7EE95672"/>
    <w:rsid w:val="7F081F9D"/>
    <w:rsid w:val="7F0D6011"/>
    <w:rsid w:val="7F1127D7"/>
    <w:rsid w:val="7F181A5A"/>
    <w:rsid w:val="7F253E62"/>
    <w:rsid w:val="7F261CCD"/>
    <w:rsid w:val="7F273D3C"/>
    <w:rsid w:val="7F367F3D"/>
    <w:rsid w:val="7F371DD0"/>
    <w:rsid w:val="7F391BFC"/>
    <w:rsid w:val="7F4859CD"/>
    <w:rsid w:val="7F7122D0"/>
    <w:rsid w:val="7F751AC2"/>
    <w:rsid w:val="7F8119D6"/>
    <w:rsid w:val="7F8256DA"/>
    <w:rsid w:val="7F853872"/>
    <w:rsid w:val="7FA810BD"/>
    <w:rsid w:val="7FB02A3E"/>
    <w:rsid w:val="7FC91093"/>
    <w:rsid w:val="7FE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5">
    <w:name w:val="heading 2"/>
    <w:basedOn w:val="1"/>
    <w:next w:val="1"/>
    <w:link w:val="41"/>
    <w:qFormat/>
    <w:uiPriority w:val="0"/>
    <w:pPr>
      <w:keepNext/>
      <w:keepLines/>
      <w:spacing w:beforeLines="100" w:afterLines="50"/>
      <w:outlineLvl w:val="1"/>
    </w:pPr>
    <w:rPr>
      <w:rFonts w:hint="default" w:ascii="Cambria" w:hAnsi="Cambria"/>
      <w:b/>
      <w:bCs/>
      <w:sz w:val="28"/>
      <w:szCs w:val="32"/>
    </w:rPr>
  </w:style>
  <w:style w:type="paragraph" w:styleId="6">
    <w:name w:val="heading 3"/>
    <w:basedOn w:val="1"/>
    <w:next w:val="1"/>
    <w:link w:val="40"/>
    <w:qFormat/>
    <w:uiPriority w:val="0"/>
    <w:pPr>
      <w:keepNext/>
      <w:keepLines/>
      <w:spacing w:line="360" w:lineRule="auto"/>
      <w:outlineLvl w:val="2"/>
    </w:pPr>
    <w:rPr>
      <w:b/>
      <w:sz w:val="24"/>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8">
    <w:name w:val="heading 5"/>
    <w:basedOn w:val="1"/>
    <w:next w:val="1"/>
    <w:unhideWhenUsed/>
    <w:qFormat/>
    <w:uiPriority w:val="0"/>
    <w:pPr>
      <w:keepNext/>
      <w:keepLines/>
      <w:numPr>
        <w:ilvl w:val="4"/>
        <w:numId w:val="2"/>
      </w:numPr>
      <w:spacing w:before="100" w:beforeLines="100" w:after="100" w:afterLines="100"/>
      <w:outlineLvl w:val="4"/>
    </w:pPr>
    <w:rPr>
      <w:b/>
      <w:bCs/>
      <w:sz w:val="28"/>
      <w:szCs w:val="28"/>
    </w:rPr>
  </w:style>
  <w:style w:type="paragraph" w:styleId="9">
    <w:name w:val="heading 6"/>
    <w:basedOn w:val="1"/>
    <w:next w:val="1"/>
    <w:qFormat/>
    <w:uiPriority w:val="1"/>
    <w:pPr>
      <w:ind w:left="898"/>
      <w:outlineLvl w:val="5"/>
    </w:pPr>
    <w:rPr>
      <w:rFonts w:ascii="宋体" w:hAnsi="宋体" w:cs="宋体"/>
      <w:b/>
      <w:bCs/>
      <w:sz w:val="24"/>
      <w:szCs w:val="24"/>
      <w:lang w:val="zh-CN" w:bidi="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autoSpaceDE/>
      <w:autoSpaceDN/>
      <w:adjustRightInd/>
      <w:spacing w:after="120" w:line="240" w:lineRule="auto"/>
      <w:ind w:firstLine="420" w:firstLineChars="100"/>
      <w:jc w:val="both"/>
    </w:pPr>
    <w:rPr>
      <w:kern w:val="2"/>
      <w:sz w:val="21"/>
    </w:rPr>
  </w:style>
  <w:style w:type="paragraph" w:styleId="3">
    <w:name w:val="Body Text"/>
    <w:basedOn w:val="1"/>
    <w:next w:val="2"/>
    <w:qFormat/>
    <w:uiPriority w:val="99"/>
    <w:pPr>
      <w:autoSpaceDE w:val="0"/>
      <w:autoSpaceDN w:val="0"/>
      <w:adjustRightInd w:val="0"/>
      <w:spacing w:line="360" w:lineRule="auto"/>
      <w:jc w:val="center"/>
    </w:pPr>
    <w:rPr>
      <w:kern w:val="0"/>
      <w:sz w:val="72"/>
    </w:rPr>
  </w:style>
  <w:style w:type="paragraph" w:styleId="10">
    <w:name w:val="Normal Indent"/>
    <w:basedOn w:val="1"/>
    <w:next w:val="1"/>
    <w:qFormat/>
    <w:uiPriority w:val="0"/>
    <w:pPr>
      <w:ind w:firstLine="420"/>
    </w:pPr>
    <w:rPr>
      <w:szCs w:val="20"/>
    </w:rPr>
  </w:style>
  <w:style w:type="paragraph" w:styleId="11">
    <w:name w:val="annotation text"/>
    <w:basedOn w:val="1"/>
    <w:link w:val="38"/>
    <w:qFormat/>
    <w:uiPriority w:val="0"/>
    <w:pPr>
      <w:jc w:val="left"/>
    </w:pPr>
  </w:style>
  <w:style w:type="paragraph" w:styleId="12">
    <w:name w:val="Body Text Indent"/>
    <w:basedOn w:val="1"/>
    <w:next w:val="10"/>
    <w:qFormat/>
    <w:uiPriority w:val="0"/>
    <w:pPr>
      <w:spacing w:line="200" w:lineRule="exact"/>
      <w:ind w:firstLine="301"/>
    </w:pPr>
    <w:rPr>
      <w:rFonts w:hint="default" w:ascii="宋体" w:hAnsi="Courier New"/>
      <w:spacing w:val="-4"/>
      <w:sz w:val="18"/>
    </w:rPr>
  </w:style>
  <w:style w:type="paragraph" w:styleId="13">
    <w:name w:val="Plain Text"/>
    <w:basedOn w:val="1"/>
    <w:next w:val="3"/>
    <w:qFormat/>
    <w:uiPriority w:val="0"/>
    <w:rPr>
      <w:rFonts w:hint="default" w:ascii="宋体" w:hAnsi="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8296"/>
      </w:tabs>
      <w:jc w:val="left"/>
    </w:pPr>
    <w:rPr>
      <w:rFonts w:ascii="宋体" w:hAnsi="宋体"/>
      <w:b/>
      <w:sz w:val="32"/>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1">
    <w:name w:val="Normal (Web)"/>
    <w:basedOn w:val="1"/>
    <w:qFormat/>
    <w:uiPriority w:val="99"/>
    <w:pPr>
      <w:widowControl/>
      <w:spacing w:line="300" w:lineRule="atLeast"/>
      <w:jc w:val="left"/>
    </w:pPr>
    <w:rPr>
      <w:rFonts w:ascii="宋体" w:hAnsi="宋体" w:cs="宋体"/>
      <w:kern w:val="0"/>
      <w:sz w:val="24"/>
    </w:rPr>
  </w:style>
  <w:style w:type="paragraph" w:styleId="22">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3">
    <w:name w:val="annotation subject"/>
    <w:basedOn w:val="11"/>
    <w:next w:val="11"/>
    <w:link w:val="39"/>
    <w:qFormat/>
    <w:uiPriority w:val="0"/>
    <w:rPr>
      <w:b/>
      <w:bCs/>
    </w:rPr>
  </w:style>
  <w:style w:type="paragraph" w:styleId="24">
    <w:name w:val="Body Text First Indent 2"/>
    <w:basedOn w:val="12"/>
    <w:next w:val="1"/>
    <w:qFormat/>
    <w:uiPriority w:val="0"/>
    <w:pPr>
      <w:ind w:firstLine="420" w:firstLineChars="200"/>
    </w:pPr>
    <w:rPr>
      <w:rFonts w:ascii="Times New Roman" w:hAnsi="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99"/>
    <w:rPr>
      <w:rFonts w:hint="default"/>
      <w:color w:val="0000FF"/>
      <w:u w:val="single"/>
    </w:rPr>
  </w:style>
  <w:style w:type="character" w:styleId="29">
    <w:name w:val="annotation reference"/>
    <w:basedOn w:val="27"/>
    <w:qFormat/>
    <w:uiPriority w:val="0"/>
    <w:rPr>
      <w:sz w:val="21"/>
      <w:szCs w:val="21"/>
    </w:rPr>
  </w:style>
  <w:style w:type="paragraph" w:styleId="30">
    <w:name w:val="List Paragraph"/>
    <w:basedOn w:val="1"/>
    <w:qFormat/>
    <w:uiPriority w:val="0"/>
    <w:pPr>
      <w:ind w:firstLine="420" w:firstLineChars="200"/>
    </w:pPr>
  </w:style>
  <w:style w:type="paragraph" w:customStyle="1" w:styleId="3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2">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3">
    <w:name w:val="表格用"/>
    <w:basedOn w:val="1"/>
    <w:qFormat/>
    <w:uiPriority w:val="0"/>
    <w:rPr>
      <w:kern w:val="0"/>
    </w:rPr>
  </w:style>
  <w:style w:type="paragraph" w:customStyle="1" w:styleId="34">
    <w:name w:val="列出段落1"/>
    <w:basedOn w:val="1"/>
    <w:qFormat/>
    <w:uiPriority w:val="0"/>
    <w:pPr>
      <w:ind w:firstLine="420" w:firstLineChars="200"/>
    </w:pPr>
    <w:rPr>
      <w:szCs w:val="21"/>
    </w:rPr>
  </w:style>
  <w:style w:type="paragraph" w:customStyle="1" w:styleId="35">
    <w:name w:val="tony正文"/>
    <w:basedOn w:val="1"/>
    <w:qFormat/>
    <w:uiPriority w:val="0"/>
    <w:pPr>
      <w:spacing w:line="400" w:lineRule="exact"/>
    </w:pPr>
    <w:rPr>
      <w:sz w:val="24"/>
    </w:rPr>
  </w:style>
  <w:style w:type="paragraph" w:customStyle="1" w:styleId="36">
    <w:name w:val="CR正文"/>
    <w:basedOn w:val="1"/>
    <w:qFormat/>
    <w:uiPriority w:val="0"/>
    <w:pPr>
      <w:ind w:right="210" w:firstLine="420"/>
    </w:pPr>
    <w:rPr>
      <w:rFonts w:hint="default" w:eastAsia="微软雅黑"/>
      <w:sz w:val="24"/>
      <w:szCs w:val="21"/>
    </w:rPr>
  </w:style>
  <w:style w:type="character" w:customStyle="1" w:styleId="37">
    <w:name w:val="批注框文本 字符"/>
    <w:basedOn w:val="27"/>
    <w:link w:val="15"/>
    <w:qFormat/>
    <w:uiPriority w:val="0"/>
    <w:rPr>
      <w:kern w:val="2"/>
      <w:sz w:val="18"/>
      <w:szCs w:val="18"/>
    </w:rPr>
  </w:style>
  <w:style w:type="character" w:customStyle="1" w:styleId="38">
    <w:name w:val="批注文字 字符"/>
    <w:basedOn w:val="27"/>
    <w:link w:val="11"/>
    <w:qFormat/>
    <w:uiPriority w:val="0"/>
    <w:rPr>
      <w:kern w:val="2"/>
      <w:sz w:val="21"/>
      <w:szCs w:val="22"/>
    </w:rPr>
  </w:style>
  <w:style w:type="character" w:customStyle="1" w:styleId="39">
    <w:name w:val="批注主题 字符"/>
    <w:basedOn w:val="38"/>
    <w:link w:val="23"/>
    <w:qFormat/>
    <w:uiPriority w:val="0"/>
    <w:rPr>
      <w:b/>
      <w:bCs/>
      <w:kern w:val="2"/>
      <w:sz w:val="21"/>
      <w:szCs w:val="22"/>
    </w:rPr>
  </w:style>
  <w:style w:type="character" w:customStyle="1" w:styleId="40">
    <w:name w:val="标题 3 字符"/>
    <w:link w:val="6"/>
    <w:qFormat/>
    <w:uiPriority w:val="0"/>
    <w:rPr>
      <w:b/>
      <w:sz w:val="24"/>
    </w:rPr>
  </w:style>
  <w:style w:type="character" w:customStyle="1" w:styleId="41">
    <w:name w:val="标题 2 字符"/>
    <w:link w:val="5"/>
    <w:qFormat/>
    <w:uiPriority w:val="0"/>
    <w:rPr>
      <w:rFonts w:hint="default" w:ascii="Cambria" w:hAnsi="Cambria"/>
      <w:b/>
      <w:bCs/>
      <w:sz w:val="28"/>
      <w:szCs w:val="32"/>
    </w:rPr>
  </w:style>
  <w:style w:type="paragraph" w:customStyle="1" w:styleId="42">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3">
    <w:name w:val="font11"/>
    <w:basedOn w:val="27"/>
    <w:qFormat/>
    <w:uiPriority w:val="0"/>
    <w:rPr>
      <w:rFonts w:hint="eastAsia" w:ascii="宋体" w:hAnsi="宋体" w:eastAsia="宋体" w:cs="宋体"/>
      <w:color w:val="FF0000"/>
      <w:sz w:val="18"/>
      <w:szCs w:val="18"/>
      <w:u w:val="none"/>
    </w:rPr>
  </w:style>
  <w:style w:type="character" w:customStyle="1" w:styleId="44">
    <w:name w:val="font01"/>
    <w:basedOn w:val="27"/>
    <w:qFormat/>
    <w:uiPriority w:val="0"/>
    <w:rPr>
      <w:rFonts w:hint="eastAsia" w:ascii="宋体" w:hAnsi="宋体" w:eastAsia="宋体" w:cs="宋体"/>
      <w:color w:val="000000"/>
      <w:sz w:val="22"/>
      <w:szCs w:val="22"/>
      <w:u w:val="none"/>
    </w:rPr>
  </w:style>
  <w:style w:type="character" w:customStyle="1" w:styleId="45">
    <w:name w:val="bookmark-item uuid-1588129097073 code-23007 addword single-line-text-input-box-cls readonly"/>
    <w:basedOn w:val="27"/>
    <w:qFormat/>
    <w:uiPriority w:val="0"/>
  </w:style>
  <w:style w:type="character" w:customStyle="1" w:styleId="46">
    <w:name w:val="bookmark-item uuid-1591619842642 code-23011 addword date-time-selection-cls"/>
    <w:basedOn w:val="27"/>
    <w:qFormat/>
    <w:uiPriority w:val="0"/>
  </w:style>
  <w:style w:type="paragraph" w:customStyle="1" w:styleId="47">
    <w:name w:val="纯文本1"/>
    <w:basedOn w:val="1"/>
    <w:qFormat/>
    <w:uiPriority w:val="0"/>
    <w:pPr>
      <w:spacing w:before="156" w:beforeLines="50" w:after="156" w:afterLines="50" w:line="400" w:lineRule="exact"/>
    </w:pPr>
    <w:rPr>
      <w:rFonts w:ascii="宋体" w:hAnsi="Courier New"/>
      <w:sz w:val="24"/>
    </w:rPr>
  </w:style>
  <w:style w:type="paragraph" w:customStyle="1" w:styleId="48">
    <w:name w:val="Char Char Char Char Char Char Char Char Char Char"/>
    <w:basedOn w:val="1"/>
    <w:qFormat/>
    <w:uiPriority w:val="0"/>
    <w:pPr>
      <w:widowControl/>
      <w:spacing w:after="160" w:line="240" w:lineRule="exact"/>
      <w:jc w:val="left"/>
    </w:pPr>
    <w:rPr>
      <w:sz w:val="28"/>
      <w:szCs w:val="20"/>
    </w:rPr>
  </w:style>
  <w:style w:type="paragraph" w:customStyle="1" w:styleId="49">
    <w:name w:val="Table Paragraph"/>
    <w:basedOn w:val="1"/>
    <w:qFormat/>
    <w:uiPriority w:val="1"/>
    <w:rPr>
      <w:rFonts w:ascii="宋体" w:hAnsi="宋体" w:cs="宋体"/>
      <w:lang w:val="zh-CN" w:bidi="zh-CN"/>
    </w:rPr>
  </w:style>
  <w:style w:type="paragraph" w:customStyle="1" w:styleId="50">
    <w:name w:val="首行缩进"/>
    <w:basedOn w:val="1"/>
    <w:qFormat/>
    <w:uiPriority w:val="0"/>
    <w:pPr>
      <w:spacing w:line="360" w:lineRule="auto"/>
      <w:ind w:firstLine="480" w:firstLineChars="200"/>
    </w:pPr>
    <w:rPr>
      <w:sz w:val="24"/>
      <w:lang w:val="zh-CN"/>
    </w:rPr>
  </w:style>
  <w:style w:type="paragraph" w:customStyle="1" w:styleId="51">
    <w:name w:val="_Style 1"/>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52623</Words>
  <Characters>56306</Characters>
  <Lines>434</Lines>
  <Paragraphs>122</Paragraphs>
  <TotalTime>53</TotalTime>
  <ScaleCrop>false</ScaleCrop>
  <LinksUpToDate>false</LinksUpToDate>
  <CharactersWithSpaces>59343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小影子猪</cp:lastModifiedBy>
  <cp:lastPrinted>2021-12-27T07:38:00Z</cp:lastPrinted>
  <dcterms:modified xsi:type="dcterms:W3CDTF">2022-07-13T06:07:05Z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984382A6023748819970754F1764219C</vt:lpwstr>
  </property>
</Properties>
</file>