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240"/>
        <w:rPr>
          <w:color w:val="000000" w:themeColor="text1"/>
          <w14:textFill>
            <w14:solidFill>
              <w14:schemeClr w14:val="tx1"/>
            </w14:solidFill>
          </w14:textFill>
        </w:rPr>
      </w:pPr>
    </w:p>
    <w:p/>
    <w:p>
      <w:pPr>
        <w:rPr>
          <w:color w:val="000000" w:themeColor="text1"/>
          <w14:textFill>
            <w14:solidFill>
              <w14:schemeClr w14:val="tx1"/>
            </w14:solidFill>
          </w14:textFill>
        </w:rPr>
      </w:pPr>
    </w:p>
    <w:p>
      <w:pPr>
        <w:spacing w:line="700" w:lineRule="exact"/>
        <w:jc w:val="center"/>
        <w:rPr>
          <w:rFonts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湖州市南浔区文化和广电旅游体育局新增维护全民健身路径采购项目</w:t>
      </w:r>
    </w:p>
    <w:p>
      <w:pPr>
        <w:spacing w:line="700" w:lineRule="exact"/>
        <w:jc w:val="center"/>
        <w:rPr>
          <w:rFonts w:ascii="仿宋" w:hAnsi="仿宋" w:eastAsia="仿宋" w:cs="仿宋"/>
          <w:b/>
          <w:bCs/>
          <w:color w:val="000000" w:themeColor="text1"/>
          <w:sz w:val="48"/>
          <w:szCs w:val="48"/>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（财政审批编号:</w:t>
      </w:r>
      <w:r>
        <w:rPr>
          <w:rFonts w:hint="eastAsia" w:ascii="仿宋" w:hAnsi="仿宋" w:eastAsia="仿宋" w:cs="仿宋"/>
          <w:b/>
          <w:color w:val="000000" w:themeColor="text1"/>
          <w:sz w:val="28"/>
          <w:szCs w:val="28"/>
          <w:u w:val="single"/>
          <w14:textFill>
            <w14:solidFill>
              <w14:schemeClr w14:val="tx1"/>
            </w14:solidFill>
          </w14:textFill>
        </w:rPr>
        <w:t>临[2022]101号</w:t>
      </w:r>
      <w:r>
        <w:rPr>
          <w:rFonts w:hint="eastAsia" w:ascii="仿宋" w:hAnsi="仿宋" w:eastAsia="仿宋" w:cs="仿宋"/>
          <w:b/>
          <w:color w:val="000000" w:themeColor="text1"/>
          <w:sz w:val="28"/>
          <w:szCs w:val="28"/>
          <w14:textFill>
            <w14:solidFill>
              <w14:schemeClr w14:val="tx1"/>
            </w14:solidFill>
          </w14:textFill>
        </w:rPr>
        <w:t>）</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jc w:val="center"/>
        <w:rPr>
          <w:rFonts w:ascii="仿宋" w:hAnsi="仿宋" w:eastAsia="仿宋" w:cs="仿宋"/>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pPr>
        <w:widowControl/>
        <w:ind w:right="-2"/>
        <w:jc w:val="center"/>
        <w:rPr>
          <w:rFonts w:ascii="仿宋" w:hAnsi="仿宋" w:eastAsia="仿宋" w:cs="仿宋"/>
          <w:b/>
          <w:color w:val="000000" w:themeColor="text1"/>
          <w:sz w:val="32"/>
          <w:szCs w:val="32"/>
          <w14:textFill>
            <w14:solidFill>
              <w14:schemeClr w14:val="tx1"/>
            </w14:solidFill>
          </w14:textFill>
        </w:rPr>
      </w:pPr>
    </w:p>
    <w:p>
      <w:pPr>
        <w:widowControl/>
        <w:ind w:right="-2"/>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（线上电子招投标）</w:t>
      </w:r>
    </w:p>
    <w:p>
      <w:pPr>
        <w:jc w:val="center"/>
        <w:rPr>
          <w:rFonts w:ascii="仿宋" w:hAnsi="仿宋" w:eastAsia="仿宋" w:cs="仿宋"/>
          <w:color w:val="000000" w:themeColor="text1"/>
          <w:sz w:val="30"/>
          <w:szCs w:val="30"/>
          <w14:textFill>
            <w14:solidFill>
              <w14:schemeClr w14:val="tx1"/>
            </w14:solidFill>
          </w14:textFill>
        </w:rPr>
      </w:pPr>
    </w:p>
    <w:p>
      <w:pPr>
        <w:pStyle w:val="13"/>
        <w:ind w:left="480"/>
        <w:rPr>
          <w:rFonts w:ascii="仿宋" w:hAnsi="仿宋" w:eastAsia="仿宋" w:cs="仿宋"/>
          <w:color w:val="000000" w:themeColor="text1"/>
          <w14:textFill>
            <w14:solidFill>
              <w14:schemeClr w14:val="tx1"/>
            </w14:solidFill>
          </w14:textFill>
        </w:rPr>
      </w:pPr>
    </w:p>
    <w:p>
      <w:pPr>
        <w:pStyle w:val="13"/>
        <w:ind w:left="48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spacing w:line="600" w:lineRule="exact"/>
        <w:ind w:firstLine="984" w:firstLineChars="3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 目 编 号：</w:t>
      </w:r>
      <w:r>
        <w:rPr>
          <w:rFonts w:hint="eastAsia" w:ascii="仿宋" w:hAnsi="仿宋" w:eastAsia="仿宋" w:cs="仿宋"/>
          <w:b/>
          <w:bCs/>
          <w:color w:val="000000" w:themeColor="text1"/>
          <w:sz w:val="28"/>
          <w:szCs w:val="28"/>
          <w:u w:val="single"/>
          <w14:textFill>
            <w14:solidFill>
              <w14:schemeClr w14:val="tx1"/>
            </w14:solidFill>
          </w14:textFill>
        </w:rPr>
        <w:t xml:space="preserve">   中纬采字[2022]-010号                      </w:t>
      </w:r>
    </w:p>
    <w:p>
      <w:pPr>
        <w:spacing w:line="600" w:lineRule="exact"/>
        <w:ind w:firstLine="984" w:firstLineChars="350"/>
        <w:rPr>
          <w:rFonts w:ascii="仿宋" w:hAnsi="仿宋" w:eastAsia="仿宋" w:cs="仿宋"/>
          <w:b/>
          <w:bCs/>
          <w:color w:val="000000" w:themeColor="text1"/>
          <w:sz w:val="28"/>
          <w:szCs w:val="28"/>
          <w14:textFill>
            <w14:solidFill>
              <w14:schemeClr w14:val="tx1"/>
            </w14:solidFill>
          </w14:textFill>
        </w:rPr>
      </w:pPr>
    </w:p>
    <w:p>
      <w:pPr>
        <w:spacing w:line="600" w:lineRule="exact"/>
        <w:ind w:firstLine="984" w:firstLineChars="35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采   购   人：</w:t>
      </w:r>
      <w:r>
        <w:rPr>
          <w:rFonts w:hint="eastAsia" w:ascii="仿宋" w:hAnsi="仿宋" w:eastAsia="仿宋" w:cs="仿宋"/>
          <w:b/>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u w:val="single"/>
          <w14:textFill>
            <w14:solidFill>
              <w14:schemeClr w14:val="tx1"/>
            </w14:solidFill>
          </w14:textFill>
        </w:rPr>
        <w:t>湖州市南浔区文化和广电旅游体育局</w:t>
      </w:r>
      <w:r>
        <w:rPr>
          <w:rFonts w:hint="eastAsia" w:ascii="仿宋" w:hAnsi="仿宋" w:eastAsia="仿宋" w:cs="仿宋"/>
          <w:b/>
          <w:bCs/>
          <w:color w:val="000000" w:themeColor="text1"/>
          <w:sz w:val="28"/>
          <w:szCs w:val="28"/>
          <w:u w:val="single"/>
          <w:lang w:val="en-US" w:eastAsia="zh-CN"/>
          <w14:textFill>
            <w14:solidFill>
              <w14:schemeClr w14:val="tx1"/>
            </w14:solidFill>
          </w14:textFill>
        </w:rPr>
        <w:t xml:space="preserve">          </w:t>
      </w:r>
    </w:p>
    <w:p>
      <w:pPr>
        <w:spacing w:line="600" w:lineRule="exact"/>
        <w:ind w:firstLine="843" w:firstLineChars="350"/>
        <w:rPr>
          <w:rFonts w:ascii="仿宋" w:hAnsi="仿宋" w:eastAsia="仿宋" w:cs="仿宋"/>
          <w:b/>
          <w:bCs/>
          <w:color w:val="000000" w:themeColor="text1"/>
          <w14:textFill>
            <w14:solidFill>
              <w14:schemeClr w14:val="tx1"/>
            </w14:solidFill>
          </w14:textFill>
        </w:rPr>
      </w:pPr>
    </w:p>
    <w:p>
      <w:pPr>
        <w:spacing w:line="600" w:lineRule="exact"/>
        <w:ind w:firstLine="984" w:firstLineChars="3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采购代理机构：</w:t>
      </w:r>
      <w:r>
        <w:rPr>
          <w:rFonts w:hint="eastAsia" w:ascii="仿宋" w:hAnsi="仿宋" w:eastAsia="仿宋" w:cs="仿宋"/>
          <w:b/>
          <w:bCs/>
          <w:color w:val="000000" w:themeColor="text1"/>
          <w:sz w:val="28"/>
          <w:szCs w:val="28"/>
          <w:u w:val="single"/>
          <w14:textFill>
            <w14:solidFill>
              <w14:schemeClr w14:val="tx1"/>
            </w14:solidFill>
          </w14:textFill>
        </w:rPr>
        <w:t xml:space="preserve">  中纬工程管理咨询有限公司                  </w:t>
      </w:r>
    </w:p>
    <w:p>
      <w:pPr>
        <w:spacing w:line="600" w:lineRule="exact"/>
        <w:rPr>
          <w:rFonts w:ascii="仿宋" w:hAnsi="仿宋" w:eastAsia="仿宋" w:cs="仿宋"/>
          <w:color w:val="000000" w:themeColor="text1"/>
          <w14:textFill>
            <w14:solidFill>
              <w14:schemeClr w14:val="tx1"/>
            </w14:solidFill>
          </w14:textFill>
        </w:rPr>
      </w:pPr>
    </w:p>
    <w:p>
      <w:pPr>
        <w:snapToGrid w:val="0"/>
        <w:spacing w:line="6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二○二二年</w:t>
      </w: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月</w:t>
      </w:r>
    </w:p>
    <w:p>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p>
    <w:p>
      <w:pPr>
        <w:jc w:val="center"/>
        <w:rPr>
          <w:rFonts w:ascii="仿宋" w:hAnsi="仿宋" w:eastAsia="仿宋" w:cs="仿宋"/>
          <w:b/>
          <w:color w:val="000000" w:themeColor="text1"/>
          <w:sz w:val="44"/>
          <w:szCs w:val="44"/>
          <w14:textFill>
            <w14:solidFill>
              <w14:schemeClr w14:val="tx1"/>
            </w14:solidFill>
          </w14:textFill>
        </w:rPr>
      </w:pPr>
    </w:p>
    <w:p>
      <w:pPr>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目  录</w:t>
      </w:r>
    </w:p>
    <w:p>
      <w:pPr>
        <w:spacing w:line="500" w:lineRule="exact"/>
        <w:rPr>
          <w:rFonts w:ascii="仿宋" w:hAnsi="仿宋" w:eastAsia="仿宋" w:cs="仿宋"/>
          <w:color w:val="000000" w:themeColor="text1"/>
          <w14:textFill>
            <w14:solidFill>
              <w14:schemeClr w14:val="tx1"/>
            </w14:solidFill>
          </w14:textFill>
        </w:rPr>
      </w:pPr>
    </w:p>
    <w:p>
      <w:pPr>
        <w:pStyle w:val="24"/>
        <w:tabs>
          <w:tab w:val="right" w:leader="dot" w:pos="8997"/>
        </w:tabs>
        <w:spacing w:line="600" w:lineRule="exact"/>
        <w:ind w:firstLine="280" w:firstLineChars="1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fldChar w:fldCharType="begin"/>
      </w:r>
      <w:r>
        <w:rPr>
          <w:rFonts w:hint="eastAsia" w:ascii="仿宋" w:hAnsi="仿宋" w:eastAsia="仿宋" w:cs="仿宋"/>
          <w:color w:val="000000" w:themeColor="text1"/>
          <w:szCs w:val="28"/>
          <w14:textFill>
            <w14:solidFill>
              <w14:schemeClr w14:val="tx1"/>
            </w14:solidFill>
          </w14:textFill>
        </w:rPr>
        <w:instrText xml:space="preserve">TOC \o "1-2" \h \u </w:instrText>
      </w:r>
      <w:r>
        <w:rPr>
          <w:rFonts w:hint="eastAsia" w:ascii="仿宋" w:hAnsi="仿宋" w:eastAsia="仿宋" w:cs="仿宋"/>
          <w:color w:val="000000" w:themeColor="text1"/>
          <w:szCs w:val="28"/>
          <w14:textFill>
            <w14:solidFill>
              <w14:schemeClr w14:val="tx1"/>
            </w14:solidFill>
          </w14:textFill>
        </w:rPr>
        <w:fldChar w:fldCharType="separate"/>
      </w:r>
      <w:r>
        <w:fldChar w:fldCharType="begin"/>
      </w:r>
      <w:r>
        <w:instrText xml:space="preserve"> HYPERLINK \l "_Toc9173" </w:instrText>
      </w:r>
      <w:r>
        <w:fldChar w:fldCharType="separate"/>
      </w:r>
      <w:r>
        <w:rPr>
          <w:rFonts w:hint="eastAsia" w:ascii="仿宋" w:hAnsi="仿宋" w:eastAsia="仿宋" w:cs="仿宋"/>
          <w:color w:val="000000" w:themeColor="text1"/>
          <w:szCs w:val="28"/>
          <w14:textFill>
            <w14:solidFill>
              <w14:schemeClr w14:val="tx1"/>
            </w14:solidFill>
          </w14:textFill>
        </w:rPr>
        <w:t>第一章  公开招标采购公告</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3</w:t>
      </w:r>
    </w:p>
    <w:p>
      <w:pPr>
        <w:pStyle w:val="24"/>
        <w:tabs>
          <w:tab w:val="right" w:leader="dot" w:pos="8997"/>
        </w:tabs>
        <w:spacing w:line="600" w:lineRule="exact"/>
        <w:ind w:firstLine="280" w:firstLineChars="100"/>
        <w:rPr>
          <w:rFonts w:ascii="仿宋" w:hAnsi="仿宋" w:eastAsia="仿宋" w:cs="仿宋"/>
          <w:color w:val="000000" w:themeColor="text1"/>
          <w:szCs w:val="28"/>
          <w14:textFill>
            <w14:solidFill>
              <w14:schemeClr w14:val="tx1"/>
            </w14:solidFill>
          </w14:textFill>
        </w:rPr>
      </w:pPr>
      <w:r>
        <w:fldChar w:fldCharType="begin"/>
      </w:r>
      <w:r>
        <w:instrText xml:space="preserve"> HYPERLINK \l "_Toc30327" </w:instrText>
      </w:r>
      <w:r>
        <w:fldChar w:fldCharType="separate"/>
      </w:r>
      <w:r>
        <w:rPr>
          <w:rFonts w:hint="eastAsia" w:ascii="仿宋" w:hAnsi="仿宋" w:eastAsia="仿宋" w:cs="仿宋"/>
          <w:color w:val="000000" w:themeColor="text1"/>
          <w:szCs w:val="28"/>
          <w14:textFill>
            <w14:solidFill>
              <w14:schemeClr w14:val="tx1"/>
            </w14:solidFill>
          </w14:textFill>
        </w:rPr>
        <w:t>第二章  招标需求</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8</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"_Toc23299" </w:instrText>
      </w:r>
      <w:r>
        <w:fldChar w:fldCharType="separate"/>
      </w:r>
      <w:r>
        <w:rPr>
          <w:rFonts w:hint="eastAsia" w:ascii="仿宋" w:hAnsi="仿宋" w:eastAsia="仿宋" w:cs="仿宋"/>
          <w:color w:val="000000" w:themeColor="text1"/>
          <w:szCs w:val="28"/>
          <w14:textFill>
            <w14:solidFill>
              <w14:schemeClr w14:val="tx1"/>
            </w14:solidFill>
          </w14:textFill>
        </w:rPr>
        <w:t>第三章  供应商须知</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1</w:t>
      </w:r>
      <w:r>
        <w:rPr>
          <w:rFonts w:hint="eastAsia" w:ascii="仿宋" w:hAnsi="仿宋" w:eastAsia="仿宋" w:cs="仿宋"/>
          <w:color w:val="000000" w:themeColor="text1"/>
          <w:szCs w:val="28"/>
          <w:lang w:val="en-US" w:eastAsia="zh-CN"/>
          <w14:textFill>
            <w14:solidFill>
              <w14:schemeClr w14:val="tx1"/>
            </w14:solidFill>
          </w14:textFill>
        </w:rPr>
        <w:t>3</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val="en-US" w:eastAsia="zh-CN"/>
          <w14:textFill>
            <w14:solidFill>
              <w14:schemeClr w14:val="tx1"/>
            </w14:solidFill>
          </w14:textFill>
        </w:rPr>
      </w:pPr>
      <w:r>
        <w:fldChar w:fldCharType="begin"/>
      </w:r>
      <w:r>
        <w:instrText xml:space="preserve"> HYPERLINK \l "_Toc27957" </w:instrText>
      </w:r>
      <w:r>
        <w:fldChar w:fldCharType="separate"/>
      </w:r>
      <w:r>
        <w:rPr>
          <w:rFonts w:hint="eastAsia" w:ascii="仿宋" w:hAnsi="仿宋" w:eastAsia="仿宋" w:cs="仿宋"/>
          <w:color w:val="000000" w:themeColor="text1"/>
          <w:szCs w:val="28"/>
          <w14:textFill>
            <w14:solidFill>
              <w14:schemeClr w14:val="tx1"/>
            </w14:solidFill>
          </w14:textFill>
        </w:rPr>
        <w:t>一、总  则</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1</w:t>
      </w:r>
      <w:r>
        <w:rPr>
          <w:rFonts w:hint="eastAsia" w:ascii="仿宋" w:hAnsi="仿宋" w:eastAsia="仿宋" w:cs="仿宋"/>
          <w:color w:val="000000" w:themeColor="text1"/>
          <w:szCs w:val="28"/>
          <w:lang w:val="en-US" w:eastAsia="zh-CN"/>
          <w14:textFill>
            <w14:solidFill>
              <w14:schemeClr w14:val="tx1"/>
            </w14:solidFill>
          </w14:textFill>
        </w:rPr>
        <w:t>6</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"_Toc15152" </w:instrText>
      </w:r>
      <w:r>
        <w:fldChar w:fldCharType="separate"/>
      </w:r>
      <w:r>
        <w:rPr>
          <w:rFonts w:hint="eastAsia" w:ascii="仿宋" w:hAnsi="仿宋" w:eastAsia="仿宋" w:cs="仿宋"/>
          <w:color w:val="000000" w:themeColor="text1"/>
          <w:szCs w:val="28"/>
          <w14:textFill>
            <w14:solidFill>
              <w14:schemeClr w14:val="tx1"/>
            </w14:solidFill>
          </w14:textFill>
        </w:rPr>
        <w:t>二、招标文件</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1</w:t>
      </w:r>
      <w:r>
        <w:rPr>
          <w:rFonts w:hint="eastAsia" w:ascii="仿宋" w:hAnsi="仿宋" w:eastAsia="仿宋" w:cs="仿宋"/>
          <w:color w:val="000000" w:themeColor="text1"/>
          <w:szCs w:val="28"/>
          <w:lang w:val="en-US" w:eastAsia="zh-CN"/>
          <w14:textFill>
            <w14:solidFill>
              <w14:schemeClr w14:val="tx1"/>
            </w14:solidFill>
          </w14:textFill>
        </w:rPr>
        <w:t>9</w:t>
      </w:r>
    </w:p>
    <w:p>
      <w:pPr>
        <w:pStyle w:val="24"/>
        <w:tabs>
          <w:tab w:val="right" w:leader="dot" w:pos="8997"/>
        </w:tabs>
        <w:spacing w:line="600" w:lineRule="exact"/>
        <w:ind w:firstLine="280" w:firstLineChars="100"/>
        <w:rPr>
          <w:rFonts w:hint="default" w:ascii="仿宋" w:hAnsi="仿宋" w:eastAsia="仿宋" w:cs="仿宋"/>
          <w:color w:val="000000" w:themeColor="text1"/>
          <w:szCs w:val="28"/>
          <w:lang w:val="en-US" w:eastAsia="zh-CN"/>
          <w14:textFill>
            <w14:solidFill>
              <w14:schemeClr w14:val="tx1"/>
            </w14:solidFill>
          </w14:textFill>
        </w:rPr>
      </w:pPr>
      <w:r>
        <w:fldChar w:fldCharType="begin"/>
      </w:r>
      <w:r>
        <w:instrText xml:space="preserve"> HYPERLINK \l "_Toc21600" </w:instrText>
      </w:r>
      <w:r>
        <w:fldChar w:fldCharType="separate"/>
      </w:r>
      <w:r>
        <w:rPr>
          <w:rFonts w:hint="eastAsia" w:ascii="仿宋" w:hAnsi="仿宋" w:eastAsia="仿宋" w:cs="仿宋"/>
          <w:color w:val="000000" w:themeColor="text1"/>
          <w:szCs w:val="28"/>
          <w14:textFill>
            <w14:solidFill>
              <w14:schemeClr w14:val="tx1"/>
            </w14:solidFill>
          </w14:textFill>
        </w:rPr>
        <w:t>三、投标文件的编制</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lang w:val="en-US" w:eastAsia="zh-CN"/>
          <w14:textFill>
            <w14:solidFill>
              <w14:schemeClr w14:val="tx1"/>
            </w14:solidFill>
          </w14:textFill>
        </w:rPr>
        <w:t>20</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"_Toc20030" </w:instrText>
      </w:r>
      <w:r>
        <w:fldChar w:fldCharType="separate"/>
      </w:r>
      <w:r>
        <w:rPr>
          <w:rFonts w:hint="eastAsia" w:ascii="仿宋" w:hAnsi="仿宋" w:eastAsia="仿宋" w:cs="仿宋"/>
          <w:color w:val="000000" w:themeColor="text1"/>
          <w:szCs w:val="28"/>
          <w14:textFill>
            <w14:solidFill>
              <w14:schemeClr w14:val="tx1"/>
            </w14:solidFill>
          </w14:textFill>
        </w:rPr>
        <w:t>四、开标</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2</w:t>
      </w:r>
      <w:r>
        <w:rPr>
          <w:rFonts w:hint="eastAsia" w:ascii="仿宋" w:hAnsi="仿宋" w:eastAsia="仿宋" w:cs="仿宋"/>
          <w:color w:val="000000" w:themeColor="text1"/>
          <w:szCs w:val="28"/>
          <w:lang w:val="en-US" w:eastAsia="zh-CN"/>
          <w14:textFill>
            <w14:solidFill>
              <w14:schemeClr w14:val="tx1"/>
            </w14:solidFill>
          </w14:textFill>
        </w:rPr>
        <w:t>5</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"_Toc25573" </w:instrText>
      </w:r>
      <w:r>
        <w:fldChar w:fldCharType="separate"/>
      </w:r>
      <w:r>
        <w:rPr>
          <w:rFonts w:hint="eastAsia" w:ascii="仿宋" w:hAnsi="仿宋" w:eastAsia="仿宋" w:cs="仿宋"/>
          <w:color w:val="000000" w:themeColor="text1"/>
          <w:szCs w:val="28"/>
          <w14:textFill>
            <w14:solidFill>
              <w14:schemeClr w14:val="tx1"/>
            </w14:solidFill>
          </w14:textFill>
        </w:rPr>
        <w:t>五、评标</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2</w:t>
      </w:r>
      <w:r>
        <w:rPr>
          <w:rFonts w:hint="eastAsia" w:ascii="仿宋" w:hAnsi="仿宋" w:eastAsia="仿宋" w:cs="仿宋"/>
          <w:color w:val="000000" w:themeColor="text1"/>
          <w:szCs w:val="28"/>
          <w:lang w:val="en-US" w:eastAsia="zh-CN"/>
          <w14:textFill>
            <w14:solidFill>
              <w14:schemeClr w14:val="tx1"/>
            </w14:solidFill>
          </w14:textFill>
        </w:rPr>
        <w:t>7</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"_Toc31897" </w:instrText>
      </w:r>
      <w:r>
        <w:fldChar w:fldCharType="separate"/>
      </w:r>
      <w:r>
        <w:rPr>
          <w:rFonts w:hint="eastAsia" w:ascii="仿宋" w:hAnsi="仿宋" w:eastAsia="仿宋" w:cs="仿宋"/>
          <w:color w:val="000000" w:themeColor="text1"/>
          <w:szCs w:val="28"/>
          <w14:textFill>
            <w14:solidFill>
              <w14:schemeClr w14:val="tx1"/>
            </w14:solidFill>
          </w14:textFill>
        </w:rPr>
        <w:t>六、定标</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2</w:t>
      </w:r>
      <w:r>
        <w:rPr>
          <w:rFonts w:hint="eastAsia" w:ascii="仿宋" w:hAnsi="仿宋" w:eastAsia="仿宋" w:cs="仿宋"/>
          <w:color w:val="000000" w:themeColor="text1"/>
          <w:szCs w:val="28"/>
          <w:lang w:val="en-US" w:eastAsia="zh-CN"/>
          <w14:textFill>
            <w14:solidFill>
              <w14:schemeClr w14:val="tx1"/>
            </w14:solidFill>
          </w14:textFill>
        </w:rPr>
        <w:t>9</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"_Toc15152" </w:instrText>
      </w:r>
      <w:r>
        <w:fldChar w:fldCharType="separate"/>
      </w:r>
      <w:r>
        <w:rPr>
          <w:rFonts w:hint="eastAsia" w:ascii="仿宋" w:hAnsi="仿宋" w:eastAsia="仿宋" w:cs="仿宋"/>
          <w:color w:val="000000" w:themeColor="text1"/>
          <w:szCs w:val="28"/>
          <w14:textFill>
            <w14:solidFill>
              <w14:schemeClr w14:val="tx1"/>
            </w14:solidFill>
          </w14:textFill>
        </w:rPr>
        <w:t>七、合同授予</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2</w:t>
      </w:r>
      <w:r>
        <w:rPr>
          <w:rFonts w:hint="eastAsia" w:ascii="仿宋" w:hAnsi="仿宋" w:eastAsia="仿宋" w:cs="仿宋"/>
          <w:color w:val="000000" w:themeColor="text1"/>
          <w:szCs w:val="28"/>
          <w:lang w:val="en-US" w:eastAsia="zh-CN"/>
          <w14:textFill>
            <w14:solidFill>
              <w14:schemeClr w14:val="tx1"/>
            </w14:solidFill>
          </w14:textFill>
        </w:rPr>
        <w:t>9</w:t>
      </w:r>
    </w:p>
    <w:p>
      <w:pPr>
        <w:pStyle w:val="24"/>
        <w:tabs>
          <w:tab w:val="right" w:leader="dot" w:pos="8997"/>
        </w:tabs>
        <w:spacing w:line="600" w:lineRule="exact"/>
        <w:ind w:firstLine="280" w:firstLineChars="100"/>
        <w:rPr>
          <w:rFonts w:hint="default" w:ascii="仿宋" w:hAnsi="仿宋" w:eastAsia="仿宋" w:cs="仿宋"/>
          <w:color w:val="000000" w:themeColor="text1"/>
          <w:szCs w:val="28"/>
          <w:lang w:val="en-US" w:eastAsia="zh-CN"/>
          <w14:textFill>
            <w14:solidFill>
              <w14:schemeClr w14:val="tx1"/>
            </w14:solidFill>
          </w14:textFill>
        </w:rPr>
      </w:pPr>
      <w:r>
        <w:fldChar w:fldCharType="begin"/>
      </w:r>
      <w:r>
        <w:instrText xml:space="preserve"> HYPERLINK \l "_Toc15152" </w:instrText>
      </w:r>
      <w:r>
        <w:fldChar w:fldCharType="separate"/>
      </w:r>
      <w:r>
        <w:rPr>
          <w:rFonts w:hint="eastAsia" w:ascii="仿宋" w:hAnsi="仿宋" w:eastAsia="仿宋" w:cs="仿宋"/>
          <w:color w:val="000000" w:themeColor="text1"/>
          <w:szCs w:val="28"/>
          <w14:textFill>
            <w14:solidFill>
              <w14:schemeClr w14:val="tx1"/>
            </w14:solidFill>
          </w14:textFill>
        </w:rPr>
        <w:t>八、其他</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lang w:val="en-US" w:eastAsia="zh-CN"/>
          <w14:textFill>
            <w14:solidFill>
              <w14:schemeClr w14:val="tx1"/>
            </w14:solidFill>
          </w14:textFill>
        </w:rPr>
        <w:t>30</w:t>
      </w:r>
    </w:p>
    <w:p>
      <w:pPr>
        <w:pStyle w:val="24"/>
        <w:tabs>
          <w:tab w:val="right" w:leader="dot" w:pos="8997"/>
        </w:tabs>
        <w:spacing w:line="600" w:lineRule="exact"/>
        <w:ind w:firstLine="280" w:firstLineChars="100"/>
        <w:rPr>
          <w:rFonts w:hint="default" w:ascii="仿宋" w:hAnsi="仿宋" w:eastAsia="仿宋" w:cs="仿宋"/>
          <w:color w:val="000000" w:themeColor="text1"/>
          <w:szCs w:val="28"/>
          <w:lang w:val="en-US" w:eastAsia="zh-CN"/>
          <w14:textFill>
            <w14:solidFill>
              <w14:schemeClr w14:val="tx1"/>
            </w14:solidFill>
          </w14:textFill>
        </w:rPr>
      </w:pPr>
      <w:r>
        <w:fldChar w:fldCharType="begin"/>
      </w:r>
      <w:r>
        <w:instrText xml:space="preserve"> HYPERLINK \l "_Toc25668" </w:instrText>
      </w:r>
      <w:r>
        <w:fldChar w:fldCharType="separate"/>
      </w:r>
      <w:r>
        <w:rPr>
          <w:rFonts w:hint="eastAsia" w:ascii="仿宋" w:hAnsi="仿宋" w:eastAsia="仿宋" w:cs="仿宋"/>
          <w:color w:val="000000" w:themeColor="text1"/>
          <w:szCs w:val="28"/>
          <w14:textFill>
            <w14:solidFill>
              <w14:schemeClr w14:val="tx1"/>
            </w14:solidFill>
          </w14:textFill>
        </w:rPr>
        <w:t>第四章  评标办法及评分标准</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lang w:val="en-US" w:eastAsia="zh-CN"/>
          <w14:textFill>
            <w14:solidFill>
              <w14:schemeClr w14:val="tx1"/>
            </w14:solidFill>
          </w14:textFill>
        </w:rPr>
        <w:t>31</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val="en-US" w:eastAsia="zh-CN"/>
          <w14:textFill>
            <w14:solidFill>
              <w14:schemeClr w14:val="tx1"/>
            </w14:solidFill>
          </w14:textFill>
        </w:rPr>
      </w:pPr>
      <w:r>
        <w:fldChar w:fldCharType="begin"/>
      </w:r>
      <w:r>
        <w:instrText xml:space="preserve"> HYPERLINK \l "_Toc32178" </w:instrText>
      </w:r>
      <w:r>
        <w:fldChar w:fldCharType="separate"/>
      </w:r>
      <w:r>
        <w:rPr>
          <w:rFonts w:hint="eastAsia" w:ascii="仿宋" w:hAnsi="仿宋" w:eastAsia="仿宋" w:cs="仿宋"/>
          <w:color w:val="000000" w:themeColor="text1"/>
          <w:szCs w:val="28"/>
          <w14:textFill>
            <w14:solidFill>
              <w14:schemeClr w14:val="tx1"/>
            </w14:solidFill>
          </w14:textFill>
        </w:rPr>
        <w:t>第五章  合同主要条款</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3</w:t>
      </w:r>
      <w:r>
        <w:rPr>
          <w:rFonts w:hint="eastAsia" w:ascii="仿宋" w:hAnsi="仿宋" w:eastAsia="仿宋" w:cs="仿宋"/>
          <w:color w:val="000000" w:themeColor="text1"/>
          <w:szCs w:val="28"/>
          <w:lang w:val="en-US" w:eastAsia="zh-CN"/>
          <w14:textFill>
            <w14:solidFill>
              <w14:schemeClr w14:val="tx1"/>
            </w14:solidFill>
          </w14:textFill>
        </w:rPr>
        <w:t>4</w:t>
      </w:r>
    </w:p>
    <w:p>
      <w:pPr>
        <w:pStyle w:val="24"/>
        <w:tabs>
          <w:tab w:val="right" w:leader="dot" w:pos="8997"/>
        </w:tabs>
        <w:spacing w:line="600" w:lineRule="exact"/>
        <w:ind w:firstLine="280" w:firstLineChars="100"/>
        <w:rPr>
          <w:rFonts w:hint="eastAsia" w:ascii="仿宋" w:hAnsi="仿宋" w:eastAsia="仿宋" w:cs="仿宋"/>
          <w:color w:val="000000" w:themeColor="text1"/>
          <w:szCs w:val="28"/>
          <w:lang w:eastAsia="zh-CN"/>
          <w14:textFill>
            <w14:solidFill>
              <w14:schemeClr w14:val="tx1"/>
            </w14:solidFill>
          </w14:textFill>
        </w:rPr>
      </w:pPr>
      <w:r>
        <w:fldChar w:fldCharType="begin"/>
      </w:r>
      <w:r>
        <w:instrText xml:space="preserve"> HYPERLINK \l "_Toc32178" </w:instrText>
      </w:r>
      <w:r>
        <w:fldChar w:fldCharType="separate"/>
      </w:r>
      <w:r>
        <w:rPr>
          <w:rFonts w:hint="eastAsia" w:ascii="仿宋" w:hAnsi="仿宋" w:eastAsia="仿宋" w:cs="仿宋"/>
          <w:color w:val="000000" w:themeColor="text1"/>
          <w:szCs w:val="28"/>
          <w14:textFill>
            <w14:solidFill>
              <w14:schemeClr w14:val="tx1"/>
            </w14:solidFill>
          </w14:textFill>
        </w:rPr>
        <w:t>第六章  投标文件格式及附件</w:t>
      </w:r>
      <w:r>
        <w:rPr>
          <w:rFonts w:hint="eastAsia" w:ascii="仿宋" w:hAnsi="仿宋" w:eastAsia="仿宋" w:cs="仿宋"/>
          <w:color w:val="000000" w:themeColor="text1"/>
          <w:szCs w:val="28"/>
          <w14:textFill>
            <w14:solidFill>
              <w14:schemeClr w14:val="tx1"/>
            </w14:solidFill>
          </w14:textFill>
        </w:rPr>
        <w:tab/>
      </w:r>
      <w:r>
        <w:rPr>
          <w:rFonts w:hint="eastAsia" w:ascii="仿宋" w:hAnsi="仿宋" w:eastAsia="仿宋" w:cs="仿宋"/>
          <w:color w:val="000000" w:themeColor="text1"/>
          <w:szCs w:val="28"/>
          <w14:textFill>
            <w14:solidFill>
              <w14:schemeClr w14:val="tx1"/>
            </w14:solidFill>
          </w14:textFill>
        </w:rPr>
        <w:fldChar w:fldCharType="end"/>
      </w:r>
      <w:r>
        <w:rPr>
          <w:rFonts w:hint="eastAsia" w:ascii="仿宋" w:hAnsi="仿宋" w:eastAsia="仿宋" w:cs="仿宋"/>
          <w:color w:val="000000" w:themeColor="text1"/>
          <w:szCs w:val="28"/>
          <w14:textFill>
            <w14:solidFill>
              <w14:schemeClr w14:val="tx1"/>
            </w14:solidFill>
          </w14:textFill>
        </w:rPr>
        <w:t>3</w:t>
      </w:r>
      <w:r>
        <w:rPr>
          <w:rFonts w:hint="eastAsia" w:ascii="仿宋" w:hAnsi="仿宋" w:eastAsia="仿宋" w:cs="仿宋"/>
          <w:color w:val="000000" w:themeColor="text1"/>
          <w:szCs w:val="28"/>
          <w:lang w:val="en-US" w:eastAsia="zh-CN"/>
          <w14:textFill>
            <w14:solidFill>
              <w14:schemeClr w14:val="tx1"/>
            </w14:solidFill>
          </w14:textFill>
        </w:rPr>
        <w:t>7</w:t>
      </w:r>
    </w:p>
    <w:p>
      <w:pPr>
        <w:pStyle w:val="24"/>
        <w:tabs>
          <w:tab w:val="right" w:leader="dot" w:pos="8997"/>
        </w:tabs>
        <w:spacing w:line="600" w:lineRule="exac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fldChar w:fldCharType="end"/>
      </w: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第一章  公开招标采购公告</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根据《中华人民共和国政府采购法》、《政府采购货物和服务招标投标管理办法》及相关法律、法规等规定，经</w:t>
      </w:r>
      <w:r>
        <w:rPr>
          <w:rFonts w:hint="eastAsia" w:ascii="仿宋" w:hAnsi="仿宋" w:eastAsia="仿宋" w:cs="仿宋"/>
          <w:b/>
          <w:color w:val="000000" w:themeColor="text1"/>
          <w:szCs w:val="24"/>
          <w:u w:val="single"/>
          <w14:textFill>
            <w14:solidFill>
              <w14:schemeClr w14:val="tx1"/>
            </w14:solidFill>
          </w14:textFill>
        </w:rPr>
        <w:t>湖州市南浔区财政局（财政审批编号:临[2022]101号）</w:t>
      </w:r>
      <w:r>
        <w:rPr>
          <w:rFonts w:hint="eastAsia" w:ascii="仿宋" w:hAnsi="仿宋" w:eastAsia="仿宋" w:cs="仿宋"/>
          <w:color w:val="000000" w:themeColor="text1"/>
          <w:szCs w:val="24"/>
          <w14:textFill>
            <w14:solidFill>
              <w14:schemeClr w14:val="tx1"/>
            </w14:solidFill>
          </w14:textFill>
        </w:rPr>
        <w:t>批准，现就</w:t>
      </w:r>
      <w:r>
        <w:rPr>
          <w:rFonts w:hint="eastAsia" w:ascii="仿宋" w:hAnsi="仿宋" w:eastAsia="仿宋" w:cs="仿宋"/>
          <w:b/>
          <w:color w:val="000000" w:themeColor="text1"/>
          <w:szCs w:val="24"/>
          <w:u w:val="single"/>
          <w14:textFill>
            <w14:solidFill>
              <w14:schemeClr w14:val="tx1"/>
            </w14:solidFill>
          </w14:textFill>
        </w:rPr>
        <w:t>湖州市南浔区文化和广电旅游体育局新增维护全民健身路径采购项目</w:t>
      </w:r>
      <w:r>
        <w:rPr>
          <w:rFonts w:hint="eastAsia" w:ascii="仿宋" w:hAnsi="仿宋" w:eastAsia="仿宋" w:cs="仿宋"/>
          <w:color w:val="000000" w:themeColor="text1"/>
          <w:szCs w:val="24"/>
          <w14:textFill>
            <w14:solidFill>
              <w14:schemeClr w14:val="tx1"/>
            </w14:solidFill>
          </w14:textFill>
        </w:rPr>
        <w:t>进行公开招标采购，欢迎中华人民共和国境内的合格供应商前来参加投标。</w:t>
      </w:r>
    </w:p>
    <w:p>
      <w:pPr>
        <w:widowControl/>
        <w:autoSpaceDE/>
        <w:autoSpaceDN/>
        <w:spacing w:before="75" w:after="75" w:line="460" w:lineRule="exact"/>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 xml:space="preserve">一、项目编号: </w:t>
      </w:r>
      <w:r>
        <w:rPr>
          <w:rFonts w:hint="eastAsia" w:ascii="仿宋" w:hAnsi="仿宋" w:eastAsia="仿宋" w:cs="仿宋"/>
          <w:color w:val="000000" w:themeColor="text1"/>
          <w:szCs w:val="24"/>
          <w14:textFill>
            <w14:solidFill>
              <w14:schemeClr w14:val="tx1"/>
            </w14:solidFill>
          </w14:textFill>
        </w:rPr>
        <w:t>中纬采字[2022]-010号</w:t>
      </w:r>
    </w:p>
    <w:p>
      <w:pPr>
        <w:widowControl/>
        <w:autoSpaceDE/>
        <w:autoSpaceDN/>
        <w:spacing w:before="75" w:after="75" w:line="460" w:lineRule="exact"/>
        <w:jc w:val="left"/>
        <w:textAlignment w:val="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二、采购组织类型：</w:t>
      </w:r>
      <w:r>
        <w:rPr>
          <w:rFonts w:hint="eastAsia" w:ascii="仿宋" w:hAnsi="仿宋" w:eastAsia="仿宋" w:cs="仿宋"/>
          <w:color w:val="000000" w:themeColor="text1"/>
          <w:szCs w:val="24"/>
          <w14:textFill>
            <w14:solidFill>
              <w14:schemeClr w14:val="tx1"/>
            </w14:solidFill>
          </w14:textFill>
        </w:rPr>
        <w:t>分散采购委托代理</w:t>
      </w:r>
    </w:p>
    <w:p>
      <w:pPr>
        <w:widowControl/>
        <w:autoSpaceDE/>
        <w:autoSpaceDN/>
        <w:spacing w:before="75" w:after="75" w:line="460" w:lineRule="exact"/>
        <w:jc w:val="lef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三、采购方式：</w:t>
      </w:r>
      <w:r>
        <w:rPr>
          <w:rFonts w:hint="eastAsia" w:ascii="仿宋" w:hAnsi="仿宋" w:eastAsia="仿宋" w:cs="仿宋"/>
          <w:bCs/>
          <w:color w:val="000000" w:themeColor="text1"/>
          <w:szCs w:val="24"/>
          <w14:textFill>
            <w14:solidFill>
              <w14:schemeClr w14:val="tx1"/>
            </w14:solidFill>
          </w14:textFill>
        </w:rPr>
        <w:t>公开招标</w:t>
      </w:r>
    </w:p>
    <w:p>
      <w:pPr>
        <w:widowControl/>
        <w:autoSpaceDE/>
        <w:autoSpaceDN/>
        <w:spacing w:line="460" w:lineRule="exact"/>
        <w:ind w:right="60"/>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四、</w:t>
      </w:r>
      <w:r>
        <w:rPr>
          <w:rFonts w:hint="eastAsia" w:ascii="仿宋" w:hAnsi="仿宋" w:eastAsia="仿宋" w:cs="仿宋"/>
          <w:b/>
          <w:color w:val="000000" w:themeColor="text1"/>
          <w:szCs w:val="24"/>
          <w14:textFill>
            <w14:solidFill>
              <w14:schemeClr w14:val="tx1"/>
            </w14:solidFill>
          </w14:textFill>
        </w:rPr>
        <w:t>采购内容及数量</w:t>
      </w:r>
      <w:r>
        <w:rPr>
          <w:rFonts w:hint="eastAsia" w:ascii="仿宋" w:hAnsi="仿宋" w:eastAsia="仿宋" w:cs="仿宋"/>
          <w:color w:val="000000" w:themeColor="text1"/>
          <w:szCs w:val="24"/>
          <w14:textFill>
            <w14:solidFill>
              <w14:schemeClr w14:val="tx1"/>
            </w14:solidFill>
          </w14:textFill>
        </w:rPr>
        <w:t>:</w:t>
      </w:r>
    </w:p>
    <w:tbl>
      <w:tblPr>
        <w:tblStyle w:val="3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07"/>
        <w:gridCol w:w="1166"/>
        <w:gridCol w:w="112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7"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207"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采购内容</w:t>
            </w:r>
          </w:p>
        </w:tc>
        <w:tc>
          <w:tcPr>
            <w:tcW w:w="1166"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123"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765"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7"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207"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32"/>
              </w:rPr>
              <w:t>全民健身路径新增75套，维护150套</w:t>
            </w:r>
          </w:p>
        </w:tc>
        <w:tc>
          <w:tcPr>
            <w:tcW w:w="1166"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123"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w:t>
            </w:r>
          </w:p>
        </w:tc>
        <w:tc>
          <w:tcPr>
            <w:tcW w:w="1765" w:type="dxa"/>
            <w:vAlign w:val="center"/>
          </w:tcPr>
          <w:p>
            <w:pPr>
              <w:pStyle w:val="17"/>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135万元</w:t>
            </w:r>
          </w:p>
        </w:tc>
      </w:tr>
    </w:tbl>
    <w:p>
      <w:pPr>
        <w:widowControl/>
        <w:autoSpaceDE/>
        <w:autoSpaceDN/>
        <w:spacing w:before="75" w:after="75" w:line="460" w:lineRule="exact"/>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五、供应商资格要求:</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符合《中华人民共和国政府采购法》第二十二条规定和浙财采监【2013】24号《关于规范政府采购供应商资格设定及资格审查的通知》第六条规定；且供应商未被列入失信被执行人名单、重大税收违法案件当事人名单、政府采购严重违法失信行为记录名单，信用信息以投标截止日信用中国网站（www.creditchina.gov.cn）、中国政府采购网（www.ccgp.gov.cn）公布为准；</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2、单位负责人为同一人或者存在直接控股、管理关系的不同供应商，不得参加同一合同项下的采购活动；</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落实政府采购政策需满足的资格要求：本项目专门面向中小企业采购，供应商需提供符合《政府采购促进中小企业发展管理办法》（财库【2020】46号）和本采购文件规定的《中小企业声明函》（格式详见附件）；</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4、本项目不接受联合体投标。</w:t>
      </w:r>
    </w:p>
    <w:p>
      <w:pPr>
        <w:widowControl/>
        <w:autoSpaceDE/>
        <w:autoSpaceDN/>
        <w:spacing w:before="75" w:after="75" w:line="460" w:lineRule="exact"/>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六、报名及</w:t>
      </w:r>
      <w:r>
        <w:rPr>
          <w:rFonts w:hint="eastAsia" w:ascii="仿宋" w:hAnsi="仿宋" w:eastAsia="仿宋" w:cs="仿宋"/>
          <w:b/>
          <w:color w:val="000000" w:themeColor="text1"/>
          <w:szCs w:val="24"/>
          <w14:textFill>
            <w14:solidFill>
              <w14:schemeClr w14:val="tx1"/>
            </w14:solidFill>
          </w14:textFill>
        </w:rPr>
        <w:t>招标文件的获取</w:t>
      </w:r>
      <w:r>
        <w:rPr>
          <w:rFonts w:hint="eastAsia" w:ascii="仿宋" w:hAnsi="仿宋" w:eastAsia="仿宋" w:cs="仿宋"/>
          <w:b/>
          <w:bCs/>
          <w:color w:val="000000" w:themeColor="text1"/>
          <w:szCs w:val="24"/>
          <w14:textFill>
            <w14:solidFill>
              <w14:schemeClr w14:val="tx1"/>
            </w14:solidFill>
          </w14:textFill>
        </w:rPr>
        <w:t>:</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1、报名及获取招标文件的时间：</w:t>
      </w:r>
      <w:r>
        <w:rPr>
          <w:rFonts w:hint="eastAsia" w:ascii="仿宋" w:hAnsi="仿宋" w:eastAsia="仿宋" w:cs="仿宋"/>
          <w:b/>
          <w:bCs/>
          <w:color w:val="000000" w:themeColor="text1"/>
          <w:szCs w:val="24"/>
          <w14:textFill>
            <w14:solidFill>
              <w14:schemeClr w14:val="tx1"/>
            </w14:solidFill>
          </w14:textFill>
        </w:rPr>
        <w:t>公告发布时间至开标截止时间前</w:t>
      </w:r>
      <w:r>
        <w:rPr>
          <w:rFonts w:hint="eastAsia" w:ascii="仿宋" w:hAnsi="仿宋" w:eastAsia="仿宋" w:cs="仿宋"/>
          <w:color w:val="000000" w:themeColor="text1"/>
          <w:szCs w:val="24"/>
          <w14:textFill>
            <w14:solidFill>
              <w14:schemeClr w14:val="tx1"/>
            </w14:solidFill>
          </w14:textFill>
        </w:rPr>
        <w:t xml:space="preserve">(潜在供应商报名及获取招标文件前应当在政采云电子交易平台上注册账号并登录，截止时间后不再接受潜在供应商报名及获取招标文件)。      </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本项目招标文件实行“政府采购云平台”在线获取，不提供招标文件纸质版，不收取工本费。供应商获取招标文件前应先完成“政府采购云平台”的账号注册</w:t>
      </w:r>
      <w:r>
        <w:rPr>
          <w:rFonts w:hint="eastAsia" w:ascii="仿宋" w:hAnsi="仿宋" w:eastAsia="仿宋" w:cs="仿宋"/>
          <w:color w:val="000000" w:themeColor="text1"/>
          <w:szCs w:val="24"/>
          <w14:textFill>
            <w14:solidFill>
              <w14:schemeClr w14:val="tx1"/>
            </w14:solidFill>
          </w14:textFill>
        </w:rPr>
        <w:t>。</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3、获取方式：</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1)本项目实行网上报名，不接受现场报名。申请注册成为政采云平台供应商会员后登录政府采购云平台（https://login.zcygov.cn/login）通过“项目采购”模块中“项目文件获取”进行获取招标文件。</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未注册供应商可登录浙江政府采购网(http://zfcg.czt.zj.gov.cn/)查看公告附件或在湖州市公共资源交易信息网（http://ggzy.huzhou.gov.cn/hzfront/)“政府采购”--“招标公告”版块公告附件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pPr>
        <w:autoSpaceDE/>
        <w:autoSpaceDN/>
        <w:snapToGrid w:val="0"/>
        <w:spacing w:line="460" w:lineRule="exact"/>
        <w:textAlignment w:val="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七、投标文件的递交及相关事宜：</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4、数据电子备份投标文件（U盘）：</w:t>
      </w:r>
      <w:r>
        <w:rPr>
          <w:rFonts w:hint="eastAsia" w:ascii="仿宋" w:hAnsi="仿宋" w:eastAsia="仿宋" w:cs="仿宋"/>
          <w:color w:val="000000" w:themeColor="text1"/>
          <w14:textFill>
            <w14:solidFill>
              <w14:schemeClr w14:val="tx1"/>
            </w14:solidFill>
          </w14:textFill>
        </w:rPr>
        <w:t>以U盘形式提供的数据电子备份投标文件格式及内容须与政采云平台项目采购-电子交易操作指南中制作、加密并递交的电子投标文件格式及内容一致。递交方式：因疫情原因，数据电子备份投标文件（U盘）应通过邮寄快递方式送达。</w:t>
      </w:r>
      <w:r>
        <w:rPr>
          <w:rFonts w:hint="eastAsia" w:ascii="仿宋" w:hAnsi="仿宋" w:eastAsia="仿宋" w:cs="仿宋"/>
          <w:color w:val="000000" w:themeColor="text1"/>
          <w:shd w:val="clear" w:color="auto" w:fill="FFFFFF"/>
          <w14:textFill>
            <w14:solidFill>
              <w14:schemeClr w14:val="tx1"/>
            </w14:solidFill>
          </w14:textFill>
        </w:rPr>
        <w:t>邮寄时，应注明竞标项目名称、竞标单位名称、竞标单位的联系人、联系电话、电子邮箱，拒绝到付。邮寄地址：中纬工程管理咨询有限公司湖州分公司（浙江省湖州市龙溪北路1155号四楼）；收件人：金小颖；联系电话：0572-2372728</w:t>
      </w:r>
      <w:r>
        <w:rPr>
          <w:rFonts w:hint="eastAsia" w:ascii="仿宋" w:hAnsi="仿宋" w:eastAsia="仿宋" w:cs="仿宋"/>
          <w:color w:val="000000" w:themeColor="text1"/>
          <w14:textFill>
            <w14:solidFill>
              <w14:schemeClr w14:val="tx1"/>
            </w14:solidFill>
          </w14:textFill>
        </w:rPr>
        <w:t>，电子邮箱：</w:t>
      </w:r>
      <w:r>
        <w:fldChar w:fldCharType="begin"/>
      </w:r>
      <w:r>
        <w:instrText xml:space="preserve"> HYPERLINK "mailto:897221106@qq.com。邮寄截止时间：供应商应于2020年" </w:instrText>
      </w:r>
      <w:r>
        <w:fldChar w:fldCharType="separate"/>
      </w:r>
      <w:r>
        <w:rPr>
          <w:rStyle w:val="41"/>
          <w:rFonts w:hint="eastAsia" w:ascii="仿宋" w:hAnsi="仿宋" w:eastAsia="仿宋" w:cs="仿宋"/>
          <w:color w:val="000000" w:themeColor="text1"/>
          <w14:textFill>
            <w14:solidFill>
              <w14:schemeClr w14:val="tx1"/>
            </w14:solidFill>
          </w14:textFill>
        </w:rPr>
        <w:t>1032877384@qq.com。邮寄接收截止时间：供应商应于响应文件截止递交前一个工作日下午17:00时前准时送达（以收件人实际签收时间为准），逾期不予受理。</w:t>
      </w:r>
      <w:r>
        <w:rPr>
          <w:rStyle w:val="41"/>
          <w:rFonts w:hint="eastAsia" w:ascii="仿宋" w:hAnsi="仿宋" w:eastAsia="仿宋" w:cs="仿宋"/>
          <w:color w:val="000000" w:themeColor="text1"/>
          <w14:textFill>
            <w14:solidFill>
              <w14:schemeClr w14:val="tx1"/>
            </w14:solidFill>
          </w14:textFill>
        </w:rPr>
        <w:fldChar w:fldCharType="end"/>
      </w:r>
    </w:p>
    <w:p>
      <w:pPr>
        <w:widowControl/>
        <w:autoSpaceDE/>
        <w:autoSpaceDN/>
        <w:spacing w:before="75" w:after="75" w:line="460" w:lineRule="exact"/>
        <w:ind w:firstLine="482" w:firstLineChars="200"/>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注：1）供应商应权衡利弊考虑是否提供数据电子备份投标文件（U盘），采购人及采购代理机构不做强制性要求，若因下一条款（第5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autoSpaceDE/>
        <w:autoSpaceDN/>
        <w:spacing w:before="75" w:after="75" w:line="460" w:lineRule="exact"/>
        <w:ind w:firstLine="482" w:firstLineChars="200"/>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6、按照“不见面、少接触”的原则，本项目采取“不见面”形式进行开评标活动,法定代表人或其授权代表无须到场，在线响应即可（通过指定的电子邮箱、传真等）。</w:t>
      </w:r>
    </w:p>
    <w:p>
      <w:pPr>
        <w:widowControl/>
        <w:autoSpaceDE/>
        <w:autoSpaceDN/>
        <w:spacing w:before="75" w:after="75" w:line="460" w:lineRule="exact"/>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八、投标截止时间：2022年</w:t>
      </w:r>
      <w:r>
        <w:rPr>
          <w:rFonts w:hint="eastAsia" w:ascii="仿宋" w:hAnsi="仿宋" w:eastAsia="仿宋" w:cs="仿宋"/>
          <w:b/>
          <w:bCs/>
          <w:color w:val="000000" w:themeColor="text1"/>
          <w:szCs w:val="24"/>
          <w:lang w:val="en-US" w:eastAsia="zh-CN"/>
          <w14:textFill>
            <w14:solidFill>
              <w14:schemeClr w14:val="tx1"/>
            </w14:solidFill>
          </w14:textFill>
        </w:rPr>
        <w:t>5</w:t>
      </w:r>
      <w:r>
        <w:rPr>
          <w:rFonts w:hint="eastAsia" w:ascii="仿宋" w:hAnsi="仿宋" w:eastAsia="仿宋" w:cs="仿宋"/>
          <w:b/>
          <w:bCs/>
          <w:color w:val="000000" w:themeColor="text1"/>
          <w:szCs w:val="24"/>
          <w14:textFill>
            <w14:solidFill>
              <w14:schemeClr w14:val="tx1"/>
            </w14:solidFill>
          </w14:textFill>
        </w:rPr>
        <w:t>月</w:t>
      </w:r>
      <w:r>
        <w:rPr>
          <w:rFonts w:hint="eastAsia" w:ascii="仿宋" w:hAnsi="仿宋" w:eastAsia="仿宋" w:cs="仿宋"/>
          <w:b/>
          <w:bCs/>
          <w:color w:val="000000" w:themeColor="text1"/>
          <w:szCs w:val="24"/>
          <w:lang w:val="en-US" w:eastAsia="zh-CN"/>
          <w14:textFill>
            <w14:solidFill>
              <w14:schemeClr w14:val="tx1"/>
            </w14:solidFill>
          </w14:textFill>
        </w:rPr>
        <w:t>25</w:t>
      </w:r>
      <w:r>
        <w:rPr>
          <w:rFonts w:hint="eastAsia" w:ascii="仿宋" w:hAnsi="仿宋" w:eastAsia="仿宋" w:cs="仿宋"/>
          <w:b/>
          <w:bCs/>
          <w:color w:val="000000" w:themeColor="text1"/>
          <w:szCs w:val="24"/>
          <w14:textFill>
            <w14:solidFill>
              <w14:schemeClr w14:val="tx1"/>
            </w14:solidFill>
          </w14:textFill>
        </w:rPr>
        <w:t>日</w:t>
      </w:r>
      <w:r>
        <w:rPr>
          <w:rFonts w:hint="eastAsia" w:ascii="仿宋" w:hAnsi="仿宋" w:eastAsia="仿宋" w:cs="仿宋"/>
          <w:b/>
          <w:bCs/>
          <w:color w:val="000000" w:themeColor="text1"/>
          <w:szCs w:val="24"/>
          <w:lang w:val="en-US" w:eastAsia="zh-CN"/>
          <w14:textFill>
            <w14:solidFill>
              <w14:schemeClr w14:val="tx1"/>
            </w14:solidFill>
          </w14:textFill>
        </w:rPr>
        <w:t>9:30</w:t>
      </w:r>
      <w:r>
        <w:rPr>
          <w:rFonts w:hint="eastAsia" w:ascii="仿宋" w:hAnsi="仿宋" w:eastAsia="仿宋" w:cs="仿宋"/>
          <w:b/>
          <w:bCs/>
          <w:color w:val="000000" w:themeColor="text1"/>
          <w:szCs w:val="24"/>
          <w14:textFill>
            <w14:solidFill>
              <w14:schemeClr w14:val="tx1"/>
            </w14:solidFill>
          </w14:textFill>
        </w:rPr>
        <w:t>时整</w:t>
      </w:r>
    </w:p>
    <w:p>
      <w:pPr>
        <w:widowControl/>
        <w:autoSpaceDE/>
        <w:autoSpaceDN/>
        <w:spacing w:before="75" w:after="75" w:line="460" w:lineRule="exact"/>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九、投标地址：</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1、本项目通过“政府采购云平台（www.zcygov.cn）”实行在线投标响应（电子投标）。</w:t>
      </w:r>
    </w:p>
    <w:p>
      <w:pPr>
        <w:widowControl/>
        <w:autoSpaceDE/>
        <w:autoSpaceDN/>
        <w:spacing w:before="75" w:after="75" w:line="460" w:lineRule="exact"/>
        <w:ind w:firstLine="480" w:firstLineChars="200"/>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autoSpaceDE/>
        <w:autoSpaceDN/>
        <w:spacing w:before="75" w:after="75" w:line="460" w:lineRule="exact"/>
        <w:jc w:val="lef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十、开标时间：2022年</w:t>
      </w:r>
      <w:r>
        <w:rPr>
          <w:rFonts w:hint="eastAsia" w:ascii="仿宋" w:hAnsi="仿宋" w:eastAsia="仿宋" w:cs="仿宋"/>
          <w:b/>
          <w:bCs/>
          <w:color w:val="000000" w:themeColor="text1"/>
          <w:szCs w:val="24"/>
          <w:lang w:val="en-US" w:eastAsia="zh-CN"/>
          <w14:textFill>
            <w14:solidFill>
              <w14:schemeClr w14:val="tx1"/>
            </w14:solidFill>
          </w14:textFill>
        </w:rPr>
        <w:t>5</w:t>
      </w:r>
      <w:r>
        <w:rPr>
          <w:rFonts w:hint="eastAsia" w:ascii="仿宋" w:hAnsi="仿宋" w:eastAsia="仿宋" w:cs="仿宋"/>
          <w:b/>
          <w:bCs/>
          <w:color w:val="000000" w:themeColor="text1"/>
          <w:szCs w:val="24"/>
          <w14:textFill>
            <w14:solidFill>
              <w14:schemeClr w14:val="tx1"/>
            </w14:solidFill>
          </w14:textFill>
        </w:rPr>
        <w:t>月</w:t>
      </w:r>
      <w:r>
        <w:rPr>
          <w:rFonts w:hint="eastAsia" w:ascii="仿宋" w:hAnsi="仿宋" w:eastAsia="仿宋" w:cs="仿宋"/>
          <w:b/>
          <w:bCs/>
          <w:color w:val="000000" w:themeColor="text1"/>
          <w:szCs w:val="24"/>
          <w:lang w:val="en-US" w:eastAsia="zh-CN"/>
          <w14:textFill>
            <w14:solidFill>
              <w14:schemeClr w14:val="tx1"/>
            </w14:solidFill>
          </w14:textFill>
        </w:rPr>
        <w:t>25</w:t>
      </w:r>
      <w:r>
        <w:rPr>
          <w:rFonts w:hint="eastAsia" w:ascii="仿宋" w:hAnsi="仿宋" w:eastAsia="仿宋" w:cs="仿宋"/>
          <w:b/>
          <w:bCs/>
          <w:color w:val="000000" w:themeColor="text1"/>
          <w:szCs w:val="24"/>
          <w14:textFill>
            <w14:solidFill>
              <w14:schemeClr w14:val="tx1"/>
            </w14:solidFill>
          </w14:textFill>
        </w:rPr>
        <w:t>日</w:t>
      </w:r>
      <w:r>
        <w:rPr>
          <w:rFonts w:hint="eastAsia" w:ascii="仿宋" w:hAnsi="仿宋" w:eastAsia="仿宋" w:cs="仿宋"/>
          <w:b/>
          <w:bCs/>
          <w:color w:val="000000" w:themeColor="text1"/>
          <w:szCs w:val="24"/>
          <w:lang w:val="en-US" w:eastAsia="zh-CN"/>
          <w14:textFill>
            <w14:solidFill>
              <w14:schemeClr w14:val="tx1"/>
            </w14:solidFill>
          </w14:textFill>
        </w:rPr>
        <w:t>9:30</w:t>
      </w:r>
      <w:r>
        <w:rPr>
          <w:rFonts w:hint="eastAsia" w:ascii="仿宋" w:hAnsi="仿宋" w:eastAsia="仿宋" w:cs="仿宋"/>
          <w:b/>
          <w:bCs/>
          <w:color w:val="000000" w:themeColor="text1"/>
          <w:szCs w:val="24"/>
          <w14:textFill>
            <w14:solidFill>
              <w14:schemeClr w14:val="tx1"/>
            </w14:solidFill>
          </w14:textFill>
        </w:rPr>
        <w:t>时整</w:t>
      </w:r>
    </w:p>
    <w:p>
      <w:pPr>
        <w:widowControl/>
        <w:autoSpaceDE/>
        <w:autoSpaceDN/>
        <w:spacing w:before="75" w:after="75" w:line="460" w:lineRule="exact"/>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十一、开标地址</w:t>
      </w:r>
      <w:r>
        <w:rPr>
          <w:rFonts w:hint="eastAsia" w:ascii="仿宋" w:hAnsi="仿宋" w:eastAsia="仿宋" w:cs="仿宋"/>
          <w:color w:val="000000" w:themeColor="text1"/>
          <w:szCs w:val="24"/>
          <w14:textFill>
            <w14:solidFill>
              <w14:schemeClr w14:val="tx1"/>
            </w14:solidFill>
          </w14:textFill>
        </w:rPr>
        <w:t>：</w:t>
      </w:r>
      <w:bookmarkStart w:id="0" w:name="B25_谈判响应文件提交地点"/>
      <w:r>
        <w:rPr>
          <w:rFonts w:hint="eastAsia" w:ascii="仿宋" w:hAnsi="仿宋" w:eastAsia="仿宋" w:cs="仿宋"/>
          <w:color w:val="000000" w:themeColor="text1"/>
          <w14:textFill>
            <w14:solidFill>
              <w14:schemeClr w14:val="tx1"/>
            </w14:solidFill>
          </w14:textFill>
        </w:rPr>
        <w:t>湖州市公共资源交易中心西裙房二楼开标室（湖州市仁皇山片区金盖山路66号2号楼）</w:t>
      </w:r>
      <w:bookmarkEnd w:id="0"/>
      <w:r>
        <w:rPr>
          <w:rFonts w:hint="eastAsia" w:ascii="仿宋" w:hAnsi="仿宋" w:eastAsia="仿宋" w:cs="仿宋"/>
          <w:color w:val="000000" w:themeColor="text1"/>
          <w:szCs w:val="24"/>
          <w14:textFill>
            <w14:solidFill>
              <w14:schemeClr w14:val="tx1"/>
            </w14:solidFill>
          </w14:textFill>
        </w:rPr>
        <w:t>。供应商应在投标截止时间前登入“政府采购云平台（www.zcygov.cn）”在线参与开标，并完成CA锁在线解密投标文件等相关工作。</w:t>
      </w:r>
    </w:p>
    <w:p>
      <w:pPr>
        <w:widowControl/>
        <w:autoSpaceDE/>
        <w:autoSpaceDN/>
        <w:spacing w:before="75" w:after="75" w:line="460" w:lineRule="exact"/>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十二、公告期限：</w:t>
      </w:r>
      <w:r>
        <w:rPr>
          <w:rFonts w:hint="eastAsia" w:ascii="仿宋" w:hAnsi="仿宋" w:eastAsia="仿宋" w:cs="仿宋"/>
          <w:color w:val="000000" w:themeColor="text1"/>
          <w:szCs w:val="24"/>
          <w14:textFill>
            <w14:solidFill>
              <w14:schemeClr w14:val="tx1"/>
            </w14:solidFill>
          </w14:textFill>
        </w:rPr>
        <w:t>5个工作日</w:t>
      </w:r>
    </w:p>
    <w:p>
      <w:pPr>
        <w:autoSpaceDE/>
        <w:autoSpaceDN/>
        <w:snapToGrid w:val="0"/>
        <w:spacing w:line="460" w:lineRule="exact"/>
        <w:textAlignment w:val="auto"/>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十三、其他事项：</w:t>
      </w:r>
    </w:p>
    <w:p>
      <w:pPr>
        <w:autoSpaceDE/>
        <w:autoSpaceDN/>
        <w:snapToGrid w:val="0"/>
        <w:spacing w:line="460" w:lineRule="exact"/>
        <w:ind w:firstLine="480" w:firstLineChars="200"/>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1、本项目实行网上投标，采用电子投标文件，要求供应商通过政采云系统在线投标响应。</w:t>
      </w:r>
    </w:p>
    <w:p>
      <w:pPr>
        <w:autoSpaceDE/>
        <w:autoSpaceDN/>
        <w:snapToGrid w:val="0"/>
        <w:spacing w:line="460" w:lineRule="exact"/>
        <w:ind w:firstLine="480" w:firstLineChars="200"/>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2、潜在供应商已依法获取（</w:t>
      </w:r>
      <w:r>
        <w:rPr>
          <w:rFonts w:hint="eastAsia" w:ascii="仿宋" w:hAnsi="仿宋" w:eastAsia="仿宋" w:cs="仿宋"/>
          <w:b/>
          <w:bCs/>
          <w:color w:val="000000" w:themeColor="text1"/>
          <w:szCs w:val="24"/>
          <w14:textFill>
            <w14:solidFill>
              <w14:schemeClr w14:val="tx1"/>
            </w14:solidFill>
          </w14:textFill>
        </w:rPr>
        <w:t>依法获取指：供应商按本项目招标公告要求在政采云系统上获取并报名成功</w:t>
      </w:r>
      <w:r>
        <w:rPr>
          <w:rFonts w:hint="eastAsia" w:ascii="仿宋" w:hAnsi="仿宋" w:eastAsia="仿宋" w:cs="仿宋"/>
          <w:color w:val="000000" w:themeColor="text1"/>
          <w:szCs w:val="24"/>
          <w14:textFill>
            <w14:solidFill>
              <w14:schemeClr w14:val="tx1"/>
            </w14:solidFill>
          </w14:textFill>
        </w:rPr>
        <w:t>）其可质疑的招标文件，可以对该文件提出质疑。未按照规定方式依法获取招标文件的，不得对招标文件提起质疑投诉。</w:t>
      </w:r>
    </w:p>
    <w:p>
      <w:pPr>
        <w:snapToGrid w:val="0"/>
        <w:spacing w:line="460" w:lineRule="exact"/>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4、答疑内容是招标文件的组成部分，并将在网上发布补充（答疑、澄清）文件，潜在供应商应自行关注网站公告，采购人不再一一通知。供应商因自身贻误行为导致投标失效的，责任自负。</w:t>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6、本项目公告发布网站：</w:t>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浙江政府采购网：</w:t>
      </w:r>
      <w:r>
        <w:fldChar w:fldCharType="begin"/>
      </w:r>
      <w:r>
        <w:instrText xml:space="preserve"> HYPERLINK "http://zfcg.czt.zj.gov.cn/" </w:instrText>
      </w:r>
      <w:r>
        <w:fldChar w:fldCharType="separate"/>
      </w:r>
      <w:r>
        <w:rPr>
          <w:rFonts w:hint="eastAsia" w:ascii="仿宋" w:hAnsi="仿宋" w:eastAsia="仿宋" w:cs="仿宋"/>
          <w:color w:val="000000" w:themeColor="text1"/>
          <w:szCs w:val="22"/>
          <w14:textFill>
            <w14:solidFill>
              <w14:schemeClr w14:val="tx1"/>
            </w14:solidFill>
          </w14:textFill>
        </w:rPr>
        <w:t>http://zfcg.czt.zj.gov.cn/</w:t>
      </w:r>
      <w:r>
        <w:rPr>
          <w:rFonts w:hint="eastAsia" w:ascii="仿宋" w:hAnsi="仿宋" w:eastAsia="仿宋" w:cs="仿宋"/>
          <w:color w:val="000000" w:themeColor="text1"/>
          <w:szCs w:val="22"/>
          <w14:textFill>
            <w14:solidFill>
              <w14:schemeClr w14:val="tx1"/>
            </w14:solidFill>
          </w14:textFill>
        </w:rPr>
        <w:fldChar w:fldCharType="end"/>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“湖州市公共资源交易网”</w:t>
      </w:r>
      <w:r>
        <w:rPr>
          <w:rFonts w:hint="eastAsia" w:ascii="仿宋" w:hAnsi="仿宋" w:eastAsia="仿宋" w:cs="仿宋"/>
          <w:color w:val="000000" w:themeColor="text1"/>
          <w:szCs w:val="24"/>
          <w14:textFill>
            <w14:solidFill>
              <w14:schemeClr w14:val="tx1"/>
            </w14:solidFill>
          </w14:textFill>
        </w:rPr>
        <w:t>（http://ggzy.huzhou.gov.cn/hzfront/)-“政府采购”-“分散采购”模块</w:t>
      </w:r>
    </w:p>
    <w:p>
      <w:pPr>
        <w:snapToGrid w:val="0"/>
        <w:spacing w:line="460" w:lineRule="exact"/>
        <w:ind w:firstLine="480" w:firstLineChars="200"/>
        <w:jc w:val="left"/>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60" w:lineRule="exact"/>
        <w:ind w:firstLine="482" w:firstLineChars="200"/>
        <w:jc w:val="left"/>
        <w:rPr>
          <w:rFonts w:ascii="仿宋" w:hAnsi="仿宋" w:eastAsia="仿宋" w:cs="仿宋"/>
          <w:b/>
          <w:bCs/>
          <w:szCs w:val="22"/>
        </w:rPr>
      </w:pPr>
      <w:r>
        <w:rPr>
          <w:rFonts w:hint="eastAsia" w:ascii="仿宋" w:hAnsi="仿宋" w:eastAsia="仿宋" w:cs="仿宋"/>
          <w:b/>
          <w:bCs/>
          <w:szCs w:val="22"/>
        </w:rPr>
        <w:t>8、本项目是否专门面向中小企业采购：是。</w:t>
      </w:r>
    </w:p>
    <w:p>
      <w:pPr>
        <w:widowControl/>
        <w:autoSpaceDE/>
        <w:autoSpaceDN/>
        <w:spacing w:before="75" w:after="75" w:line="460" w:lineRule="exact"/>
        <w:jc w:val="left"/>
        <w:textAlignment w:val="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十四、</w:t>
      </w:r>
      <w:r>
        <w:rPr>
          <w:rFonts w:hint="eastAsia" w:ascii="仿宋" w:hAnsi="仿宋" w:eastAsia="仿宋" w:cs="仿宋"/>
          <w:b/>
          <w:color w:val="000000" w:themeColor="text1"/>
          <w14:textFill>
            <w14:solidFill>
              <w14:schemeClr w14:val="tx1"/>
            </w14:solidFill>
          </w14:textFill>
        </w:rPr>
        <w:t>业务咨询：</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1、采购代理机构名称：中纬工程管理咨询有限公司</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联系人：金女士</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联系电话：0572-2372728</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地址：湖州市龙溪北路1155号四楼</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供应商质疑函接收人：陈女士</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联系电话：0572-2372728</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2、采购人名称：湖州市南浔区文化和广电旅游体育局</w:t>
      </w:r>
    </w:p>
    <w:p>
      <w:pPr>
        <w:snapToGrid w:val="0"/>
        <w:spacing w:line="500" w:lineRule="exact"/>
        <w:ind w:firstLine="42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w:t>
      </w:r>
      <w:r>
        <w:rPr>
          <w:rFonts w:hint="eastAsia" w:ascii="仿宋" w:hAnsi="仿宋" w:eastAsia="仿宋" w:cs="仿宋"/>
          <w:color w:val="000000" w:themeColor="text1"/>
          <w:lang w:val="en-US" w:eastAsia="zh-CN"/>
          <w14:textFill>
            <w14:solidFill>
              <w14:schemeClr w14:val="tx1"/>
            </w14:solidFill>
          </w14:textFill>
        </w:rPr>
        <w:t>沈先生</w:t>
      </w:r>
    </w:p>
    <w:p>
      <w:pPr>
        <w:snapToGrid w:val="0"/>
        <w:spacing w:line="500" w:lineRule="exact"/>
        <w:ind w:firstLine="420"/>
      </w:pPr>
      <w:r>
        <w:rPr>
          <w:rFonts w:hint="eastAsia" w:ascii="仿宋" w:hAnsi="仿宋" w:eastAsia="仿宋" w:cs="仿宋"/>
          <w:color w:val="000000" w:themeColor="text1"/>
          <w14:textFill>
            <w14:solidFill>
              <w14:schemeClr w14:val="tx1"/>
            </w14:solidFill>
          </w14:textFill>
        </w:rPr>
        <w:t>联系电话：0572-3023213</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3、同级政府采购监督管理部门名称：湖州市南浔区财政局</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联系人：孙先生</w:t>
      </w:r>
    </w:p>
    <w:p>
      <w:pPr>
        <w:snapToGrid w:val="0"/>
        <w:spacing w:line="500" w:lineRule="exact"/>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监督投诉电话：</w:t>
      </w:r>
      <w:r>
        <w:rPr>
          <w:rFonts w:hint="eastAsia" w:ascii="仿宋" w:hAnsi="仿宋" w:eastAsia="仿宋" w:cs="仿宋"/>
          <w:color w:val="000000" w:themeColor="text1"/>
          <w:spacing w:val="-4"/>
          <w14:textFill>
            <w14:solidFill>
              <w14:schemeClr w14:val="tx1"/>
            </w14:solidFill>
          </w14:textFill>
        </w:rPr>
        <w:t>0572-3026731</w:t>
      </w:r>
    </w:p>
    <w:p>
      <w:pPr>
        <w:pStyle w:val="12"/>
        <w:ind w:firstLine="321"/>
        <w:rPr>
          <w:rFonts w:ascii="仿宋" w:hAnsi="仿宋" w:eastAsia="仿宋" w:cs="仿宋"/>
          <w:b/>
          <w:bCs/>
          <w:color w:val="000000" w:themeColor="text1"/>
          <w:sz w:val="32"/>
          <w:szCs w:val="32"/>
          <w14:textFill>
            <w14:solidFill>
              <w14:schemeClr w14:val="tx1"/>
            </w14:solidFill>
          </w14:textFill>
        </w:rPr>
      </w:pPr>
      <w:bookmarkStart w:id="1" w:name="_Toc5744"/>
    </w:p>
    <w:p>
      <w:pPr>
        <w:rPr>
          <w:rFonts w:ascii="仿宋" w:hAnsi="仿宋" w:eastAsia="仿宋" w:cs="仿宋"/>
          <w:b/>
          <w:bCs/>
          <w:color w:val="000000" w:themeColor="text1"/>
          <w:sz w:val="32"/>
          <w:szCs w:val="32"/>
          <w14:textFill>
            <w14:solidFill>
              <w14:schemeClr w14:val="tx1"/>
            </w14:solidFill>
          </w14:textFill>
        </w:rPr>
      </w:pPr>
    </w:p>
    <w:p>
      <w:pPr>
        <w:pStyle w:val="14"/>
        <w:ind w:left="480" w:firstLine="48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11"/>
        <w:rPr>
          <w:rFonts w:ascii="仿宋" w:hAnsi="仿宋" w:eastAsia="仿宋" w:cs="仿宋"/>
          <w:color w:val="000000" w:themeColor="text1"/>
          <w14:textFill>
            <w14:solidFill>
              <w14:schemeClr w14:val="tx1"/>
            </w14:solidFill>
          </w14:textFill>
        </w:rPr>
      </w:pPr>
    </w:p>
    <w:p>
      <w:pPr>
        <w:pStyle w:val="12"/>
        <w:ind w:firstLine="24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11"/>
        <w:rPr>
          <w:rFonts w:ascii="仿宋" w:hAnsi="仿宋" w:eastAsia="仿宋" w:cs="仿宋"/>
          <w:color w:val="000000" w:themeColor="text1"/>
          <w14:textFill>
            <w14:solidFill>
              <w14:schemeClr w14:val="tx1"/>
            </w14:solidFill>
          </w14:textFill>
        </w:rPr>
      </w:pPr>
    </w:p>
    <w:p>
      <w:pPr>
        <w:pStyle w:val="12"/>
        <w:ind w:firstLine="240"/>
        <w:rPr>
          <w:color w:val="000000" w:themeColor="text1"/>
          <w14:textFill>
            <w14:solidFill>
              <w14:schemeClr w14:val="tx1"/>
            </w14:solidFill>
          </w14:textFill>
        </w:rPr>
      </w:pPr>
    </w:p>
    <w:p>
      <w:pPr>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w:t>
      </w:r>
      <w:bookmarkEnd w:id="1"/>
      <w:r>
        <w:rPr>
          <w:rFonts w:hint="eastAsia" w:ascii="仿宋" w:hAnsi="仿宋" w:eastAsia="仿宋" w:cs="仿宋"/>
          <w:b/>
          <w:bCs/>
          <w:color w:val="000000" w:themeColor="text1"/>
          <w:sz w:val="32"/>
          <w:szCs w:val="32"/>
          <w14:textFill>
            <w14:solidFill>
              <w14:schemeClr w14:val="tx1"/>
            </w14:solidFill>
          </w14:textFill>
        </w:rPr>
        <w:t>章  招标需求</w:t>
      </w:r>
    </w:p>
    <w:p>
      <w:pPr>
        <w:autoSpaceDE/>
        <w:autoSpaceDN/>
        <w:adjustRightInd/>
        <w:spacing w:line="460" w:lineRule="exact"/>
        <w:textAlignment w:val="auto"/>
        <w:rPr>
          <w:rFonts w:ascii="仿宋" w:hAnsi="仿宋" w:eastAsia="仿宋" w:cs="仿宋"/>
          <w:bCs/>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一、采购单位：</w:t>
      </w:r>
      <w:r>
        <w:rPr>
          <w:rFonts w:hint="eastAsia" w:ascii="仿宋" w:hAnsi="仿宋" w:eastAsia="仿宋" w:cs="仿宋"/>
          <w:bCs/>
          <w:color w:val="000000" w:themeColor="text1"/>
          <w14:textFill>
            <w14:solidFill>
              <w14:schemeClr w14:val="tx1"/>
            </w14:solidFill>
          </w14:textFill>
        </w:rPr>
        <w:t>湖州市南浔区文化和广电旅游体育局</w:t>
      </w:r>
    </w:p>
    <w:p>
      <w:pPr>
        <w:spacing w:line="460" w:lineRule="exact"/>
        <w:rPr>
          <w:rFonts w:ascii="仿宋" w:hAnsi="仿宋" w:eastAsia="仿宋" w:cs="仿宋"/>
          <w:b/>
          <w:color w:val="000000" w:themeColor="text1"/>
          <w:szCs w:val="24"/>
          <w14:textFill>
            <w14:solidFill>
              <w14:schemeClr w14:val="tx1"/>
            </w14:solidFill>
          </w14:textFill>
        </w:rPr>
      </w:pPr>
      <w:bookmarkStart w:id="2" w:name="OLE_LINK4"/>
      <w:r>
        <w:rPr>
          <w:rFonts w:hint="eastAsia" w:ascii="仿宋" w:hAnsi="仿宋" w:eastAsia="仿宋" w:cs="仿宋"/>
          <w:b/>
          <w:color w:val="000000" w:themeColor="text1"/>
          <w:szCs w:val="24"/>
          <w14:textFill>
            <w14:solidFill>
              <w14:schemeClr w14:val="tx1"/>
            </w14:solidFill>
          </w14:textFill>
        </w:rPr>
        <w:t>二、采购项目名称：</w:t>
      </w:r>
      <w:r>
        <w:rPr>
          <w:rFonts w:hint="eastAsia" w:ascii="仿宋" w:hAnsi="仿宋" w:eastAsia="仿宋" w:cs="仿宋"/>
          <w:bCs/>
          <w:color w:val="000000" w:themeColor="text1"/>
          <w:szCs w:val="24"/>
          <w14:textFill>
            <w14:solidFill>
              <w14:schemeClr w14:val="tx1"/>
            </w14:solidFill>
          </w14:textFill>
        </w:rPr>
        <w:t>湖州市南浔区文化和广电旅游体育局新增维护全民健身路径采购项目</w:t>
      </w:r>
    </w:p>
    <w:bookmarkEnd w:id="2"/>
    <w:p>
      <w:pPr>
        <w:spacing w:line="460" w:lineRule="exact"/>
        <w:rPr>
          <w:rFonts w:ascii="仿宋" w:hAnsi="仿宋" w:eastAsia="仿宋" w:cs="仿宋"/>
          <w:b/>
          <w:bCs/>
          <w:color w:val="000000" w:themeColor="text1"/>
          <w:kern w:val="2"/>
          <w:szCs w:val="24"/>
          <w14:textFill>
            <w14:solidFill>
              <w14:schemeClr w14:val="tx1"/>
            </w14:solidFill>
          </w14:textFill>
        </w:rPr>
      </w:pPr>
      <w:r>
        <w:rPr>
          <w:rFonts w:hint="eastAsia" w:ascii="仿宋" w:hAnsi="仿宋" w:eastAsia="仿宋" w:cs="仿宋"/>
          <w:b/>
          <w:bCs/>
          <w:color w:val="000000" w:themeColor="text1"/>
          <w:kern w:val="2"/>
          <w:szCs w:val="24"/>
          <w14:textFill>
            <w14:solidFill>
              <w14:schemeClr w14:val="tx1"/>
            </w14:solidFill>
          </w14:textFill>
        </w:rPr>
        <w:t>三、采购内容及要求</w:t>
      </w:r>
    </w:p>
    <w:p>
      <w:pPr>
        <w:spacing w:line="460" w:lineRule="exact"/>
        <w:ind w:firstLine="482" w:firstLineChars="200"/>
        <w:rPr>
          <w:rFonts w:ascii="仿宋" w:hAnsi="仿宋" w:eastAsia="仿宋" w:cs="仿宋"/>
          <w:b/>
          <w:color w:val="auto"/>
          <w:szCs w:val="24"/>
        </w:rPr>
      </w:pPr>
      <w:r>
        <w:rPr>
          <w:rFonts w:hint="eastAsia" w:ascii="仿宋" w:hAnsi="仿宋" w:eastAsia="仿宋" w:cs="仿宋"/>
          <w:b/>
          <w:color w:val="auto"/>
          <w:szCs w:val="24"/>
        </w:rPr>
        <w:t>（一）项目概况</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为加快构建“十分钟健身圈”，助力共同富裕，根据2022年区“两会”十大民生实事工作任务安排，拟对全区农村健身设施进行改造提升。</w:t>
      </w:r>
    </w:p>
    <w:p>
      <w:pPr>
        <w:spacing w:line="460" w:lineRule="exact"/>
        <w:ind w:firstLine="482" w:firstLineChars="200"/>
        <w:rPr>
          <w:rFonts w:ascii="仿宋" w:hAnsi="仿宋" w:eastAsia="仿宋" w:cs="仿宋"/>
          <w:b/>
          <w:color w:val="auto"/>
          <w:szCs w:val="24"/>
        </w:rPr>
      </w:pPr>
      <w:r>
        <w:rPr>
          <w:rFonts w:hint="eastAsia" w:ascii="仿宋" w:hAnsi="仿宋" w:eastAsia="仿宋" w:cs="仿宋"/>
          <w:b/>
          <w:color w:val="auto"/>
          <w:szCs w:val="24"/>
        </w:rPr>
        <w:t>（二）项目说明</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本项目新增全民健身设施（路径）75套、维护全民健身设施（路径）150套，具体涉及10个乡镇（街道）：东迁、和孚、善琏、高新区（南浔镇、度假区）、练市、旧馆、石淙、菱湖、千金、双林。</w:t>
      </w:r>
    </w:p>
    <w:p>
      <w:pPr>
        <w:spacing w:line="460" w:lineRule="exact"/>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（三）新增采购清单</w:t>
      </w:r>
    </w:p>
    <w:tbl>
      <w:tblPr>
        <w:tblStyle w:val="30"/>
        <w:tblW w:w="9546" w:type="dxa"/>
        <w:tblInd w:w="93" w:type="dxa"/>
        <w:tblLayout w:type="fixed"/>
        <w:tblCellMar>
          <w:top w:w="0" w:type="dxa"/>
          <w:left w:w="108" w:type="dxa"/>
          <w:bottom w:w="0" w:type="dxa"/>
          <w:right w:w="108" w:type="dxa"/>
        </w:tblCellMar>
      </w:tblPr>
      <w:tblGrid>
        <w:gridCol w:w="691"/>
        <w:gridCol w:w="854"/>
        <w:gridCol w:w="1407"/>
        <w:gridCol w:w="5542"/>
        <w:gridCol w:w="527"/>
        <w:gridCol w:w="525"/>
      </w:tblGrid>
      <w:tr>
        <w:tblPrEx>
          <w:tblCellMar>
            <w:top w:w="0" w:type="dxa"/>
            <w:left w:w="108" w:type="dxa"/>
            <w:bottom w:w="0" w:type="dxa"/>
            <w:right w:w="108" w:type="dxa"/>
          </w:tblCellMar>
        </w:tblPrEx>
        <w:trPr>
          <w:trHeight w:val="93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4"/>
              </w:rPr>
            </w:pPr>
            <w:r>
              <w:rPr>
                <w:rFonts w:hint="eastAsia" w:ascii="仿宋" w:hAnsi="仿宋" w:eastAsia="仿宋" w:cs="仿宋"/>
                <w:b/>
                <w:bCs/>
                <w:color w:val="000000"/>
                <w:szCs w:val="24"/>
              </w:rPr>
              <w:t>序号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4"/>
              </w:rPr>
            </w:pPr>
            <w:r>
              <w:rPr>
                <w:rFonts w:hint="eastAsia" w:ascii="仿宋" w:hAnsi="仿宋" w:eastAsia="仿宋" w:cs="仿宋"/>
                <w:b/>
                <w:bCs/>
                <w:color w:val="000000"/>
                <w:szCs w:val="24"/>
              </w:rPr>
              <w:t>名称</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4"/>
              </w:rPr>
            </w:pPr>
            <w:r>
              <w:rPr>
                <w:rFonts w:hint="eastAsia" w:ascii="仿宋" w:hAnsi="仿宋" w:eastAsia="仿宋" w:cs="仿宋"/>
                <w:b/>
                <w:bCs/>
                <w:color w:val="000000"/>
                <w:szCs w:val="24"/>
              </w:rPr>
              <w:t>参考图片</w:t>
            </w:r>
          </w:p>
        </w:tc>
        <w:tc>
          <w:tcPr>
            <w:tcW w:w="5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参数</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单位</w:t>
            </w:r>
          </w:p>
        </w:tc>
      </w:tr>
      <w:tr>
        <w:tblPrEx>
          <w:tblCellMar>
            <w:top w:w="0" w:type="dxa"/>
            <w:left w:w="108" w:type="dxa"/>
            <w:bottom w:w="0" w:type="dxa"/>
            <w:right w:w="108" w:type="dxa"/>
          </w:tblCellMar>
        </w:tblPrEx>
        <w:trPr>
          <w:trHeight w:val="20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4"/>
              </w:rPr>
            </w:pPr>
            <w:r>
              <w:rPr>
                <w:rFonts w:hint="eastAsia" w:ascii="仿宋" w:hAnsi="仿宋" w:eastAsia="仿宋" w:cs="仿宋"/>
                <w:color w:val="000000"/>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肋木架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4"/>
              </w:rPr>
            </w:pPr>
            <w:r>
              <w:drawing>
                <wp:inline distT="0" distB="0" distL="114300" distR="114300">
                  <wp:extent cx="757555" cy="757555"/>
                  <wp:effectExtent l="0" t="0" r="4445" b="444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5" cstate="print"/>
                          <a:stretch>
                            <a:fillRect/>
                          </a:stretch>
                        </pic:blipFill>
                        <pic:spPr>
                          <a:xfrm>
                            <a:off x="0" y="0"/>
                            <a:ext cx="757555" cy="757555"/>
                          </a:xfrm>
                          <a:prstGeom prst="rect">
                            <a:avLst/>
                          </a:prstGeom>
                          <a:noFill/>
                          <a:ln w="9525">
                            <a:noFill/>
                          </a:ln>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w:t>
            </w:r>
            <w:r>
              <w:rPr>
                <w:rFonts w:hint="eastAsia" w:ascii="仿宋" w:hAnsi="仿宋" w:eastAsia="仿宋" w:cs="仿宋"/>
                <w:color w:val="000000"/>
                <w:sz w:val="18"/>
                <w:szCs w:val="18"/>
                <w:lang w:eastAsia="zh-CN"/>
              </w:rPr>
              <w:t>采用不小于</w:t>
            </w:r>
            <w:r>
              <w:rPr>
                <w:rFonts w:hint="eastAsia" w:ascii="仿宋" w:hAnsi="仿宋" w:eastAsia="仿宋" w:cs="仿宋"/>
                <w:color w:val="000000"/>
                <w:sz w:val="18"/>
                <w:szCs w:val="18"/>
              </w:rPr>
              <w:t>φ114mm×3mm优质钢管，横管</w:t>
            </w:r>
            <w:r>
              <w:rPr>
                <w:rFonts w:hint="eastAsia" w:ascii="仿宋" w:hAnsi="仿宋" w:eastAsia="仿宋" w:cs="仿宋"/>
                <w:color w:val="000000"/>
                <w:sz w:val="18"/>
                <w:szCs w:val="18"/>
                <w:lang w:eastAsia="zh-CN"/>
              </w:rPr>
              <w:t>采用不小于</w:t>
            </w:r>
            <w:r>
              <w:rPr>
                <w:rFonts w:hint="eastAsia" w:ascii="仿宋" w:hAnsi="仿宋" w:eastAsia="仿宋" w:cs="仿宋"/>
                <w:color w:val="000000"/>
                <w:sz w:val="18"/>
                <w:szCs w:val="18"/>
              </w:rPr>
              <w:t>φ32mm×3mm优质钢管。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、整机不允许存在衣服、头发钩挂或缠绕危险；不允许存在和使用功能无关的凸出物；无挤压点，无剪切点，无卡夹处，各处孔径间隙。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173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二位太极揉推轮</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drawing>
                <wp:inline distT="0" distB="0" distL="114300" distR="114300">
                  <wp:extent cx="747395" cy="706755"/>
                  <wp:effectExtent l="0" t="0" r="14605" b="1714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6"/>
                          <a:stretch>
                            <a:fillRect/>
                          </a:stretch>
                        </pic:blipFill>
                        <pic:spPr>
                          <a:xfrm>
                            <a:off x="0" y="0"/>
                            <a:ext cx="747395" cy="706755"/>
                          </a:xfrm>
                          <a:prstGeom prst="rect">
                            <a:avLst/>
                          </a:prstGeom>
                          <a:noFill/>
                          <a:ln w="9525">
                            <a:noFill/>
                          </a:ln>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 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φ114mm×3mm优质钢管，支撑管采用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φ60mm×3mm优质钢管。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、整机不存在衣服、头发钩挂或缠绕危险；不存在和使用功能无关的凸出物；无挤压点，无剪切点，无卡夹处，各处孔径间隙。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221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上肢牵引器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sz w:val="24"/>
              </w:rPr>
              <w:drawing>
                <wp:inline distT="0" distB="0" distL="114300" distR="114300">
                  <wp:extent cx="757555" cy="757555"/>
                  <wp:effectExtent l="0" t="0" r="4445"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cstate="print"/>
                          <a:stretch>
                            <a:fillRect/>
                          </a:stretch>
                        </pic:blipFill>
                        <pic:spPr>
                          <a:xfrm>
                            <a:off x="0" y="0"/>
                            <a:ext cx="757555" cy="757555"/>
                          </a:xfrm>
                          <a:prstGeom prst="rect">
                            <a:avLst/>
                          </a:prstGeom>
                          <a:noFill/>
                          <a:ln w="9525">
                            <a:noFill/>
                          </a:ln>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φ114mm×3mm优质钢管，立柱上采用外扣盖帽避免雨水的流入。活动把手（不含柔性部件）质量不大于600g，且端部直径大于50mm；摆杆应有限位结构，摆杆运动至极限位置时，摆杆最低点与地面的距离应1850mm。轴承选用不小于6205-2RZ深沟球轴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、整机不存在衣服、头发钩挂或缠绕危险；不存在和使用功能无关的凸出物；无挤压点，无剪切点，无卡夹处，各处孔径间隙。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295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三位扭腰器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bdr w:val="single" w:color="000000" w:sz="4" w:space="0"/>
              </w:rPr>
              <w:drawing>
                <wp:anchor distT="0" distB="0" distL="114300" distR="114300" simplePos="0" relativeHeight="251659264" behindDoc="0" locked="0" layoutInCell="1" allowOverlap="1">
                  <wp:simplePos x="0" y="0"/>
                  <wp:positionH relativeFrom="column">
                    <wp:posOffset>-41275</wp:posOffset>
                  </wp:positionH>
                  <wp:positionV relativeFrom="paragraph">
                    <wp:posOffset>561975</wp:posOffset>
                  </wp:positionV>
                  <wp:extent cx="848360" cy="811530"/>
                  <wp:effectExtent l="0" t="0" r="8890" b="7620"/>
                  <wp:wrapNone/>
                  <wp:docPr id="16" name="图片_14"/>
                  <wp:cNvGraphicFramePr/>
                  <a:graphic xmlns:a="http://schemas.openxmlformats.org/drawingml/2006/main">
                    <a:graphicData uri="http://schemas.openxmlformats.org/drawingml/2006/picture">
                      <pic:pic xmlns:pic="http://schemas.openxmlformats.org/drawingml/2006/picture">
                        <pic:nvPicPr>
                          <pic:cNvPr id="16" name="图片_14"/>
                          <pic:cNvPicPr/>
                        </pic:nvPicPr>
                        <pic:blipFill>
                          <a:blip r:embed="rId18" cstate="print"/>
                          <a:stretch>
                            <a:fillRect/>
                          </a:stretch>
                        </pic:blipFill>
                        <pic:spPr>
                          <a:xfrm>
                            <a:off x="0" y="0"/>
                            <a:ext cx="848360" cy="811530"/>
                          </a:xfrm>
                          <a:prstGeom prst="rect">
                            <a:avLst/>
                          </a:prstGeom>
                          <a:noFill/>
                          <a:ln>
                            <a:noFill/>
                          </a:ln>
                        </pic:spPr>
                      </pic:pic>
                    </a:graphicData>
                  </a:graphic>
                </wp:anchor>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φ114mm×3mm优质钢管，主承载横梁采用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φ32mm×3mm优质钢管滚圆而成。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、扭腰盘采用4mm钢板冲压成型，上表面边缘应以R不小于3mm的圆弧过渡；冲压有突起，起防滑作用，下部棱边应以R 应不小于2mm；脚踏部位应有防滑措施，双脚站立防滑面应不小于（6×104 ）mm，摩擦系数应不小于0.5；.转动装置装有阻尼，阻尼具有微阻力符合国标要求。防止转动过于灵活，造成人身伤害。不应使用塑料材质。轴承选用不小于6205-2RZ深沟球轴承。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、整机不存在衣服、头发钩挂或缠绕危险；不存在和使用功能无关的凸出物；无挤压点，无剪切点，无卡夹处，各处孔径间隙。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25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双位太空漫步机</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4"/>
              </w:rPr>
            </w:pPr>
            <w:r>
              <w:drawing>
                <wp:inline distT="0" distB="0" distL="114300" distR="114300">
                  <wp:extent cx="590550" cy="521970"/>
                  <wp:effectExtent l="0" t="0" r="0" b="1143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9" cstate="print"/>
                          <a:srcRect/>
                          <a:stretch>
                            <a:fillRect/>
                          </a:stretch>
                        </pic:blipFill>
                        <pic:spPr>
                          <a:xfrm>
                            <a:off x="0" y="0"/>
                            <a:ext cx="590550" cy="521970"/>
                          </a:xfrm>
                          <a:prstGeom prst="rect">
                            <a:avLst/>
                          </a:prstGeom>
                          <a:noFill/>
                          <a:ln w="1">
                            <a:noFill/>
                            <a:miter lim="800000"/>
                            <a:headEnd/>
                            <a:tailEnd type="none" w="med" len="med"/>
                          </a:ln>
                          <a:effectLst/>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φ114mm×3mm优质钢管，扶手管采用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φ38mm×3mm优质钢管，摆杆采用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φ60mm×3mm优质管。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、摆动部件</w:t>
            </w:r>
            <w:r>
              <w:rPr>
                <w:rFonts w:hint="eastAsia" w:ascii="仿宋" w:hAnsi="仿宋" w:eastAsia="仿宋" w:cs="仿宋"/>
                <w:color w:val="000000"/>
                <w:sz w:val="18"/>
                <w:szCs w:val="18"/>
                <w:lang w:eastAsia="zh-CN"/>
              </w:rPr>
              <w:t>应具有可靠限位装置</w:t>
            </w:r>
            <w:r>
              <w:rPr>
                <w:rFonts w:hint="eastAsia" w:ascii="仿宋" w:hAnsi="仿宋" w:eastAsia="仿宋" w:cs="仿宋"/>
                <w:color w:val="000000"/>
                <w:sz w:val="18"/>
                <w:szCs w:val="18"/>
              </w:rPr>
              <w:t>，且单侧摆动幅度不大于65°。</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、摆杆与主立柱内侧最小距离为65mm，无卡夹危险；踏板为4mm钢板冲压成形，主运动方向和易滑脱方向设置30mm高护板，脚踏部位有防滑凸台，踏板前后采取防止碰撞第三者的缓冲措施。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、整机不存在衣服、头发钩挂或缠绕危险；不存在和使用功能无关的凸出物；无挤压点，无剪切点，无卡夹处，各处孔径间隙。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191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腰背按摩器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drawing>
                <wp:inline distT="0" distB="0" distL="114300" distR="114300">
                  <wp:extent cx="757555" cy="757555"/>
                  <wp:effectExtent l="0" t="0" r="444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cstate="print"/>
                          <a:stretch>
                            <a:fillRect/>
                          </a:stretch>
                        </pic:blipFill>
                        <pic:spPr>
                          <a:xfrm>
                            <a:off x="0" y="0"/>
                            <a:ext cx="757555" cy="757555"/>
                          </a:xfrm>
                          <a:prstGeom prst="rect">
                            <a:avLst/>
                          </a:prstGeom>
                          <a:noFill/>
                          <a:ln w="9525">
                            <a:noFill/>
                          </a:ln>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、主立柱采用不小于φ114mm×3mm优质钢管，扶手管采用不小于φ38mm×3mm优质花纹管。按摩棒为包胶材质。立柱上采用外扣盖帽避免了雨水的流入。</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、整机不允许存在衣服、头发钩挂或缠绕危险；不允许存在和使用功能无关的凸出物；无挤压点，无剪切点，无卡夹处，各处孔径间隙。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193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跷跷板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drawing>
                <wp:inline distT="0" distB="0" distL="114300" distR="114300">
                  <wp:extent cx="757555" cy="757555"/>
                  <wp:effectExtent l="0" t="0" r="4445"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1" cstate="print"/>
                          <a:stretch>
                            <a:fillRect/>
                          </a:stretch>
                        </pic:blipFill>
                        <pic:spPr>
                          <a:xfrm>
                            <a:off x="0" y="0"/>
                            <a:ext cx="757555" cy="757555"/>
                          </a:xfrm>
                          <a:prstGeom prst="rect">
                            <a:avLst/>
                          </a:prstGeom>
                          <a:noFill/>
                          <a:ln w="9525">
                            <a:noFill/>
                          </a:ln>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φ114mm×3mm优质钢管，主承载横梁</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 xml:space="preserve">φ89mm×3mm优质钢管。连接件采用内限位、防撞缓冲轴承装置，轴径Φ25mm双轴承连接转动装置，采用高效防水、防尘密封措施。最低点距离地面大于230mm，坐板中心距离地面小于1000mm，摆动角度12°。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186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伸腰展背架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bdr w:val="single" w:color="000000" w:sz="4" w:space="0"/>
              </w:rPr>
              <w:drawing>
                <wp:anchor distT="0" distB="0" distL="114300" distR="114300" simplePos="0" relativeHeight="251660288" behindDoc="0" locked="0" layoutInCell="1" allowOverlap="1">
                  <wp:simplePos x="0" y="0"/>
                  <wp:positionH relativeFrom="column">
                    <wp:posOffset>-1905</wp:posOffset>
                  </wp:positionH>
                  <wp:positionV relativeFrom="paragraph">
                    <wp:posOffset>334645</wp:posOffset>
                  </wp:positionV>
                  <wp:extent cx="704215" cy="661670"/>
                  <wp:effectExtent l="0" t="0" r="635" b="5080"/>
                  <wp:wrapNone/>
                  <wp:docPr id="20" name="图片_20"/>
                  <wp:cNvGraphicFramePr/>
                  <a:graphic xmlns:a="http://schemas.openxmlformats.org/drawingml/2006/main">
                    <a:graphicData uri="http://schemas.openxmlformats.org/drawingml/2006/picture">
                      <pic:pic xmlns:pic="http://schemas.openxmlformats.org/drawingml/2006/picture">
                        <pic:nvPicPr>
                          <pic:cNvPr id="20" name="图片_20"/>
                          <pic:cNvPicPr/>
                        </pic:nvPicPr>
                        <pic:blipFill>
                          <a:blip r:embed="rId22" cstate="print"/>
                          <a:stretch>
                            <a:fillRect/>
                          </a:stretch>
                        </pic:blipFill>
                        <pic:spPr>
                          <a:xfrm>
                            <a:off x="0" y="0"/>
                            <a:ext cx="704215" cy="661670"/>
                          </a:xfrm>
                          <a:prstGeom prst="rect">
                            <a:avLst/>
                          </a:prstGeom>
                          <a:noFill/>
                          <a:ln>
                            <a:noFill/>
                          </a:ln>
                        </pic:spPr>
                      </pic:pic>
                    </a:graphicData>
                  </a:graphic>
                </wp:anchor>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φ114mm×3mm优质钢管，板面由</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 xml:space="preserve">2㎜优质钢板冲压、滚圆成型，无漏焊、虚焊、包渣、裂纹等缺陷。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173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9</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压腿训练器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bdr w:val="single" w:color="000000" w:sz="4" w:space="0"/>
              </w:rPr>
              <w:drawing>
                <wp:anchor distT="0" distB="0" distL="114300" distR="114300" simplePos="0" relativeHeight="251661312" behindDoc="0" locked="0" layoutInCell="1" allowOverlap="1">
                  <wp:simplePos x="0" y="0"/>
                  <wp:positionH relativeFrom="column">
                    <wp:posOffset>-50165</wp:posOffset>
                  </wp:positionH>
                  <wp:positionV relativeFrom="paragraph">
                    <wp:posOffset>280035</wp:posOffset>
                  </wp:positionV>
                  <wp:extent cx="869950" cy="634365"/>
                  <wp:effectExtent l="0" t="0" r="6350" b="13335"/>
                  <wp:wrapNone/>
                  <wp:docPr id="1" name="图片_19"/>
                  <wp:cNvGraphicFramePr/>
                  <a:graphic xmlns:a="http://schemas.openxmlformats.org/drawingml/2006/main">
                    <a:graphicData uri="http://schemas.openxmlformats.org/drawingml/2006/picture">
                      <pic:pic xmlns:pic="http://schemas.openxmlformats.org/drawingml/2006/picture">
                        <pic:nvPicPr>
                          <pic:cNvPr id="1" name="图片_19"/>
                          <pic:cNvPicPr/>
                        </pic:nvPicPr>
                        <pic:blipFill>
                          <a:blip r:embed="rId23" cstate="print"/>
                          <a:stretch>
                            <a:fillRect/>
                          </a:stretch>
                        </pic:blipFill>
                        <pic:spPr>
                          <a:xfrm>
                            <a:off x="0" y="0"/>
                            <a:ext cx="869950" cy="634365"/>
                          </a:xfrm>
                          <a:prstGeom prst="rect">
                            <a:avLst/>
                          </a:prstGeom>
                          <a:noFill/>
                          <a:ln>
                            <a:noFill/>
                          </a:ln>
                        </pic:spPr>
                      </pic:pic>
                    </a:graphicData>
                  </a:graphic>
                </wp:anchor>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φ114mm×3mm优质钢管，压腿管为</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 xml:space="preserve">φ42mm×3mm优质钢管，无漏焊、虚焊、包渣、裂纹等缺陷。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208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腹肌板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2"/>
                <w:szCs w:val="22"/>
              </w:rPr>
            </w:pPr>
            <w:r>
              <w:drawing>
                <wp:inline distT="0" distB="0" distL="114300" distR="114300">
                  <wp:extent cx="803910" cy="552450"/>
                  <wp:effectExtent l="0" t="0" r="1524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24" cstate="print"/>
                          <a:srcRect/>
                          <a:stretch>
                            <a:fillRect/>
                          </a:stretch>
                        </pic:blipFill>
                        <pic:spPr>
                          <a:xfrm>
                            <a:off x="0" y="0"/>
                            <a:ext cx="803910" cy="552450"/>
                          </a:xfrm>
                          <a:prstGeom prst="rect">
                            <a:avLst/>
                          </a:prstGeom>
                          <a:noFill/>
                          <a:ln w="1">
                            <a:noFill/>
                            <a:miter lim="800000"/>
                            <a:headEnd/>
                            <a:tailEnd type="none" w="med" len="med"/>
                          </a:ln>
                          <a:effectLst/>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、支撑管采用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φ42mm×3mm优质钢管，板面采用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2㎜优质钢板</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、勾腿管采用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φ76mmx3mm优质钢管。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、整机不存在衣服、头发钩挂或缠绕危险；不存在和使用功能无关的凸出物；无挤压点，无剪切点，无卡夹处，各处孔径间隙。。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r>
        <w:tblPrEx>
          <w:tblCellMar>
            <w:top w:w="0" w:type="dxa"/>
            <w:left w:w="108" w:type="dxa"/>
            <w:bottom w:w="0" w:type="dxa"/>
            <w:right w:w="108" w:type="dxa"/>
          </w:tblCellMar>
        </w:tblPrEx>
        <w:trPr>
          <w:trHeight w:val="203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告示牌</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drawing>
                <wp:inline distT="0" distB="0" distL="114300" distR="114300">
                  <wp:extent cx="756285" cy="777240"/>
                  <wp:effectExtent l="0" t="0" r="5715" b="3810"/>
                  <wp:docPr id="2" name="图片 2" descr="6f1107560ae498a62e5e75d528bb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1107560ae498a62e5e75d528bb503"/>
                          <pic:cNvPicPr>
                            <a:picLocks noChangeAspect="1"/>
                          </pic:cNvPicPr>
                        </pic:nvPicPr>
                        <pic:blipFill>
                          <a:blip r:embed="rId25"/>
                          <a:stretch>
                            <a:fillRect/>
                          </a:stretch>
                        </pic:blipFill>
                        <pic:spPr>
                          <a:xfrm>
                            <a:off x="0" y="0"/>
                            <a:ext cx="756285" cy="777240"/>
                          </a:xfrm>
                          <a:prstGeom prst="rect">
                            <a:avLst/>
                          </a:prstGeom>
                        </pic:spPr>
                      </pic:pic>
                    </a:graphicData>
                  </a:graphic>
                </wp:inline>
              </w:drawing>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、主立柱采用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φ114mm×3mm优质钢管，框架采用</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40mm×40mm×2.0mm优质异形管。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、板面材质为</w:t>
            </w:r>
            <w:r>
              <w:rPr>
                <w:rFonts w:hint="eastAsia" w:ascii="仿宋" w:hAnsi="仿宋" w:eastAsia="仿宋" w:cs="仿宋"/>
                <w:color w:val="000000"/>
                <w:sz w:val="18"/>
                <w:szCs w:val="18"/>
                <w:lang w:eastAsia="zh-CN"/>
              </w:rPr>
              <w:t>不小于</w:t>
            </w:r>
            <w:r>
              <w:rPr>
                <w:rFonts w:hint="eastAsia" w:ascii="仿宋" w:hAnsi="仿宋" w:eastAsia="仿宋" w:cs="仿宋"/>
                <w:color w:val="000000"/>
                <w:sz w:val="18"/>
                <w:szCs w:val="18"/>
              </w:rPr>
              <w:t>1mm厚304不锈钢。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、整机不允许存在衣服、头发钩挂或缠绕危险；不存在和使用功能无关的凸出物；无挤压点，无剪切点，无卡夹处，各处孔径间隙。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、产品符合GB19272-2011《室外健身器材的安全通用要求》标准，并通过NSCC国体认证。</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台</w:t>
            </w:r>
          </w:p>
        </w:tc>
      </w:tr>
    </w:tbl>
    <w:p>
      <w:pPr>
        <w:spacing w:line="460" w:lineRule="exact"/>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（二）维护办法和管理</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1、中标单位要对现有的150套健身器材建立电子档案，并注明安装时间、目前状况、须维修项目、品牌型号等，于中标签订合同后将电子档案交采购人。</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2、定期巡查，及时发现报告器材隐患。检查维护的内容包括除锈防腐喷漆、松动螺丝的紧固、零部件的更换、器材地基松动加固、地面硬化的针对性处理、对存在安全隐患并无法维修器材经采购人书面确认进行拆除；在维修前拍照、维修完毕拍照建立完整的档案，由所在区域负责人签字。发现损坏或不安全因素时，应立即在明显位置挂牌示警；对超出期限或经维修后不能恢复功能的健身器材，经采购人书面确认予以报废，拍照备案，由所在区域在明显位置挂牌警示。</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3、在巡查过程中发现的问题，都要及时维修，一般时间不超过3个工作日，最长时间不超7个工作日。</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4、对于新安装的健身器材在保质期内出现的问题由供货商负责日常维护。</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5、中标单位负责10个乡镇（街道）现有公共设施坐标信息核验工作。</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6、中标单位负责10个乡镇（街道）器材日常维护以及根据街道社区要求的定期器材消毒工作。</w:t>
      </w:r>
    </w:p>
    <w:p>
      <w:pPr>
        <w:spacing w:line="460" w:lineRule="exact"/>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（三）其他要求：</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1、本次投标报价包括新增75套路径及现有150套维护。</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2、质量要求：</w:t>
      </w:r>
      <w:r>
        <w:rPr>
          <w:rFonts w:hint="eastAsia" w:ascii="仿宋" w:hAnsi="仿宋" w:eastAsia="仿宋" w:cs="仿宋"/>
          <w:b/>
          <w:color w:val="auto"/>
          <w:szCs w:val="24"/>
        </w:rPr>
        <w:t>合格，必须符合国家《室外健身器材的安全通用要求》（GB-19272-2011）标准</w:t>
      </w:r>
      <w:r>
        <w:rPr>
          <w:rFonts w:hint="eastAsia" w:ascii="仿宋" w:hAnsi="仿宋" w:eastAsia="仿宋" w:cs="仿宋"/>
          <w:b/>
          <w:color w:val="auto"/>
          <w:szCs w:val="24"/>
          <w:lang w:eastAsia="zh-CN"/>
        </w:rPr>
        <w:t>，</w:t>
      </w:r>
      <w:r>
        <w:rPr>
          <w:rFonts w:hint="eastAsia" w:ascii="仿宋" w:hAnsi="仿宋" w:eastAsia="仿宋" w:cs="仿宋"/>
          <w:color w:val="auto"/>
          <w:sz w:val="24"/>
          <w:szCs w:val="24"/>
        </w:rPr>
        <w:t>并通过NSCC国体认证</w:t>
      </w:r>
      <w:r>
        <w:rPr>
          <w:rFonts w:hint="eastAsia" w:ascii="仿宋" w:hAnsi="仿宋" w:eastAsia="仿宋" w:cs="仿宋"/>
          <w:b/>
          <w:color w:val="auto"/>
          <w:szCs w:val="24"/>
        </w:rPr>
        <w:t>。</w:t>
      </w:r>
      <w:r>
        <w:rPr>
          <w:rFonts w:hint="eastAsia" w:ascii="仿宋" w:hAnsi="仿宋" w:eastAsia="仿宋" w:cs="仿宋"/>
          <w:bCs/>
          <w:color w:val="auto"/>
          <w:szCs w:val="24"/>
        </w:rPr>
        <w:t>本项目技术规范要求提出的是最低限度的基本技术要求，并未对所有技术细节作出规定，供应商应提供符合本技术要求和国家标准、行业标准的优质产品。供应商提供的产品应标明所执行的质量标准，若同一标准已颁发新标准，则按最新标准执行。若同一产品同时有几个标准（国际标准、国家标准、行业标准、企业标准等），则按最高层次的标准执行。供应商须按国家有关规定及标准完成本次采购，费用包括产品的供货、标准附件、备品备件、专用工具、包装、运输、装卸、保险、税金、货到就位以及安装、调试、维修、技术培训、技术服务、售后服务、检验、通过有关部门验收、维保期服务、产品终身维修等全部费用，并保证提供的投标产品使用的安全性能与检测结果的可靠性。投标产品的原材料、涂饰材料、五金配件等金属、化学成分含量均要求符合国家标准要求。报价全费用综合单价固定，货物数量以实际采购量为准。</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3、质保期：本项目所有设备质保期不少于</w:t>
      </w:r>
      <w:r>
        <w:rPr>
          <w:rFonts w:hint="eastAsia" w:ascii="仿宋" w:hAnsi="仿宋" w:eastAsia="仿宋" w:cs="仿宋"/>
          <w:b/>
          <w:bCs w:val="0"/>
          <w:color w:val="auto"/>
          <w:szCs w:val="24"/>
        </w:rPr>
        <w:t>二年</w:t>
      </w:r>
      <w:r>
        <w:rPr>
          <w:rFonts w:hint="eastAsia" w:ascii="仿宋" w:hAnsi="仿宋" w:eastAsia="仿宋" w:cs="仿宋"/>
          <w:bCs/>
          <w:color w:val="auto"/>
          <w:szCs w:val="24"/>
        </w:rPr>
        <w:t>，若设备原厂商提供更长质保期，则按最长的质保期执行），质保期从验收合格交付使用之日起算；保质期内因不能排除的故障而影响使用的情况每发生一次，其质保期相应延长60天，保质期内因产品本身缺陷（非人为因素）造成各种故障应由成交供应商免费技术服务和维修。安装验收完毕后，在器材规定部位砸有安装日期钢印。</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4、在质保期内，中标供应商应负责对其提供的设备进行现场维修、损坏件更换，不收取额外费用，响应时间必须满足产品正常运行的要求。</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5、提供至少</w:t>
      </w:r>
      <w:r>
        <w:rPr>
          <w:rFonts w:hint="eastAsia" w:ascii="仿宋" w:hAnsi="仿宋" w:eastAsia="仿宋" w:cs="仿宋"/>
          <w:b/>
          <w:bCs w:val="0"/>
          <w:color w:val="auto"/>
          <w:szCs w:val="24"/>
          <w:lang w:eastAsia="zh-CN"/>
        </w:rPr>
        <w:t>二</w:t>
      </w:r>
      <w:r>
        <w:rPr>
          <w:rFonts w:hint="eastAsia" w:ascii="仿宋" w:hAnsi="仿宋" w:eastAsia="仿宋" w:cs="仿宋"/>
          <w:b/>
          <w:bCs w:val="0"/>
          <w:color w:val="auto"/>
          <w:szCs w:val="24"/>
        </w:rPr>
        <w:t>年</w:t>
      </w:r>
      <w:r>
        <w:rPr>
          <w:rFonts w:hint="eastAsia" w:ascii="仿宋" w:hAnsi="仿宋" w:eastAsia="仿宋" w:cs="仿宋"/>
          <w:bCs/>
          <w:color w:val="auto"/>
          <w:szCs w:val="24"/>
        </w:rPr>
        <w:t>7*24小时免费售后技术服务（包括现场故障排除、性能调优、技术咨询等），对设备要提供同类产品、性能的备机供故障替换。</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6、在2小时内响应，最迟在6个小时内到达现场，8小时以内解决问题。</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7、本项目免费维保期二年，在免费维保期内，不得收取任何额外费用。</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8、热线支持：针对用户使用上的疑难问题，提供电话上的说明与讲解，即时解决客户疑难问题。</w:t>
      </w:r>
    </w:p>
    <w:p>
      <w:pPr>
        <w:spacing w:line="46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9、培训：中标供应商须对每个点的管理维护人员提供技术培训，使其能对设备进行日常操作和维护保养及能对一般故障进行维修。</w:t>
      </w:r>
    </w:p>
    <w:p>
      <w:pPr>
        <w:spacing w:line="460" w:lineRule="exact"/>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五、其他</w:t>
      </w:r>
    </w:p>
    <w:p>
      <w:pPr>
        <w:spacing w:line="460" w:lineRule="exact"/>
        <w:ind w:firstLine="480" w:firstLineChars="200"/>
        <w:rPr>
          <w:rFonts w:ascii="仿宋" w:hAnsi="仿宋" w:eastAsia="仿宋" w:cs="仿宋"/>
          <w:b w:val="0"/>
          <w:bCs/>
          <w:color w:val="auto"/>
          <w:szCs w:val="24"/>
        </w:rPr>
      </w:pPr>
      <w:r>
        <w:rPr>
          <w:rFonts w:hint="eastAsia" w:ascii="仿宋" w:hAnsi="仿宋" w:eastAsia="仿宋" w:cs="仿宋"/>
          <w:b w:val="0"/>
          <w:bCs/>
          <w:szCs w:val="24"/>
        </w:rPr>
        <w:t>1、付款</w:t>
      </w:r>
      <w:r>
        <w:rPr>
          <w:rFonts w:hint="eastAsia" w:ascii="仿宋" w:hAnsi="仿宋" w:eastAsia="仿宋" w:cs="仿宋"/>
          <w:b w:val="0"/>
          <w:bCs/>
          <w:color w:val="auto"/>
          <w:szCs w:val="24"/>
        </w:rPr>
        <w:t>方式：</w:t>
      </w:r>
      <w:r>
        <w:rPr>
          <w:rFonts w:hint="eastAsia" w:ascii="仿宋" w:hAnsi="仿宋" w:eastAsia="仿宋" w:cs="仿宋"/>
          <w:b/>
          <w:bCs w:val="0"/>
          <w:color w:val="auto"/>
        </w:rPr>
        <w:t>合同签订生效及具备实施条件后7个工作日内</w:t>
      </w:r>
      <w:r>
        <w:rPr>
          <w:rFonts w:hint="eastAsia" w:ascii="仿宋" w:hAnsi="仿宋" w:eastAsia="仿宋" w:cs="仿宋"/>
          <w:b/>
          <w:bCs w:val="0"/>
          <w:color w:val="auto"/>
          <w:szCs w:val="24"/>
        </w:rPr>
        <w:t>支付合同款的</w:t>
      </w:r>
      <w:r>
        <w:rPr>
          <w:rFonts w:ascii="仿宋" w:hAnsi="仿宋" w:eastAsia="仿宋" w:cs="仿宋"/>
          <w:b/>
          <w:bCs w:val="0"/>
          <w:color w:val="auto"/>
          <w:szCs w:val="24"/>
        </w:rPr>
        <w:t>4</w:t>
      </w:r>
      <w:r>
        <w:rPr>
          <w:rFonts w:hint="eastAsia" w:ascii="仿宋" w:hAnsi="仿宋" w:eastAsia="仿宋" w:cs="仿宋"/>
          <w:b/>
          <w:bCs w:val="0"/>
          <w:color w:val="auto"/>
          <w:szCs w:val="24"/>
        </w:rPr>
        <w:t>0%作为预付款</w:t>
      </w:r>
      <w:r>
        <w:rPr>
          <w:rFonts w:hint="eastAsia" w:ascii="仿宋" w:hAnsi="仿宋" w:eastAsia="仿宋" w:cs="仿宋"/>
          <w:b/>
          <w:bCs w:val="0"/>
          <w:color w:val="auto"/>
          <w:szCs w:val="24"/>
          <w:lang w:eastAsia="zh-CN"/>
        </w:rPr>
        <w:t>，</w:t>
      </w:r>
      <w:r>
        <w:rPr>
          <w:rFonts w:hint="eastAsia" w:ascii="仿宋" w:hAnsi="仿宋" w:eastAsia="仿宋" w:cs="仿宋"/>
          <w:b/>
          <w:bCs w:val="0"/>
          <w:color w:val="auto"/>
          <w:szCs w:val="24"/>
        </w:rPr>
        <w:t>验收合格</w:t>
      </w:r>
      <w:r>
        <w:rPr>
          <w:rFonts w:hint="eastAsia" w:ascii="仿宋" w:hAnsi="仿宋" w:eastAsia="仿宋" w:cs="仿宋"/>
          <w:b/>
          <w:bCs w:val="0"/>
          <w:color w:val="auto"/>
          <w:szCs w:val="24"/>
          <w:lang w:eastAsia="zh-CN"/>
        </w:rPr>
        <w:t>后</w:t>
      </w:r>
      <w:r>
        <w:rPr>
          <w:rFonts w:hint="eastAsia" w:ascii="仿宋" w:hAnsi="仿宋" w:eastAsia="仿宋" w:cs="仿宋"/>
          <w:b/>
          <w:bCs w:val="0"/>
          <w:color w:val="auto"/>
          <w:szCs w:val="24"/>
          <w:lang w:val="en-US" w:eastAsia="zh-CN"/>
        </w:rPr>
        <w:t>7个工作日内</w:t>
      </w:r>
      <w:r>
        <w:rPr>
          <w:rFonts w:hint="eastAsia" w:ascii="仿宋" w:hAnsi="仿宋" w:eastAsia="仿宋" w:cs="仿宋"/>
          <w:b/>
          <w:bCs w:val="0"/>
          <w:color w:val="auto"/>
          <w:szCs w:val="24"/>
        </w:rPr>
        <w:t>一次付清</w:t>
      </w:r>
      <w:r>
        <w:rPr>
          <w:rFonts w:hint="eastAsia" w:ascii="仿宋" w:hAnsi="仿宋" w:eastAsia="仿宋" w:cs="仿宋"/>
          <w:b/>
          <w:bCs w:val="0"/>
          <w:color w:val="auto"/>
          <w:szCs w:val="24"/>
          <w:lang w:eastAsia="zh-CN"/>
        </w:rPr>
        <w:t>全部尾款</w:t>
      </w:r>
      <w:r>
        <w:rPr>
          <w:rFonts w:hint="eastAsia" w:ascii="仿宋" w:hAnsi="仿宋" w:eastAsia="仿宋" w:cs="仿宋"/>
          <w:b/>
          <w:bCs w:val="0"/>
          <w:color w:val="auto"/>
          <w:szCs w:val="24"/>
        </w:rPr>
        <w:t>。</w:t>
      </w:r>
    </w:p>
    <w:p>
      <w:pPr>
        <w:spacing w:line="460" w:lineRule="exact"/>
        <w:ind w:firstLine="480" w:firstLineChars="200"/>
        <w:rPr>
          <w:rFonts w:ascii="仿宋" w:hAnsi="仿宋" w:eastAsia="仿宋" w:cs="仿宋"/>
          <w:color w:val="auto"/>
        </w:rPr>
      </w:pPr>
      <w:r>
        <w:rPr>
          <w:rFonts w:hint="eastAsia" w:ascii="仿宋" w:hAnsi="仿宋" w:eastAsia="仿宋" w:cs="仿宋"/>
          <w:color w:val="auto"/>
        </w:rPr>
        <w:t>（若中标供应商明确表示无需预付款或者主动要求降低预付款比</w:t>
      </w:r>
      <w:r>
        <w:rPr>
          <w:rFonts w:hint="eastAsia" w:ascii="仿宋" w:hAnsi="仿宋" w:eastAsia="仿宋" w:cs="仿宋"/>
        </w:rPr>
        <w:t>例的，采购人可不</w:t>
      </w:r>
      <w:r>
        <w:rPr>
          <w:rFonts w:hint="eastAsia" w:ascii="仿宋" w:hAnsi="仿宋" w:eastAsia="仿宋" w:cs="仿宋"/>
          <w:color w:val="auto"/>
        </w:rPr>
        <w:t>适用前述规定。）</w:t>
      </w:r>
    </w:p>
    <w:p>
      <w:pPr>
        <w:numPr>
          <w:ilvl w:val="0"/>
          <w:numId w:val="3"/>
        </w:numPr>
        <w:spacing w:line="460" w:lineRule="exact"/>
        <w:ind w:firstLine="480" w:firstLineChars="200"/>
        <w:rPr>
          <w:rFonts w:ascii="仿宋" w:hAnsi="仿宋" w:eastAsia="仿宋" w:cs="仿宋"/>
          <w:bCs/>
          <w:color w:val="auto"/>
          <w:szCs w:val="24"/>
        </w:rPr>
      </w:pPr>
      <w:r>
        <w:rPr>
          <w:rFonts w:ascii="仿宋" w:hAnsi="仿宋" w:eastAsia="仿宋" w:cs="仿宋"/>
          <w:bCs/>
          <w:color w:val="auto"/>
          <w:szCs w:val="24"/>
        </w:rPr>
        <w:t>供货期</w:t>
      </w:r>
      <w:r>
        <w:rPr>
          <w:rFonts w:hint="eastAsia" w:ascii="仿宋" w:hAnsi="仿宋" w:eastAsia="仿宋" w:cs="仿宋"/>
          <w:bCs/>
          <w:color w:val="auto"/>
          <w:szCs w:val="24"/>
        </w:rPr>
        <w:t>：中标供应商在合同签订生效之日起</w:t>
      </w:r>
      <w:r>
        <w:rPr>
          <w:rFonts w:hint="eastAsia" w:ascii="仿宋" w:hAnsi="仿宋" w:eastAsia="仿宋" w:cs="仿宋"/>
          <w:bCs/>
          <w:color w:val="auto"/>
          <w:szCs w:val="24"/>
          <w:lang w:val="en-US" w:eastAsia="zh-CN"/>
        </w:rPr>
        <w:t>60</w:t>
      </w:r>
      <w:r>
        <w:rPr>
          <w:rFonts w:hint="eastAsia" w:ascii="仿宋" w:hAnsi="仿宋" w:eastAsia="仿宋" w:cs="仿宋"/>
          <w:bCs/>
          <w:color w:val="auto"/>
          <w:szCs w:val="24"/>
        </w:rPr>
        <w:t>日历天内交货并完成本项目采购内容的全部工作；</w:t>
      </w:r>
      <w:r>
        <w:rPr>
          <w:rFonts w:ascii="仿宋" w:hAnsi="仿宋" w:eastAsia="仿宋" w:cs="仿宋"/>
          <w:bCs/>
          <w:color w:val="auto"/>
          <w:szCs w:val="24"/>
        </w:rPr>
        <w:t>维护期：</w:t>
      </w:r>
      <w:r>
        <w:rPr>
          <w:rFonts w:hint="eastAsia" w:ascii="仿宋" w:hAnsi="仿宋" w:eastAsia="仿宋" w:cs="仿宋"/>
          <w:bCs/>
          <w:color w:val="auto"/>
          <w:szCs w:val="24"/>
        </w:rPr>
        <w:t>2年。</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3、项目实施地址：采购人规定的地点。</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4、本项目采购标的对应的中小企业划分标准所属行业为</w:t>
      </w:r>
      <w:r>
        <w:rPr>
          <w:rFonts w:ascii="仿宋" w:hAnsi="仿宋" w:eastAsia="仿宋" w:cs="仿宋"/>
          <w:bCs/>
          <w:color w:val="000000" w:themeColor="text1"/>
          <w:szCs w:val="24"/>
          <w14:textFill>
            <w14:solidFill>
              <w14:schemeClr w14:val="tx1"/>
            </w14:solidFill>
          </w14:textFill>
        </w:rPr>
        <w:t>工</w:t>
      </w:r>
      <w:r>
        <w:rPr>
          <w:rFonts w:hint="eastAsia" w:ascii="仿宋" w:hAnsi="仿宋" w:eastAsia="仿宋" w:cs="仿宋"/>
          <w:bCs/>
          <w:color w:val="000000" w:themeColor="text1"/>
          <w:szCs w:val="24"/>
          <w14:textFill>
            <w14:solidFill>
              <w14:schemeClr w14:val="tx1"/>
            </w14:solidFill>
          </w14:textFill>
        </w:rPr>
        <w:t>业。</w:t>
      </w:r>
    </w:p>
    <w:p>
      <w:pPr>
        <w:spacing w:line="460" w:lineRule="exact"/>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5、</w:t>
      </w:r>
      <w:r>
        <w:rPr>
          <w:rFonts w:hint="eastAsia" w:ascii="仿宋" w:hAnsi="仿宋" w:eastAsia="仿宋" w:cs="仿宋"/>
          <w:bCs/>
          <w:color w:val="000000" w:themeColor="text1"/>
          <w14:textFill>
            <w14:solidFill>
              <w14:schemeClr w14:val="tx1"/>
            </w14:solidFill>
          </w14:textFill>
        </w:rPr>
        <w:t>依据《政府采购促进中小企业发展管理办法》（财库【2020】46号）规定享受扶持政策获得政府采购合同的，小微企业不得将合同分包给大中型企业，中型企业不得将合同分包给大型企业。</w:t>
      </w: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7"/>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7"/>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7"/>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7"/>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7"/>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29"/>
        <w:ind w:right="761" w:rightChars="317"/>
        <w:outlineLvl w:val="9"/>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第三章 供应商须知</w:t>
      </w:r>
    </w:p>
    <w:p>
      <w:pPr>
        <w:spacing w:line="5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前附表</w:t>
      </w:r>
    </w:p>
    <w:tbl>
      <w:tblPr>
        <w:tblStyle w:val="30"/>
        <w:tblW w:w="9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项目名称：湖州市南浔区文化和广电旅游体育局新增维护全民健身路径采购项目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采购内容及数量：详见第二章招标需求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投标报价及费用：1、本项目投标应以人民币报价；2、不论投标结果如何，供应商均应自行承担所有与投标有关的全部费用；3、本项目采购代理服务费（¥</w:t>
            </w:r>
            <w:r>
              <w:rPr>
                <w:rFonts w:hint="eastAsia" w:ascii="仿宋" w:hAnsi="仿宋" w:eastAsia="仿宋" w:cs="仿宋"/>
                <w:color w:val="000000" w:themeColor="text1"/>
                <w:sz w:val="21"/>
                <w:szCs w:val="21"/>
                <w:lang w:val="en-US" w:eastAsia="zh-CN"/>
                <w14:textFill>
                  <w14:solidFill>
                    <w14:schemeClr w14:val="tx1"/>
                  </w14:solidFill>
                </w14:textFill>
              </w:rPr>
              <w:t>18000</w:t>
            </w:r>
            <w:r>
              <w:rPr>
                <w:rFonts w:hint="eastAsia" w:ascii="仿宋" w:hAnsi="仿宋" w:eastAsia="仿宋" w:cs="仿宋"/>
                <w:color w:val="000000" w:themeColor="text1"/>
                <w:sz w:val="21"/>
                <w:szCs w:val="21"/>
                <w14:textFill>
                  <w14:solidFill>
                    <w14:schemeClr w14:val="tx1"/>
                  </w14:solidFill>
                </w14:textFill>
              </w:rPr>
              <w:t>元），由中标人在领取中标通知书前向采购代理机构一次性支付完成。请各供应商报价时综合考虑在报价中。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8647"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答疑与澄清：供应商如认为招标文件表述不清晰、存在歧视性、排他性或者其他违法内容的，应当在</w:t>
            </w:r>
            <w:r>
              <w:rPr>
                <w:rFonts w:hint="eastAsia" w:ascii="仿宋" w:hAnsi="仿宋" w:eastAsia="仿宋" w:cs="仿宋"/>
                <w:b/>
                <w:bCs/>
                <w:color w:val="000000" w:themeColor="text1"/>
                <w:sz w:val="21"/>
                <w:szCs w:val="21"/>
                <w:u w:val="single"/>
                <w14:textFill>
                  <w14:solidFill>
                    <w14:schemeClr w14:val="tx1"/>
                  </w14:solidFill>
                </w14:textFill>
              </w:rPr>
              <w:t>2022年</w:t>
            </w:r>
            <w:r>
              <w:rPr>
                <w:rFonts w:hint="eastAsia" w:ascii="仿宋" w:hAnsi="仿宋" w:eastAsia="仿宋" w:cs="仿宋"/>
                <w:b/>
                <w:bCs/>
                <w:color w:val="000000" w:themeColor="text1"/>
                <w:sz w:val="21"/>
                <w:szCs w:val="21"/>
                <w:u w:val="single"/>
                <w:lang w:val="en-US" w:eastAsia="zh-CN"/>
                <w14:textFill>
                  <w14:solidFill>
                    <w14:schemeClr w14:val="tx1"/>
                  </w14:solidFill>
                </w14:textFill>
              </w:rPr>
              <w:t>5</w:t>
            </w:r>
            <w:r>
              <w:rPr>
                <w:rFonts w:hint="eastAsia" w:ascii="仿宋" w:hAnsi="仿宋" w:eastAsia="仿宋" w:cs="仿宋"/>
                <w:b/>
                <w:bCs/>
                <w:color w:val="000000" w:themeColor="text1"/>
                <w:sz w:val="21"/>
                <w:szCs w:val="21"/>
                <w:u w:val="single"/>
                <w14:textFill>
                  <w14:solidFill>
                    <w14:schemeClr w14:val="tx1"/>
                  </w14:solidFill>
                </w14:textFill>
              </w:rPr>
              <w:t>月</w:t>
            </w:r>
            <w:r>
              <w:rPr>
                <w:rFonts w:hint="eastAsia" w:ascii="仿宋" w:hAnsi="仿宋" w:eastAsia="仿宋" w:cs="仿宋"/>
                <w:b/>
                <w:bCs/>
                <w:color w:val="000000" w:themeColor="text1"/>
                <w:sz w:val="21"/>
                <w:szCs w:val="21"/>
                <w:u w:val="single"/>
                <w:lang w:val="en-US" w:eastAsia="zh-CN"/>
                <w14:textFill>
                  <w14:solidFill>
                    <w14:schemeClr w14:val="tx1"/>
                  </w14:solidFill>
                </w14:textFill>
              </w:rPr>
              <w:t>17</w:t>
            </w:r>
            <w:r>
              <w:rPr>
                <w:rFonts w:hint="eastAsia" w:ascii="仿宋" w:hAnsi="仿宋" w:eastAsia="仿宋" w:cs="仿宋"/>
                <w:b/>
                <w:bCs/>
                <w:color w:val="000000" w:themeColor="text1"/>
                <w:sz w:val="21"/>
                <w:szCs w:val="21"/>
                <w:u w:val="single"/>
                <w14:textFill>
                  <w14:solidFill>
                    <w14:schemeClr w14:val="tx1"/>
                  </w14:solidFill>
                </w14:textFill>
              </w:rPr>
              <w:t>日下午16：00前</w:t>
            </w:r>
            <w:r>
              <w:rPr>
                <w:rFonts w:hint="eastAsia" w:ascii="仿宋" w:hAnsi="仿宋" w:eastAsia="仿宋" w:cs="仿宋"/>
                <w:color w:val="000000" w:themeColor="text1"/>
                <w:sz w:val="21"/>
                <w:szCs w:val="21"/>
                <w14:textFill>
                  <w14:solidFill>
                    <w14:schemeClr w14:val="tx1"/>
                  </w14:solidFill>
                </w14:textFill>
              </w:rPr>
              <w:t>以书面（含传真）形式向采购代理机构一次性提出，招标采购单位将在规定的时间内统一进行澄清和修改。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最高限价：</w:t>
            </w:r>
            <w:r>
              <w:rPr>
                <w:rFonts w:hint="eastAsia" w:ascii="仿宋" w:hAnsi="仿宋" w:eastAsia="仿宋" w:cs="仿宋"/>
                <w:b/>
                <w:bCs/>
                <w:color w:val="000000" w:themeColor="text1"/>
                <w:sz w:val="21"/>
                <w:szCs w:val="21"/>
                <w14:textFill>
                  <w14:solidFill>
                    <w14:schemeClr w14:val="tx1"/>
                  </w14:solidFill>
                </w14:textFill>
              </w:rPr>
              <w:t>人民币135万元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投标文件形式：</w:t>
            </w:r>
          </w:p>
          <w:p>
            <w:pPr>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1、电子投标文件（包括“电子加密投标文件”和“备份投标文件”，在投标文件编制完成后同时生成）；</w:t>
            </w:r>
          </w:p>
          <w:p>
            <w:pPr>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（1）“电子加密投标文件”是指通过“政采云电子交易客户端”完成投标文件编制后生成并加密的数据电文形式的投标文件。</w:t>
            </w:r>
          </w:p>
          <w:p>
            <w:pPr>
              <w:snapToGrid w:val="0"/>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（2）“备份投标文件”是指与“电子加密投标文件”同时生成的数据电文形式的电子文件（备份标书），其他方式编制的备份投标文件视为无效备份投标文件。</w:t>
            </w:r>
            <w:r>
              <w:rPr>
                <w:rFonts w:hint="eastAsia" w:ascii="仿宋" w:hAnsi="仿宋" w:eastAsia="仿宋" w:cs="仿宋"/>
                <w:b/>
                <w:bCs/>
                <w:color w:val="000000" w:themeColor="text1"/>
                <w:sz w:val="21"/>
                <w:szCs w:val="21"/>
                <w14:textFill>
                  <w14:solidFill>
                    <w14:schemeClr w14:val="tx1"/>
                  </w14:solidFill>
                </w14:textFill>
              </w:rPr>
              <w:t>仅在出现解密异常情况下使用。</w:t>
            </w:r>
          </w:p>
          <w:p>
            <w:pPr>
              <w:snapToGrid w:val="0"/>
              <w:spacing w:line="4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b/>
                <w:bCs/>
                <w:color w:val="000000" w:themeColor="text1"/>
                <w:sz w:val="21"/>
                <w:szCs w:val="21"/>
                <w:u w:val="single"/>
                <w14:textFill>
                  <w14:solidFill>
                    <w14:schemeClr w14:val="tx1"/>
                  </w14:solidFill>
                </w14:textFill>
              </w:rPr>
              <w:t>是否需要提及纸质版投标文件</w:t>
            </w:r>
            <w:r>
              <w:rPr>
                <w:rFonts w:hint="eastAsia" w:ascii="仿宋" w:hAnsi="仿宋" w:eastAsia="仿宋" w:cs="仿宋"/>
                <w:color w:val="000000" w:themeColor="text1"/>
                <w:sz w:val="21"/>
                <w:szCs w:val="21"/>
                <w14:textFill>
                  <w14:solidFill>
                    <w14:schemeClr w14:val="tx1"/>
                  </w14:solidFill>
                </w14:textFill>
              </w:rPr>
              <w:t>：否，但中标后，中标单位需在领取中标通知书时，向招标代理机构提交与投标时电子投标文件一致的纸质版本一式三份（按照招标文件要求签字盖章）。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8647"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1、投标文件的组成：</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投标文件均由《资格文件》、《技术、商务资信文件》、《报价文件》组成。</w:t>
            </w:r>
          </w:p>
          <w:p>
            <w:pPr>
              <w:pStyle w:val="9"/>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2、投标文件份数：</w:t>
            </w:r>
          </w:p>
          <w:p>
            <w:pPr>
              <w:pStyle w:val="9"/>
              <w:numPr>
                <w:ilvl w:val="0"/>
                <w:numId w:val="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“电子加密投标文件”：在线上传递交、一份。</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“备份投标文件”：密封包装后应在</w:t>
            </w:r>
            <w:r>
              <w:rPr>
                <w:rFonts w:hint="eastAsia" w:ascii="仿宋" w:hAnsi="仿宋" w:eastAsia="仿宋" w:cs="仿宋"/>
                <w:b/>
                <w:bCs/>
                <w:color w:val="000000" w:themeColor="text1"/>
                <w:sz w:val="21"/>
                <w:szCs w:val="21"/>
                <w14:textFill>
                  <w14:solidFill>
                    <w14:schemeClr w14:val="tx1"/>
                  </w14:solidFill>
                </w14:textFill>
              </w:rPr>
              <w:t>2022年</w:t>
            </w:r>
            <w:r>
              <w:rPr>
                <w:rFonts w:hint="eastAsia" w:ascii="仿宋" w:hAnsi="仿宋" w:eastAsia="仿宋" w:cs="仿宋"/>
                <w:b/>
                <w:bCs/>
                <w:color w:val="000000" w:themeColor="text1"/>
                <w:sz w:val="21"/>
                <w:szCs w:val="21"/>
                <w:lang w:val="en-US" w:eastAsia="zh-CN"/>
                <w14:textFill>
                  <w14:solidFill>
                    <w14:schemeClr w14:val="tx1"/>
                  </w14:solidFill>
                </w14:textFill>
              </w:rPr>
              <w:t>5</w:t>
            </w:r>
            <w:r>
              <w:rPr>
                <w:rFonts w:hint="eastAsia" w:ascii="仿宋" w:hAnsi="仿宋" w:eastAsia="仿宋" w:cs="仿宋"/>
                <w:b/>
                <w:bCs/>
                <w:color w:val="000000" w:themeColor="text1"/>
                <w:sz w:val="21"/>
                <w:szCs w:val="21"/>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24</w:t>
            </w:r>
            <w:r>
              <w:rPr>
                <w:rFonts w:hint="eastAsia" w:ascii="仿宋" w:hAnsi="仿宋" w:eastAsia="仿宋" w:cs="仿宋"/>
                <w:b/>
                <w:bCs/>
                <w:color w:val="000000" w:themeColor="text1"/>
                <w:sz w:val="21"/>
                <w:szCs w:val="21"/>
                <w14:textFill>
                  <w14:solidFill>
                    <w14:schemeClr w14:val="tx1"/>
                  </w14:solidFill>
                </w14:textFill>
              </w:rPr>
              <w:t>日下午1</w:t>
            </w:r>
            <w:r>
              <w:rPr>
                <w:rFonts w:hint="eastAsia" w:ascii="仿宋" w:hAnsi="仿宋" w:eastAsia="仿宋" w:cs="仿宋"/>
                <w:b/>
                <w:bCs/>
                <w:color w:val="000000" w:themeColor="text1"/>
                <w:sz w:val="21"/>
                <w:szCs w:val="21"/>
                <w:lang w:val="en-US" w:eastAsia="zh-CN"/>
                <w14:textFill>
                  <w14:solidFill>
                    <w14:schemeClr w14:val="tx1"/>
                  </w14:solidFill>
                </w14:textFill>
              </w:rPr>
              <w:t>6</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0</w:t>
            </w:r>
            <w:r>
              <w:rPr>
                <w:rFonts w:hint="eastAsia" w:ascii="仿宋" w:hAnsi="仿宋" w:eastAsia="仿宋" w:cs="仿宋"/>
                <w:b/>
                <w:bCs/>
                <w:color w:val="000000" w:themeColor="text1"/>
                <w:sz w:val="21"/>
                <w:szCs w:val="21"/>
                <w14:textFill>
                  <w14:solidFill>
                    <w14:schemeClr w14:val="tx1"/>
                  </w14:solidFill>
                </w14:textFill>
              </w:rPr>
              <w:t>0前</w:t>
            </w:r>
            <w:r>
              <w:rPr>
                <w:rFonts w:hint="eastAsia" w:ascii="仿宋" w:hAnsi="仿宋" w:eastAsia="仿宋" w:cs="仿宋"/>
                <w:color w:val="000000" w:themeColor="text1"/>
                <w:sz w:val="21"/>
                <w:szCs w:val="21"/>
                <w14:textFill>
                  <w14:solidFill>
                    <w14:schemeClr w14:val="tx1"/>
                  </w14:solidFill>
                </w14:textFill>
              </w:rPr>
              <w:t>邮寄至</w:t>
            </w:r>
            <w:r>
              <w:rPr>
                <w:rFonts w:hint="eastAsia" w:ascii="仿宋" w:hAnsi="仿宋" w:eastAsia="仿宋" w:cs="仿宋"/>
                <w:b/>
                <w:bCs/>
                <w:color w:val="000000" w:themeColor="text1"/>
                <w:sz w:val="21"/>
                <w:szCs w:val="21"/>
                <w14:textFill>
                  <w14:solidFill>
                    <w14:schemeClr w14:val="tx1"/>
                  </w14:solidFill>
                </w14:textFill>
              </w:rPr>
              <w:t>中纬工程管理咨询有限公司湖州分公司（浙江省湖州市龙溪北路1155号四楼）；收件人：金小颖；联系电话：0572-2372728，电子邮箱：1032877384@qq.com。邮寄时，应注明投标项目名称、投标单位名称、投标单位的联系人、联系电话、电子邮箱，拒绝到付。</w:t>
            </w:r>
            <w:r>
              <w:rPr>
                <w:rFonts w:hint="eastAsia" w:ascii="仿宋" w:hAnsi="仿宋" w:eastAsia="仿宋" w:cs="仿宋"/>
                <w:color w:val="000000" w:themeColor="text1"/>
                <w:sz w:val="21"/>
                <w:szCs w:val="21"/>
                <w14:textFill>
                  <w14:solidFill>
                    <w14:schemeClr w14:val="tx1"/>
                  </w14:solidFill>
                </w14:textFill>
              </w:rPr>
              <w:t>数量为U盘一份。</w:t>
            </w:r>
          </w:p>
          <w:p>
            <w:pPr>
              <w:pStyle w:val="9"/>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3、投标文件的上传和递交：</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（1）“电子加密投标文件”的上传、递交：</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a.供应商应在投标截止时间前将“电子加密投标文件”成功上传递交至“政府采购云平台”，否则投标无效。</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b.“电子加密投标文件”成功上传递交后，供应商可自行打印投标文件接收回执。</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（2）“备份投标文件”的上传、递交：</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a.供应商在“政府采购云平台”编制“电子加密投标文件”，可以在规定时间前递交以介质（U盘）存储的“备份投标文件”（一份）。“备份投标文件”应当密封包装，并在包装上标注投标项目名称、投标单位名称、联系电话并加盖公章。没有密封包装或者逾期送达的“备份投标文件”无效；</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通过“政府采购云平台”成功上传递交的“电子加密投标文件”已按时解密的，“备份投标文件”自动失效。投标文件启用顺序和效力。投标文件的启用，按先后顺位分别为电子投标文件、数据电文形式的备份投标文件。</w:t>
            </w:r>
          </w:p>
          <w:p>
            <w:pPr>
              <w:pStyle w:val="9"/>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（3）所有投标文件逾期解密的视作无效标。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电子加密投标文件的解密和异常情况处理：</w:t>
            </w:r>
          </w:p>
          <w:p>
            <w:pPr>
              <w:spacing w:line="360" w:lineRule="auto"/>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pPr>
              <w:spacing w:line="360" w:lineRule="auto"/>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9"/>
              <w:spacing w:line="400" w:lineRule="exact"/>
              <w:rPr>
                <w:rFonts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投标截止时间：</w:t>
            </w:r>
            <w:r>
              <w:rPr>
                <w:rFonts w:hint="eastAsia" w:ascii="仿宋" w:hAnsi="仿宋" w:eastAsia="仿宋" w:cs="仿宋"/>
                <w:b/>
                <w:bCs/>
                <w:color w:val="000000" w:themeColor="text1"/>
                <w:sz w:val="21"/>
                <w:szCs w:val="21"/>
                <w14:textFill>
                  <w14:solidFill>
                    <w14:schemeClr w14:val="tx1"/>
                  </w14:solidFill>
                </w14:textFill>
              </w:rPr>
              <w:t>2022年</w:t>
            </w:r>
            <w:r>
              <w:rPr>
                <w:rFonts w:hint="eastAsia" w:ascii="仿宋" w:hAnsi="仿宋" w:eastAsia="仿宋" w:cs="仿宋"/>
                <w:b/>
                <w:bCs/>
                <w:color w:val="000000" w:themeColor="text1"/>
                <w:sz w:val="21"/>
                <w:szCs w:val="21"/>
                <w:lang w:val="en-US" w:eastAsia="zh-CN"/>
                <w14:textFill>
                  <w14:solidFill>
                    <w14:schemeClr w14:val="tx1"/>
                  </w14:solidFill>
                </w14:textFill>
              </w:rPr>
              <w:t>5</w:t>
            </w:r>
            <w:r>
              <w:rPr>
                <w:rFonts w:hint="eastAsia" w:ascii="仿宋" w:hAnsi="仿宋" w:eastAsia="仿宋" w:cs="仿宋"/>
                <w:b/>
                <w:bCs/>
                <w:color w:val="000000" w:themeColor="text1"/>
                <w:sz w:val="21"/>
                <w:szCs w:val="21"/>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25</w:t>
            </w:r>
            <w:r>
              <w:rPr>
                <w:rFonts w:hint="eastAsia" w:ascii="仿宋" w:hAnsi="仿宋" w:eastAsia="仿宋" w:cs="仿宋"/>
                <w:b/>
                <w:bCs/>
                <w:color w:val="000000" w:themeColor="text1"/>
                <w:sz w:val="21"/>
                <w:szCs w:val="21"/>
                <w14:textFill>
                  <w14:solidFill>
                    <w14:schemeClr w14:val="tx1"/>
                  </w14:solidFill>
                </w14:textFill>
              </w:rPr>
              <w:t>日9:30时整（以政采云平台时间为准）</w:t>
            </w: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开标时间：</w:t>
            </w:r>
            <w:r>
              <w:rPr>
                <w:rFonts w:hint="eastAsia" w:ascii="仿宋" w:hAnsi="仿宋" w:eastAsia="仿宋" w:cs="仿宋"/>
                <w:b/>
                <w:bCs/>
                <w:color w:val="000000" w:themeColor="text1"/>
                <w:sz w:val="21"/>
                <w:szCs w:val="21"/>
                <w14:textFill>
                  <w14:solidFill>
                    <w14:schemeClr w14:val="tx1"/>
                  </w14:solidFill>
                </w14:textFill>
              </w:rPr>
              <w:t>2022年</w:t>
            </w:r>
            <w:r>
              <w:rPr>
                <w:rFonts w:hint="eastAsia" w:ascii="仿宋" w:hAnsi="仿宋" w:eastAsia="仿宋" w:cs="仿宋"/>
                <w:b/>
                <w:bCs/>
                <w:color w:val="000000" w:themeColor="text1"/>
                <w:sz w:val="21"/>
                <w:szCs w:val="21"/>
                <w:lang w:val="en-US" w:eastAsia="zh-CN"/>
                <w14:textFill>
                  <w14:solidFill>
                    <w14:schemeClr w14:val="tx1"/>
                  </w14:solidFill>
                </w14:textFill>
              </w:rPr>
              <w:t>5</w:t>
            </w:r>
            <w:r>
              <w:rPr>
                <w:rFonts w:hint="eastAsia" w:ascii="仿宋" w:hAnsi="仿宋" w:eastAsia="仿宋" w:cs="仿宋"/>
                <w:b/>
                <w:bCs/>
                <w:color w:val="000000" w:themeColor="text1"/>
                <w:sz w:val="21"/>
                <w:szCs w:val="21"/>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25</w:t>
            </w:r>
            <w:r>
              <w:rPr>
                <w:rFonts w:hint="eastAsia" w:ascii="仿宋" w:hAnsi="仿宋" w:eastAsia="仿宋" w:cs="仿宋"/>
                <w:b/>
                <w:bCs/>
                <w:color w:val="000000" w:themeColor="text1"/>
                <w:sz w:val="21"/>
                <w:szCs w:val="21"/>
                <w14:textFill>
                  <w14:solidFill>
                    <w14:schemeClr w14:val="tx1"/>
                  </w14:solidFill>
                </w14:textFill>
              </w:rPr>
              <w:t>日9:30时整（以政采云平台时间为准）</w:t>
            </w:r>
            <w:r>
              <w:rPr>
                <w:rFonts w:hint="eastAsia" w:ascii="仿宋" w:hAnsi="仿宋" w:eastAsia="仿宋" w:cs="仿宋"/>
                <w:color w:val="000000" w:themeColor="text1"/>
                <w:sz w:val="21"/>
                <w:szCs w:val="21"/>
                <w14:textFill>
                  <w14:solidFill>
                    <w14:schemeClr w14:val="tx1"/>
                  </w14:solidFill>
                </w14:textFill>
              </w:rPr>
              <w:t>，逾期作自动放弃；</w:t>
            </w:r>
          </w:p>
          <w:p>
            <w:pPr>
              <w:pStyle w:val="9"/>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地点：湖州市公共资源交易中心2号楼二楼开标室开标（通过“政府采购云平台（www.zcygov.cn）”实行在线投标响应）。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textAlignment w:val="bottom"/>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中标公告：自中标人确定之日起2个工作日内公告中标结果，公告于：</w:t>
            </w:r>
          </w:p>
          <w:p>
            <w:pPr>
              <w:snapToGrid w:val="0"/>
              <w:spacing w:line="400" w:lineRule="exact"/>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浙江省政府采购网（http://zfcg.czt.zj.gov.cn/）；</w:t>
            </w:r>
          </w:p>
          <w:p>
            <w:pPr>
              <w:snapToGrid w:val="0"/>
              <w:spacing w:line="400" w:lineRule="exact"/>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湖州市公共资源交易中心网（http://ggzy.huzhou.gov.cn/hzfront/）。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中标通知书：在公告中标结果的同时，招标采购单位向中标人发出中标通知书。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1"/>
                <w:szCs w:val="21"/>
              </w:rPr>
            </w:pPr>
            <w:r>
              <w:rPr>
                <w:rFonts w:hint="eastAsia" w:ascii="仿宋" w:hAnsi="仿宋" w:eastAsia="仿宋" w:cs="仿宋"/>
                <w:sz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15</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auto"/>
              </w:rPr>
            </w:pPr>
            <w:r>
              <w:rPr>
                <w:rFonts w:hint="eastAsia" w:ascii="仿宋" w:hAnsi="仿宋" w:eastAsia="仿宋" w:cs="仿宋"/>
                <w:color w:val="auto"/>
                <w:sz w:val="21"/>
                <w:szCs w:val="21"/>
              </w:rPr>
              <w:t>履约保证金的收取:无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16</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采购资金来源：财政预算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付款方式：详见合同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投标文件有效期：</w:t>
            </w:r>
            <w:r>
              <w:rPr>
                <w:rFonts w:hint="eastAsia" w:ascii="仿宋" w:hAnsi="仿宋" w:eastAsia="仿宋" w:cs="仿宋"/>
                <w:color w:val="000000" w:themeColor="text1"/>
                <w:sz w:val="21"/>
                <w:szCs w:val="21"/>
                <w:u w:val="single"/>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19</w:t>
            </w:r>
          </w:p>
        </w:tc>
        <w:tc>
          <w:tcPr>
            <w:tcW w:w="86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解释：本招标文件的解释权属于招标采购单位。</w:t>
            </w:r>
          </w:p>
        </w:tc>
      </w:tr>
    </w:tbl>
    <w:p>
      <w:pPr>
        <w:pStyle w:val="29"/>
        <w:ind w:right="761" w:rightChars="317" w:firstLine="3534" w:firstLineChars="1100"/>
        <w:jc w:val="both"/>
        <w:outlineLvl w:val="9"/>
        <w:rPr>
          <w:rFonts w:ascii="仿宋" w:hAnsi="仿宋" w:eastAsia="仿宋" w:cs="仿宋"/>
          <w:color w:val="000000" w:themeColor="text1"/>
          <w:szCs w:val="32"/>
          <w14:textFill>
            <w14:solidFill>
              <w14:schemeClr w14:val="tx1"/>
            </w14:solidFill>
          </w14:textFill>
        </w:rPr>
      </w:pPr>
    </w:p>
    <w:p>
      <w:pPr>
        <w:rPr>
          <w:rFonts w:ascii="仿宋" w:hAnsi="仿宋" w:eastAsia="仿宋" w:cs="仿宋"/>
          <w:color w:val="000000" w:themeColor="text1"/>
          <w:szCs w:val="32"/>
          <w14:textFill>
            <w14:solidFill>
              <w14:schemeClr w14:val="tx1"/>
            </w14:solidFill>
          </w14:textFill>
        </w:rPr>
      </w:pPr>
    </w:p>
    <w:p>
      <w:pPr>
        <w:pStyle w:val="12"/>
        <w:ind w:firstLine="240"/>
        <w:rPr>
          <w:rFonts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bookmarkStart w:id="3" w:name="_Toc508900989"/>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pStyle w:val="12"/>
        <w:ind w:firstLine="240"/>
        <w:rPr>
          <w:rFonts w:ascii="仿宋" w:hAnsi="仿宋" w:eastAsia="仿宋" w:cs="仿宋"/>
          <w:color w:val="000000" w:themeColor="text1"/>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pStyle w:val="11"/>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pStyle w:val="7"/>
        <w:rPr>
          <w:rFonts w:ascii="仿宋" w:hAnsi="仿宋" w:eastAsia="仿宋" w:cs="仿宋"/>
          <w:b/>
          <w:color w:val="000000" w:themeColor="text1"/>
          <w:sz w:val="28"/>
          <w:szCs w:val="28"/>
          <w14:textFill>
            <w14:solidFill>
              <w14:schemeClr w14:val="tx1"/>
            </w14:solidFill>
          </w14:textFill>
        </w:rPr>
      </w:pPr>
    </w:p>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p>
    <w:p>
      <w:pPr>
        <w:spacing w:line="460" w:lineRule="exact"/>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一、总  则</w:t>
      </w:r>
      <w:bookmarkEnd w:id="3"/>
    </w:p>
    <w:p>
      <w:pPr>
        <w:spacing w:line="460" w:lineRule="exact"/>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（一）适用范围</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本招标文件适用于</w:t>
      </w:r>
      <w:r>
        <w:rPr>
          <w:rFonts w:hint="eastAsia" w:ascii="仿宋" w:hAnsi="仿宋" w:eastAsia="仿宋" w:cs="仿宋"/>
          <w:b/>
          <w:color w:val="000000" w:themeColor="text1"/>
          <w:sz w:val="24"/>
          <w:szCs w:val="24"/>
          <w:u w:val="single"/>
          <w:lang w:val="zh-CN"/>
          <w14:textFill>
            <w14:solidFill>
              <w14:schemeClr w14:val="tx1"/>
            </w14:solidFill>
          </w14:textFill>
        </w:rPr>
        <w:t>湖州市南浔区文化和广电旅游体育局新增维护全民健身路径采购项目</w:t>
      </w:r>
      <w:r>
        <w:rPr>
          <w:rFonts w:hint="eastAsia" w:ascii="仿宋" w:hAnsi="仿宋" w:eastAsia="仿宋" w:cs="仿宋"/>
          <w:color w:val="000000" w:themeColor="text1"/>
          <w:sz w:val="24"/>
          <w:szCs w:val="24"/>
          <w14:textFill>
            <w14:solidFill>
              <w14:schemeClr w14:val="tx1"/>
            </w14:solidFill>
          </w14:textFill>
        </w:rPr>
        <w:t>的招标、投标、评标、定标、验收、合同履约、付款等行为（法律、法规另有规定的，从其规定）。</w:t>
      </w:r>
    </w:p>
    <w:p>
      <w:pPr>
        <w:numPr>
          <w:ilvl w:val="0"/>
          <w:numId w:val="5"/>
        </w:numPr>
        <w:snapToGrid w:val="0"/>
        <w:spacing w:beforeLines="50" w:line="460" w:lineRule="exact"/>
        <w:ind w:firstLine="475" w:firstLineChars="197"/>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定义</w:t>
      </w:r>
    </w:p>
    <w:p>
      <w:pPr>
        <w:snapToGrid w:val="0"/>
        <w:spacing w:beforeLines="50"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1.招标采购单位系指组织本次招标的</w:t>
      </w:r>
      <w:r>
        <w:rPr>
          <w:rFonts w:hint="eastAsia" w:ascii="仿宋" w:hAnsi="仿宋" w:eastAsia="仿宋" w:cs="仿宋"/>
          <w:b/>
          <w:color w:val="000000" w:themeColor="text1"/>
          <w:szCs w:val="24"/>
          <w:lang w:val="zh-CN"/>
          <w14:textFill>
            <w14:solidFill>
              <w14:schemeClr w14:val="tx1"/>
            </w14:solidFill>
          </w14:textFill>
        </w:rPr>
        <w:t xml:space="preserve">湖州市南浔区文化和广电旅游体育局 </w:t>
      </w:r>
      <w:r>
        <w:rPr>
          <w:rFonts w:hint="eastAsia" w:ascii="仿宋" w:hAnsi="仿宋" w:eastAsia="仿宋" w:cs="仿宋"/>
          <w:color w:val="000000" w:themeColor="text1"/>
          <w:szCs w:val="24"/>
          <w14:textFill>
            <w14:solidFill>
              <w14:schemeClr w14:val="tx1"/>
            </w14:solidFill>
          </w14:textFill>
        </w:rPr>
        <w:t>（“采购单位”）和</w:t>
      </w:r>
      <w:r>
        <w:rPr>
          <w:rFonts w:hint="eastAsia" w:ascii="仿宋" w:hAnsi="仿宋" w:eastAsia="仿宋" w:cs="仿宋"/>
          <w:b/>
          <w:color w:val="000000" w:themeColor="text1"/>
          <w:szCs w:val="24"/>
          <w14:textFill>
            <w14:solidFill>
              <w14:schemeClr w14:val="tx1"/>
            </w14:solidFill>
          </w14:textFill>
        </w:rPr>
        <w:t>中纬工程管理咨询有限公司</w:t>
      </w:r>
      <w:r>
        <w:rPr>
          <w:rFonts w:hint="eastAsia" w:ascii="仿宋" w:hAnsi="仿宋" w:eastAsia="仿宋" w:cs="仿宋"/>
          <w:color w:val="000000" w:themeColor="text1"/>
          <w:szCs w:val="24"/>
          <w14:textFill>
            <w14:solidFill>
              <w14:schemeClr w14:val="tx1"/>
            </w14:solidFill>
          </w14:textFill>
        </w:rPr>
        <w:t>（“采购代理机构”）。</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2.“供应商”系指向招标方提交投标文件的制造商或供应商。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3.“产品”系指供方按招标文件规定，须向采购人提供的一切设备、保险、税金、备品备件、工具、手册及其它有关技术资料和材料。</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4.“服务”系指招标文件规定供应商须承担的相关的安装、调试、技术协助、校准、培训、技术指导以及其他类似的义务。</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5.“项目”系指供应商按招标文件规定向采购人提供的产品和服务。</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6.“书面形式”包括信函、传真、电报等。</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7.“▲”系指实质性要求条款。</w:t>
      </w:r>
    </w:p>
    <w:p>
      <w:pPr>
        <w:numPr>
          <w:ilvl w:val="0"/>
          <w:numId w:val="5"/>
        </w:numPr>
        <w:snapToGrid w:val="0"/>
        <w:spacing w:beforeLines="50" w:line="460" w:lineRule="exact"/>
        <w:ind w:firstLine="475" w:firstLineChars="197"/>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招标方式</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本次招标采用公开招标方式进行。</w:t>
      </w:r>
    </w:p>
    <w:p>
      <w:pPr>
        <w:numPr>
          <w:ilvl w:val="0"/>
          <w:numId w:val="5"/>
        </w:numPr>
        <w:snapToGrid w:val="0"/>
        <w:spacing w:beforeLines="50" w:line="460" w:lineRule="exact"/>
        <w:ind w:firstLine="475" w:firstLineChars="197"/>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投标费用</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1．供应商应自行承担投标过程中的所有相关费用，不论中标与否，招标采购单位在任何情况下不承担有关费用。本项目采购代理服务费（¥</w:t>
      </w:r>
      <w:r>
        <w:rPr>
          <w:rFonts w:hint="eastAsia" w:ascii="仿宋" w:hAnsi="仿宋" w:eastAsia="仿宋" w:cs="仿宋"/>
          <w:color w:val="000000" w:themeColor="text1"/>
          <w:szCs w:val="24"/>
          <w:lang w:val="en-US" w:eastAsia="zh-CN"/>
          <w14:textFill>
            <w14:solidFill>
              <w14:schemeClr w14:val="tx1"/>
            </w14:solidFill>
          </w14:textFill>
        </w:rPr>
        <w:t>18000</w:t>
      </w:r>
      <w:r>
        <w:rPr>
          <w:rFonts w:hint="eastAsia" w:ascii="仿宋" w:hAnsi="仿宋" w:eastAsia="仿宋" w:cs="仿宋"/>
          <w:color w:val="000000" w:themeColor="text1"/>
          <w:szCs w:val="24"/>
          <w14:textFill>
            <w14:solidFill>
              <w14:schemeClr w14:val="tx1"/>
            </w14:solidFill>
          </w14:textFill>
        </w:rPr>
        <w:t>元），由中标人在领取中标通知书前向采购代理机构一次性支付完成。请各供应商报价时综合考虑在报价中。</w:t>
      </w:r>
    </w:p>
    <w:p>
      <w:pPr>
        <w:spacing w:line="460" w:lineRule="exact"/>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（五）联合体投标</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本项目不接受联合体投标。</w:t>
      </w:r>
    </w:p>
    <w:p>
      <w:pPr>
        <w:snapToGrid w:val="0"/>
        <w:spacing w:beforeLines="50" w:line="460" w:lineRule="exact"/>
        <w:ind w:firstLine="482" w:firstLineChars="200"/>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（六）转包与分包</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本项目不允许转包，也不可以违法分包。</w:t>
      </w:r>
    </w:p>
    <w:p>
      <w:pPr>
        <w:snapToGrid w:val="0"/>
        <w:spacing w:line="460" w:lineRule="exact"/>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（七）特别说明</w:t>
      </w:r>
    </w:p>
    <w:p>
      <w:pPr>
        <w:pStyle w:val="17"/>
        <w:spacing w:line="4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非单一来源采购项目中，核心产品提供相同品牌产品且通过资格审查、符合性审查的不同供应商参加本项目投标的，按一家供应商计算，评审后得分最高的同品牌供应商获得中标人资格;评审得分相同的，由采购人或者采购人委托评标委员会确定报价最低的供应商获得中标人资格；当报价相同时，采取随机抽取方式确定，其他同品牌供应商不作为中标人。</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▲2、供应商投标所使用的资格、信誉、荣誉、业绩与企业认证必须为本法人所拥有。</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▲3、供应商应仔细阅读招标文件的所有内容，按照招标文件的要求提交投标文件，并对所提供的全部资料的真实性承担法律责任。</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17"/>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（八）质疑和投诉</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根据《中华人民共和国财政部令第94号-政府采购质疑和投诉办法》第二章规定。</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认为招标文件、采购过程、中标或者中标结果使自己的权益受到损害的，可以在知道或者应知其权益受到损害之日起7个工作日内，以书面形式向采购人、采购代理机构提出质疑。供应商在法定质疑期内一次性提出针对同一采购程序环节的质疑。</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2.提出质疑的供应商（以下简称质疑供应商）应当是参与所质疑项目采购活动的供应商。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潜在供应商已依法获取（</w:t>
      </w:r>
      <w:r>
        <w:rPr>
          <w:rFonts w:hint="eastAsia" w:ascii="仿宋" w:hAnsi="仿宋" w:eastAsia="仿宋" w:cs="仿宋"/>
          <w:b/>
          <w:bCs/>
          <w:color w:val="000000" w:themeColor="text1"/>
          <w:sz w:val="24"/>
          <w:szCs w:val="24"/>
          <w14:textFill>
            <w14:solidFill>
              <w14:schemeClr w14:val="tx1"/>
            </w14:solidFill>
          </w14:textFill>
        </w:rPr>
        <w:t>依法获取指：供应商按本项目招标公告要求在政采云系统上获取并报名成功</w:t>
      </w:r>
      <w:r>
        <w:rPr>
          <w:rFonts w:hint="eastAsia" w:ascii="仿宋" w:hAnsi="仿宋" w:eastAsia="仿宋" w:cs="仿宋"/>
          <w:color w:val="000000" w:themeColor="text1"/>
          <w:sz w:val="24"/>
          <w:szCs w:val="24"/>
          <w14:textFill>
            <w14:solidFill>
              <w14:schemeClr w14:val="tx1"/>
            </w14:solidFill>
          </w14:textFill>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3.供应商提出质疑应当提交质疑函和必要的证明材料。质疑函应当包括下列内容:</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（1）供应商的姓名或者名称、地址、邮编、联系人及联系电话；</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（2）质疑项目的名称、编号；</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（3）具体、明确的质疑事项和与质疑事项相关的请求；</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（4）事实依据；</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（5）必要的法律依据；</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（6）提出质疑的日期。</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人可以采取直接递交、传真或邮寄方式提交质疑书。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以实际收到原件之日作为收到质疑的日期。</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4.采购人、采购代理机构不得拒收质疑供应商在法定质疑期内发出的质疑函，应当在收到质疑函后7个工作日内作出答复，质疑答复的内容不得涉及商业秘密，并以书面形式通知质疑供应商和其他有关供应商。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5.供应商对评审过程、中标或者中标结果提出质疑的，采购人、采购代理机构可以组织原评标委员会、竞争性谈判小组、询价小组或者竞争性磋商小组协助答复质疑。</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6.质疑答复应当包括下列内容：</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（1）质疑供应商的姓名或者名称；</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（2）收到质疑函的日期、质疑项目名称及编号；</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（3）质疑事项、质疑答复的具体内容、事实依据和法律依据；</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（4）告知质疑供应商依法投诉的权利；</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（5）质疑答复人名称；</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（6）答复质疑的日期。</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质疑答复的内容不得涉及商业秘密。 </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7.采购人、采购代理机构认为供应商质疑不成立，或者成立但未对中标、中标结果构成影响的，继续开展采购活动；认为供应商质疑成立且影响或者可能影响中标、中标结果的，按照下列情况处理：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（1）对招标文件提出的质疑，依法通过澄清或者修改可以继续开展采购活动的，澄清或者修改招标文件后继续开展采购活动；否则应当修改招标文件后重新开展采购活动。</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质疑答复导致中标、中标结果改变的，采购人或者采购代理机构应当将有关情况书面报告本级财政部门。</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8.投诉人提起投诉应当符合下列条件：</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1）提起投诉前已依法进行质疑；</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2）投诉书内容符合本办法的规定；</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3）在投诉有效期限内提起投诉；</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4）同一投诉事项未经财政部门投诉处理；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5）财政部规定的其他条件。</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9.投诉人投诉时,应当提交投诉书和必要的证明材料，并按照被投诉采购人、采购代理机构和与投诉事项有关的供应商数量提供投诉书的副本。投诉书应当包括下列内容：</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1）投诉人和被投诉人的姓名或者名称、通讯地址、邮编、联系人及联系电话；</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2）质疑和质疑答复情况说明及相关证明材料；</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3）具体、明确的投诉事项和与投诉事项相关的投诉请求；</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4）事实依据；</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5）法律依据；</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6）提起投诉的日期。</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质疑供应商对采购人、采购代理机构的答复不满意，或者采购人、采购代理机构未在规定时间内作出答复的，可以在答复期满后15个工作日内</w:t>
      </w:r>
      <w:r>
        <w:rPr>
          <w:rFonts w:hint="eastAsia" w:ascii="仿宋" w:hAnsi="仿宋" w:eastAsia="仿宋" w:cs="仿宋"/>
          <w:color w:val="000000" w:themeColor="text1"/>
          <w:kern w:val="0"/>
          <w:sz w:val="24"/>
          <w14:textFill>
            <w14:solidFill>
              <w14:schemeClr w14:val="tx1"/>
            </w14:solidFill>
          </w14:textFill>
        </w:rPr>
        <w:t>向同级政府采购监督管理部门投诉</w:t>
      </w:r>
      <w:r>
        <w:rPr>
          <w:rFonts w:hint="eastAsia" w:ascii="仿宋" w:hAnsi="仿宋" w:eastAsia="仿宋" w:cs="仿宋"/>
          <w:color w:val="000000" w:themeColor="text1"/>
          <w:sz w:val="24"/>
          <w:szCs w:val="24"/>
          <w14:textFill>
            <w14:solidFill>
              <w14:schemeClr w14:val="tx1"/>
            </w14:solidFill>
          </w14:textFill>
        </w:rPr>
        <w:t>。</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质疑函须采用财政部发布的政府采购供应商质疑函范本（参考样式可从“浙江省政府采购网-&gt;下载专区-&gt;质疑投诉模板”栏目下载），否则采购代理机构有权要求质疑供应商改正后重新提出。</w:t>
      </w:r>
    </w:p>
    <w:p>
      <w:pPr>
        <w:autoSpaceDE/>
        <w:autoSpaceDN/>
        <w:adjustRightInd/>
        <w:snapToGrid w:val="0"/>
        <w:spacing w:line="440" w:lineRule="exact"/>
        <w:ind w:firstLine="482" w:firstLineChars="200"/>
        <w:textAlignment w:val="auto"/>
        <w:rPr>
          <w:rFonts w:ascii="仿宋" w:hAnsi="仿宋" w:eastAsia="仿宋" w:cs="仿宋"/>
          <w:color w:val="000000" w:themeColor="text1"/>
          <w14:textFill>
            <w14:solidFill>
              <w14:schemeClr w14:val="tx1"/>
            </w14:solidFill>
          </w14:textFill>
        </w:rPr>
      </w:pPr>
      <w:bookmarkStart w:id="4" w:name="_Toc508900990"/>
      <w:r>
        <w:rPr>
          <w:rFonts w:hint="eastAsia" w:ascii="仿宋" w:hAnsi="仿宋" w:eastAsia="仿宋" w:cs="仿宋"/>
          <w:b/>
          <w:color w:val="000000" w:themeColor="text1"/>
          <w:shd w:val="clear" w:color="000000" w:fill="FFFFFF"/>
          <w14:textFill>
            <w14:solidFill>
              <w14:schemeClr w14:val="tx1"/>
            </w14:solidFill>
          </w14:textFill>
        </w:rPr>
        <w:t>注：未按规定格式、内容提出的，招标方将不予受理。</w:t>
      </w:r>
    </w:p>
    <w:p>
      <w:pPr>
        <w:snapToGrid w:val="0"/>
        <w:spacing w:line="460" w:lineRule="exact"/>
        <w:ind w:firstLine="472" w:firstLineChars="196"/>
        <w:jc w:val="center"/>
        <w:outlineLvl w:val="1"/>
        <w:rPr>
          <w:rFonts w:ascii="仿宋" w:hAnsi="仿宋" w:eastAsia="仿宋" w:cs="仿宋"/>
          <w:b/>
          <w:color w:val="000000" w:themeColor="text1"/>
          <w:szCs w:val="24"/>
          <w14:textFill>
            <w14:solidFill>
              <w14:schemeClr w14:val="tx1"/>
            </w14:solidFill>
          </w14:textFill>
        </w:rPr>
      </w:pPr>
    </w:p>
    <w:p>
      <w:pPr>
        <w:snapToGrid w:val="0"/>
        <w:spacing w:line="460" w:lineRule="exact"/>
        <w:ind w:firstLine="551" w:firstLineChars="196"/>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二、招标文件</w:t>
      </w:r>
      <w:bookmarkEnd w:id="4"/>
    </w:p>
    <w:p>
      <w:pPr>
        <w:snapToGrid w:val="0"/>
        <w:spacing w:line="460" w:lineRule="exact"/>
        <w:ind w:firstLine="472" w:firstLineChars="196"/>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（一）招标文件的构成</w:t>
      </w:r>
    </w:p>
    <w:p>
      <w:pPr>
        <w:snapToGrid w:val="0"/>
        <w:spacing w:line="460" w:lineRule="exact"/>
        <w:ind w:firstLine="472" w:firstLineChars="196"/>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本招标文件由以下部分组成：</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1.招标公告</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2.招标需求</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3.供应商须知</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4.评标办法及标准</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5.合同主要条款</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6.投标文件格式及附件</w:t>
      </w:r>
    </w:p>
    <w:p>
      <w:pPr>
        <w:snapToGrid w:val="0"/>
        <w:spacing w:line="460" w:lineRule="exact"/>
        <w:ind w:firstLine="480"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7.本项目招标文件的澄清、答复、修改、补充的内容</w:t>
      </w:r>
    </w:p>
    <w:p>
      <w:pPr>
        <w:snapToGrid w:val="0"/>
        <w:spacing w:beforeLines="50" w:line="460" w:lineRule="exact"/>
        <w:ind w:firstLine="472" w:firstLineChars="196"/>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（二）供应商的风险</w:t>
      </w:r>
    </w:p>
    <w:p>
      <w:pPr>
        <w:pStyle w:val="27"/>
        <w:spacing w:line="460" w:lineRule="exact"/>
        <w:ind w:left="187" w:leftChars="78"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供应商没有按照招标文件要求提供全部资料，或者供应商没有对招标文件在各方面作出实质性响应是供应商的风险，并可能导致其投标被拒绝。</w:t>
      </w:r>
    </w:p>
    <w:p>
      <w:pPr>
        <w:pStyle w:val="6"/>
        <w:numPr>
          <w:ilvl w:val="0"/>
          <w:numId w:val="0"/>
        </w:numPr>
        <w:tabs>
          <w:tab w:val="left" w:pos="454"/>
          <w:tab w:val="left" w:pos="720"/>
          <w:tab w:val="clear" w:pos="360"/>
        </w:tabs>
        <w:snapToGrid w:val="0"/>
        <w:spacing w:beforeLines="50" w:line="460" w:lineRule="exact"/>
        <w:ind w:left="470" w:leftChars="196"/>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 xml:space="preserve">（三）招标文件的澄清与修改 </w:t>
      </w:r>
    </w:p>
    <w:p>
      <w:pPr>
        <w:snapToGrid w:val="0"/>
        <w:spacing w:line="460" w:lineRule="exact"/>
        <w:ind w:firstLine="240" w:firstLineChars="1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（1）供应商应认真阅读本招标文件，发现其中有误或有不合理要求的，供应商必须在</w:t>
      </w:r>
      <w:r>
        <w:rPr>
          <w:rFonts w:hint="eastAsia" w:ascii="仿宋" w:hAnsi="仿宋" w:eastAsia="仿宋" w:cs="仿宋"/>
          <w:b/>
          <w:bCs/>
          <w:color w:val="000000" w:themeColor="text1"/>
          <w:szCs w:val="24"/>
          <w14:textFill>
            <w14:solidFill>
              <w14:schemeClr w14:val="tx1"/>
            </w14:solidFill>
          </w14:textFill>
        </w:rPr>
        <w:t>2022年</w:t>
      </w:r>
      <w:r>
        <w:rPr>
          <w:rFonts w:hint="eastAsia" w:ascii="仿宋" w:hAnsi="仿宋" w:eastAsia="仿宋" w:cs="仿宋"/>
          <w:b/>
          <w:bCs/>
          <w:color w:val="000000" w:themeColor="text1"/>
          <w:szCs w:val="24"/>
          <w:lang w:val="en-US" w:eastAsia="zh-CN"/>
          <w14:textFill>
            <w14:solidFill>
              <w14:schemeClr w14:val="tx1"/>
            </w14:solidFill>
          </w14:textFill>
        </w:rPr>
        <w:t>5</w:t>
      </w:r>
      <w:r>
        <w:rPr>
          <w:rFonts w:hint="eastAsia" w:ascii="仿宋" w:hAnsi="仿宋" w:eastAsia="仿宋" w:cs="仿宋"/>
          <w:b/>
          <w:bCs/>
          <w:color w:val="000000" w:themeColor="text1"/>
          <w:szCs w:val="24"/>
          <w14:textFill>
            <w14:solidFill>
              <w14:schemeClr w14:val="tx1"/>
            </w14:solidFill>
          </w14:textFill>
        </w:rPr>
        <w:t>月</w:t>
      </w:r>
      <w:r>
        <w:rPr>
          <w:rFonts w:hint="eastAsia" w:ascii="仿宋" w:hAnsi="仿宋" w:eastAsia="仿宋" w:cs="仿宋"/>
          <w:b/>
          <w:bCs/>
          <w:color w:val="000000" w:themeColor="text1"/>
          <w:szCs w:val="24"/>
          <w:lang w:val="en-US" w:eastAsia="zh-CN"/>
          <w14:textFill>
            <w14:solidFill>
              <w14:schemeClr w14:val="tx1"/>
            </w14:solidFill>
          </w14:textFill>
        </w:rPr>
        <w:t>17</w:t>
      </w:r>
      <w:bookmarkStart w:id="15" w:name="_GoBack"/>
      <w:bookmarkEnd w:id="15"/>
      <w:r>
        <w:rPr>
          <w:rFonts w:hint="eastAsia" w:ascii="仿宋" w:hAnsi="仿宋" w:eastAsia="仿宋" w:cs="仿宋"/>
          <w:b/>
          <w:bCs/>
          <w:color w:val="000000" w:themeColor="text1"/>
          <w:szCs w:val="24"/>
          <w14:textFill>
            <w14:solidFill>
              <w14:schemeClr w14:val="tx1"/>
            </w14:solidFill>
          </w14:textFill>
        </w:rPr>
        <w:t>日16：00前</w:t>
      </w:r>
      <w:r>
        <w:rPr>
          <w:rFonts w:hint="eastAsia" w:ascii="仿宋" w:hAnsi="仿宋" w:eastAsia="仿宋" w:cs="仿宋"/>
          <w:color w:val="000000" w:themeColor="text1"/>
          <w:szCs w:val="24"/>
          <w14:textFill>
            <w14:solidFill>
              <w14:schemeClr w14:val="tx1"/>
            </w14:solidFill>
          </w14:textFill>
        </w:rPr>
        <w:t>以书面形式要求招标采购单位澄清，</w:t>
      </w:r>
      <w:r>
        <w:rPr>
          <w:rFonts w:hint="eastAsia" w:ascii="仿宋" w:hAnsi="仿宋" w:eastAsia="仿宋" w:cs="仿宋"/>
          <w:color w:val="000000" w:themeColor="text1"/>
          <w14:textFill>
            <w14:solidFill>
              <w14:schemeClr w14:val="tx1"/>
            </w14:solidFill>
          </w14:textFill>
        </w:rPr>
        <w:t>否则逾期视为默认</w:t>
      </w:r>
      <w:r>
        <w:rPr>
          <w:rFonts w:hint="eastAsia" w:ascii="仿宋" w:hAnsi="仿宋" w:eastAsia="仿宋" w:cs="仿宋"/>
          <w:color w:val="000000" w:themeColor="text1"/>
          <w:szCs w:val="24"/>
          <w14:textFill>
            <w14:solidFill>
              <w14:schemeClr w14:val="tx1"/>
            </w14:solidFill>
          </w14:textFill>
        </w:rPr>
        <w:t>。采购代理机构对已发出的招标文件进行必要澄清、答复、修改或补充的，应当在招标文件要求提交投标文件截止时间五日前，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供应商有约束力。供应商在收到招标文件的澄清修改函后，应予以确认。</w:t>
      </w:r>
    </w:p>
    <w:p>
      <w:pPr>
        <w:snapToGrid w:val="0"/>
        <w:spacing w:line="460" w:lineRule="exact"/>
        <w:ind w:firstLine="240" w:firstLineChars="1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（2）招标采购单位可以视采购具体情况，延长投标截止时间和开标时间，并将变更时间书面通知所有招标文件收受人，并在财政部门指定的政府采购信息发布媒体上发布变更公告。</w:t>
      </w:r>
    </w:p>
    <w:p>
      <w:pPr>
        <w:pStyle w:val="17"/>
        <w:spacing w:line="460" w:lineRule="exact"/>
        <w:ind w:firstLine="551" w:firstLineChars="196"/>
        <w:jc w:val="center"/>
        <w:outlineLvl w:val="1"/>
        <w:rPr>
          <w:rFonts w:ascii="仿宋" w:hAnsi="仿宋" w:eastAsia="仿宋" w:cs="仿宋"/>
          <w:b/>
          <w:color w:val="000000" w:themeColor="text1"/>
          <w:sz w:val="28"/>
          <w:szCs w:val="28"/>
          <w14:textFill>
            <w14:solidFill>
              <w14:schemeClr w14:val="tx1"/>
            </w14:solidFill>
          </w14:textFill>
        </w:rPr>
      </w:pPr>
      <w:bookmarkStart w:id="5" w:name="_Toc508900991"/>
      <w:bookmarkStart w:id="6" w:name="_Toc461980468"/>
    </w:p>
    <w:p>
      <w:pPr>
        <w:pStyle w:val="17"/>
        <w:spacing w:line="460" w:lineRule="exact"/>
        <w:ind w:firstLine="551" w:firstLineChars="196"/>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三、投标文件的编制</w:t>
      </w:r>
      <w:bookmarkEnd w:id="5"/>
      <w:bookmarkEnd w:id="6"/>
    </w:p>
    <w:p>
      <w:pPr>
        <w:spacing w:line="460" w:lineRule="exact"/>
        <w:ind w:firstLine="361" w:firstLineChars="15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（一）投标文件的组成</w:t>
      </w:r>
    </w:p>
    <w:p>
      <w:pPr>
        <w:spacing w:line="460" w:lineRule="exact"/>
        <w:ind w:firstLine="352" w:firstLineChars="14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投标文件由《资格文件》、《技术、商务资信文件》、《报价文件》组成，其中电子投标文件中所须加盖公章部分均采用CA签章。如供应商不按上述规定制作投标文件的，可能导致被拒绝。</w:t>
      </w:r>
    </w:p>
    <w:p>
      <w:pPr>
        <w:pStyle w:val="27"/>
        <w:spacing w:line="460" w:lineRule="exact"/>
        <w:ind w:left="86" w:leftChars="36" w:firstLine="357" w:firstLineChars="148"/>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▲供应商应保证所提供文件资料的真实性，所有文件资料必须是针对本次招标的。如发现供应商提供了虚假文件资料，其投标将被拒绝，并自行承担相应的法律责任。</w:t>
      </w:r>
    </w:p>
    <w:p>
      <w:pPr>
        <w:pStyle w:val="27"/>
        <w:numPr>
          <w:ilvl w:val="0"/>
          <w:numId w:val="6"/>
        </w:numPr>
        <w:spacing w:line="460" w:lineRule="exact"/>
        <w:ind w:left="480"/>
        <w:rPr>
          <w:rFonts w:ascii="仿宋" w:hAnsi="仿宋" w:eastAsia="仿宋" w:cs="仿宋"/>
          <w:b/>
          <w:color w:val="000000" w:themeColor="text1"/>
          <w:sz w:val="24"/>
          <w:szCs w:val="24"/>
          <w:highlight w:val="yellow"/>
          <w14:textFill>
            <w14:solidFill>
              <w14:schemeClr w14:val="tx1"/>
            </w14:solidFill>
          </w14:textFill>
        </w:rPr>
      </w:pPr>
      <w:r>
        <w:rPr>
          <w:rFonts w:hint="eastAsia" w:ascii="仿宋" w:hAnsi="仿宋" w:eastAsia="仿宋" w:cs="仿宋"/>
          <w:b/>
          <w:color w:val="000000" w:themeColor="text1"/>
          <w:sz w:val="24"/>
          <w:szCs w:val="24"/>
          <w:highlight w:val="yellow"/>
          <w14:textFill>
            <w14:solidFill>
              <w14:schemeClr w14:val="tx1"/>
            </w14:solidFill>
          </w14:textFill>
        </w:rPr>
        <w:t>资格文件：</w:t>
      </w:r>
    </w:p>
    <w:p>
      <w:pPr>
        <w:numPr>
          <w:ilvl w:val="0"/>
          <w:numId w:val="7"/>
        </w:num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企业营业执照（原件扫描件）；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2）法定代表人有效身份证明书、法定代表人授权书（格式见第六章）；   </w:t>
      </w:r>
    </w:p>
    <w:p>
      <w:pPr>
        <w:spacing w:line="460" w:lineRule="exact"/>
        <w:ind w:firstLine="480" w:firstLineChars="200"/>
        <w:rPr>
          <w:rFonts w:ascii="仿宋" w:hAnsi="仿宋" w:eastAsia="仿宋" w:cs="仿宋"/>
          <w:color w:val="000000" w:themeColor="text1"/>
          <w:szCs w:val="24"/>
          <w:lang w:val="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3）经当地税务、社保部门出具的投标单位最近一个季度企业纳税情况和社保基金缴纳情况证明文书（</w:t>
      </w:r>
      <w:r>
        <w:rPr>
          <w:rFonts w:hint="eastAsia" w:ascii="仿宋" w:hAnsi="仿宋" w:eastAsia="仿宋" w:cs="仿宋"/>
          <w:color w:val="000000" w:themeColor="text1"/>
          <w:szCs w:val="24"/>
          <w:lang w:val="zh-CN"/>
          <w14:textFill>
            <w14:solidFill>
              <w14:schemeClr w14:val="tx1"/>
            </w14:solidFill>
          </w14:textFill>
        </w:rPr>
        <w:t>税费凭证或者依法缴纳税费或依法免缴税费的证明</w:t>
      </w: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4"/>
          <w:lang w:val="zh-CN"/>
          <w14:textFill>
            <w14:solidFill>
              <w14:schemeClr w14:val="tx1"/>
            </w14:solidFill>
          </w14:textFill>
        </w:rPr>
        <w:t>（原件扫描件）；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4）上年度企业的财务报告（原件扫描件，新成立的公司提供情况说明）；</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5）自招标公告发布之后任意时间的“信用中国”（www.creditchina.gov.cn）、“中国政府采购网”（www.ccgp.gov.cn）供应商信用查询网页截图；（二者缺一不可，网页截图加盖单位公章）；</w:t>
      </w:r>
    </w:p>
    <w:p>
      <w:pPr>
        <w:spacing w:line="460" w:lineRule="exact"/>
        <w:ind w:firstLine="480" w:firstLineChars="200"/>
        <w:rPr>
          <w:rFonts w:hint="eastAsia"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6）信用承诺书（格式见第六章）</w:t>
      </w:r>
      <w:r>
        <w:rPr>
          <w:rFonts w:hint="eastAsia" w:ascii="仿宋" w:hAnsi="仿宋" w:eastAsia="仿宋" w:cs="仿宋"/>
          <w:color w:val="000000" w:themeColor="text1"/>
          <w:szCs w:val="24"/>
          <w:lang w:eastAsia="zh-CN"/>
          <w14:textFill>
            <w14:solidFill>
              <w14:schemeClr w14:val="tx1"/>
            </w14:solidFill>
          </w14:textFill>
        </w:rPr>
        <w:t>；</w:t>
      </w:r>
    </w:p>
    <w:p>
      <w:pPr>
        <w:spacing w:line="46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7</w:t>
      </w:r>
      <w:r>
        <w:rPr>
          <w:rFonts w:hint="eastAsia" w:ascii="仿宋" w:hAnsi="仿宋" w:eastAsia="仿宋" w:cs="仿宋"/>
          <w:color w:val="000000" w:themeColor="text1"/>
          <w:szCs w:val="24"/>
          <w14:textFill>
            <w14:solidFill>
              <w14:schemeClr w14:val="tx1"/>
            </w14:solidFill>
          </w14:textFill>
        </w:rPr>
        <w:t>）中小企业声明函（格式见第六章）。</w:t>
      </w:r>
    </w:p>
    <w:p>
      <w:pPr>
        <w:spacing w:line="460" w:lineRule="exact"/>
        <w:ind w:firstLine="482" w:firstLineChars="200"/>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关于中型、小型、微型企业的认定：</w:t>
      </w:r>
    </w:p>
    <w:p>
      <w:pPr>
        <w:spacing w:line="46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①供应商按照《关于印发中小企业划型标准规定的通知》（工信部联企业【2011】300号）的所属行业规定为中型、小型、微型企业【按《关于印发中小企业划型标准规定的通知》规定提供《中小企业声明函》，不提供不予认可】。</w:t>
      </w:r>
    </w:p>
    <w:p>
      <w:pPr>
        <w:spacing w:line="46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②监狱企业参加投标【提供《监狱企业声明函》及其相关的证明材料，不提供不予认可】，视为小型、微型企业，享受小微企业政策扶持。</w:t>
      </w:r>
    </w:p>
    <w:p>
      <w:pPr>
        <w:spacing w:line="460" w:lineRule="exact"/>
        <w:ind w:firstLine="48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③残疾人福利性单位参加投标【提供《残疾人福利性单位声明函》，不提供不予认可】，视为小型、微型企业，享受小微企业政策扶持。</w:t>
      </w:r>
    </w:p>
    <w:p>
      <w:pPr>
        <w:pStyle w:val="27"/>
        <w:spacing w:line="4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zh-CN"/>
          <w14:textFill>
            <w14:solidFill>
              <w14:schemeClr w14:val="tx1"/>
            </w14:solidFill>
          </w14:textFill>
        </w:rPr>
        <w:t>注：</w:t>
      </w:r>
      <w:r>
        <w:rPr>
          <w:rFonts w:hint="eastAsia" w:ascii="仿宋" w:hAnsi="仿宋" w:eastAsia="仿宋" w:cs="仿宋"/>
          <w:b/>
          <w:color w:val="000000" w:themeColor="text1"/>
          <w:sz w:val="24"/>
          <w:szCs w:val="24"/>
          <w14:textFill>
            <w14:solidFill>
              <w14:schemeClr w14:val="tx1"/>
            </w14:solidFill>
          </w14:textFill>
        </w:rPr>
        <w:t>上述资格文件有一项不提供或不符合要求的，视为资格审查不通过。</w:t>
      </w:r>
    </w:p>
    <w:p>
      <w:pPr>
        <w:snapToGrid w:val="0"/>
        <w:spacing w:line="460" w:lineRule="exact"/>
        <w:ind w:firstLine="472" w:firstLineChars="196"/>
        <w:jc w:val="left"/>
        <w:rPr>
          <w:rFonts w:ascii="仿宋" w:hAnsi="仿宋" w:eastAsia="仿宋" w:cs="仿宋"/>
          <w:b/>
          <w:color w:val="000000" w:themeColor="text1"/>
          <w:szCs w:val="24"/>
          <w:highlight w:val="yellow"/>
          <w14:textFill>
            <w14:solidFill>
              <w14:schemeClr w14:val="tx1"/>
            </w14:solidFill>
          </w14:textFill>
        </w:rPr>
      </w:pPr>
      <w:r>
        <w:rPr>
          <w:rFonts w:hint="eastAsia" w:ascii="仿宋" w:hAnsi="仿宋" w:eastAsia="仿宋" w:cs="仿宋"/>
          <w:b/>
          <w:bCs/>
          <w:color w:val="000000" w:themeColor="text1"/>
          <w:szCs w:val="24"/>
          <w:highlight w:val="yellow"/>
          <w14:textFill>
            <w14:solidFill>
              <w14:schemeClr w14:val="tx1"/>
            </w14:solidFill>
          </w14:textFill>
        </w:rPr>
        <w:t>2、</w:t>
      </w:r>
      <w:r>
        <w:rPr>
          <w:rFonts w:hint="eastAsia" w:ascii="仿宋" w:hAnsi="仿宋" w:eastAsia="仿宋" w:cs="仿宋"/>
          <w:b/>
          <w:color w:val="000000" w:themeColor="text1"/>
          <w:szCs w:val="24"/>
          <w:highlight w:val="yellow"/>
          <w14:textFill>
            <w14:solidFill>
              <w14:schemeClr w14:val="tx1"/>
            </w14:solidFill>
          </w14:textFill>
        </w:rPr>
        <w:t>技术、商务资信文件：</w:t>
      </w:r>
    </w:p>
    <w:p>
      <w:pPr>
        <w:snapToGrid w:val="0"/>
        <w:spacing w:line="460" w:lineRule="exact"/>
        <w:ind w:firstLine="470" w:firstLineChars="196"/>
        <w:jc w:val="left"/>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评分索引表（格式见第六章）；</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szCs w:val="24"/>
          <w14:textFill>
            <w14:solidFill>
              <w14:schemeClr w14:val="tx1"/>
            </w14:solidFill>
          </w14:textFill>
        </w:rPr>
        <w:t>投标声明书（</w:t>
      </w:r>
      <w:r>
        <w:rPr>
          <w:rFonts w:hint="eastAsia" w:ascii="仿宋" w:hAnsi="仿宋" w:eastAsia="仿宋" w:cs="仿宋"/>
          <w:bCs/>
          <w:color w:val="000000" w:themeColor="text1"/>
          <w:szCs w:val="24"/>
          <w14:textFill>
            <w14:solidFill>
              <w14:schemeClr w14:val="tx1"/>
            </w14:solidFill>
          </w14:textFill>
        </w:rPr>
        <w:t>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szCs w:val="24"/>
          <w14:textFill>
            <w14:solidFill>
              <w14:schemeClr w14:val="tx1"/>
            </w14:solidFill>
          </w14:textFill>
        </w:rPr>
        <w:t>供应商基本情况一览表（</w:t>
      </w:r>
      <w:r>
        <w:rPr>
          <w:rFonts w:hint="eastAsia" w:ascii="仿宋" w:hAnsi="仿宋" w:eastAsia="仿宋" w:cs="仿宋"/>
          <w:bCs/>
          <w:color w:val="000000" w:themeColor="text1"/>
          <w:szCs w:val="24"/>
          <w14:textFill>
            <w14:solidFill>
              <w14:schemeClr w14:val="tx1"/>
            </w14:solidFill>
          </w14:textFill>
        </w:rPr>
        <w:t>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3）技术响应表</w:t>
      </w: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bCs/>
          <w:color w:val="000000" w:themeColor="text1"/>
          <w:szCs w:val="24"/>
          <w14:textFill>
            <w14:solidFill>
              <w14:schemeClr w14:val="tx1"/>
            </w14:solidFill>
          </w14:textFill>
        </w:rPr>
        <w:t>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4）项目实施方案</w:t>
      </w:r>
      <w:r>
        <w:rPr>
          <w:rFonts w:hint="eastAsia" w:ascii="仿宋" w:hAnsi="仿宋" w:eastAsia="仿宋" w:cs="仿宋"/>
          <w:color w:val="000000" w:themeColor="text1"/>
          <w:szCs w:val="24"/>
          <w14:textFill>
            <w14:solidFill>
              <w14:schemeClr w14:val="tx1"/>
            </w14:solidFill>
          </w14:textFill>
        </w:rPr>
        <w:t>（格式自拟）</w:t>
      </w:r>
      <w:r>
        <w:rPr>
          <w:rFonts w:hint="eastAsia" w:ascii="仿宋" w:hAnsi="仿宋" w:eastAsia="仿宋" w:cs="仿宋"/>
          <w:color w:val="000000" w:themeColor="text1"/>
          <w14:textFill>
            <w14:solidFill>
              <w14:schemeClr w14:val="tx1"/>
            </w14:solidFill>
          </w14:textFill>
        </w:rPr>
        <w:t>；</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5）项目实施人员一览表（格式见第六章）；</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6）服务承诺（格式自拟）；</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7）企业业绩（格式见第六章）；</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8）企业实力（格式自拟）；</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9）商务响应表（格式见第六章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10）湖州市政府投资建设项目供应商廉洁守信承诺书（</w:t>
      </w:r>
      <w:r>
        <w:rPr>
          <w:rFonts w:hint="eastAsia" w:ascii="仿宋" w:hAnsi="仿宋" w:eastAsia="仿宋" w:cs="仿宋"/>
          <w:bCs/>
          <w:color w:val="000000" w:themeColor="text1"/>
          <w:szCs w:val="24"/>
          <w14:textFill>
            <w14:solidFill>
              <w14:schemeClr w14:val="tx1"/>
            </w14:solidFill>
          </w14:textFill>
        </w:rPr>
        <w:t>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11）采购代理服务费承诺函（</w:t>
      </w:r>
      <w:r>
        <w:rPr>
          <w:rFonts w:hint="eastAsia" w:ascii="仿宋" w:hAnsi="仿宋" w:eastAsia="仿宋" w:cs="仿宋"/>
          <w:bCs/>
          <w:color w:val="000000" w:themeColor="text1"/>
          <w:szCs w:val="24"/>
          <w14:textFill>
            <w14:solidFill>
              <w14:schemeClr w14:val="tx1"/>
            </w14:solidFill>
          </w14:textFill>
        </w:rPr>
        <w:t>格式见第六章</w:t>
      </w:r>
      <w:r>
        <w:rPr>
          <w:rFonts w:hint="eastAsia" w:ascii="仿宋" w:hAnsi="仿宋" w:eastAsia="仿宋" w:cs="仿宋"/>
          <w:color w:val="000000" w:themeColor="text1"/>
          <w:szCs w:val="24"/>
          <w14:textFill>
            <w14:solidFill>
              <w14:schemeClr w14:val="tx1"/>
            </w14:solidFill>
          </w14:textFill>
        </w:rPr>
        <w:t>）；</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12）供应商针对商务与技术文件需要说明的其他文件和说明。</w:t>
      </w:r>
    </w:p>
    <w:p>
      <w:pPr>
        <w:snapToGrid w:val="0"/>
        <w:spacing w:line="460" w:lineRule="exact"/>
        <w:ind w:firstLine="482" w:firstLineChars="200"/>
        <w:jc w:val="left"/>
        <w:rPr>
          <w:rFonts w:ascii="仿宋" w:hAnsi="仿宋" w:eastAsia="仿宋" w:cs="仿宋"/>
          <w:b/>
          <w:color w:val="000000" w:themeColor="text1"/>
          <w:szCs w:val="24"/>
          <w:highlight w:val="yellow"/>
          <w14:textFill>
            <w14:solidFill>
              <w14:schemeClr w14:val="tx1"/>
            </w14:solidFill>
          </w14:textFill>
        </w:rPr>
      </w:pPr>
      <w:r>
        <w:rPr>
          <w:rFonts w:hint="eastAsia" w:ascii="仿宋" w:hAnsi="仿宋" w:eastAsia="仿宋" w:cs="仿宋"/>
          <w:b/>
          <w:color w:val="000000" w:themeColor="text1"/>
          <w:szCs w:val="24"/>
          <w:highlight w:val="yellow"/>
          <w14:textFill>
            <w14:solidFill>
              <w14:schemeClr w14:val="tx1"/>
            </w14:solidFill>
          </w14:textFill>
        </w:rPr>
        <w:t>3、报价文件：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1）投标函（格式见附件）；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2）开标一览表（格式见附件）；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3）投标报价明细表（格式见附件）；</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4</w:t>
      </w:r>
      <w:r>
        <w:rPr>
          <w:rFonts w:hint="eastAsia" w:ascii="仿宋" w:hAnsi="仿宋" w:eastAsia="仿宋" w:cs="仿宋"/>
          <w:color w:val="000000" w:themeColor="text1"/>
          <w:szCs w:val="24"/>
          <w14:textFill>
            <w14:solidFill>
              <w14:schemeClr w14:val="tx1"/>
            </w14:solidFill>
          </w14:textFill>
        </w:rPr>
        <w:t>）供应商针对报价需要说明的其他文件和说明（格式自拟）。</w:t>
      </w:r>
    </w:p>
    <w:p>
      <w:pPr>
        <w:spacing w:line="460" w:lineRule="exact"/>
        <w:ind w:firstLine="241" w:firstLineChars="1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（二）投标文件的语言及计量</w:t>
      </w:r>
    </w:p>
    <w:p>
      <w:pPr>
        <w:snapToGrid w:val="0"/>
        <w:spacing w:line="460" w:lineRule="exact"/>
        <w:ind w:firstLine="482"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snapToGrid w:val="0"/>
        <w:spacing w:line="460" w:lineRule="exact"/>
        <w:ind w:firstLine="482" w:firstLineChars="20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spacing w:line="460" w:lineRule="exact"/>
        <w:ind w:firstLine="361" w:firstLineChars="15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（三）投标报价</w:t>
      </w:r>
    </w:p>
    <w:p>
      <w:pPr>
        <w:spacing w:line="46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1、所有报价均应使用人民币（元）表示；</w:t>
      </w:r>
    </w:p>
    <w:p>
      <w:pPr>
        <w:spacing w:line="46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2、供应商应按拟投标产品的规格型号、数量分别列明单价和总价，不得缺项和漏项；应按招标文件中相关附表格式填写。投标报价为本招标项目全部工作内容的报价；</w:t>
      </w:r>
    </w:p>
    <w:p>
      <w:pPr>
        <w:spacing w:line="460" w:lineRule="exact"/>
        <w:ind w:firstLine="600" w:firstLineChars="250"/>
        <w:rPr>
          <w:rFonts w:ascii="宋体" w:hAnsi="宋体" w:cs="宋体"/>
          <w:color w:val="000000" w:themeColor="text1"/>
          <w14:textFill>
            <w14:solidFill>
              <w14:schemeClr w14:val="tx1"/>
            </w14:solidFill>
          </w14:textFill>
        </w:rPr>
      </w:pPr>
      <w:r>
        <w:rPr>
          <w:rFonts w:hint="eastAsia" w:ascii="仿宋" w:hAnsi="仿宋" w:eastAsia="仿宋" w:cs="仿宋"/>
        </w:rPr>
        <w:t>3、供应商的报价是履行合同的最终价格，</w:t>
      </w:r>
      <w:r>
        <w:rPr>
          <w:rFonts w:hint="eastAsia" w:ascii="仿宋" w:hAnsi="仿宋" w:eastAsia="仿宋" w:cs="仿宋"/>
          <w:kern w:val="2"/>
          <w:szCs w:val="24"/>
        </w:rPr>
        <w:t>包含拟投标服务费用、材料费、人工费、税金、包装及运输、保险、验收、人员培训及交付使用后维保等工作所发生的费用及投标人认为完成本招标文件规定内容所需发生的其它费用。</w:t>
      </w:r>
      <w:r>
        <w:rPr>
          <w:rFonts w:hint="eastAsia" w:ascii="仿宋" w:hAnsi="仿宋" w:eastAsia="仿宋" w:cs="仿宋"/>
          <w:color w:val="000000" w:themeColor="text1"/>
          <w:kern w:val="2"/>
          <w:szCs w:val="24"/>
          <w14:textFill>
            <w14:solidFill>
              <w14:schemeClr w14:val="tx1"/>
            </w14:solidFill>
          </w14:textFill>
        </w:rPr>
        <w:t>包括</w:t>
      </w:r>
      <w:r>
        <w:rPr>
          <w:rFonts w:hint="eastAsia" w:ascii="仿宋" w:hAnsi="仿宋" w:eastAsia="仿宋" w:cs="仿宋"/>
          <w:color w:val="000000" w:themeColor="text1"/>
          <w14:textFill>
            <w14:solidFill>
              <w14:schemeClr w14:val="tx1"/>
            </w14:solidFill>
          </w14:textFill>
        </w:rPr>
        <w:t>政策性文件规定及合同明示或暗示的所有风险、责任、义务等各项应有的费用，凡未列入的，将被视为均已包含在投标总报价中。只允许有一个报价，任何有选择的或有条件的报价将不予接受；</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4、供应商的最终报价由供应商自担全部风险责任，中标后不得以任何理由调整报价或追加任何费用；</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5、供应商所有优惠条件和优惠费用不得降低和影响本采购项目质量；</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6、报价如单价与总价不符时，以单价为准；大写与小写不符时以大写为准；</w:t>
      </w:r>
    </w:p>
    <w:p>
      <w:pPr>
        <w:spacing w:line="46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7、供应商对招标文件里有关投标报价的全部内容应仔细确认，若有个别异议，应在开标前提出修改意见，否则视同全部确认；</w:t>
      </w:r>
    </w:p>
    <w:p>
      <w:pPr>
        <w:snapToGrid w:val="0"/>
        <w:spacing w:line="460" w:lineRule="exact"/>
        <w:ind w:firstLine="480" w:firstLineChars="200"/>
        <w:textAlignment w:val="bottom"/>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8、供应商在填报投标项目报价明细表时必须按照采购需求货物（服务）清单内容逐项报价，不得随意更改序号、货物（服务）名称、单位、数量。否则作无效标处理；</w:t>
      </w:r>
    </w:p>
    <w:p>
      <w:pPr>
        <w:snapToGrid w:val="0"/>
        <w:spacing w:line="460" w:lineRule="exact"/>
        <w:ind w:firstLine="480" w:firstLineChars="200"/>
        <w:textAlignment w:val="bottom"/>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9、供应商在报价中应充分考虑所有可能发生的费用，否则采购人将视报价总价中已包括所有费用。</w:t>
      </w:r>
    </w:p>
    <w:p>
      <w:pPr>
        <w:snapToGrid w:val="0"/>
        <w:spacing w:line="460" w:lineRule="exact"/>
        <w:ind w:firstLine="480" w:firstLineChars="200"/>
        <w:textAlignment w:val="bottom"/>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10、供应商对在合同执行中，除上述费用及招标文件规定的由中标供应商负责的工作范围以外需要采购人协调或提供便利的工作应当在报价文件中说明。</w:t>
      </w:r>
    </w:p>
    <w:p>
      <w:pPr>
        <w:pStyle w:val="6"/>
        <w:numPr>
          <w:ilvl w:val="0"/>
          <w:numId w:val="0"/>
        </w:numPr>
        <w:tabs>
          <w:tab w:val="left" w:pos="454"/>
          <w:tab w:val="left" w:pos="720"/>
          <w:tab w:val="clear" w:pos="360"/>
        </w:tabs>
        <w:snapToGrid w:val="0"/>
        <w:spacing w:beforeLines="50" w:line="460" w:lineRule="exact"/>
        <w:ind w:left="470" w:leftChars="196"/>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（四）投标文件的有效期</w:t>
      </w:r>
    </w:p>
    <w:p>
      <w:pPr>
        <w:pStyle w:val="6"/>
        <w:numPr>
          <w:ilvl w:val="0"/>
          <w:numId w:val="0"/>
        </w:numPr>
        <w:tabs>
          <w:tab w:val="left" w:pos="454"/>
          <w:tab w:val="left" w:pos="720"/>
          <w:tab w:val="clear" w:pos="360"/>
        </w:tabs>
        <w:snapToGrid w:val="0"/>
        <w:spacing w:line="460" w:lineRule="exact"/>
        <w:ind w:firstLine="480" w:firstLineChars="2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1.自投标截止日起</w:t>
      </w:r>
      <w:r>
        <w:rPr>
          <w:rFonts w:hint="eastAsia" w:ascii="仿宋" w:hAnsi="仿宋" w:eastAsia="仿宋" w:cs="仿宋"/>
          <w:color w:val="000000" w:themeColor="text1"/>
          <w:kern w:val="2"/>
          <w:szCs w:val="24"/>
          <w:u w:val="single"/>
          <w14:textFill>
            <w14:solidFill>
              <w14:schemeClr w14:val="tx1"/>
            </w14:solidFill>
          </w14:textFill>
        </w:rPr>
        <w:t>60</w:t>
      </w:r>
      <w:r>
        <w:rPr>
          <w:rFonts w:hint="eastAsia" w:ascii="仿宋" w:hAnsi="仿宋" w:eastAsia="仿宋" w:cs="仿宋"/>
          <w:color w:val="000000" w:themeColor="text1"/>
          <w:kern w:val="2"/>
          <w:szCs w:val="24"/>
          <w14:textFill>
            <w14:solidFill>
              <w14:schemeClr w14:val="tx1"/>
            </w14:solidFill>
          </w14:textFill>
        </w:rPr>
        <w:t>天投标文件应保持有效。有效期不足的投标文件将被拒绝。</w:t>
      </w:r>
    </w:p>
    <w:p>
      <w:pPr>
        <w:pStyle w:val="6"/>
        <w:numPr>
          <w:ilvl w:val="0"/>
          <w:numId w:val="0"/>
        </w:numPr>
        <w:tabs>
          <w:tab w:val="left" w:pos="454"/>
          <w:tab w:val="left" w:pos="720"/>
          <w:tab w:val="clear" w:pos="360"/>
        </w:tabs>
        <w:snapToGrid w:val="0"/>
        <w:spacing w:line="460" w:lineRule="exact"/>
        <w:ind w:firstLine="480" w:firstLineChars="2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2.在特殊情况下，招标人可与供应商协商延长投标书的有效期，这种要求和答复均以书面形式进行。</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3.供应商可拒绝接受延期要求。同意延长有效期的供应商不能修改投标文件。 </w:t>
      </w:r>
    </w:p>
    <w:p>
      <w:pPr>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4.中标人的投标文件自开标之日起至合同履行完毕止均应保持有效。</w:t>
      </w:r>
    </w:p>
    <w:p>
      <w:pPr>
        <w:spacing w:line="460" w:lineRule="exact"/>
        <w:ind w:firstLine="482" w:firstLineChars="20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（五）履约保证金：</w:t>
      </w:r>
    </w:p>
    <w:p>
      <w:pPr>
        <w:spacing w:line="460" w:lineRule="exact"/>
        <w:ind w:firstLine="480" w:firstLineChars="200"/>
        <w:rPr>
          <w:rFonts w:hint="eastAsia" w:ascii="仿宋" w:hAnsi="仿宋" w:eastAsia="仿宋" w:cs="仿宋"/>
          <w:b w:val="0"/>
          <w:bCs/>
          <w:color w:val="000000" w:themeColor="text1"/>
          <w:szCs w:val="24"/>
          <w:lang w:val="en-US" w:eastAsia="zh-CN"/>
          <w14:textFill>
            <w14:solidFill>
              <w14:schemeClr w14:val="tx1"/>
            </w14:solidFill>
          </w14:textFill>
        </w:rPr>
      </w:pPr>
      <w:r>
        <w:rPr>
          <w:rFonts w:hint="eastAsia" w:ascii="仿宋" w:hAnsi="仿宋" w:eastAsia="仿宋" w:cs="仿宋"/>
          <w:b w:val="0"/>
          <w:bCs/>
          <w:color w:val="000000" w:themeColor="text1"/>
          <w:szCs w:val="24"/>
          <w:lang w:val="en-US" w:eastAsia="zh-CN"/>
          <w14:textFill>
            <w14:solidFill>
              <w14:schemeClr w14:val="tx1"/>
            </w14:solidFill>
          </w14:textFill>
        </w:rPr>
        <w:t>无</w:t>
      </w:r>
    </w:p>
    <w:p>
      <w:pPr>
        <w:spacing w:line="460" w:lineRule="exact"/>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w:t>
      </w:r>
      <w:r>
        <w:rPr>
          <w:rFonts w:hint="eastAsia" w:ascii="仿宋" w:hAnsi="仿宋" w:eastAsia="仿宋" w:cs="仿宋"/>
          <w:b/>
          <w:color w:val="000000" w:themeColor="text1"/>
          <w:szCs w:val="24"/>
          <w:lang w:val="en-US" w:eastAsia="zh-CN"/>
          <w14:textFill>
            <w14:solidFill>
              <w14:schemeClr w14:val="tx1"/>
            </w14:solidFill>
          </w14:textFill>
        </w:rPr>
        <w:t>六</w:t>
      </w:r>
      <w:r>
        <w:rPr>
          <w:rFonts w:hint="eastAsia" w:ascii="仿宋" w:hAnsi="仿宋" w:eastAsia="仿宋" w:cs="仿宋"/>
          <w:b/>
          <w:color w:val="000000" w:themeColor="text1"/>
          <w:szCs w:val="24"/>
          <w14:textFill>
            <w14:solidFill>
              <w14:schemeClr w14:val="tx1"/>
            </w14:solidFill>
          </w14:textFill>
        </w:rPr>
        <w:t>）投标文件的签署和份数</w:t>
      </w:r>
    </w:p>
    <w:p>
      <w:pPr>
        <w:spacing w:line="460" w:lineRule="exact"/>
        <w:ind w:firstLine="480" w:firstLineChars="2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本项目通过“政府采购云平台（www.zcygov.cn）”实行在线投标响应（电子投标）。供应商应通过“政采云电子交易客户端”，并按照本招标文件和“政府采购云平台”的要求编制并加密投标文件。</w:t>
      </w:r>
    </w:p>
    <w:p>
      <w:pPr>
        <w:spacing w:line="460" w:lineRule="exact"/>
        <w:ind w:firstLine="480" w:firstLineChars="2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1.投标供应商应当按照本章节“投标文件组成”规定的内容及顺序在“政采云电子交易客户端”编制投标文件。其中《资格文件》和《</w:t>
      </w:r>
      <w:r>
        <w:rPr>
          <w:rFonts w:hint="eastAsia" w:ascii="仿宋" w:hAnsi="仿宋" w:eastAsia="仿宋" w:cs="仿宋"/>
          <w:color w:val="000000" w:themeColor="text1"/>
          <w:szCs w:val="24"/>
          <w14:textFill>
            <w14:solidFill>
              <w14:schemeClr w14:val="tx1"/>
            </w14:solidFill>
          </w14:textFill>
        </w:rPr>
        <w:t>技术、商务资信文件</w:t>
      </w:r>
      <w:r>
        <w:rPr>
          <w:rFonts w:hint="eastAsia" w:ascii="仿宋" w:hAnsi="仿宋" w:eastAsia="仿宋" w:cs="仿宋"/>
          <w:color w:val="000000" w:themeColor="text1"/>
          <w:kern w:val="2"/>
          <w:szCs w:val="24"/>
          <w14:textFill>
            <w14:solidFill>
              <w14:schemeClr w14:val="tx1"/>
            </w14:solidFill>
          </w14:textFill>
        </w:rPr>
        <w:t>》中不得出现本项目投标报价，如因供应商原因提前泄露投标报价，是供应商的责任。</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3.《投标文件》内容不完整、编排混乱导致《投标文件》被误读、漏读或者查找不到相关内容的，是投标供应商的责任。</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4.《投标文件》因字迹潦草或表达不清所引起的后果由投标供应商负责。</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5.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pPr>
        <w:snapToGrid w:val="0"/>
        <w:spacing w:beforeLines="50" w:line="460" w:lineRule="exact"/>
        <w:ind w:firstLine="354" w:firstLineChars="147"/>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w:t>
      </w:r>
      <w:r>
        <w:rPr>
          <w:rFonts w:hint="eastAsia" w:ascii="仿宋" w:hAnsi="仿宋" w:eastAsia="仿宋" w:cs="仿宋"/>
          <w:b/>
          <w:color w:val="000000" w:themeColor="text1"/>
          <w:szCs w:val="24"/>
          <w:lang w:val="en-US" w:eastAsia="zh-CN"/>
          <w14:textFill>
            <w14:solidFill>
              <w14:schemeClr w14:val="tx1"/>
            </w14:solidFill>
          </w14:textFill>
        </w:rPr>
        <w:t>七</w:t>
      </w:r>
      <w:r>
        <w:rPr>
          <w:rFonts w:hint="eastAsia" w:ascii="仿宋" w:hAnsi="仿宋" w:eastAsia="仿宋" w:cs="仿宋"/>
          <w:b/>
          <w:color w:val="000000" w:themeColor="text1"/>
          <w:szCs w:val="24"/>
          <w14:textFill>
            <w14:solidFill>
              <w14:schemeClr w14:val="tx1"/>
            </w14:solidFill>
          </w14:textFill>
        </w:rPr>
        <w:t>）投标文件的签章</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1.《投标文件》应由投标供应商法定代表人或其授权代表签字（或盖章），并加盖投标供应商公章。</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2.参与在线投标时如遇平台技术问题详询400-881-7190。</w:t>
      </w:r>
    </w:p>
    <w:p>
      <w:pPr>
        <w:snapToGrid w:val="0"/>
        <w:spacing w:beforeLines="50" w:line="460" w:lineRule="exact"/>
        <w:ind w:firstLine="354" w:firstLineChars="147"/>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w:t>
      </w:r>
      <w:r>
        <w:rPr>
          <w:rFonts w:hint="eastAsia" w:ascii="仿宋" w:hAnsi="仿宋" w:eastAsia="仿宋" w:cs="仿宋"/>
          <w:b/>
          <w:color w:val="000000" w:themeColor="text1"/>
          <w:szCs w:val="24"/>
          <w:lang w:val="en-US" w:eastAsia="zh-CN"/>
          <w14:textFill>
            <w14:solidFill>
              <w14:schemeClr w14:val="tx1"/>
            </w14:solidFill>
          </w14:textFill>
        </w:rPr>
        <w:t>八</w:t>
      </w:r>
      <w:r>
        <w:rPr>
          <w:rFonts w:hint="eastAsia" w:ascii="仿宋" w:hAnsi="仿宋" w:eastAsia="仿宋" w:cs="仿宋"/>
          <w:b/>
          <w:color w:val="000000" w:themeColor="text1"/>
          <w:szCs w:val="24"/>
          <w14:textFill>
            <w14:solidFill>
              <w14:schemeClr w14:val="tx1"/>
            </w14:solidFill>
          </w14:textFill>
        </w:rPr>
        <w:t>）投标文件的形式</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1.投标文件的形式：见《前附表》；</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2.“电子加密投标文件”：“电子加密投标文件”是指通过“政采云电子交易客户端”完成投标文件编制后生成并加密的数据电文形式的投标文件。</w:t>
      </w:r>
    </w:p>
    <w:p>
      <w:pPr>
        <w:spacing w:line="460" w:lineRule="exact"/>
        <w:ind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pPr>
        <w:spacing w:line="460" w:lineRule="exact"/>
        <w:ind w:firstLine="482"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
          <w:bCs/>
          <w:color w:val="000000" w:themeColor="text1"/>
          <w:kern w:val="2"/>
          <w:szCs w:val="24"/>
          <w14:textFill>
            <w14:solidFill>
              <w14:schemeClr w14:val="tx1"/>
            </w14:solidFill>
          </w14:textFill>
        </w:rPr>
        <w:t>（</w:t>
      </w:r>
      <w:r>
        <w:rPr>
          <w:rFonts w:hint="eastAsia" w:ascii="仿宋" w:hAnsi="仿宋" w:eastAsia="仿宋" w:cs="仿宋"/>
          <w:b/>
          <w:color w:val="000000" w:themeColor="text1"/>
          <w:szCs w:val="24"/>
          <w:lang w:val="en-US" w:eastAsia="zh-CN"/>
          <w14:textFill>
            <w14:solidFill>
              <w14:schemeClr w14:val="tx1"/>
            </w14:solidFill>
          </w14:textFill>
        </w:rPr>
        <w:t>九</w:t>
      </w:r>
      <w:r>
        <w:rPr>
          <w:rFonts w:hint="eastAsia" w:ascii="仿宋" w:hAnsi="仿宋" w:eastAsia="仿宋" w:cs="仿宋"/>
          <w:b/>
          <w:color w:val="000000" w:themeColor="text1"/>
          <w:szCs w:val="24"/>
          <w14:textFill>
            <w14:solidFill>
              <w14:schemeClr w14:val="tx1"/>
            </w14:solidFill>
          </w14:textFill>
        </w:rPr>
        <w:t>）投标文件的份数：</w:t>
      </w:r>
      <w:r>
        <w:rPr>
          <w:rFonts w:hint="eastAsia" w:ascii="仿宋" w:hAnsi="仿宋" w:eastAsia="仿宋" w:cs="仿宋"/>
          <w:bCs/>
          <w:color w:val="000000" w:themeColor="text1"/>
          <w:szCs w:val="24"/>
          <w14:textFill>
            <w14:solidFill>
              <w14:schemeClr w14:val="tx1"/>
            </w14:solidFill>
          </w14:textFill>
        </w:rPr>
        <w:t>见《前附表》。</w:t>
      </w:r>
    </w:p>
    <w:p>
      <w:pPr>
        <w:pStyle w:val="4"/>
        <w:tabs>
          <w:tab w:val="left" w:pos="720"/>
          <w:tab w:val="clear" w:pos="709"/>
        </w:tabs>
        <w:spacing w:before="0" w:line="460" w:lineRule="exact"/>
        <w:ind w:left="0" w:firstLine="482" w:firstLineChars="200"/>
        <w:jc w:val="both"/>
        <w:rPr>
          <w:rFonts w:ascii="仿宋" w:hAnsi="仿宋" w:eastAsia="仿宋" w:cs="仿宋"/>
          <w:b w:val="0"/>
          <w:color w:val="000000" w:themeColor="text1"/>
          <w:kern w:val="2"/>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4"/>
          <w:lang w:val="en-US" w:eastAsia="zh-CN"/>
          <w14:textFill>
            <w14:solidFill>
              <w14:schemeClr w14:val="tx1"/>
            </w14:solidFill>
          </w14:textFill>
        </w:rPr>
        <w:t>十</w:t>
      </w:r>
      <w:r>
        <w:rPr>
          <w:rFonts w:hint="eastAsia" w:ascii="仿宋" w:hAnsi="仿宋" w:eastAsia="仿宋" w:cs="仿宋"/>
          <w:color w:val="000000" w:themeColor="text1"/>
          <w:szCs w:val="24"/>
          <w14:textFill>
            <w14:solidFill>
              <w14:schemeClr w14:val="tx1"/>
            </w14:solidFill>
          </w14:textFill>
        </w:rPr>
        <w:t>）投标文件的上传和递交：</w:t>
      </w:r>
      <w:r>
        <w:rPr>
          <w:rFonts w:hint="eastAsia" w:ascii="仿宋" w:hAnsi="仿宋" w:eastAsia="仿宋" w:cs="仿宋"/>
          <w:b w:val="0"/>
          <w:color w:val="000000" w:themeColor="text1"/>
          <w:kern w:val="2"/>
          <w:szCs w:val="24"/>
          <w14:textFill>
            <w14:solidFill>
              <w14:schemeClr w14:val="tx1"/>
            </w14:solidFill>
          </w14:textFill>
        </w:rPr>
        <w:t>见《前附表》。</w:t>
      </w:r>
    </w:p>
    <w:p>
      <w:pPr>
        <w:pStyle w:val="4"/>
        <w:tabs>
          <w:tab w:val="left" w:pos="720"/>
          <w:tab w:val="clear" w:pos="709"/>
        </w:tabs>
        <w:spacing w:before="0" w:line="460" w:lineRule="exact"/>
        <w:ind w:left="762" w:leftChars="217" w:hanging="241" w:hangingChars="100"/>
        <w:jc w:val="both"/>
        <w:rPr>
          <w:rFonts w:ascii="仿宋" w:hAnsi="仿宋" w:eastAsia="仿宋" w:cs="仿宋"/>
          <w:b w:val="0"/>
          <w:color w:val="000000" w:themeColor="text1"/>
          <w:kern w:val="2"/>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（十</w:t>
      </w:r>
      <w:r>
        <w:rPr>
          <w:rFonts w:hint="eastAsia" w:ascii="仿宋" w:hAnsi="仿宋" w:eastAsia="仿宋" w:cs="仿宋"/>
          <w:color w:val="000000" w:themeColor="text1"/>
          <w:szCs w:val="24"/>
          <w:lang w:val="en-US" w:eastAsia="zh-CN"/>
          <w14:textFill>
            <w14:solidFill>
              <w14:schemeClr w14:val="tx1"/>
            </w14:solidFill>
          </w14:textFill>
        </w:rPr>
        <w:t>一</w:t>
      </w:r>
      <w:r>
        <w:rPr>
          <w:rFonts w:hint="eastAsia" w:ascii="仿宋" w:hAnsi="仿宋" w:eastAsia="仿宋" w:cs="仿宋"/>
          <w:color w:val="000000" w:themeColor="text1"/>
          <w:szCs w:val="24"/>
          <w14:textFill>
            <w14:solidFill>
              <w14:schemeClr w14:val="tx1"/>
            </w14:solidFill>
          </w14:textFill>
        </w:rPr>
        <w:t>）“电子加密投标文件”解密和异常情况处理：</w:t>
      </w:r>
      <w:r>
        <w:rPr>
          <w:rFonts w:hint="eastAsia" w:ascii="仿宋" w:hAnsi="仿宋" w:eastAsia="仿宋" w:cs="仿宋"/>
          <w:b w:val="0"/>
          <w:color w:val="000000" w:themeColor="text1"/>
          <w:kern w:val="2"/>
          <w:szCs w:val="24"/>
          <w14:textFill>
            <w14:solidFill>
              <w14:schemeClr w14:val="tx1"/>
            </w14:solidFill>
          </w14:textFill>
        </w:rPr>
        <w:t>见《前附表》。</w:t>
      </w:r>
    </w:p>
    <w:p>
      <w:pPr>
        <w:pStyle w:val="4"/>
        <w:tabs>
          <w:tab w:val="left" w:pos="720"/>
          <w:tab w:val="clear" w:pos="709"/>
        </w:tabs>
        <w:spacing w:before="0" w:line="460" w:lineRule="exact"/>
        <w:ind w:left="762" w:leftChars="217" w:hanging="241" w:hangingChars="100"/>
        <w:jc w:val="both"/>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（十</w:t>
      </w:r>
      <w:r>
        <w:rPr>
          <w:rFonts w:hint="eastAsia" w:ascii="仿宋" w:hAnsi="仿宋" w:eastAsia="仿宋" w:cs="仿宋"/>
          <w:color w:val="000000" w:themeColor="text1"/>
          <w:szCs w:val="24"/>
          <w:lang w:val="en-US" w:eastAsia="zh-CN"/>
          <w14:textFill>
            <w14:solidFill>
              <w14:schemeClr w14:val="tx1"/>
            </w14:solidFill>
          </w14:textFill>
        </w:rPr>
        <w:t>二</w:t>
      </w:r>
      <w:r>
        <w:rPr>
          <w:rFonts w:hint="eastAsia" w:ascii="仿宋" w:hAnsi="仿宋" w:eastAsia="仿宋" w:cs="仿宋"/>
          <w:color w:val="000000" w:themeColor="text1"/>
          <w:szCs w:val="24"/>
          <w14:textFill>
            <w14:solidFill>
              <w14:schemeClr w14:val="tx1"/>
            </w14:solidFill>
          </w14:textFill>
        </w:rPr>
        <w:t>）投标文件的补充、修改或撤回</w:t>
      </w:r>
    </w:p>
    <w:p>
      <w:pPr>
        <w:spacing w:line="460" w:lineRule="exact"/>
        <w:ind w:firstLine="424" w:firstLineChars="177"/>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4" w:firstLineChars="177"/>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2.投标截止时间后，投标供应商不得撤回、修改《投标文件》。</w:t>
      </w:r>
    </w:p>
    <w:p>
      <w:pPr>
        <w:pStyle w:val="4"/>
        <w:tabs>
          <w:tab w:val="left" w:pos="720"/>
          <w:tab w:val="clear" w:pos="709"/>
        </w:tabs>
        <w:spacing w:before="0" w:line="460" w:lineRule="exact"/>
        <w:ind w:left="762" w:leftChars="217" w:hanging="241" w:hangingChars="100"/>
        <w:jc w:val="both"/>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（十</w:t>
      </w:r>
      <w:r>
        <w:rPr>
          <w:rFonts w:hint="eastAsia" w:ascii="仿宋" w:hAnsi="仿宋" w:eastAsia="仿宋" w:cs="仿宋"/>
          <w:color w:val="000000" w:themeColor="text1"/>
          <w:szCs w:val="24"/>
          <w:lang w:val="en-US" w:eastAsia="zh-CN"/>
          <w14:textFill>
            <w14:solidFill>
              <w14:schemeClr w14:val="tx1"/>
            </w14:solidFill>
          </w14:textFill>
        </w:rPr>
        <w:t>三</w:t>
      </w:r>
      <w:r>
        <w:rPr>
          <w:rFonts w:hint="eastAsia" w:ascii="仿宋" w:hAnsi="仿宋" w:eastAsia="仿宋" w:cs="仿宋"/>
          <w:color w:val="000000" w:themeColor="text1"/>
          <w:szCs w:val="24"/>
          <w14:textFill>
            <w14:solidFill>
              <w14:schemeClr w14:val="tx1"/>
            </w14:solidFill>
          </w14:textFill>
        </w:rPr>
        <w:t>）投标文件的备选方案</w:t>
      </w:r>
    </w:p>
    <w:p>
      <w:pPr>
        <w:spacing w:line="460" w:lineRule="exact"/>
        <w:ind w:firstLine="424" w:firstLineChars="177"/>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投标供应商不得递交任何的投标备选（替代）方案，否则其投标文件将作无效标处理。与“电子加密投标文件”同时生成的“备份投标文件”不是投标备选（替代）方案。</w:t>
      </w:r>
    </w:p>
    <w:p>
      <w:pPr>
        <w:pStyle w:val="4"/>
        <w:tabs>
          <w:tab w:val="left" w:pos="720"/>
          <w:tab w:val="clear" w:pos="709"/>
        </w:tabs>
        <w:spacing w:before="0" w:line="460" w:lineRule="exact"/>
        <w:ind w:left="762" w:leftChars="217" w:hanging="241" w:hangingChars="100"/>
        <w:jc w:val="both"/>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（十</w:t>
      </w:r>
      <w:r>
        <w:rPr>
          <w:rFonts w:hint="eastAsia" w:ascii="仿宋" w:hAnsi="仿宋" w:eastAsia="仿宋" w:cs="仿宋"/>
          <w:color w:val="000000" w:themeColor="text1"/>
          <w:szCs w:val="24"/>
          <w:lang w:val="en-US" w:eastAsia="zh-CN"/>
          <w14:textFill>
            <w14:solidFill>
              <w14:schemeClr w14:val="tx1"/>
            </w14:solidFill>
          </w14:textFill>
        </w:rPr>
        <w:t>四</w:t>
      </w:r>
      <w:r>
        <w:rPr>
          <w:rFonts w:hint="eastAsia" w:ascii="仿宋" w:hAnsi="仿宋" w:eastAsia="仿宋" w:cs="仿宋"/>
          <w:color w:val="000000" w:themeColor="text1"/>
          <w:szCs w:val="24"/>
          <w14:textFill>
            <w14:solidFill>
              <w14:schemeClr w14:val="tx1"/>
            </w14:solidFill>
          </w14:textFill>
        </w:rPr>
        <w:t>）投标无效的情形</w:t>
      </w:r>
    </w:p>
    <w:p>
      <w:pPr>
        <w:spacing w:line="460" w:lineRule="exact"/>
        <w:ind w:firstLine="720" w:firstLineChars="3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实质上没有响应招标文件要求的投标将被视为无效投标。供应商不得通过修正或撤消不合要求的偏离或保留从而使其投标成为实质上响应的投标。</w:t>
      </w:r>
    </w:p>
    <w:p>
      <w:pPr>
        <w:snapToGrid w:val="0"/>
        <w:spacing w:line="460" w:lineRule="exact"/>
        <w:ind w:firstLine="472" w:firstLineChars="196"/>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1.在符合性审查、资格审查和商务评审时，如发现下列情形之一的，投标文件将被视为无效：</w:t>
      </w:r>
    </w:p>
    <w:p>
      <w:pPr>
        <w:pStyle w:val="13"/>
        <w:tabs>
          <w:tab w:val="left" w:pos="0"/>
          <w:tab w:val="left" w:pos="993"/>
          <w:tab w:val="left" w:pos="1134"/>
        </w:tabs>
        <w:snapToGrid w:val="0"/>
        <w:spacing w:line="460" w:lineRule="exact"/>
        <w:ind w:left="480"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（1）资质条件不符合招标文件要求的；</w:t>
      </w:r>
    </w:p>
    <w:p>
      <w:pPr>
        <w:pStyle w:val="13"/>
        <w:tabs>
          <w:tab w:val="left" w:pos="0"/>
          <w:tab w:val="left" w:pos="993"/>
          <w:tab w:val="left" w:pos="1134"/>
        </w:tabs>
        <w:snapToGrid w:val="0"/>
        <w:spacing w:line="460" w:lineRule="exact"/>
        <w:ind w:left="480"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自招标公告发布之日起至投标截止日内，在“信用中国网”(www.creditchina.gov.cn)被列入失信被执行人、重大税收违法当事人名单、政府采购严重违法失信行为记录名单的供应商，资格审查时不予以通过；投标截止前，在“中国政府采购网”(www.ccgp.gov.cn)被列入政府采购严重违法失信行为记录名单中的供应商且在处罚有效期内的供应商，资格审查时不予以通过；</w:t>
      </w:r>
    </w:p>
    <w:p>
      <w:pPr>
        <w:pStyle w:val="13"/>
        <w:tabs>
          <w:tab w:val="left" w:pos="0"/>
          <w:tab w:val="left" w:pos="993"/>
          <w:tab w:val="left" w:pos="1134"/>
        </w:tabs>
        <w:snapToGrid w:val="0"/>
        <w:spacing w:line="460" w:lineRule="exact"/>
        <w:ind w:left="480" w:firstLine="360" w:firstLineChars="15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（3）投标文件无法定代表人签字,或未提供法定代表人有效身份证明书、法定代表人授权委托书、投标声明书或者填写项目不齐全的；</w:t>
      </w:r>
    </w:p>
    <w:p>
      <w:pPr>
        <w:pStyle w:val="13"/>
        <w:tabs>
          <w:tab w:val="left" w:pos="0"/>
          <w:tab w:val="left" w:pos="993"/>
          <w:tab w:val="left" w:pos="1134"/>
        </w:tabs>
        <w:snapToGrid w:val="0"/>
        <w:spacing w:line="460" w:lineRule="exact"/>
        <w:ind w:left="480"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（4）投标代表人未能出具身份证明或与法定代表人授权委托人身份不符的；</w:t>
      </w:r>
    </w:p>
    <w:p>
      <w:pPr>
        <w:pStyle w:val="13"/>
        <w:tabs>
          <w:tab w:val="left" w:pos="0"/>
          <w:tab w:val="left" w:pos="993"/>
          <w:tab w:val="left" w:pos="1134"/>
        </w:tabs>
        <w:snapToGrid w:val="0"/>
        <w:spacing w:line="460" w:lineRule="exact"/>
        <w:ind w:left="480"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（5）投标文件格式不规范、项目不齐全或者内容虚假的；</w:t>
      </w:r>
    </w:p>
    <w:p>
      <w:pPr>
        <w:pStyle w:val="13"/>
        <w:tabs>
          <w:tab w:val="left" w:pos="0"/>
          <w:tab w:val="left" w:pos="993"/>
          <w:tab w:val="left" w:pos="1134"/>
        </w:tabs>
        <w:snapToGrid w:val="0"/>
        <w:spacing w:line="460" w:lineRule="exact"/>
        <w:ind w:left="480" w:firstLine="420" w:firstLineChars="175"/>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（6）投标文件的实质性内容未使用中文表述、意思表述不明确、前后矛盾或者使用计量单位不符合招标文件要求的（经评标委员会认定允许其更正的笔误除外）；</w:t>
      </w:r>
    </w:p>
    <w:p>
      <w:pPr>
        <w:pStyle w:val="13"/>
        <w:tabs>
          <w:tab w:val="left" w:pos="0"/>
          <w:tab w:val="left" w:pos="993"/>
          <w:tab w:val="left" w:pos="1134"/>
        </w:tabs>
        <w:snapToGrid w:val="0"/>
        <w:spacing w:line="460" w:lineRule="exact"/>
        <w:ind w:left="480" w:firstLine="360" w:firstLineChars="15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（7）投标文件的关键内容字迹模糊、无法辨认的,或者投标文件中经修正的内容字迹模糊难以辩认或者修改处未按规定签名盖章的；</w:t>
      </w:r>
    </w:p>
    <w:p>
      <w:pPr>
        <w:pStyle w:val="13"/>
        <w:tabs>
          <w:tab w:val="left" w:pos="0"/>
          <w:tab w:val="left" w:pos="993"/>
          <w:tab w:val="left" w:pos="1134"/>
        </w:tabs>
        <w:snapToGrid w:val="0"/>
        <w:spacing w:line="460" w:lineRule="exact"/>
        <w:ind w:left="480" w:firstLine="360" w:firstLineChars="15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（8）投标有效期、交货时间、质保期等商务条款不能满足招标文件要求的；</w:t>
      </w:r>
    </w:p>
    <w:p>
      <w:pPr>
        <w:pStyle w:val="13"/>
        <w:tabs>
          <w:tab w:val="left" w:pos="0"/>
          <w:tab w:val="left" w:pos="993"/>
          <w:tab w:val="left" w:pos="1134"/>
        </w:tabs>
        <w:snapToGrid w:val="0"/>
        <w:spacing w:line="460" w:lineRule="exact"/>
        <w:ind w:left="480" w:firstLine="360" w:firstLineChars="15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（9）不响应或者擅自改变招标文件要求或者投标文件有招标方不能接受的附加条件的。</w:t>
      </w:r>
    </w:p>
    <w:p>
      <w:pPr>
        <w:pStyle w:val="13"/>
        <w:tabs>
          <w:tab w:val="left" w:pos="0"/>
          <w:tab w:val="left" w:pos="993"/>
          <w:tab w:val="left" w:pos="1134"/>
        </w:tabs>
        <w:snapToGrid w:val="0"/>
        <w:spacing w:line="460" w:lineRule="exact"/>
        <w:ind w:left="480" w:firstLine="472" w:firstLineChars="196"/>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2.在技术评审时，如发现下列情形之一的，投标文件将被视为无效：</w:t>
      </w:r>
    </w:p>
    <w:p>
      <w:pPr>
        <w:pStyle w:val="13"/>
        <w:tabs>
          <w:tab w:val="left" w:pos="0"/>
          <w:tab w:val="left" w:pos="993"/>
          <w:tab w:val="left" w:pos="1134"/>
        </w:tabs>
        <w:snapToGrid w:val="0"/>
        <w:spacing w:line="460" w:lineRule="exact"/>
        <w:ind w:left="480" w:firstLine="470" w:firstLineChars="19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（1）未提供或未如实提供投标货物（服务）的技术参数，或者投标文件标明的响应或偏离与事实不符或虚假投标的；</w:t>
      </w:r>
    </w:p>
    <w:p>
      <w:pPr>
        <w:pStyle w:val="13"/>
        <w:tabs>
          <w:tab w:val="left" w:pos="0"/>
          <w:tab w:val="left" w:pos="993"/>
          <w:tab w:val="left" w:pos="1134"/>
        </w:tabs>
        <w:snapToGrid w:val="0"/>
        <w:spacing w:line="460" w:lineRule="exact"/>
        <w:ind w:left="480" w:firstLine="470" w:firstLineChars="19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（2）明显不符合招标文件标明的规格型号、质量标准，或者招标文件中标“</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”的技术指标、主要功能项目发生实质性偏离的；</w:t>
      </w:r>
    </w:p>
    <w:p>
      <w:pPr>
        <w:pStyle w:val="13"/>
        <w:tabs>
          <w:tab w:val="left" w:pos="0"/>
          <w:tab w:val="left" w:pos="993"/>
          <w:tab w:val="left" w:pos="1134"/>
        </w:tabs>
        <w:snapToGrid w:val="0"/>
        <w:spacing w:line="460" w:lineRule="exact"/>
        <w:ind w:left="480" w:firstLine="470" w:firstLineChars="19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（3）投标技术方案不明确，存在一个或一个以上备选（替代）投标方案的。</w:t>
      </w:r>
    </w:p>
    <w:p>
      <w:pPr>
        <w:pStyle w:val="13"/>
        <w:tabs>
          <w:tab w:val="left" w:pos="0"/>
          <w:tab w:val="left" w:pos="993"/>
          <w:tab w:val="left" w:pos="1134"/>
        </w:tabs>
        <w:snapToGrid w:val="0"/>
        <w:spacing w:line="460" w:lineRule="exact"/>
        <w:ind w:left="480" w:firstLine="472" w:firstLineChars="196"/>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3.在报价评审时，如发现下列情形之一的，投标文件将被视为无效：</w:t>
      </w:r>
    </w:p>
    <w:p>
      <w:pPr>
        <w:pStyle w:val="13"/>
        <w:tabs>
          <w:tab w:val="left" w:pos="0"/>
          <w:tab w:val="left" w:pos="993"/>
          <w:tab w:val="left" w:pos="1134"/>
        </w:tabs>
        <w:snapToGrid w:val="0"/>
        <w:spacing w:line="460" w:lineRule="exact"/>
        <w:ind w:left="480" w:firstLine="470" w:firstLineChars="196"/>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（1）未采用人民币报价或者未按照招标文件标明的币种报价的；</w:t>
      </w:r>
    </w:p>
    <w:p>
      <w:pPr>
        <w:pStyle w:val="13"/>
        <w:tabs>
          <w:tab w:val="left" w:pos="0"/>
          <w:tab w:val="left" w:pos="993"/>
          <w:tab w:val="left" w:pos="1134"/>
        </w:tabs>
        <w:snapToGrid w:val="0"/>
        <w:spacing w:line="460" w:lineRule="exact"/>
        <w:ind w:left="480" w:firstLine="470" w:firstLineChars="19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（2）</w:t>
      </w:r>
      <w:r>
        <w:rPr>
          <w:rFonts w:hint="eastAsia" w:ascii="仿宋" w:hAnsi="仿宋" w:eastAsia="仿宋" w:cs="仿宋"/>
          <w:color w:val="000000" w:themeColor="text1"/>
          <w:szCs w:val="24"/>
          <w14:textFill>
            <w14:solidFill>
              <w14:schemeClr w14:val="tx1"/>
            </w14:solidFill>
          </w14:textFill>
        </w:rPr>
        <w:t>报价超出最高限价</w:t>
      </w:r>
      <w:r>
        <w:rPr>
          <w:rFonts w:hint="eastAsia" w:ascii="仿宋" w:hAnsi="仿宋" w:eastAsia="仿宋" w:cs="仿宋"/>
          <w:b/>
          <w:bCs/>
          <w:color w:val="000000" w:themeColor="text1"/>
          <w:szCs w:val="24"/>
          <w14:textFill>
            <w14:solidFill>
              <w14:schemeClr w14:val="tx1"/>
            </w14:solidFill>
          </w14:textFill>
        </w:rPr>
        <w:t>的</w:t>
      </w:r>
      <w:r>
        <w:rPr>
          <w:rFonts w:hint="eastAsia" w:ascii="仿宋" w:hAnsi="仿宋" w:eastAsia="仿宋" w:cs="仿宋"/>
          <w:color w:val="000000" w:themeColor="text1"/>
          <w:szCs w:val="24"/>
          <w14:textFill>
            <w14:solidFill>
              <w14:schemeClr w14:val="tx1"/>
            </w14:solidFill>
          </w14:textFill>
        </w:rPr>
        <w:t>，或者超出采购预算金额，采购人不能支付的；</w:t>
      </w:r>
    </w:p>
    <w:p>
      <w:pPr>
        <w:pStyle w:val="13"/>
        <w:tabs>
          <w:tab w:val="left" w:pos="0"/>
          <w:tab w:val="left" w:pos="993"/>
          <w:tab w:val="left" w:pos="1134"/>
        </w:tabs>
        <w:snapToGrid w:val="0"/>
        <w:spacing w:line="460" w:lineRule="exact"/>
        <w:ind w:left="480"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（3）投标报价具有选择性，或者开标价格与投标文件承诺的优惠（折扣）价格不一致的。                     </w:t>
      </w:r>
    </w:p>
    <w:p>
      <w:pPr>
        <w:pStyle w:val="13"/>
        <w:tabs>
          <w:tab w:val="left" w:pos="0"/>
          <w:tab w:val="left" w:pos="993"/>
          <w:tab w:val="left" w:pos="1134"/>
        </w:tabs>
        <w:snapToGrid w:val="0"/>
        <w:spacing w:line="460" w:lineRule="exact"/>
        <w:ind w:left="480" w:firstLine="472" w:firstLineChars="196"/>
        <w:rPr>
          <w:rFonts w:ascii="仿宋" w:hAnsi="仿宋" w:eastAsia="仿宋" w:cs="仿宋"/>
          <w:b/>
          <w:bCs/>
          <w:color w:val="000000" w:themeColor="text1"/>
          <w:szCs w:val="24"/>
          <w14:textFill>
            <w14:solidFill>
              <w14:schemeClr w14:val="tx1"/>
            </w14:solidFill>
          </w14:textFill>
        </w:rPr>
      </w:pPr>
      <w:bookmarkStart w:id="7" w:name="_Toc508259967"/>
      <w:r>
        <w:rPr>
          <w:rFonts w:hint="eastAsia" w:ascii="仿宋" w:hAnsi="仿宋" w:eastAsia="仿宋" w:cs="仿宋"/>
          <w:b/>
          <w:bCs/>
          <w:color w:val="000000" w:themeColor="text1"/>
          <w:szCs w:val="24"/>
          <w14:textFill>
            <w14:solidFill>
              <w14:schemeClr w14:val="tx1"/>
            </w14:solidFill>
          </w14:textFill>
        </w:rPr>
        <w:t>4.被拒绝的投标文件为无效。</w:t>
      </w:r>
      <w:bookmarkEnd w:id="7"/>
    </w:p>
    <w:p>
      <w:pPr>
        <w:pStyle w:val="13"/>
        <w:tabs>
          <w:tab w:val="left" w:pos="0"/>
          <w:tab w:val="left" w:pos="993"/>
          <w:tab w:val="left" w:pos="1134"/>
        </w:tabs>
        <w:snapToGrid w:val="0"/>
        <w:spacing w:line="460" w:lineRule="exact"/>
        <w:ind w:left="480"/>
        <w:jc w:val="center"/>
        <w:outlineLvl w:val="1"/>
        <w:rPr>
          <w:rFonts w:ascii="仿宋" w:hAnsi="仿宋" w:eastAsia="仿宋" w:cs="仿宋"/>
          <w:b/>
          <w:color w:val="000000" w:themeColor="text1"/>
          <w:sz w:val="28"/>
          <w:szCs w:val="28"/>
          <w14:textFill>
            <w14:solidFill>
              <w14:schemeClr w14:val="tx1"/>
            </w14:solidFill>
          </w14:textFill>
        </w:rPr>
      </w:pPr>
      <w:bookmarkStart w:id="8" w:name="_Toc508900992"/>
    </w:p>
    <w:p>
      <w:pPr>
        <w:pStyle w:val="13"/>
        <w:tabs>
          <w:tab w:val="left" w:pos="0"/>
          <w:tab w:val="left" w:pos="993"/>
          <w:tab w:val="left" w:pos="1134"/>
        </w:tabs>
        <w:snapToGrid w:val="0"/>
        <w:spacing w:line="460" w:lineRule="exact"/>
        <w:ind w:left="480"/>
        <w:jc w:val="center"/>
        <w:outlineLvl w:val="1"/>
        <w:rPr>
          <w:rFonts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四、开标</w:t>
      </w:r>
      <w:bookmarkEnd w:id="8"/>
    </w:p>
    <w:p>
      <w:pPr>
        <w:pStyle w:val="17"/>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（一）开标准备</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采购组织机构将按照招标文件规定的时间通过“政府采购云平台”组织开标、开启投标文件，所有供应商均应当准时在线参加。</w:t>
      </w:r>
    </w:p>
    <w:p>
      <w:pPr>
        <w:pStyle w:val="17"/>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（二）开标程序</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bookmarkStart w:id="9" w:name="_Toc508900993"/>
      <w:r>
        <w:rPr>
          <w:rFonts w:hint="eastAsia" w:ascii="仿宋" w:hAnsi="仿宋" w:eastAsia="仿宋" w:cs="仿宋"/>
          <w:color w:val="000000" w:themeColor="text1"/>
          <w:szCs w:val="24"/>
          <w14:textFill>
            <w14:solidFill>
              <w14:schemeClr w14:val="tx1"/>
            </w14:solidFill>
          </w14:textFill>
        </w:rPr>
        <w:t>1.开标的准备工作由采购组织机构负责落实；</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7"/>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（三）开标流程</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（2）投标文件解密结束；</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（3）开启投标文件，进入资格审查；</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（4）开启资格审查通过的投标供应商的商务技术文件进入符合性审查、商务技术评审；</w:t>
      </w:r>
    </w:p>
    <w:p>
      <w:pPr>
        <w:spacing w:line="460" w:lineRule="exact"/>
        <w:ind w:firstLine="900" w:firstLineChars="375"/>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1）符合性审查、商务技术评审结束后，公布符合性审查、商务技术评审无效供应商名称及理由；公布经商务技术评审后有效投标供应商的名单，同时公布其商务技术部分得分情况。</w:t>
      </w:r>
    </w:p>
    <w:p>
      <w:pPr>
        <w:spacing w:line="460" w:lineRule="exact"/>
        <w:ind w:firstLine="900" w:firstLineChars="375"/>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2）开启符合性审查、商务技术评审有效投标供应商的《报价文件》，公布开标一览表有关内容，同时当场制作开标记录表，唱标结束后，由评标委员会对报价的合理性、准确性等进行审查核实。</w:t>
      </w:r>
    </w:p>
    <w:p>
      <w:pPr>
        <w:spacing w:line="460" w:lineRule="exact"/>
        <w:ind w:firstLine="900" w:firstLineChars="375"/>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3）公布报价部分得分情况；</w:t>
      </w:r>
    </w:p>
    <w:p>
      <w:pPr>
        <w:spacing w:line="460" w:lineRule="exact"/>
        <w:ind w:firstLine="900" w:firstLineChars="375"/>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4）评审结束后，公布中标（成交）候选供应商名单等。</w:t>
      </w:r>
    </w:p>
    <w:p>
      <w:pPr>
        <w:spacing w:line="460" w:lineRule="exact"/>
        <w:ind w:firstLine="900" w:firstLineChars="375"/>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5）开标结束。</w:t>
      </w:r>
    </w:p>
    <w:p>
      <w:pPr>
        <w:spacing w:line="460" w:lineRule="exact"/>
        <w:ind w:firstLine="665" w:firstLineChars="276"/>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特别说明：如遇“政府采购云平台”电子化开标或评审程序调整的，按调整后程序执行。</w:t>
      </w:r>
    </w:p>
    <w:p>
      <w:pPr>
        <w:pStyle w:val="17"/>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bookmarkStart w:id="10" w:name="_Toc24550037"/>
      <w:bookmarkStart w:id="11" w:name="_Toc33194393"/>
      <w:r>
        <w:rPr>
          <w:rFonts w:hint="eastAsia" w:ascii="仿宋" w:hAnsi="仿宋" w:eastAsia="仿宋" w:cs="仿宋"/>
          <w:b/>
          <w:color w:val="000000" w:themeColor="text1"/>
          <w:sz w:val="24"/>
          <w:szCs w:val="24"/>
          <w14:textFill>
            <w14:solidFill>
              <w14:schemeClr w14:val="tx1"/>
            </w14:solidFill>
          </w14:textFill>
        </w:rPr>
        <w:t>（四）投标供应商资格审查</w:t>
      </w:r>
      <w:bookmarkEnd w:id="10"/>
      <w:bookmarkEnd w:id="11"/>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3.单位负责人为同一人或者存在直接控股、管理关系的不同供应商参加同一合同项下的政府采购活动的，相关投标供应商均作资格无效处理。</w:t>
      </w:r>
    </w:p>
    <w:p>
      <w:pPr>
        <w:spacing w:line="460" w:lineRule="exact"/>
        <w:ind w:firstLine="662" w:firstLineChars="276"/>
        <w:rPr>
          <w:rFonts w:ascii="仿宋" w:hAnsi="仿宋" w:eastAsia="仿宋" w:cs="仿宋"/>
          <w:color w:val="000000" w:themeColor="text1"/>
          <w:szCs w:val="24"/>
          <w14:textFill>
            <w14:solidFill>
              <w14:schemeClr w14:val="tx1"/>
            </w14:solidFill>
          </w14:textFill>
        </w:rPr>
      </w:pPr>
    </w:p>
    <w:p>
      <w:pPr>
        <w:pStyle w:val="13"/>
        <w:tabs>
          <w:tab w:val="left" w:pos="0"/>
          <w:tab w:val="left" w:pos="993"/>
          <w:tab w:val="left" w:pos="1134"/>
        </w:tabs>
        <w:snapToGrid w:val="0"/>
        <w:spacing w:line="460" w:lineRule="exact"/>
        <w:ind w:left="480"/>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五、评标</w:t>
      </w:r>
      <w:bookmarkEnd w:id="9"/>
    </w:p>
    <w:p>
      <w:pPr>
        <w:pStyle w:val="17"/>
        <w:spacing w:line="460" w:lineRule="exact"/>
        <w:ind w:left="788" w:leftChars="228" w:hanging="241" w:hanging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（一）组建评标委员会</w:t>
      </w:r>
    </w:p>
    <w:p>
      <w:pPr>
        <w:pStyle w:val="17"/>
        <w:spacing w:line="460" w:lineRule="exact"/>
        <w:ind w:left="787" w:leftChars="228"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本项目评标委员会由政府采购评审专家4人和采购人代表1人,共5人组成。</w:t>
      </w:r>
    </w:p>
    <w:p>
      <w:pPr>
        <w:pStyle w:val="17"/>
        <w:spacing w:line="460" w:lineRule="exact"/>
        <w:ind w:left="788" w:leftChars="228" w:hanging="241" w:hanging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（二）评标的方式</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本项目采用不公开方式评标，评标的依据为招标文件和投标文件。</w:t>
      </w:r>
    </w:p>
    <w:p>
      <w:pPr>
        <w:pStyle w:val="17"/>
        <w:spacing w:line="460" w:lineRule="exact"/>
        <w:ind w:left="788" w:leftChars="228" w:hanging="241" w:hanging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评标程序</w:t>
      </w:r>
    </w:p>
    <w:p>
      <w:pPr>
        <w:spacing w:line="460" w:lineRule="exact"/>
        <w:ind w:firstLine="424" w:firstLineChars="177"/>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1.对所有通过资格审查的投标供应商的投标文件进行初步审查，审查、评价投标文件是否符合招标文件的商务、技术、服务等实质性要求。</w:t>
      </w:r>
    </w:p>
    <w:p>
      <w:pPr>
        <w:spacing w:line="460" w:lineRule="exact"/>
        <w:ind w:firstLine="424" w:firstLineChars="177"/>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评标委员会应当按照招标文件中规定的评审方法和标准，对符合性审查合格的投标文件进行商务和技术评估，综合比较与评价。评标时，评标委员会各成员将独立对每个供应商的投标文件进行评价，并汇总每个供应商的得分。</w:t>
      </w:r>
    </w:p>
    <w:p>
      <w:pPr>
        <w:spacing w:line="460" w:lineRule="exact"/>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17"/>
        <w:spacing w:line="460" w:lineRule="exact"/>
        <w:ind w:left="788" w:leftChars="228" w:hanging="241" w:hanging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（四）澄清问题的形式</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7"/>
        <w:spacing w:line="460" w:lineRule="exact"/>
        <w:ind w:left="788" w:leftChars="228" w:hanging="241" w:hanging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（五）错误修正</w:t>
      </w:r>
    </w:p>
    <w:p>
      <w:pPr>
        <w:pStyle w:val="17"/>
        <w:spacing w:line="460" w:lineRule="exact"/>
        <w:ind w:left="787" w:leftChars="228"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投标文件如果出现计算或表达上的错误，修正错误的原则如下：</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1.投标文件中开标一览表（报价表）内容与投标文件中相应内容不一致的，以开标一览表（报价表）为准；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2.投标文件的大写金额和小写金额不一致的，以大写金额为准；</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3.单价金额小数点或者百分位有明显错位的，以开标一览表的总价为准，并修改单价；</w:t>
      </w:r>
    </w:p>
    <w:p>
      <w:pPr>
        <w:pStyle w:val="17"/>
        <w:spacing w:line="460" w:lineRule="exact"/>
        <w:ind w:left="787" w:leftChars="228"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4.总价金额与按单价汇总金额不一致的，以单价金额计算结果为准。</w:t>
      </w:r>
    </w:p>
    <w:p>
      <w:pPr>
        <w:pStyle w:val="17"/>
        <w:tabs>
          <w:tab w:val="left" w:pos="630"/>
        </w:tabs>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（六）评标原则和评标办法</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7"/>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2.评标办法。本项目评标办法是</w:t>
      </w:r>
      <w:r>
        <w:rPr>
          <w:rFonts w:hint="eastAsia" w:ascii="仿宋" w:hAnsi="仿宋" w:eastAsia="仿宋" w:cs="仿宋"/>
          <w:color w:val="000000" w:themeColor="text1"/>
          <w:sz w:val="24"/>
          <w:szCs w:val="24"/>
          <w:u w:val="single"/>
          <w14:textFill>
            <w14:solidFill>
              <w14:schemeClr w14:val="tx1"/>
            </w14:solidFill>
          </w14:textFill>
        </w:rPr>
        <w:t>综合评分法</w:t>
      </w:r>
      <w:r>
        <w:rPr>
          <w:rFonts w:hint="eastAsia" w:ascii="仿宋" w:hAnsi="仿宋" w:eastAsia="仿宋" w:cs="仿宋"/>
          <w:color w:val="000000" w:themeColor="text1"/>
          <w:sz w:val="24"/>
          <w:szCs w:val="24"/>
          <w14:textFill>
            <w14:solidFill>
              <w14:schemeClr w14:val="tx1"/>
            </w14:solidFill>
          </w14:textFill>
        </w:rPr>
        <w:t>，具体评标内容及评分标准等详见《第四章：评标办法及评分标准》。</w:t>
      </w:r>
    </w:p>
    <w:p>
      <w:pPr>
        <w:pStyle w:val="17"/>
        <w:tabs>
          <w:tab w:val="left" w:pos="630"/>
        </w:tabs>
        <w:spacing w:line="460" w:lineRule="exact"/>
        <w:ind w:firstLine="472" w:firstLineChars="19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（七）废标</w:t>
      </w:r>
    </w:p>
    <w:p>
      <w:pPr>
        <w:pStyle w:val="13"/>
        <w:snapToGrid w:val="0"/>
        <w:spacing w:line="460" w:lineRule="exact"/>
        <w:ind w:left="0" w:leftChars="0" w:firstLine="480" w:firstLineChars="20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在采购中，出现下列情形之一的，应予废标：</w:t>
      </w:r>
    </w:p>
    <w:p>
      <w:pPr>
        <w:pStyle w:val="13"/>
        <w:snapToGrid w:val="0"/>
        <w:spacing w:line="460" w:lineRule="exact"/>
        <w:ind w:left="48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1.符合专业条件的供应商或者对招标文件作实质响应的供应商不足3家的；</w:t>
      </w:r>
    </w:p>
    <w:p>
      <w:pPr>
        <w:pStyle w:val="13"/>
        <w:snapToGrid w:val="0"/>
        <w:spacing w:line="460" w:lineRule="exact"/>
        <w:ind w:left="48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2.出现影响采购公正的违法、违规行为的；</w:t>
      </w:r>
    </w:p>
    <w:p>
      <w:pPr>
        <w:pStyle w:val="13"/>
        <w:snapToGrid w:val="0"/>
        <w:spacing w:line="460" w:lineRule="exact"/>
        <w:ind w:left="480"/>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3.报价均超过预算，不能支付的；</w:t>
      </w:r>
    </w:p>
    <w:p>
      <w:pPr>
        <w:shd w:val="clear" w:color="auto" w:fill="FFFFFF"/>
        <w:snapToGrid w:val="0"/>
        <w:spacing w:line="460" w:lineRule="exact"/>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 xml:space="preserve">    4.因重大变故，采购任务取消的。</w:t>
      </w:r>
    </w:p>
    <w:p>
      <w:pPr>
        <w:pStyle w:val="4"/>
        <w:tabs>
          <w:tab w:val="left" w:pos="720"/>
          <w:tab w:val="clear" w:pos="709"/>
        </w:tabs>
        <w:spacing w:before="0" w:line="460" w:lineRule="exact"/>
        <w:ind w:left="0" w:firstLine="482" w:firstLineChars="200"/>
        <w:jc w:val="both"/>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（八）可中止电子交易活动的情形</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1、电子交易平台发生故障而无法登录访问的；</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2、电子交易平台应用或数据库出现错误，不能进行正常操作的；</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3、电子交易平台发现严重安全漏洞，有潜在泄密危险的；</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4、病毒发作导致不能进行正常操作的；</w:t>
      </w:r>
    </w:p>
    <w:p>
      <w:pPr>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5、其他无法保证电子交易的公平、公正和安全的情况。</w:t>
      </w:r>
    </w:p>
    <w:p>
      <w:pPr>
        <w:spacing w:line="460" w:lineRule="exact"/>
        <w:ind w:firstLine="424" w:firstLineChars="176"/>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pPr>
        <w:pStyle w:val="17"/>
        <w:spacing w:line="460" w:lineRule="exact"/>
        <w:jc w:val="center"/>
        <w:outlineLvl w:val="1"/>
        <w:rPr>
          <w:rFonts w:ascii="仿宋" w:hAnsi="仿宋" w:eastAsia="仿宋" w:cs="仿宋"/>
          <w:b/>
          <w:color w:val="000000" w:themeColor="text1"/>
          <w:sz w:val="28"/>
          <w:szCs w:val="28"/>
          <w14:textFill>
            <w14:solidFill>
              <w14:schemeClr w14:val="tx1"/>
            </w14:solidFill>
          </w14:textFill>
        </w:rPr>
      </w:pPr>
      <w:bookmarkStart w:id="12" w:name="_Toc508900994"/>
    </w:p>
    <w:p>
      <w:pPr>
        <w:pStyle w:val="17"/>
        <w:spacing w:line="460" w:lineRule="exact"/>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六、定标</w:t>
      </w:r>
      <w:bookmarkEnd w:id="12"/>
    </w:p>
    <w:p>
      <w:pPr>
        <w:pStyle w:val="17"/>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（一）确定中标人。本项目由采购人授权评标委员会直接确定中标人。</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1.采购代理机构在确定之日起2个工作日内在发布招标公告的网站上对中标结果进行公示。</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2.在发布公告的同时，招标采购单位向中标供应商发出中标通知书，中标通知书对采购人和中标供应商具有同等法律效力。</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3.中标通知书发出后，采购人改变中标结果，或者中标供应商放弃中标，应当承担相应的法律责任。</w:t>
      </w:r>
    </w:p>
    <w:p>
      <w:pPr>
        <w:pStyle w:val="17"/>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（二）中标通知书</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1.确定中标供应商后，招标采购单位将以书面形式发出中标通知书，通知中标的供应商其投标被接受。</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2.中标通知书为双方签订合同的依据。</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3.中标供应商应根据中标通知书中规定的时间内，由法定代表人或其授权代理人与采购人签订合同。</w:t>
      </w:r>
    </w:p>
    <w:p>
      <w:pPr>
        <w:snapToGrid w:val="0"/>
        <w:spacing w:line="460" w:lineRule="exact"/>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（三）出现下述情况之一的，采购单位可以与排位在中标人之后第一位的中标候选人签订政府采购合同，以此类推。采购单位也可重新组织招标。</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1、中标人因自身原因放弃中标成交或因不可抗力不能履行合同的；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2、经质疑，采购代理机构审查确认因中标人在本次采购活动中存在违法违规行为或其他原因使质疑成立的。</w:t>
      </w:r>
    </w:p>
    <w:p>
      <w:pPr>
        <w:pStyle w:val="17"/>
        <w:spacing w:line="460" w:lineRule="exact"/>
        <w:jc w:val="center"/>
        <w:outlineLvl w:val="1"/>
        <w:rPr>
          <w:rFonts w:ascii="仿宋" w:hAnsi="仿宋" w:eastAsia="仿宋" w:cs="仿宋"/>
          <w:b/>
          <w:color w:val="000000" w:themeColor="text1"/>
          <w:sz w:val="28"/>
          <w:szCs w:val="28"/>
          <w14:textFill>
            <w14:solidFill>
              <w14:schemeClr w14:val="tx1"/>
            </w14:solidFill>
          </w14:textFill>
        </w:rPr>
      </w:pPr>
      <w:bookmarkStart w:id="13" w:name="_Toc508900995"/>
    </w:p>
    <w:p>
      <w:pPr>
        <w:pStyle w:val="17"/>
        <w:spacing w:line="460" w:lineRule="exact"/>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七、合同授予</w:t>
      </w:r>
      <w:bookmarkEnd w:id="13"/>
    </w:p>
    <w:p>
      <w:pPr>
        <w:snapToGrid w:val="0"/>
        <w:spacing w:line="460" w:lineRule="exact"/>
        <w:ind w:firstLine="472" w:firstLineChars="196"/>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（一）签订合同</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1.采购人与中标人应当在《中标通知书》发出之日起</w:t>
      </w:r>
      <w:r>
        <w:rPr>
          <w:rFonts w:hint="eastAsia" w:ascii="仿宋" w:hAnsi="仿宋" w:eastAsia="仿宋" w:cs="仿宋"/>
          <w:color w:val="000000" w:themeColor="text1"/>
          <w:szCs w:val="24"/>
          <w:u w:val="single"/>
          <w14:textFill>
            <w14:solidFill>
              <w14:schemeClr w14:val="tx1"/>
            </w14:solidFill>
          </w14:textFill>
        </w:rPr>
        <w:t>30</w:t>
      </w:r>
      <w:r>
        <w:rPr>
          <w:rFonts w:hint="eastAsia" w:ascii="仿宋" w:hAnsi="仿宋" w:eastAsia="仿宋" w:cs="仿宋"/>
          <w:color w:val="000000" w:themeColor="text1"/>
          <w:szCs w:val="24"/>
          <w14:textFill>
            <w14:solidFill>
              <w14:schemeClr w14:val="tx1"/>
            </w14:solidFill>
          </w14:textFill>
        </w:rPr>
        <w:t>日内签订政府采购合同。</w:t>
      </w:r>
    </w:p>
    <w:p>
      <w:pPr>
        <w:snapToGrid w:val="0"/>
        <w:spacing w:line="460" w:lineRule="exact"/>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2.中标人拖延、拒签合同的,将被取消中标资格。</w:t>
      </w:r>
    </w:p>
    <w:p>
      <w:pPr>
        <w:snapToGrid w:val="0"/>
        <w:spacing w:line="460" w:lineRule="exact"/>
        <w:ind w:firstLine="472" w:firstLineChars="196"/>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（二）履约保证金</w:t>
      </w:r>
    </w:p>
    <w:p>
      <w:pPr>
        <w:pStyle w:val="17"/>
        <w:spacing w:line="460" w:lineRule="exact"/>
        <w:ind w:firstLine="420" w:firstLineChars="200"/>
        <w:jc w:val="both"/>
        <w:outlineLvl w:val="1"/>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无</w:t>
      </w:r>
    </w:p>
    <w:p>
      <w:pPr>
        <w:pStyle w:val="17"/>
        <w:spacing w:line="460" w:lineRule="exact"/>
        <w:jc w:val="center"/>
        <w:outlineLvl w:val="1"/>
        <w:rPr>
          <w:rFonts w:hint="eastAsia" w:ascii="仿宋" w:hAnsi="仿宋" w:eastAsia="仿宋" w:cs="仿宋"/>
          <w:b/>
          <w:color w:val="000000" w:themeColor="text1"/>
          <w:sz w:val="28"/>
          <w:szCs w:val="28"/>
          <w14:textFill>
            <w14:solidFill>
              <w14:schemeClr w14:val="tx1"/>
            </w14:solidFill>
          </w14:textFill>
        </w:rPr>
      </w:pPr>
    </w:p>
    <w:p>
      <w:pPr>
        <w:pStyle w:val="17"/>
        <w:spacing w:line="460" w:lineRule="exact"/>
        <w:jc w:val="center"/>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八、其他</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1.供应商在提交投标（响应）文件截止时间后撤回投标（响应）文件的；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2.供应商在投标（响应）文件中提交虚假材料的；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3.除因不可抗力或招标文件认可的情形以外，中标供应商不与采购人签订合同的；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4.供应商与采购人、其他供应商或者采购代理机构恶意串通的；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5.中标供应商拒绝缴纳招标代理服务费的；</w:t>
      </w:r>
    </w:p>
    <w:p>
      <w:pPr>
        <w:snapToGrid w:val="0"/>
        <w:spacing w:line="460" w:lineRule="exact"/>
        <w:ind w:firstLine="480" w:firstLineChars="200"/>
        <w:rPr>
          <w:rFonts w:ascii="仿宋" w:hAnsi="仿宋" w:eastAsia="仿宋" w:cs="仿宋"/>
          <w:color w:val="000000" w:themeColor="text1"/>
          <w:szCs w:val="24"/>
          <w14:textFill>
            <w14:solidFill>
              <w14:schemeClr w14:val="tx1"/>
            </w14:solidFill>
          </w14:textFill>
        </w:rPr>
        <w:sectPr>
          <w:headerReference r:id="rId3" w:type="default"/>
          <w:footerReference r:id="rId4" w:type="default"/>
          <w:pgSz w:w="11906" w:h="16838"/>
          <w:pgMar w:top="1474" w:right="1361" w:bottom="1417" w:left="1361" w:header="737" w:footer="737" w:gutter="0"/>
          <w:pgNumType w:fmt="numberInDash"/>
          <w:cols w:space="0" w:num="1"/>
          <w:docGrid w:linePitch="312" w:charSpace="0"/>
        </w:sectPr>
      </w:pPr>
      <w:r>
        <w:rPr>
          <w:rFonts w:hint="eastAsia" w:ascii="仿宋" w:hAnsi="仿宋" w:eastAsia="仿宋" w:cs="仿宋"/>
          <w:color w:val="000000" w:themeColor="text1"/>
          <w:szCs w:val="24"/>
          <w14:textFill>
            <w14:solidFill>
              <w14:schemeClr w14:val="tx1"/>
            </w14:solidFill>
          </w14:textFill>
        </w:rPr>
        <w:t>6.招标文件规定的其他情形。</w:t>
      </w:r>
    </w:p>
    <w:p>
      <w:pPr>
        <w:snapToGrid w:val="0"/>
        <w:spacing w:beforeLines="50" w:afterLines="50" w:line="460" w:lineRule="exact"/>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第四章  评标办法及评分标准</w:t>
      </w:r>
    </w:p>
    <w:p>
      <w:pPr>
        <w:spacing w:beforeLines="50" w:afterLines="50" w:line="440" w:lineRule="exact"/>
        <w:ind w:firstLine="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为公正、公平、科学地选择中标人，根据《中华人民共和国政府采购法》等有关法律法规的规定，并结合本项目的实际，制定本办法。</w:t>
      </w:r>
    </w:p>
    <w:p>
      <w:pPr>
        <w:spacing w:beforeLines="50" w:afterLines="50" w:line="440" w:lineRule="exact"/>
        <w:ind w:firstLine="42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本办法适用于</w:t>
      </w:r>
      <w:r>
        <w:rPr>
          <w:rFonts w:hint="eastAsia" w:ascii="仿宋" w:hAnsi="仿宋" w:eastAsia="仿宋" w:cs="仿宋"/>
          <w:b/>
          <w:bCs/>
          <w:color w:val="000000" w:themeColor="text1"/>
          <w:szCs w:val="24"/>
          <w:u w:val="single"/>
          <w:lang w:val="zh-CN"/>
          <w14:textFill>
            <w14:solidFill>
              <w14:schemeClr w14:val="tx1"/>
            </w14:solidFill>
          </w14:textFill>
        </w:rPr>
        <w:t>湖州市南浔区文化和广电旅游体育局新增维护全民健身路径采购项目</w:t>
      </w:r>
      <w:r>
        <w:rPr>
          <w:rFonts w:hint="eastAsia" w:ascii="仿宋" w:hAnsi="仿宋" w:eastAsia="仿宋" w:cs="仿宋"/>
          <w:bCs/>
          <w:color w:val="000000" w:themeColor="text1"/>
          <w:szCs w:val="24"/>
          <w14:textFill>
            <w14:solidFill>
              <w14:schemeClr w14:val="tx1"/>
            </w14:solidFill>
          </w14:textFill>
        </w:rPr>
        <w:t>的评标。</w:t>
      </w:r>
    </w:p>
    <w:p>
      <w:pPr>
        <w:tabs>
          <w:tab w:val="left" w:pos="3265"/>
        </w:tabs>
        <w:spacing w:beforeLines="50" w:afterLines="50" w:line="440" w:lineRule="exact"/>
        <w:ind w:firstLine="236" w:firstLineChars="98"/>
        <w:rPr>
          <w:rFonts w:ascii="仿宋" w:hAnsi="仿宋" w:eastAsia="仿宋" w:cs="仿宋"/>
          <w:b/>
          <w:szCs w:val="24"/>
        </w:rPr>
      </w:pPr>
      <w:r>
        <w:rPr>
          <w:rFonts w:hint="eastAsia" w:ascii="仿宋" w:hAnsi="仿宋" w:eastAsia="仿宋" w:cs="仿宋"/>
          <w:b/>
          <w:color w:val="000000" w:themeColor="text1"/>
          <w:szCs w:val="24"/>
          <w14:textFill>
            <w14:solidFill>
              <w14:schemeClr w14:val="tx1"/>
            </w14:solidFill>
          </w14:textFill>
        </w:rPr>
        <w:t>一．评标办法及标准</w:t>
      </w:r>
    </w:p>
    <w:p>
      <w:pPr>
        <w:spacing w:beforeLines="50" w:afterLines="50" w:line="440" w:lineRule="exact"/>
        <w:ind w:firstLine="352" w:firstLineChars="147"/>
        <w:rPr>
          <w:rFonts w:ascii="仿宋" w:hAnsi="仿宋" w:eastAsia="仿宋" w:cs="仿宋"/>
          <w:bCs/>
        </w:rPr>
      </w:pPr>
      <w:r>
        <w:rPr>
          <w:rFonts w:hint="eastAsia" w:ascii="仿宋" w:hAnsi="仿宋" w:eastAsia="仿宋" w:cs="仿宋"/>
        </w:rPr>
        <w:t>本次评标采用综合评分法，总分为100分，其中</w:t>
      </w:r>
      <w:r>
        <w:rPr>
          <w:rFonts w:hint="eastAsia" w:ascii="仿宋" w:hAnsi="仿宋" w:eastAsia="仿宋" w:cs="仿宋"/>
          <w:b/>
        </w:rPr>
        <w:t>价格分30分，技术、商务资信分70分。</w:t>
      </w:r>
      <w:r>
        <w:rPr>
          <w:rFonts w:hint="eastAsia" w:ascii="仿宋" w:hAnsi="仿宋" w:eastAsia="仿宋" w:cs="仿宋"/>
          <w:bCs/>
        </w:rPr>
        <w:t>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beforeLines="50" w:afterLines="50" w:line="440" w:lineRule="exact"/>
        <w:ind w:firstLine="480" w:firstLineChars="200"/>
        <w:rPr>
          <w:rFonts w:ascii="仿宋" w:hAnsi="仿宋" w:eastAsia="仿宋" w:cs="仿宋"/>
          <w:szCs w:val="24"/>
        </w:rPr>
      </w:pPr>
      <w:r>
        <w:rPr>
          <w:rFonts w:hint="eastAsia" w:ascii="仿宋" w:hAnsi="仿宋" w:eastAsia="仿宋" w:cs="仿宋"/>
          <w:szCs w:val="24"/>
        </w:rPr>
        <w:t>供应商评标</w:t>
      </w:r>
      <w:r>
        <w:rPr>
          <w:rFonts w:hint="eastAsia" w:ascii="仿宋" w:hAnsi="仿宋" w:eastAsia="仿宋" w:cs="仿宋"/>
          <w:bCs/>
          <w:szCs w:val="24"/>
        </w:rPr>
        <w:t>综合得分=价格分+(技术、商务资信分)</w:t>
      </w:r>
    </w:p>
    <w:p>
      <w:pPr>
        <w:spacing w:beforeLines="50" w:afterLines="50" w:line="440" w:lineRule="exact"/>
        <w:ind w:firstLine="482" w:firstLineChars="200"/>
        <w:rPr>
          <w:rFonts w:ascii="仿宋" w:hAnsi="仿宋" w:eastAsia="仿宋" w:cs="仿宋"/>
          <w:b/>
          <w:szCs w:val="24"/>
        </w:rPr>
      </w:pPr>
      <w:r>
        <w:rPr>
          <w:rFonts w:hint="eastAsia" w:ascii="仿宋" w:hAnsi="仿宋" w:eastAsia="仿宋" w:cs="仿宋"/>
          <w:b/>
          <w:szCs w:val="24"/>
        </w:rPr>
        <w:t>二、评标内容及标准</w:t>
      </w:r>
    </w:p>
    <w:p>
      <w:pPr>
        <w:spacing w:beforeLines="50" w:afterLines="50" w:line="440" w:lineRule="exact"/>
        <w:ind w:firstLine="472" w:firstLineChars="196"/>
        <w:rPr>
          <w:rFonts w:ascii="仿宋" w:hAnsi="仿宋" w:eastAsia="仿宋" w:cs="仿宋"/>
          <w:b/>
          <w:szCs w:val="24"/>
        </w:rPr>
      </w:pPr>
      <w:r>
        <w:rPr>
          <w:rFonts w:hint="eastAsia" w:ascii="仿宋" w:hAnsi="仿宋" w:eastAsia="仿宋" w:cs="仿宋"/>
          <w:b/>
          <w:szCs w:val="24"/>
        </w:rPr>
        <w:t>（1）价格分（30分）</w:t>
      </w:r>
    </w:p>
    <w:p>
      <w:pPr>
        <w:pStyle w:val="13"/>
        <w:tabs>
          <w:tab w:val="left" w:pos="0"/>
          <w:tab w:val="left" w:pos="993"/>
          <w:tab w:val="left" w:pos="1134"/>
        </w:tabs>
        <w:spacing w:beforeLines="50" w:afterLines="50" w:line="440" w:lineRule="exact"/>
        <w:ind w:left="0" w:leftChars="0" w:firstLine="480" w:firstLineChars="200"/>
        <w:rPr>
          <w:rFonts w:ascii="仿宋" w:hAnsi="仿宋" w:eastAsia="仿宋" w:cs="仿宋"/>
          <w:bCs/>
          <w:szCs w:val="24"/>
        </w:rPr>
      </w:pPr>
      <w:r>
        <w:rPr>
          <w:rFonts w:hint="eastAsia" w:ascii="仿宋" w:hAnsi="仿宋" w:eastAsia="仿宋" w:cs="仿宋"/>
          <w:bCs/>
          <w:szCs w:val="24"/>
        </w:rPr>
        <w:t>价格分采用低价优先法计算，取所有有效供应商中投标价格最低的投标报价为评标基准价，其他供应商的价格分按照下列公式计算：</w:t>
      </w:r>
    </w:p>
    <w:p>
      <w:pPr>
        <w:spacing w:beforeLines="50" w:afterLines="50" w:line="440" w:lineRule="exact"/>
        <w:ind w:firstLine="466" w:firstLineChars="200"/>
        <w:rPr>
          <w:rFonts w:ascii="仿宋" w:hAnsi="仿宋" w:eastAsia="仿宋" w:cs="仿宋"/>
          <w:b/>
          <w:spacing w:val="-4"/>
          <w:szCs w:val="24"/>
        </w:rPr>
      </w:pPr>
      <w:r>
        <w:rPr>
          <w:rFonts w:hint="eastAsia" w:ascii="仿宋" w:hAnsi="仿宋" w:eastAsia="仿宋" w:cs="仿宋"/>
          <w:b/>
          <w:spacing w:val="-4"/>
          <w:szCs w:val="24"/>
        </w:rPr>
        <w:t>价格分=（评标基准价/投标报价）×30%×100</w:t>
      </w:r>
    </w:p>
    <w:p>
      <w:pPr>
        <w:spacing w:line="440" w:lineRule="exact"/>
        <w:ind w:firstLine="480" w:firstLineChars="200"/>
        <w:rPr>
          <w:rFonts w:ascii="仿宋" w:hAnsi="仿宋" w:eastAsia="仿宋" w:cs="仿宋"/>
          <w:szCs w:val="24"/>
        </w:rPr>
      </w:pPr>
      <w:r>
        <w:rPr>
          <w:rFonts w:hint="eastAsia" w:ascii="仿宋" w:hAnsi="仿宋" w:eastAsia="仿宋" w:cs="仿宋"/>
          <w:szCs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spacing w:beforeLines="50" w:afterLines="50" w:line="460" w:lineRule="exact"/>
        <w:ind w:firstLine="472" w:firstLineChars="196"/>
        <w:rPr>
          <w:rFonts w:ascii="仿宋" w:hAnsi="仿宋" w:eastAsia="仿宋" w:cs="仿宋"/>
          <w:b/>
          <w:szCs w:val="24"/>
        </w:rPr>
      </w:pPr>
      <w:r>
        <w:rPr>
          <w:rFonts w:hint="eastAsia" w:ascii="仿宋" w:hAnsi="仿宋" w:eastAsia="仿宋" w:cs="仿宋"/>
          <w:b/>
          <w:szCs w:val="24"/>
        </w:rPr>
        <w:t>（2）技术、商务资信分（70分）</w:t>
      </w:r>
    </w:p>
    <w:p>
      <w:pPr>
        <w:spacing w:beforeLines="50" w:afterLines="50" w:line="460" w:lineRule="exact"/>
        <w:ind w:firstLine="480" w:firstLineChars="200"/>
        <w:rPr>
          <w:rFonts w:ascii="仿宋" w:hAnsi="仿宋" w:eastAsia="仿宋" w:cs="仿宋"/>
          <w:szCs w:val="24"/>
        </w:rPr>
      </w:pPr>
      <w:r>
        <w:rPr>
          <w:rFonts w:hint="eastAsia" w:ascii="仿宋" w:hAnsi="仿宋" w:eastAsia="仿宋" w:cs="仿宋"/>
          <w:szCs w:val="24"/>
        </w:rPr>
        <w:t>按照评标委员会成员的独立评分结果汇总数的算术平均分计算，计算公式为：</w:t>
      </w:r>
    </w:p>
    <w:p>
      <w:pPr>
        <w:spacing w:line="460" w:lineRule="exact"/>
        <w:ind w:firstLine="482" w:firstLineChars="200"/>
        <w:rPr>
          <w:rFonts w:ascii="仿宋" w:hAnsi="仿宋" w:eastAsia="仿宋" w:cs="仿宋"/>
          <w:szCs w:val="24"/>
        </w:rPr>
      </w:pPr>
      <w:r>
        <w:rPr>
          <w:rFonts w:hint="eastAsia" w:ascii="仿宋" w:hAnsi="仿宋" w:eastAsia="仿宋" w:cs="仿宋"/>
          <w:b/>
          <w:szCs w:val="24"/>
        </w:rPr>
        <w:t>技术、商务资信分</w:t>
      </w:r>
      <w:r>
        <w:rPr>
          <w:rFonts w:hint="eastAsia" w:ascii="仿宋" w:hAnsi="仿宋" w:eastAsia="仿宋" w:cs="仿宋"/>
          <w:szCs w:val="24"/>
        </w:rPr>
        <w:t>=评标委员会所有成员评分合计数/评标委员会组成人员数</w:t>
      </w:r>
    </w:p>
    <w:p>
      <w:pPr>
        <w:tabs>
          <w:tab w:val="left" w:pos="1154"/>
        </w:tabs>
        <w:spacing w:line="440" w:lineRule="exact"/>
        <w:rPr>
          <w:rFonts w:ascii="仿宋" w:hAnsi="仿宋" w:eastAsia="仿宋" w:cs="仿宋"/>
          <w:b/>
        </w:rPr>
      </w:pPr>
    </w:p>
    <w:p>
      <w:pPr>
        <w:tabs>
          <w:tab w:val="left" w:pos="1154"/>
        </w:tabs>
        <w:spacing w:line="440" w:lineRule="exact"/>
        <w:rPr>
          <w:rFonts w:ascii="仿宋" w:hAnsi="仿宋" w:eastAsia="仿宋" w:cs="仿宋"/>
          <w:b/>
        </w:rPr>
      </w:pPr>
      <w:r>
        <w:rPr>
          <w:rFonts w:hint="eastAsia" w:ascii="仿宋" w:hAnsi="仿宋" w:eastAsia="仿宋" w:cs="仿宋"/>
          <w:b/>
        </w:rPr>
        <w:t>附件：评分表格式（技术、商务资信分，共70分）</w:t>
      </w:r>
    </w:p>
    <w:tbl>
      <w:tblPr>
        <w:tblStyle w:val="3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10"/>
        <w:gridCol w:w="670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Align w:val="center"/>
          </w:tcPr>
          <w:p>
            <w:pPr>
              <w:jc w:val="center"/>
              <w:rPr>
                <w:rFonts w:ascii="仿宋" w:hAnsi="仿宋" w:eastAsia="仿宋" w:cs="仿宋"/>
                <w:b/>
                <w:bCs/>
                <w:szCs w:val="24"/>
              </w:rPr>
            </w:pPr>
            <w:r>
              <w:rPr>
                <w:rFonts w:hint="eastAsia" w:ascii="仿宋" w:hAnsi="仿宋" w:eastAsia="仿宋" w:cs="仿宋"/>
                <w:b/>
                <w:bCs/>
                <w:szCs w:val="24"/>
              </w:rPr>
              <w:t>序号</w:t>
            </w:r>
          </w:p>
        </w:tc>
        <w:tc>
          <w:tcPr>
            <w:tcW w:w="1310" w:type="dxa"/>
            <w:vAlign w:val="center"/>
          </w:tcPr>
          <w:p>
            <w:pPr>
              <w:jc w:val="center"/>
              <w:rPr>
                <w:rFonts w:ascii="仿宋" w:hAnsi="仿宋" w:eastAsia="仿宋" w:cs="仿宋"/>
                <w:b/>
                <w:bCs/>
                <w:szCs w:val="24"/>
              </w:rPr>
            </w:pPr>
            <w:r>
              <w:rPr>
                <w:rFonts w:hint="eastAsia" w:ascii="仿宋" w:hAnsi="仿宋" w:eastAsia="仿宋" w:cs="仿宋"/>
                <w:b/>
                <w:bCs/>
                <w:szCs w:val="24"/>
              </w:rPr>
              <w:t>评审内容</w:t>
            </w:r>
          </w:p>
        </w:tc>
        <w:tc>
          <w:tcPr>
            <w:tcW w:w="6702" w:type="dxa"/>
            <w:vAlign w:val="center"/>
          </w:tcPr>
          <w:p>
            <w:pPr>
              <w:jc w:val="center"/>
              <w:rPr>
                <w:rFonts w:ascii="仿宋" w:hAnsi="仿宋" w:eastAsia="仿宋" w:cs="仿宋"/>
                <w:b/>
                <w:bCs/>
                <w:szCs w:val="24"/>
              </w:rPr>
            </w:pPr>
            <w:r>
              <w:rPr>
                <w:rFonts w:hint="eastAsia" w:ascii="仿宋" w:hAnsi="仿宋" w:eastAsia="仿宋" w:cs="仿宋"/>
                <w:b/>
                <w:bCs/>
                <w:szCs w:val="24"/>
              </w:rPr>
              <w:t>评分标准</w:t>
            </w:r>
          </w:p>
        </w:tc>
        <w:tc>
          <w:tcPr>
            <w:tcW w:w="960" w:type="dxa"/>
            <w:vAlign w:val="center"/>
          </w:tcPr>
          <w:p>
            <w:pPr>
              <w:jc w:val="center"/>
              <w:rPr>
                <w:rFonts w:ascii="仿宋" w:hAnsi="仿宋" w:eastAsia="仿宋" w:cs="仿宋"/>
                <w:b/>
                <w:bCs/>
                <w:szCs w:val="24"/>
              </w:rPr>
            </w:pPr>
            <w:r>
              <w:rPr>
                <w:rFonts w:hint="eastAsia" w:ascii="仿宋" w:hAnsi="仿宋" w:eastAsia="仿宋" w:cs="仿宋"/>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5" w:type="dxa"/>
            <w:vAlign w:val="center"/>
          </w:tcPr>
          <w:p>
            <w:pPr>
              <w:jc w:val="center"/>
              <w:rPr>
                <w:rFonts w:ascii="仿宋" w:hAnsi="仿宋" w:eastAsia="仿宋" w:cs="仿宋"/>
                <w:b/>
                <w:bCs/>
                <w:szCs w:val="24"/>
              </w:rPr>
            </w:pPr>
            <w:r>
              <w:rPr>
                <w:rFonts w:hint="eastAsia" w:ascii="仿宋" w:hAnsi="仿宋" w:eastAsia="仿宋" w:cs="仿宋"/>
                <w:b/>
                <w:bCs/>
                <w:szCs w:val="24"/>
              </w:rPr>
              <w:t>一</w:t>
            </w:r>
          </w:p>
        </w:tc>
        <w:tc>
          <w:tcPr>
            <w:tcW w:w="8972" w:type="dxa"/>
            <w:gridSpan w:val="3"/>
            <w:vAlign w:val="center"/>
          </w:tcPr>
          <w:p>
            <w:pPr>
              <w:jc w:val="center"/>
              <w:rPr>
                <w:rFonts w:ascii="仿宋" w:hAnsi="仿宋" w:eastAsia="仿宋" w:cs="仿宋"/>
                <w:b/>
                <w:bCs/>
                <w:szCs w:val="24"/>
              </w:rPr>
            </w:pPr>
            <w:r>
              <w:rPr>
                <w:rFonts w:hint="eastAsia" w:ascii="仿宋" w:hAnsi="仿宋" w:eastAsia="仿宋" w:cs="仿宋"/>
                <w:b/>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55" w:type="dxa"/>
            <w:vAlign w:val="center"/>
          </w:tcPr>
          <w:p>
            <w:pPr>
              <w:jc w:val="center"/>
              <w:rPr>
                <w:rFonts w:ascii="仿宋" w:hAnsi="仿宋" w:eastAsia="仿宋" w:cs="仿宋"/>
                <w:szCs w:val="24"/>
              </w:rPr>
            </w:pPr>
            <w:r>
              <w:rPr>
                <w:rFonts w:hint="eastAsia" w:ascii="仿宋" w:hAnsi="仿宋" w:eastAsia="仿宋" w:cs="仿宋"/>
                <w:szCs w:val="24"/>
              </w:rPr>
              <w:t>1</w:t>
            </w:r>
          </w:p>
        </w:tc>
        <w:tc>
          <w:tcPr>
            <w:tcW w:w="1310" w:type="dxa"/>
            <w:vAlign w:val="center"/>
          </w:tcPr>
          <w:p>
            <w:pPr>
              <w:jc w:val="center"/>
              <w:rPr>
                <w:rFonts w:ascii="仿宋" w:hAnsi="仿宋" w:eastAsia="仿宋" w:cs="仿宋"/>
                <w:szCs w:val="24"/>
              </w:rPr>
            </w:pPr>
            <w:r>
              <w:rPr>
                <w:rFonts w:hint="eastAsia" w:ascii="仿宋" w:hAnsi="仿宋" w:eastAsia="仿宋" w:cs="仿宋"/>
                <w:szCs w:val="24"/>
              </w:rPr>
              <w:t>货物技术响应</w:t>
            </w:r>
          </w:p>
        </w:tc>
        <w:tc>
          <w:tcPr>
            <w:tcW w:w="6702" w:type="dxa"/>
            <w:vAlign w:val="center"/>
          </w:tcPr>
          <w:p>
            <w:pPr>
              <w:spacing w:line="288" w:lineRule="auto"/>
              <w:rPr>
                <w:rFonts w:ascii="仿宋" w:hAnsi="仿宋" w:eastAsia="仿宋" w:cs="仿宋"/>
                <w:color w:val="0000FF"/>
                <w:szCs w:val="24"/>
              </w:rPr>
            </w:pPr>
            <w:r>
              <w:rPr>
                <w:rFonts w:hint="eastAsia" w:ascii="仿宋" w:hAnsi="仿宋" w:eastAsia="仿宋" w:cs="仿宋"/>
                <w:szCs w:val="24"/>
              </w:rPr>
              <w:t>1、完全满足招标文件要求的整体性能、技术参数、技术规格、技术规范和技术要求的，</w:t>
            </w:r>
            <w:r>
              <w:rPr>
                <w:rFonts w:hint="eastAsia" w:ascii="仿宋" w:hAnsi="仿宋" w:eastAsia="仿宋" w:cs="仿宋"/>
                <w:color w:val="auto"/>
                <w:szCs w:val="24"/>
              </w:rPr>
              <w:t>得</w:t>
            </w:r>
            <w:r>
              <w:rPr>
                <w:rFonts w:hint="eastAsia" w:ascii="仿宋" w:hAnsi="仿宋" w:eastAsia="仿宋" w:cs="仿宋"/>
                <w:color w:val="auto"/>
                <w:szCs w:val="24"/>
                <w:lang w:val="en-US" w:eastAsia="zh-CN"/>
              </w:rPr>
              <w:t>30</w:t>
            </w:r>
            <w:r>
              <w:rPr>
                <w:rFonts w:hint="eastAsia" w:ascii="仿宋" w:hAnsi="仿宋" w:eastAsia="仿宋" w:cs="仿宋"/>
                <w:color w:val="auto"/>
                <w:szCs w:val="24"/>
              </w:rPr>
              <w:t>分；</w:t>
            </w:r>
          </w:p>
          <w:p>
            <w:pPr>
              <w:spacing w:line="288" w:lineRule="auto"/>
              <w:rPr>
                <w:rFonts w:ascii="仿宋" w:hAnsi="仿宋" w:eastAsia="仿宋" w:cs="仿宋"/>
                <w:szCs w:val="24"/>
              </w:rPr>
            </w:pPr>
            <w:r>
              <w:rPr>
                <w:rFonts w:hint="eastAsia" w:ascii="仿宋" w:hAnsi="仿宋" w:eastAsia="仿宋" w:cs="仿宋"/>
                <w:szCs w:val="24"/>
              </w:rPr>
              <w:t>2、低于招标文件要求的整体性能、技术参数、技术规格、技术规范和技术要求的，每低于一项扣3分，扣完为止。</w:t>
            </w:r>
          </w:p>
        </w:tc>
        <w:tc>
          <w:tcPr>
            <w:tcW w:w="960" w:type="dxa"/>
            <w:vAlign w:val="center"/>
          </w:tcPr>
          <w:p>
            <w:pPr>
              <w:rPr>
                <w:rFonts w:ascii="仿宋" w:hAnsi="仿宋" w:eastAsia="仿宋" w:cs="仿宋"/>
                <w:szCs w:val="24"/>
              </w:rPr>
            </w:pPr>
            <w:r>
              <w:rPr>
                <w:rFonts w:hint="eastAsia" w:ascii="仿宋" w:hAnsi="仿宋" w:eastAsia="仿宋" w:cs="仿宋"/>
                <w:color w:val="auto"/>
                <w:szCs w:val="24"/>
              </w:rPr>
              <w:t>0-</w:t>
            </w:r>
            <w:r>
              <w:rPr>
                <w:rFonts w:hint="eastAsia" w:ascii="仿宋" w:hAnsi="仿宋" w:eastAsia="仿宋" w:cs="仿宋"/>
                <w:color w:val="auto"/>
                <w:szCs w:val="24"/>
                <w:lang w:val="en-US" w:eastAsia="zh-CN"/>
              </w:rPr>
              <w:t>30</w:t>
            </w:r>
            <w:r>
              <w:rPr>
                <w:rFonts w:hint="eastAsia" w:ascii="仿宋" w:hAnsi="仿宋" w:eastAsia="仿宋" w:cs="仿宋"/>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855" w:type="dxa"/>
            <w:vAlign w:val="center"/>
          </w:tcPr>
          <w:p>
            <w:pPr>
              <w:jc w:val="center"/>
              <w:rPr>
                <w:rFonts w:ascii="仿宋" w:hAnsi="仿宋" w:eastAsia="仿宋" w:cs="仿宋"/>
                <w:szCs w:val="24"/>
              </w:rPr>
            </w:pPr>
            <w:r>
              <w:rPr>
                <w:rFonts w:hint="eastAsia" w:ascii="仿宋" w:hAnsi="仿宋" w:eastAsia="仿宋" w:cs="仿宋"/>
                <w:szCs w:val="24"/>
              </w:rPr>
              <w:t>2</w:t>
            </w:r>
          </w:p>
        </w:tc>
        <w:tc>
          <w:tcPr>
            <w:tcW w:w="1310" w:type="dxa"/>
            <w:vAlign w:val="center"/>
          </w:tcPr>
          <w:p>
            <w:pPr>
              <w:jc w:val="center"/>
              <w:rPr>
                <w:rFonts w:ascii="仿宋" w:hAnsi="仿宋" w:eastAsia="仿宋" w:cs="仿宋"/>
                <w:szCs w:val="24"/>
              </w:rPr>
            </w:pPr>
            <w:r>
              <w:rPr>
                <w:rFonts w:hint="eastAsia" w:ascii="仿宋" w:hAnsi="仿宋" w:eastAsia="仿宋" w:cs="仿宋"/>
                <w:szCs w:val="24"/>
              </w:rPr>
              <w:t>项目方案</w:t>
            </w:r>
          </w:p>
        </w:tc>
        <w:tc>
          <w:tcPr>
            <w:tcW w:w="6702" w:type="dxa"/>
            <w:vAlign w:val="center"/>
          </w:tcPr>
          <w:p>
            <w:pPr>
              <w:spacing w:line="288" w:lineRule="auto"/>
              <w:rPr>
                <w:rFonts w:ascii="仿宋" w:hAnsi="仿宋" w:eastAsia="仿宋" w:cs="仿宋"/>
                <w:szCs w:val="24"/>
              </w:rPr>
            </w:pPr>
            <w:r>
              <w:rPr>
                <w:rFonts w:hint="eastAsia" w:ascii="仿宋" w:hAnsi="仿宋" w:eastAsia="仿宋" w:cs="仿宋"/>
                <w:szCs w:val="24"/>
              </w:rPr>
              <w:t>1、保证供货期的方案和措施 ：</w:t>
            </w:r>
          </w:p>
          <w:p>
            <w:pPr>
              <w:spacing w:line="288" w:lineRule="auto"/>
              <w:rPr>
                <w:rFonts w:ascii="仿宋" w:hAnsi="仿宋" w:eastAsia="仿宋" w:cs="仿宋"/>
                <w:szCs w:val="24"/>
              </w:rPr>
            </w:pPr>
            <w:r>
              <w:rPr>
                <w:rFonts w:hint="eastAsia" w:ascii="仿宋" w:hAnsi="仿宋" w:eastAsia="仿宋" w:cs="仿宋"/>
                <w:szCs w:val="24"/>
              </w:rPr>
              <w:t>结合自身进行细节优化，明确项目交货期和各阶段的分工安排。方案内容是否具体详尽，阶段安排是否合理，整体统筹是否科学：0-5分。</w:t>
            </w:r>
          </w:p>
          <w:p>
            <w:pPr>
              <w:spacing w:line="288" w:lineRule="auto"/>
              <w:rPr>
                <w:rFonts w:ascii="仿宋" w:hAnsi="仿宋" w:eastAsia="仿宋" w:cs="仿宋"/>
                <w:szCs w:val="24"/>
              </w:rPr>
            </w:pPr>
            <w:r>
              <w:rPr>
                <w:rFonts w:hint="eastAsia" w:ascii="仿宋" w:hAnsi="仿宋" w:eastAsia="仿宋" w:cs="仿宋"/>
                <w:szCs w:val="24"/>
              </w:rPr>
              <w:t>2、安装、调试、验收的方案和措施：</w:t>
            </w:r>
          </w:p>
          <w:p>
            <w:pPr>
              <w:spacing w:line="288" w:lineRule="auto"/>
              <w:rPr>
                <w:rFonts w:ascii="仿宋" w:hAnsi="仿宋" w:eastAsia="仿宋" w:cs="仿宋"/>
                <w:szCs w:val="24"/>
              </w:rPr>
            </w:pPr>
            <w:r>
              <w:rPr>
                <w:rFonts w:hint="eastAsia" w:ascii="仿宋" w:hAnsi="仿宋" w:eastAsia="仿宋" w:cs="仿宋"/>
                <w:szCs w:val="24"/>
              </w:rPr>
              <w:t>整体方案安排是否主次分明、措施全面，各阶段的方案和措施是否能结合本项目特点、切实可行：0-5分。</w:t>
            </w:r>
          </w:p>
          <w:p>
            <w:pPr>
              <w:spacing w:line="288" w:lineRule="auto"/>
              <w:rPr>
                <w:rFonts w:ascii="仿宋" w:hAnsi="仿宋" w:eastAsia="仿宋" w:cs="仿宋"/>
                <w:szCs w:val="24"/>
              </w:rPr>
            </w:pPr>
            <w:r>
              <w:rPr>
                <w:rFonts w:hint="eastAsia" w:ascii="仿宋" w:hAnsi="仿宋" w:eastAsia="仿宋" w:cs="仿宋"/>
                <w:szCs w:val="24"/>
              </w:rPr>
              <w:t>3、确保供应货物质量的设施及措施：</w:t>
            </w:r>
          </w:p>
          <w:p>
            <w:pPr>
              <w:spacing w:line="288" w:lineRule="auto"/>
              <w:rPr>
                <w:rFonts w:ascii="仿宋" w:hAnsi="仿宋" w:eastAsia="仿宋" w:cs="仿宋"/>
                <w:szCs w:val="24"/>
              </w:rPr>
            </w:pPr>
            <w:r>
              <w:rPr>
                <w:rFonts w:hint="eastAsia" w:ascii="仿宋" w:hAnsi="仿宋" w:eastAsia="仿宋" w:cs="仿宋"/>
                <w:szCs w:val="24"/>
              </w:rPr>
              <w:t>根据项目采购内容，是否有严密的质量监控措施和先进的质量检测设施：0-5分。</w:t>
            </w:r>
          </w:p>
        </w:tc>
        <w:tc>
          <w:tcPr>
            <w:tcW w:w="960" w:type="dxa"/>
            <w:vAlign w:val="center"/>
          </w:tcPr>
          <w:p>
            <w:pPr>
              <w:rPr>
                <w:rFonts w:ascii="仿宋" w:hAnsi="仿宋" w:eastAsia="仿宋" w:cs="仿宋"/>
                <w:color w:val="auto"/>
                <w:szCs w:val="24"/>
              </w:rPr>
            </w:pPr>
            <w:r>
              <w:rPr>
                <w:rFonts w:hint="eastAsia" w:ascii="仿宋" w:hAnsi="仿宋" w:eastAsia="仿宋" w:cs="仿宋"/>
                <w:color w:val="auto"/>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5" w:type="dxa"/>
            <w:vAlign w:val="center"/>
          </w:tcPr>
          <w:p>
            <w:pPr>
              <w:jc w:val="center"/>
              <w:rPr>
                <w:rFonts w:ascii="仿宋" w:hAnsi="仿宋" w:eastAsia="仿宋" w:cs="仿宋"/>
                <w:szCs w:val="24"/>
              </w:rPr>
            </w:pPr>
            <w:r>
              <w:rPr>
                <w:rFonts w:hint="eastAsia" w:ascii="仿宋" w:hAnsi="仿宋" w:eastAsia="仿宋" w:cs="仿宋"/>
                <w:szCs w:val="24"/>
              </w:rPr>
              <w:t>二</w:t>
            </w:r>
          </w:p>
        </w:tc>
        <w:tc>
          <w:tcPr>
            <w:tcW w:w="8972" w:type="dxa"/>
            <w:gridSpan w:val="3"/>
            <w:vAlign w:val="center"/>
          </w:tcPr>
          <w:p>
            <w:pPr>
              <w:jc w:val="center"/>
              <w:rPr>
                <w:rFonts w:ascii="仿宋" w:hAnsi="仿宋" w:eastAsia="仿宋" w:cs="仿宋"/>
                <w:szCs w:val="24"/>
              </w:rPr>
            </w:pPr>
            <w:r>
              <w:rPr>
                <w:rFonts w:hint="eastAsia" w:ascii="仿宋" w:hAnsi="仿宋" w:eastAsia="仿宋" w:cs="仿宋"/>
                <w:b/>
              </w:rPr>
              <w:t>商务资信部分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55" w:type="dxa"/>
            <w:vAlign w:val="center"/>
          </w:tcPr>
          <w:p>
            <w:pPr>
              <w:jc w:val="center"/>
              <w:rPr>
                <w:rFonts w:ascii="仿宋" w:hAnsi="仿宋" w:eastAsia="仿宋" w:cs="仿宋"/>
                <w:szCs w:val="24"/>
              </w:rPr>
            </w:pPr>
            <w:r>
              <w:rPr>
                <w:rFonts w:hint="eastAsia" w:ascii="仿宋" w:hAnsi="仿宋" w:eastAsia="仿宋" w:cs="仿宋"/>
                <w:szCs w:val="24"/>
              </w:rPr>
              <w:t>3</w:t>
            </w:r>
          </w:p>
        </w:tc>
        <w:tc>
          <w:tcPr>
            <w:tcW w:w="1310" w:type="dxa"/>
            <w:vAlign w:val="center"/>
          </w:tcPr>
          <w:p>
            <w:pPr>
              <w:jc w:val="center"/>
              <w:rPr>
                <w:rFonts w:ascii="仿宋" w:hAnsi="仿宋" w:eastAsia="仿宋" w:cs="仿宋"/>
                <w:szCs w:val="24"/>
              </w:rPr>
            </w:pPr>
            <w:r>
              <w:rPr>
                <w:rFonts w:hint="eastAsia" w:ascii="仿宋" w:hAnsi="仿宋" w:eastAsia="仿宋" w:cs="仿宋"/>
                <w:szCs w:val="24"/>
              </w:rPr>
              <w:t>服务承诺</w:t>
            </w:r>
          </w:p>
        </w:tc>
        <w:tc>
          <w:tcPr>
            <w:tcW w:w="6702" w:type="dxa"/>
            <w:vAlign w:val="center"/>
          </w:tcPr>
          <w:p>
            <w:pPr>
              <w:spacing w:line="288" w:lineRule="auto"/>
              <w:rPr>
                <w:rFonts w:ascii="仿宋" w:hAnsi="仿宋" w:eastAsia="仿宋" w:cs="仿宋"/>
                <w:szCs w:val="24"/>
              </w:rPr>
            </w:pPr>
            <w:r>
              <w:rPr>
                <w:rFonts w:hint="eastAsia" w:ascii="仿宋" w:hAnsi="仿宋" w:eastAsia="仿宋" w:cs="仿宋"/>
                <w:szCs w:val="24"/>
              </w:rPr>
              <w:t>1、维修响应时间：接到采购人报修通知（电话、电传等）须6小时内到现场响应的得2分，每减少半小时加1分，最多加2分。</w:t>
            </w:r>
          </w:p>
          <w:p>
            <w:pPr>
              <w:spacing w:line="288" w:lineRule="auto"/>
              <w:rPr>
                <w:rFonts w:ascii="仿宋" w:hAnsi="仿宋" w:eastAsia="仿宋" w:cs="仿宋"/>
                <w:szCs w:val="24"/>
              </w:rPr>
            </w:pPr>
            <w:r>
              <w:rPr>
                <w:rFonts w:hint="eastAsia" w:ascii="仿宋" w:hAnsi="仿宋" w:eastAsia="仿宋" w:cs="仿宋"/>
                <w:szCs w:val="24"/>
              </w:rPr>
              <w:t>2、售后服务网点设在湖州市（三县两区范围内）或者承诺中标后15天内设立的得1分，售后服务网点设在南浔区或者承诺中标后15天内设立的在原基础分上再得</w:t>
            </w:r>
            <w:r>
              <w:rPr>
                <w:rFonts w:hint="eastAsia" w:ascii="仿宋" w:hAnsi="仿宋" w:eastAsia="仿宋" w:cs="仿宋"/>
                <w:szCs w:val="24"/>
                <w:lang w:val="en-US" w:eastAsia="zh-CN"/>
              </w:rPr>
              <w:t>1</w:t>
            </w:r>
            <w:r>
              <w:rPr>
                <w:rFonts w:hint="eastAsia" w:ascii="仿宋" w:hAnsi="仿宋" w:eastAsia="仿宋" w:cs="仿宋"/>
                <w:szCs w:val="24"/>
              </w:rPr>
              <w:t>分。</w:t>
            </w:r>
          </w:p>
          <w:p>
            <w:pPr>
              <w:spacing w:line="288" w:lineRule="auto"/>
              <w:rPr>
                <w:rFonts w:ascii="仿宋" w:hAnsi="仿宋" w:eastAsia="仿宋" w:cs="仿宋"/>
                <w:szCs w:val="24"/>
              </w:rPr>
            </w:pPr>
            <w:r>
              <w:rPr>
                <w:rFonts w:hint="eastAsia" w:ascii="仿宋" w:hAnsi="仿宋" w:eastAsia="仿宋" w:cs="仿宋"/>
                <w:szCs w:val="24"/>
              </w:rPr>
              <w:t>（须提供服务机构或分公司营业执照、详细的网点全称、地址、联系人、联系方式等）</w:t>
            </w:r>
          </w:p>
          <w:p>
            <w:pPr>
              <w:spacing w:line="288" w:lineRule="auto"/>
              <w:rPr>
                <w:rFonts w:ascii="仿宋" w:hAnsi="仿宋" w:eastAsia="仿宋" w:cs="仿宋"/>
                <w:szCs w:val="24"/>
              </w:rPr>
            </w:pPr>
            <w:r>
              <w:rPr>
                <w:rFonts w:hint="eastAsia" w:ascii="仿宋" w:hAnsi="仿宋" w:eastAsia="仿宋" w:cs="仿宋"/>
                <w:szCs w:val="24"/>
              </w:rPr>
              <w:t>3、根据投标供应商针对项目质保期服务方案（包括对用户故障的响应处理、定期巡检、质保期承诺、费用计取等）进行评分，每项得1分，最多得4分。</w:t>
            </w:r>
          </w:p>
          <w:p>
            <w:pPr>
              <w:spacing w:line="288" w:lineRule="auto"/>
              <w:rPr>
                <w:rFonts w:ascii="仿宋" w:hAnsi="仿宋" w:eastAsia="仿宋" w:cs="仿宋"/>
                <w:szCs w:val="24"/>
              </w:rPr>
            </w:pPr>
            <w:r>
              <w:rPr>
                <w:rFonts w:hint="eastAsia" w:ascii="仿宋" w:hAnsi="仿宋" w:eastAsia="仿宋" w:cs="仿宋"/>
                <w:szCs w:val="24"/>
              </w:rPr>
              <w:t>4、根据投标供应商针对质保期结束后服务方案（内容包含质保期外维修响应、费用收取、额外服务承诺）进行评分，每项得1分，最多得3分。</w:t>
            </w:r>
          </w:p>
        </w:tc>
        <w:tc>
          <w:tcPr>
            <w:tcW w:w="960" w:type="dxa"/>
            <w:vAlign w:val="center"/>
          </w:tcPr>
          <w:p>
            <w:pPr>
              <w:rPr>
                <w:rFonts w:ascii="仿宋" w:hAnsi="仿宋" w:eastAsia="仿宋" w:cs="仿宋"/>
                <w:szCs w:val="24"/>
              </w:rPr>
            </w:pPr>
            <w:r>
              <w:rPr>
                <w:rFonts w:hint="eastAsia" w:ascii="仿宋" w:hAnsi="仿宋" w:eastAsia="仿宋" w:cs="仿宋"/>
                <w:color w:val="auto"/>
                <w:szCs w:val="24"/>
              </w:rPr>
              <w:t>0-1</w:t>
            </w:r>
            <w:r>
              <w:rPr>
                <w:rFonts w:hint="eastAsia" w:ascii="仿宋" w:hAnsi="仿宋" w:eastAsia="仿宋" w:cs="仿宋"/>
                <w:color w:val="auto"/>
                <w:szCs w:val="24"/>
                <w:lang w:val="en-US" w:eastAsia="zh-CN"/>
              </w:rPr>
              <w:t>3</w:t>
            </w:r>
            <w:r>
              <w:rPr>
                <w:rFonts w:hint="eastAsia" w:ascii="仿宋" w:hAnsi="仿宋" w:eastAsia="仿宋" w:cs="仿宋"/>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ascii="仿宋" w:hAnsi="仿宋" w:eastAsia="仿宋" w:cs="仿宋"/>
                <w:szCs w:val="24"/>
              </w:rPr>
            </w:pPr>
            <w:r>
              <w:rPr>
                <w:rFonts w:hint="eastAsia" w:ascii="仿宋" w:hAnsi="仿宋" w:eastAsia="仿宋" w:cs="仿宋"/>
                <w:szCs w:val="24"/>
              </w:rPr>
              <w:t>4</w:t>
            </w:r>
          </w:p>
        </w:tc>
        <w:tc>
          <w:tcPr>
            <w:tcW w:w="1310" w:type="dxa"/>
            <w:vAlign w:val="center"/>
          </w:tcPr>
          <w:p>
            <w:pPr>
              <w:jc w:val="center"/>
              <w:rPr>
                <w:rFonts w:ascii="仿宋" w:hAnsi="仿宋" w:eastAsia="仿宋" w:cs="仿宋"/>
                <w:szCs w:val="24"/>
              </w:rPr>
            </w:pPr>
            <w:r>
              <w:rPr>
                <w:rFonts w:hint="eastAsia" w:ascii="仿宋" w:hAnsi="仿宋" w:eastAsia="仿宋" w:cs="仿宋"/>
                <w:szCs w:val="24"/>
              </w:rPr>
              <w:t>企业业绩</w:t>
            </w:r>
          </w:p>
        </w:tc>
        <w:tc>
          <w:tcPr>
            <w:tcW w:w="6702" w:type="dxa"/>
            <w:vAlign w:val="center"/>
          </w:tcPr>
          <w:p>
            <w:pPr>
              <w:spacing w:line="288" w:lineRule="auto"/>
              <w:rPr>
                <w:rFonts w:ascii="仿宋" w:hAnsi="仿宋" w:eastAsia="仿宋" w:cs="仿宋"/>
                <w:szCs w:val="24"/>
              </w:rPr>
            </w:pPr>
            <w:r>
              <w:rPr>
                <w:rFonts w:hint="eastAsia" w:ascii="仿宋" w:hAnsi="仿宋" w:eastAsia="仿宋" w:cs="仿宋"/>
                <w:szCs w:val="24"/>
              </w:rPr>
              <w:t>投标供应商提供2019年1月1日至今同类项目的业绩情况，每提供1个得1分，最高3分。</w:t>
            </w:r>
          </w:p>
          <w:p>
            <w:pPr>
              <w:spacing w:line="288" w:lineRule="auto"/>
              <w:rPr>
                <w:rFonts w:ascii="仿宋" w:hAnsi="仿宋" w:eastAsia="仿宋" w:cs="仿宋"/>
                <w:szCs w:val="24"/>
              </w:rPr>
            </w:pPr>
            <w:r>
              <w:rPr>
                <w:rFonts w:hint="eastAsia" w:ascii="仿宋" w:hAnsi="仿宋" w:eastAsia="仿宋" w:cs="仿宋"/>
                <w:b/>
                <w:bCs/>
                <w:szCs w:val="24"/>
              </w:rPr>
              <w:t>注：须提供中标通知书、合同、官网查询截图（类似业绩中标公示或合同公示）复印件，须提供以上全部资料，缺少任一项资料均不得分。</w:t>
            </w:r>
          </w:p>
        </w:tc>
        <w:tc>
          <w:tcPr>
            <w:tcW w:w="960" w:type="dxa"/>
            <w:vAlign w:val="center"/>
          </w:tcPr>
          <w:p>
            <w:pPr>
              <w:jc w:val="center"/>
              <w:rPr>
                <w:rFonts w:ascii="仿宋" w:hAnsi="仿宋" w:eastAsia="仿宋" w:cs="仿宋"/>
                <w:szCs w:val="24"/>
              </w:rPr>
            </w:pPr>
            <w:r>
              <w:rPr>
                <w:rFonts w:hint="eastAsia" w:ascii="仿宋" w:hAnsi="仿宋" w:eastAsia="仿宋" w:cs="仿宋"/>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5</w:t>
            </w:r>
          </w:p>
        </w:tc>
        <w:tc>
          <w:tcPr>
            <w:tcW w:w="131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企业实力</w:t>
            </w:r>
          </w:p>
        </w:tc>
        <w:tc>
          <w:tcPr>
            <w:tcW w:w="6702" w:type="dxa"/>
            <w:vAlign w:val="center"/>
          </w:tcPr>
          <w:p>
            <w:pPr>
              <w:spacing w:line="288" w:lineRule="auto"/>
              <w:rPr>
                <w:rFonts w:ascii="仿宋" w:hAnsi="仿宋" w:eastAsia="仿宋" w:cs="仿宋"/>
                <w:color w:val="auto"/>
                <w:szCs w:val="24"/>
              </w:rPr>
            </w:pPr>
            <w:r>
              <w:rPr>
                <w:rFonts w:hint="eastAsia" w:ascii="仿宋" w:hAnsi="仿宋" w:eastAsia="仿宋" w:cs="仿宋"/>
                <w:color w:val="auto"/>
                <w:szCs w:val="24"/>
              </w:rPr>
              <w:t>1、投标供应商或者投标商生产厂商：</w:t>
            </w:r>
          </w:p>
          <w:p>
            <w:pPr>
              <w:spacing w:line="288" w:lineRule="auto"/>
              <w:rPr>
                <w:rFonts w:ascii="仿宋" w:hAnsi="仿宋" w:eastAsia="仿宋" w:cs="仿宋"/>
                <w:color w:val="auto"/>
                <w:szCs w:val="24"/>
              </w:rPr>
            </w:pPr>
            <w:r>
              <w:rPr>
                <w:rFonts w:hint="eastAsia" w:ascii="仿宋" w:hAnsi="仿宋" w:eastAsia="仿宋" w:cs="仿宋"/>
                <w:color w:val="auto"/>
                <w:szCs w:val="24"/>
              </w:rPr>
              <w:t>具有国家认证认可监督管理部门批准设立的认证机构颁发并在有效期内的质量管理体系认证证书的，得</w:t>
            </w:r>
            <w:r>
              <w:rPr>
                <w:rFonts w:hint="eastAsia" w:ascii="仿宋" w:hAnsi="仿宋" w:eastAsia="仿宋" w:cs="仿宋"/>
                <w:color w:val="auto"/>
                <w:szCs w:val="24"/>
                <w:lang w:val="en-US" w:eastAsia="zh-CN"/>
              </w:rPr>
              <w:t>2</w:t>
            </w:r>
            <w:r>
              <w:rPr>
                <w:rFonts w:hint="eastAsia" w:ascii="仿宋" w:hAnsi="仿宋" w:eastAsia="仿宋" w:cs="仿宋"/>
                <w:color w:val="auto"/>
                <w:szCs w:val="24"/>
              </w:rPr>
              <w:t>分；</w:t>
            </w:r>
          </w:p>
          <w:p>
            <w:pPr>
              <w:spacing w:line="288" w:lineRule="auto"/>
              <w:rPr>
                <w:rFonts w:ascii="仿宋" w:hAnsi="仿宋" w:eastAsia="仿宋" w:cs="仿宋"/>
                <w:color w:val="auto"/>
                <w:szCs w:val="24"/>
              </w:rPr>
            </w:pPr>
            <w:r>
              <w:rPr>
                <w:rFonts w:hint="eastAsia" w:ascii="仿宋" w:hAnsi="仿宋" w:eastAsia="仿宋" w:cs="仿宋"/>
                <w:color w:val="auto"/>
                <w:szCs w:val="24"/>
              </w:rPr>
              <w:t>具有国家认证认可监督管理部门批准设立的认证机构颁发并在有效期内的环境管理体系认证证书的，得</w:t>
            </w:r>
            <w:r>
              <w:rPr>
                <w:rFonts w:hint="eastAsia" w:ascii="仿宋" w:hAnsi="仿宋" w:eastAsia="仿宋" w:cs="仿宋"/>
                <w:color w:val="auto"/>
                <w:szCs w:val="24"/>
                <w:lang w:val="en-US" w:eastAsia="zh-CN"/>
              </w:rPr>
              <w:t>2</w:t>
            </w:r>
            <w:r>
              <w:rPr>
                <w:rFonts w:hint="eastAsia" w:ascii="仿宋" w:hAnsi="仿宋" w:eastAsia="仿宋" w:cs="仿宋"/>
                <w:color w:val="auto"/>
                <w:szCs w:val="24"/>
              </w:rPr>
              <w:t>分；</w:t>
            </w:r>
          </w:p>
          <w:p>
            <w:pPr>
              <w:spacing w:line="288" w:lineRule="auto"/>
              <w:rPr>
                <w:rFonts w:ascii="仿宋" w:hAnsi="仿宋" w:eastAsia="仿宋" w:cs="仿宋"/>
                <w:color w:val="auto"/>
                <w:szCs w:val="24"/>
              </w:rPr>
            </w:pPr>
            <w:r>
              <w:rPr>
                <w:rFonts w:hint="eastAsia" w:ascii="仿宋" w:hAnsi="仿宋" w:eastAsia="仿宋" w:cs="仿宋"/>
                <w:color w:val="auto"/>
                <w:szCs w:val="24"/>
              </w:rPr>
              <w:t>具有国家认证认可监督管理部门批准设立的认证机构颁发并在有效期内的职业健康安全管理体系认证证书的，得</w:t>
            </w:r>
            <w:r>
              <w:rPr>
                <w:rFonts w:hint="eastAsia" w:ascii="仿宋" w:hAnsi="仿宋" w:eastAsia="仿宋" w:cs="仿宋"/>
                <w:color w:val="auto"/>
                <w:szCs w:val="24"/>
                <w:lang w:val="en-US" w:eastAsia="zh-CN"/>
              </w:rPr>
              <w:t>2</w:t>
            </w:r>
            <w:r>
              <w:rPr>
                <w:rFonts w:hint="eastAsia" w:ascii="仿宋" w:hAnsi="仿宋" w:eastAsia="仿宋" w:cs="仿宋"/>
                <w:color w:val="auto"/>
                <w:szCs w:val="24"/>
              </w:rPr>
              <w:t>分。</w:t>
            </w:r>
          </w:p>
          <w:p>
            <w:pPr>
              <w:spacing w:line="288" w:lineRule="auto"/>
              <w:rPr>
                <w:color w:val="auto"/>
              </w:rPr>
            </w:pPr>
            <w:r>
              <w:rPr>
                <w:rFonts w:hint="eastAsia" w:ascii="仿宋" w:hAnsi="仿宋" w:eastAsia="仿宋" w:cs="仿宋"/>
                <w:color w:val="auto"/>
                <w:szCs w:val="24"/>
              </w:rPr>
              <w:t>2、具有产品质量险、产品责任险、公众责任险、团体意外险，全部提供得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分,缺一项不得分。</w:t>
            </w:r>
          </w:p>
        </w:tc>
        <w:tc>
          <w:tcPr>
            <w:tcW w:w="960" w:type="dxa"/>
            <w:vAlign w:val="center"/>
          </w:tcPr>
          <w:p>
            <w:pPr>
              <w:rPr>
                <w:rFonts w:ascii="仿宋" w:hAnsi="仿宋" w:eastAsia="仿宋" w:cs="仿宋"/>
                <w:color w:val="auto"/>
                <w:szCs w:val="24"/>
              </w:rPr>
            </w:pPr>
            <w:r>
              <w:rPr>
                <w:rFonts w:hint="eastAsia" w:ascii="仿宋" w:hAnsi="仿宋" w:eastAsia="仿宋" w:cs="仿宋"/>
                <w:color w:val="auto"/>
                <w:szCs w:val="24"/>
              </w:rPr>
              <w:t>0-</w:t>
            </w:r>
            <w:r>
              <w:rPr>
                <w:rFonts w:hint="eastAsia" w:ascii="仿宋" w:hAnsi="仿宋" w:eastAsia="仿宋" w:cs="仿宋"/>
                <w:color w:val="auto"/>
                <w:szCs w:val="24"/>
                <w:lang w:val="en-US" w:eastAsia="zh-CN"/>
              </w:rPr>
              <w:t>9</w:t>
            </w:r>
            <w:r>
              <w:rPr>
                <w:rFonts w:hint="eastAsia" w:ascii="仿宋" w:hAnsi="仿宋" w:eastAsia="仿宋" w:cs="仿宋"/>
                <w:color w:val="auto"/>
                <w:szCs w:val="24"/>
              </w:rPr>
              <w:t>分</w:t>
            </w:r>
          </w:p>
        </w:tc>
      </w:tr>
    </w:tbl>
    <w:p>
      <w:pPr>
        <w:pStyle w:val="12"/>
        <w:ind w:firstLine="241"/>
        <w:rPr>
          <w:rFonts w:ascii="仿宋" w:hAnsi="仿宋" w:eastAsia="仿宋" w:cs="仿宋"/>
          <w:b/>
        </w:rPr>
      </w:pPr>
    </w:p>
    <w:p>
      <w:pPr>
        <w:pStyle w:val="49"/>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注：投标人应根据评分内容提供相应评分证书、合同及相关证明材料扫描件并加盖单位公章，若由于扫描件不清晰难以辨认，引起的不利于投标供应商的评判，该责任由投标供应商自行负责。</w:t>
      </w:r>
    </w:p>
    <w:p>
      <w:pPr>
        <w:pStyle w:val="49"/>
        <w:rPr>
          <w:rFonts w:ascii="仿宋" w:hAnsi="仿宋" w:eastAsia="仿宋" w:cs="仿宋"/>
          <w:color w:val="000000" w:themeColor="text1"/>
          <w:lang w:eastAsia="zh-CN"/>
          <w14:textFill>
            <w14:solidFill>
              <w14:schemeClr w14:val="tx1"/>
            </w14:solidFill>
          </w14:textFill>
        </w:rPr>
        <w:sectPr>
          <w:pgSz w:w="11906" w:h="16838"/>
          <w:pgMar w:top="1474" w:right="1361" w:bottom="1417" w:left="1361" w:header="737" w:footer="737" w:gutter="0"/>
          <w:pgNumType w:fmt="numberInDash"/>
          <w:cols w:space="0" w:num="1"/>
          <w:docGrid w:linePitch="312" w:charSpace="0"/>
        </w:sectPr>
      </w:pPr>
    </w:p>
    <w:p>
      <w:pPr>
        <w:numPr>
          <w:ilvl w:val="0"/>
          <w:numId w:val="8"/>
        </w:numPr>
        <w:autoSpaceDE/>
        <w:autoSpaceDN/>
        <w:adjustRightInd/>
        <w:snapToGrid w:val="0"/>
        <w:spacing w:beforeLines="50" w:afterLines="50" w:line="400" w:lineRule="exact"/>
        <w:jc w:val="center"/>
        <w:textAlignment w:val="auto"/>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合同主要条款</w:t>
      </w:r>
    </w:p>
    <w:p>
      <w:pPr>
        <w:jc w:val="center"/>
        <w:rPr>
          <w:rFonts w:ascii="仿宋" w:hAnsi="仿宋" w:eastAsia="仿宋" w:cs="仿宋"/>
          <w:b/>
          <w:color w:val="000000" w:themeColor="text1"/>
          <w14:textFill>
            <w14:solidFill>
              <w14:schemeClr w14:val="tx1"/>
            </w14:solidFill>
          </w14:textFill>
        </w:rPr>
      </w:pPr>
    </w:p>
    <w:p>
      <w:pPr>
        <w:jc w:val="center"/>
        <w:rPr>
          <w:rFonts w:ascii="仿宋" w:hAnsi="仿宋" w:eastAsia="仿宋" w:cs="仿宋"/>
          <w:b/>
          <w:color w:val="000000" w:themeColor="text1"/>
          <w:szCs w:val="22"/>
          <w14:textFill>
            <w14:solidFill>
              <w14:schemeClr w14:val="tx1"/>
            </w14:solidFill>
          </w14:textFill>
        </w:rPr>
      </w:pPr>
      <w:r>
        <w:rPr>
          <w:rFonts w:hint="eastAsia" w:ascii="仿宋" w:hAnsi="仿宋" w:eastAsia="仿宋" w:cs="仿宋"/>
          <w:b/>
          <w:color w:val="000000" w:themeColor="text1"/>
          <w:szCs w:val="22"/>
          <w14:textFill>
            <w14:solidFill>
              <w14:schemeClr w14:val="tx1"/>
            </w14:solidFill>
          </w14:textFill>
        </w:rPr>
        <w:t>（供参考，以正式合同为准）</w:t>
      </w:r>
    </w:p>
    <w:p>
      <w:pPr>
        <w:pStyle w:val="17"/>
        <w:spacing w:line="500" w:lineRule="exact"/>
        <w:rPr>
          <w:rFonts w:ascii="仿宋" w:hAnsi="仿宋" w:eastAsia="仿宋" w:cs="仿宋"/>
          <w:color w:val="000000"/>
          <w:sz w:val="24"/>
          <w:szCs w:val="24"/>
        </w:rPr>
      </w:pP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项目名称：                         项目编号：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甲方：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乙方：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甲乙双方根据</w:t>
      </w:r>
      <w:r>
        <w:rPr>
          <w:rFonts w:hint="eastAsia" w:ascii="仿宋" w:hAnsi="仿宋" w:eastAsia="仿宋" w:cs="仿宋"/>
          <w:color w:val="000000"/>
          <w:szCs w:val="24"/>
          <w:u w:val="single"/>
          <w:lang w:val="en-US" w:eastAsia="zh-CN"/>
        </w:rPr>
        <w:t xml:space="preserve">                              </w:t>
      </w:r>
      <w:r>
        <w:rPr>
          <w:rFonts w:hint="eastAsia" w:ascii="仿宋" w:hAnsi="仿宋" w:eastAsia="仿宋" w:cs="仿宋"/>
          <w:b/>
          <w:color w:val="000000"/>
          <w:szCs w:val="24"/>
        </w:rPr>
        <w:t>项目</w:t>
      </w:r>
      <w:r>
        <w:rPr>
          <w:rFonts w:hint="eastAsia" w:ascii="仿宋" w:hAnsi="仿宋" w:eastAsia="仿宋" w:cs="仿宋"/>
          <w:color w:val="000000"/>
          <w:szCs w:val="24"/>
        </w:rPr>
        <w:t xml:space="preserve">公开招标的结果，签署本合同。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 xml:space="preserve">一、货物内容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1、货物名称：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2、型号规格：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3、技术参数：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4、数量（单位）：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 xml:space="preserve">二、合同金额 </w:t>
      </w:r>
    </w:p>
    <w:p>
      <w:pPr>
        <w:autoSpaceDE/>
        <w:autoSpaceDN/>
        <w:snapToGrid w:val="0"/>
        <w:spacing w:before="120" w:after="120" w:line="440" w:lineRule="exact"/>
        <w:ind w:left="480" w:leftChars="200" w:firstLine="72" w:firstLineChars="30"/>
        <w:rPr>
          <w:rFonts w:ascii="仿宋" w:hAnsi="仿宋" w:eastAsia="仿宋" w:cs="仿宋"/>
        </w:rPr>
      </w:pPr>
      <w:r>
        <w:rPr>
          <w:rFonts w:hint="eastAsia" w:ascii="仿宋" w:hAnsi="仿宋" w:eastAsia="仿宋" w:cs="仿宋"/>
        </w:rPr>
        <w:t>本合同金额为（大写）：__________________元（￥____________元）人民币。</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 xml:space="preserve">三、技术资料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1、乙方应按招标文件规定的时间向甲方提供使用货物的有关技术资料。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2、没有甲方事先书面同意，乙方不得将由甲方提供的有关合同或任何合同条文、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规格、计划、图纸、样品或资料提供给与履行本合同无关的任何其他人。即使向履行本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合同有关的人员提供，也应注意保密并限于履行合同的必需范围。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 xml:space="preserve">四、知识产权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乙方应保证所提供的评价报告不会侵犯任何第三方的知识产权，如侵犯第三方权益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的，所有责任由乙方承担。 </w:t>
      </w:r>
    </w:p>
    <w:p>
      <w:pPr>
        <w:widowControl/>
        <w:spacing w:line="500" w:lineRule="exact"/>
        <w:jc w:val="left"/>
        <w:rPr>
          <w:rFonts w:hint="eastAsia" w:ascii="仿宋" w:hAnsi="仿宋" w:eastAsia="仿宋" w:cs="仿宋"/>
          <w:b/>
          <w:bCs/>
          <w:color w:val="000000"/>
          <w:szCs w:val="24"/>
          <w:lang w:eastAsia="zh-CN"/>
        </w:rPr>
      </w:pPr>
      <w:r>
        <w:rPr>
          <w:rFonts w:hint="eastAsia" w:ascii="仿宋" w:hAnsi="仿宋" w:eastAsia="仿宋" w:cs="仿宋"/>
          <w:b/>
          <w:bCs/>
          <w:color w:val="000000"/>
          <w:szCs w:val="24"/>
          <w:lang w:eastAsia="zh-CN"/>
        </w:rPr>
        <w:t xml:space="preserve">五、履约保证金 </w:t>
      </w:r>
    </w:p>
    <w:p>
      <w:pPr>
        <w:widowControl/>
        <w:spacing w:line="500" w:lineRule="exact"/>
        <w:ind w:firstLine="480" w:firstLineChars="200"/>
        <w:jc w:val="left"/>
        <w:rPr>
          <w:rFonts w:hint="default" w:ascii="仿宋" w:hAnsi="仿宋" w:eastAsia="仿宋" w:cs="仿宋"/>
          <w:b w:val="0"/>
          <w:bCs w:val="0"/>
          <w:color w:val="000000"/>
          <w:szCs w:val="24"/>
          <w:lang w:val="en-US" w:eastAsia="zh-CN"/>
        </w:rPr>
      </w:pPr>
      <w:r>
        <w:rPr>
          <w:rFonts w:hint="eastAsia" w:ascii="仿宋" w:hAnsi="仿宋" w:eastAsia="仿宋" w:cs="仿宋"/>
          <w:b w:val="0"/>
          <w:bCs w:val="0"/>
          <w:color w:val="000000"/>
          <w:szCs w:val="24"/>
          <w:lang w:val="en-US" w:eastAsia="zh-CN"/>
        </w:rPr>
        <w:t>无</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lang w:val="en-US" w:eastAsia="zh-CN"/>
        </w:rPr>
        <w:t>六</w:t>
      </w:r>
      <w:r>
        <w:rPr>
          <w:rFonts w:hint="eastAsia" w:ascii="仿宋" w:hAnsi="仿宋" w:eastAsia="仿宋" w:cs="仿宋"/>
          <w:b/>
          <w:bCs/>
          <w:color w:val="000000"/>
          <w:szCs w:val="24"/>
        </w:rPr>
        <w:t xml:space="preserve">、转包或分包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1、本合同范围的服务，应由乙方直接服务，不得以任何形式转让他人服务；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2、除非得到甲方的书面同意，乙方不得将本合同范围的服务全部或部分分包给他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人；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3、如有转让和未经甲方同意的转包、分包行为，甲方有权解除合同，并追究乙方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的违约责任。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lang w:val="en-US" w:eastAsia="zh-CN"/>
        </w:rPr>
        <w:t>七</w:t>
      </w:r>
      <w:r>
        <w:rPr>
          <w:rFonts w:hint="eastAsia" w:ascii="仿宋" w:hAnsi="仿宋" w:eastAsia="仿宋" w:cs="仿宋"/>
          <w:b/>
          <w:bCs/>
          <w:color w:val="000000"/>
          <w:szCs w:val="24"/>
        </w:rPr>
        <w:t xml:space="preserve">、完成期限、服务地点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1、完成期限：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2、服务地点： </w:t>
      </w:r>
    </w:p>
    <w:p>
      <w:pPr>
        <w:widowControl/>
        <w:spacing w:line="500" w:lineRule="exact"/>
        <w:jc w:val="left"/>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八</w:t>
      </w:r>
      <w:r>
        <w:rPr>
          <w:rFonts w:hint="eastAsia" w:ascii="仿宋" w:hAnsi="仿宋" w:eastAsia="仿宋" w:cs="仿宋"/>
          <w:b/>
          <w:bCs/>
          <w:color w:val="auto"/>
          <w:szCs w:val="24"/>
        </w:rPr>
        <w:t xml:space="preserve">、货款支付 </w:t>
      </w:r>
    </w:p>
    <w:p>
      <w:pPr>
        <w:spacing w:line="460" w:lineRule="exact"/>
        <w:ind w:firstLine="482" w:firstLineChars="200"/>
        <w:rPr>
          <w:rFonts w:ascii="仿宋" w:hAnsi="仿宋" w:eastAsia="仿宋" w:cs="仿宋"/>
          <w:color w:val="auto"/>
        </w:rPr>
      </w:pPr>
      <w:r>
        <w:rPr>
          <w:rFonts w:hint="eastAsia" w:ascii="仿宋" w:hAnsi="仿宋" w:eastAsia="仿宋" w:cs="仿宋"/>
          <w:b/>
          <w:color w:val="auto"/>
        </w:rPr>
        <w:t>合同签订生效及具备实施条件后7个工作日内</w:t>
      </w:r>
      <w:r>
        <w:rPr>
          <w:rFonts w:hint="eastAsia" w:ascii="仿宋" w:hAnsi="仿宋" w:eastAsia="仿宋" w:cs="仿宋"/>
          <w:b/>
          <w:color w:val="auto"/>
          <w:szCs w:val="24"/>
        </w:rPr>
        <w:t>支付合同款的</w:t>
      </w:r>
      <w:r>
        <w:rPr>
          <w:rFonts w:ascii="仿宋" w:hAnsi="仿宋" w:eastAsia="仿宋" w:cs="仿宋"/>
          <w:b/>
          <w:color w:val="auto"/>
          <w:szCs w:val="24"/>
        </w:rPr>
        <w:t>4</w:t>
      </w:r>
      <w:r>
        <w:rPr>
          <w:rFonts w:hint="eastAsia" w:ascii="仿宋" w:hAnsi="仿宋" w:eastAsia="仿宋" w:cs="仿宋"/>
          <w:b/>
          <w:color w:val="auto"/>
          <w:szCs w:val="24"/>
        </w:rPr>
        <w:t>0%作为预付款</w:t>
      </w:r>
      <w:r>
        <w:rPr>
          <w:rFonts w:hint="eastAsia" w:ascii="仿宋" w:hAnsi="仿宋" w:eastAsia="仿宋" w:cs="仿宋"/>
          <w:b/>
          <w:color w:val="auto"/>
          <w:szCs w:val="24"/>
          <w:lang w:eastAsia="zh-CN"/>
        </w:rPr>
        <w:t>，</w:t>
      </w:r>
      <w:r>
        <w:rPr>
          <w:rFonts w:hint="eastAsia" w:ascii="仿宋" w:hAnsi="仿宋" w:eastAsia="仿宋" w:cs="仿宋"/>
          <w:b/>
          <w:color w:val="auto"/>
          <w:szCs w:val="24"/>
        </w:rPr>
        <w:t>验收合格</w:t>
      </w:r>
      <w:r>
        <w:rPr>
          <w:rFonts w:hint="eastAsia" w:ascii="仿宋" w:hAnsi="仿宋" w:eastAsia="仿宋" w:cs="仿宋"/>
          <w:b/>
          <w:color w:val="auto"/>
          <w:szCs w:val="24"/>
          <w:lang w:eastAsia="zh-CN"/>
        </w:rPr>
        <w:t>后</w:t>
      </w:r>
      <w:r>
        <w:rPr>
          <w:rFonts w:hint="eastAsia" w:ascii="仿宋" w:hAnsi="仿宋" w:eastAsia="仿宋" w:cs="仿宋"/>
          <w:b/>
          <w:color w:val="auto"/>
          <w:szCs w:val="24"/>
          <w:lang w:val="en-US" w:eastAsia="zh-CN"/>
        </w:rPr>
        <w:t>7个工作日内</w:t>
      </w:r>
      <w:r>
        <w:rPr>
          <w:rFonts w:hint="eastAsia" w:ascii="仿宋" w:hAnsi="仿宋" w:eastAsia="仿宋" w:cs="仿宋"/>
          <w:b/>
          <w:color w:val="auto"/>
          <w:szCs w:val="24"/>
        </w:rPr>
        <w:t>一次付清</w:t>
      </w:r>
      <w:r>
        <w:rPr>
          <w:rFonts w:hint="eastAsia" w:ascii="仿宋" w:hAnsi="仿宋" w:eastAsia="仿宋" w:cs="仿宋"/>
          <w:b/>
          <w:color w:val="auto"/>
          <w:szCs w:val="24"/>
          <w:lang w:eastAsia="zh-CN"/>
        </w:rPr>
        <w:t>全部尾款</w:t>
      </w:r>
      <w:r>
        <w:rPr>
          <w:rFonts w:hint="eastAsia" w:ascii="仿宋" w:hAnsi="仿宋" w:eastAsia="仿宋" w:cs="仿宋"/>
          <w:b/>
          <w:color w:val="auto"/>
          <w:szCs w:val="24"/>
        </w:rPr>
        <w:t>。</w:t>
      </w:r>
    </w:p>
    <w:p>
      <w:pPr>
        <w:spacing w:line="460" w:lineRule="exact"/>
        <w:ind w:firstLine="480" w:firstLineChars="200"/>
        <w:rPr>
          <w:rFonts w:ascii="仿宋" w:hAnsi="仿宋" w:eastAsia="仿宋" w:cs="仿宋"/>
        </w:rPr>
      </w:pPr>
      <w:r>
        <w:rPr>
          <w:rFonts w:hint="eastAsia" w:ascii="仿宋" w:hAnsi="仿宋" w:eastAsia="仿宋" w:cs="仿宋"/>
          <w:color w:val="auto"/>
        </w:rPr>
        <w:t>注：若中标供应商明确表示无需预付款或</w:t>
      </w:r>
      <w:r>
        <w:rPr>
          <w:rFonts w:hint="eastAsia" w:ascii="仿宋" w:hAnsi="仿宋" w:eastAsia="仿宋" w:cs="仿宋"/>
        </w:rPr>
        <w:t>者主动要求降低预付款比例的，采购人可不适用前述规定。</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lang w:val="en-US" w:eastAsia="zh-CN"/>
        </w:rPr>
        <w:t>九</w:t>
      </w:r>
      <w:r>
        <w:rPr>
          <w:rFonts w:hint="eastAsia" w:ascii="仿宋" w:hAnsi="仿宋" w:eastAsia="仿宋" w:cs="仿宋"/>
          <w:b/>
          <w:bCs/>
          <w:color w:val="000000"/>
          <w:szCs w:val="24"/>
        </w:rPr>
        <w:t xml:space="preserve">、税费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本合同执行中相关的一切税费均由乙方负担。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lang w:val="en-US" w:eastAsia="zh-CN"/>
        </w:rPr>
        <w:t>十</w:t>
      </w:r>
      <w:r>
        <w:rPr>
          <w:rFonts w:hint="eastAsia" w:ascii="仿宋" w:hAnsi="仿宋" w:eastAsia="仿宋" w:cs="仿宋"/>
          <w:b/>
          <w:bCs/>
          <w:color w:val="000000"/>
          <w:szCs w:val="24"/>
        </w:rPr>
        <w:t xml:space="preserve">、售后服务及承诺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1、乙方应明确承诺服务的各项内容和措施，提供详细的服务地点、联系人、电话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等有关资料；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2、在服务期内所发生的一切费用均由乙方承担。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3、乙方在收到甲方维修通知后必须6小时之内及时进行现场响应。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十</w:t>
      </w:r>
      <w:r>
        <w:rPr>
          <w:rFonts w:hint="eastAsia" w:ascii="仿宋" w:hAnsi="仿宋" w:eastAsia="仿宋" w:cs="仿宋"/>
          <w:b/>
          <w:bCs/>
          <w:color w:val="000000"/>
          <w:szCs w:val="24"/>
          <w:lang w:val="en-US" w:eastAsia="zh-CN"/>
        </w:rPr>
        <w:t>一</w:t>
      </w:r>
      <w:r>
        <w:rPr>
          <w:rFonts w:hint="eastAsia" w:ascii="仿宋" w:hAnsi="仿宋" w:eastAsia="仿宋" w:cs="仿宋"/>
          <w:b/>
          <w:bCs/>
          <w:color w:val="000000"/>
          <w:szCs w:val="24"/>
        </w:rPr>
        <w:t xml:space="preserve">、验收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中标货物验收标准按最新颁发的国家标准执行；国家没有规定的按地方标准执行，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国家与地方均没有的，按行业规定执行。国家、地方规定标准低于行业标准的按行业标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准执行，就高不就低。国家、地方、行业均没有验收标准的，则在获取甲方同意后，按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双方商定的标准执行。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十</w:t>
      </w:r>
      <w:r>
        <w:rPr>
          <w:rFonts w:hint="eastAsia" w:ascii="仿宋" w:hAnsi="仿宋" w:eastAsia="仿宋" w:cs="仿宋"/>
          <w:b/>
          <w:bCs/>
          <w:color w:val="000000"/>
          <w:szCs w:val="24"/>
          <w:lang w:val="en-US" w:eastAsia="zh-CN"/>
        </w:rPr>
        <w:t>二</w:t>
      </w:r>
      <w:r>
        <w:rPr>
          <w:rFonts w:hint="eastAsia" w:ascii="仿宋" w:hAnsi="仿宋" w:eastAsia="仿宋" w:cs="仿宋"/>
          <w:b/>
          <w:bCs/>
          <w:color w:val="000000"/>
          <w:szCs w:val="24"/>
        </w:rPr>
        <w:t xml:space="preserve">、违约责任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1、甲方无正当理由拒绝接受服务的，甲方向乙方偿付合同总金额的百分之五违约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金。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2、乙方逾期交付作品的，乙方应按逾期交付作品总额每日千分之六向甲方支付违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约金，由甲方从待付款中扣除。逾期超过约定日期 10 个工作日不能交作品的，甲方可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解除本合同。乙方因逾期交作品或因其他违约行为导致甲方解除合同的，乙方应向甲方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支付合同总金额 5%的违约金，如造成甲方损失超过违约金的，超出部分由乙方继续承担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赔偿责任。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十</w:t>
      </w:r>
      <w:r>
        <w:rPr>
          <w:rFonts w:hint="eastAsia" w:ascii="仿宋" w:hAnsi="仿宋" w:eastAsia="仿宋" w:cs="仿宋"/>
          <w:b/>
          <w:bCs/>
          <w:color w:val="000000"/>
          <w:szCs w:val="24"/>
          <w:lang w:val="en-US" w:eastAsia="zh-CN"/>
        </w:rPr>
        <w:t>三</w:t>
      </w:r>
      <w:r>
        <w:rPr>
          <w:rFonts w:hint="eastAsia" w:ascii="仿宋" w:hAnsi="仿宋" w:eastAsia="仿宋" w:cs="仿宋"/>
          <w:b/>
          <w:bCs/>
          <w:color w:val="000000"/>
          <w:szCs w:val="24"/>
        </w:rPr>
        <w:t xml:space="preserve">、不可抗力事件处理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1、在合同有效期内，任何一方因不可抗力事件导致不能履行合同，则合同履行期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可延长，其延长期与不可抗力影响期相同。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2、不可抗力事件发生后，应立即通知对方，并寄送有关权威机构出具的证明。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3、不可抗力事件延续 120 天以上，双方应通过友好协商，确定是否继续履行合同。 </w:t>
      </w:r>
    </w:p>
    <w:p>
      <w:pPr>
        <w:widowControl/>
        <w:spacing w:line="500" w:lineRule="exact"/>
        <w:jc w:val="left"/>
        <w:rPr>
          <w:rFonts w:ascii="仿宋" w:hAnsi="仿宋" w:eastAsia="仿宋" w:cs="仿宋"/>
          <w:b/>
          <w:bCs/>
        </w:rPr>
      </w:pPr>
      <w:r>
        <w:rPr>
          <w:rFonts w:hint="eastAsia" w:ascii="仿宋" w:hAnsi="仿宋" w:eastAsia="仿宋" w:cs="仿宋"/>
          <w:b/>
          <w:bCs/>
          <w:color w:val="000000"/>
          <w:szCs w:val="24"/>
        </w:rPr>
        <w:t>十</w:t>
      </w:r>
      <w:r>
        <w:rPr>
          <w:rFonts w:hint="eastAsia" w:ascii="仿宋" w:hAnsi="仿宋" w:eastAsia="仿宋" w:cs="仿宋"/>
          <w:b/>
          <w:bCs/>
          <w:color w:val="000000"/>
          <w:szCs w:val="24"/>
          <w:lang w:val="en-US" w:eastAsia="zh-CN"/>
        </w:rPr>
        <w:t>四</w:t>
      </w:r>
      <w:r>
        <w:rPr>
          <w:rFonts w:hint="eastAsia" w:ascii="仿宋" w:hAnsi="仿宋" w:eastAsia="仿宋" w:cs="仿宋"/>
          <w:b/>
          <w:bCs/>
          <w:color w:val="000000"/>
          <w:szCs w:val="24"/>
        </w:rPr>
        <w:t xml:space="preserve">、诉讼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双方在执行合同中所发生的一切争议，应通过协商解决。如协商不成，可向甲方所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在地法院起诉。 </w:t>
      </w:r>
    </w:p>
    <w:p>
      <w:pPr>
        <w:widowControl/>
        <w:spacing w:line="500" w:lineRule="exact"/>
        <w:jc w:val="left"/>
        <w:rPr>
          <w:rFonts w:ascii="仿宋" w:hAnsi="仿宋" w:eastAsia="仿宋" w:cs="仿宋"/>
        </w:rPr>
      </w:pPr>
      <w:r>
        <w:rPr>
          <w:rFonts w:hint="eastAsia" w:ascii="仿宋" w:hAnsi="仿宋" w:eastAsia="仿宋" w:cs="仿宋"/>
          <w:b/>
          <w:bCs/>
          <w:color w:val="000000"/>
          <w:szCs w:val="24"/>
        </w:rPr>
        <w:t>十</w:t>
      </w:r>
      <w:r>
        <w:rPr>
          <w:rFonts w:hint="eastAsia" w:ascii="仿宋" w:hAnsi="仿宋" w:eastAsia="仿宋" w:cs="仿宋"/>
          <w:b/>
          <w:bCs/>
          <w:color w:val="000000"/>
          <w:szCs w:val="24"/>
          <w:lang w:val="en-US" w:eastAsia="zh-CN"/>
        </w:rPr>
        <w:t>五</w:t>
      </w:r>
      <w:r>
        <w:rPr>
          <w:rFonts w:hint="eastAsia" w:ascii="仿宋" w:hAnsi="仿宋" w:eastAsia="仿宋" w:cs="仿宋"/>
          <w:b/>
          <w:bCs/>
          <w:color w:val="000000"/>
          <w:szCs w:val="24"/>
        </w:rPr>
        <w:t>、合同生效及其它</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1、合同经甲、乙及鉴定方法定代表人或授权代表签字并加盖单位公章后生效。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2、合同执行中涉及采购资金和采购内容修改或补充的，须经主管部门审批，并签 </w:t>
      </w:r>
    </w:p>
    <w:p>
      <w:pPr>
        <w:widowControl/>
        <w:spacing w:line="500" w:lineRule="exact"/>
        <w:jc w:val="left"/>
        <w:rPr>
          <w:rFonts w:ascii="仿宋" w:hAnsi="仿宋" w:eastAsia="仿宋" w:cs="仿宋"/>
        </w:rPr>
      </w:pPr>
      <w:r>
        <w:rPr>
          <w:rFonts w:hint="eastAsia" w:ascii="仿宋" w:hAnsi="仿宋" w:eastAsia="仿宋" w:cs="仿宋"/>
          <w:color w:val="000000"/>
          <w:szCs w:val="24"/>
        </w:rPr>
        <w:t xml:space="preserve">书面补充协议报采购监督管理部门备案，方可作为主合同不可分割的一部分。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3、本合同未尽事宜，遵照《民法典》有关条文执行。 </w:t>
      </w:r>
    </w:p>
    <w:p>
      <w:pPr>
        <w:widowControl/>
        <w:spacing w:line="500" w:lineRule="exact"/>
        <w:ind w:firstLine="480" w:firstLineChars="200"/>
        <w:jc w:val="left"/>
        <w:rPr>
          <w:rFonts w:ascii="仿宋" w:hAnsi="仿宋" w:eastAsia="仿宋" w:cs="仿宋"/>
        </w:rPr>
      </w:pPr>
      <w:r>
        <w:rPr>
          <w:rFonts w:hint="eastAsia" w:ascii="仿宋" w:hAnsi="仿宋" w:eastAsia="仿宋" w:cs="仿宋"/>
          <w:color w:val="000000"/>
          <w:szCs w:val="24"/>
        </w:rPr>
        <w:t xml:space="preserve">4、本合同正本一式五份，甲乙双方各执两份，采购代理机构执一份备案。 </w:t>
      </w:r>
    </w:p>
    <w:p>
      <w:pPr>
        <w:autoSpaceDE/>
        <w:autoSpaceDN/>
        <w:snapToGrid w:val="0"/>
        <w:spacing w:before="120" w:after="120" w:line="440" w:lineRule="exact"/>
        <w:ind w:left="480" w:hanging="480"/>
        <w:rPr>
          <w:rFonts w:ascii="仿宋" w:hAnsi="仿宋" w:eastAsia="仿宋" w:cs="仿宋"/>
        </w:rPr>
      </w:pPr>
      <w:r>
        <w:rPr>
          <w:rFonts w:hint="eastAsia" w:ascii="仿宋" w:hAnsi="仿宋" w:eastAsia="仿宋" w:cs="仿宋"/>
        </w:rPr>
        <w:t>甲方：                              乙方：</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地址：                              地址：</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法定代表人：                        法定代表人：</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电话：                              电话：</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传真：                              传真：</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开户银行：                          开户银行：</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账号：                              账号：</w:t>
      </w:r>
    </w:p>
    <w:p>
      <w:pPr>
        <w:tabs>
          <w:tab w:val="left" w:pos="1440"/>
        </w:tabs>
        <w:autoSpaceDE/>
        <w:autoSpaceDN/>
        <w:snapToGrid w:val="0"/>
        <w:spacing w:line="440" w:lineRule="exact"/>
        <w:rPr>
          <w:rFonts w:ascii="仿宋" w:hAnsi="仿宋" w:eastAsia="仿宋" w:cs="仿宋"/>
        </w:rPr>
      </w:pPr>
      <w:r>
        <w:rPr>
          <w:rFonts w:hint="eastAsia" w:ascii="仿宋" w:hAnsi="仿宋" w:eastAsia="仿宋" w:cs="仿宋"/>
        </w:rPr>
        <w:t>邮编：                              邮编</w:t>
      </w:r>
    </w:p>
    <w:p>
      <w:pPr>
        <w:widowControl/>
        <w:snapToGrid w:val="0"/>
        <w:spacing w:line="500" w:lineRule="exact"/>
        <w:jc w:val="left"/>
        <w:rPr>
          <w:rFonts w:ascii="仿宋" w:hAnsi="仿宋" w:eastAsia="仿宋" w:cs="仿宋"/>
          <w:color w:val="000000" w:themeColor="text1"/>
          <w14:textFill>
            <w14:solidFill>
              <w14:schemeClr w14:val="tx1"/>
            </w14:solidFill>
          </w14:textFill>
        </w:rPr>
      </w:pPr>
    </w:p>
    <w:p>
      <w:pPr>
        <w:spacing w:line="460" w:lineRule="exact"/>
        <w:jc w:val="center"/>
        <w:rPr>
          <w:rFonts w:ascii="仿宋" w:hAnsi="仿宋" w:eastAsia="仿宋" w:cs="仿宋"/>
          <w:b/>
          <w:bCs/>
          <w:color w:val="000000" w:themeColor="text1"/>
          <w:szCs w:val="22"/>
          <w14:textFill>
            <w14:solidFill>
              <w14:schemeClr w14:val="tx1"/>
            </w14:solidFill>
          </w14:textFill>
        </w:rPr>
        <w:sectPr>
          <w:footerReference r:id="rId5" w:type="default"/>
          <w:pgSz w:w="11906" w:h="16838"/>
          <w:pgMar w:top="1474" w:right="1287" w:bottom="1247" w:left="1417" w:header="851" w:footer="850" w:gutter="0"/>
          <w:pgNumType w:fmt="numberInDash"/>
          <w:cols w:space="0" w:num="1"/>
          <w:docGrid w:linePitch="312" w:charSpace="0"/>
        </w:sectPr>
      </w:pPr>
      <w:r>
        <w:rPr>
          <w:rFonts w:hint="eastAsia" w:ascii="仿宋" w:hAnsi="仿宋" w:eastAsia="仿宋" w:cs="仿宋"/>
          <w:b/>
          <w:bCs/>
          <w:color w:val="000000" w:themeColor="text1"/>
          <w:szCs w:val="22"/>
          <w14:textFill>
            <w14:solidFill>
              <w14:schemeClr w14:val="tx1"/>
            </w14:solidFill>
          </w14:textFill>
        </w:rPr>
        <w:t>（注释：本格式条款仅作为双方签订合同的参考，为阐明各方的权利和义务，经协商后可相应修改，但不得与招标文件、投标文件的实质性内容相背离。）</w:t>
      </w:r>
    </w:p>
    <w:p>
      <w:pPr>
        <w:jc w:val="center"/>
        <w:rPr>
          <w:rFonts w:ascii="仿宋" w:hAnsi="仿宋" w:eastAsia="仿宋" w:cs="仿宋"/>
          <w:b/>
          <w:bCs/>
          <w:color w:val="000000" w:themeColor="text1"/>
          <w:sz w:val="32"/>
          <w:szCs w:val="32"/>
          <w14:textFill>
            <w14:solidFill>
              <w14:schemeClr w14:val="tx1"/>
            </w14:solidFill>
          </w14:textFill>
        </w:rPr>
      </w:pPr>
    </w:p>
    <w:p>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第六章  投标文件格式及附件</w:t>
      </w:r>
    </w:p>
    <w:p>
      <w:pPr>
        <w:snapToGrid w:val="0"/>
        <w:spacing w:beforeLines="50" w:afterLines="50" w:line="560" w:lineRule="exact"/>
        <w:jc w:val="center"/>
        <w:rPr>
          <w:rFonts w:ascii="仿宋" w:hAnsi="仿宋" w:eastAsia="仿宋" w:cs="仿宋"/>
          <w:b/>
          <w:color w:val="000000" w:themeColor="text1"/>
          <w:szCs w:val="24"/>
          <w14:textFill>
            <w14:solidFill>
              <w14:schemeClr w14:val="tx1"/>
            </w14:solidFill>
          </w14:textFill>
        </w:rPr>
      </w:pPr>
    </w:p>
    <w:p>
      <w:pPr>
        <w:snapToGrid w:val="0"/>
        <w:spacing w:beforeLines="50" w:afterLines="50" w:line="560" w:lineRule="exact"/>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《资格文件》/《技术、商务资信文件》/《报价文件》封面格式</w:t>
      </w:r>
    </w:p>
    <w:p>
      <w:pPr>
        <w:snapToGrid w:val="0"/>
        <w:spacing w:line="560" w:lineRule="exact"/>
        <w:jc w:val="right"/>
        <w:rPr>
          <w:rFonts w:ascii="仿宋" w:hAnsi="仿宋" w:eastAsia="仿宋" w:cs="仿宋"/>
          <w:b/>
          <w:bCs/>
          <w:color w:val="000000" w:themeColor="text1"/>
          <w:szCs w:val="24"/>
          <w14:textFill>
            <w14:solidFill>
              <w14:schemeClr w14:val="tx1"/>
            </w14:solidFill>
          </w14:textFill>
        </w:rPr>
      </w:pPr>
    </w:p>
    <w:p>
      <w:pPr>
        <w:wordWrap w:val="0"/>
        <w:snapToGrid w:val="0"/>
        <w:spacing w:line="560" w:lineRule="exact"/>
        <w:jc w:val="righ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 xml:space="preserve">     正本或副本</w:t>
      </w:r>
    </w:p>
    <w:p>
      <w:pPr>
        <w:snapToGrid w:val="0"/>
        <w:spacing w:line="560" w:lineRule="exact"/>
        <w:jc w:val="center"/>
        <w:rPr>
          <w:rStyle w:val="34"/>
          <w:rFonts w:ascii="仿宋" w:hAnsi="仿宋" w:eastAsia="仿宋" w:cs="仿宋"/>
          <w:b/>
          <w:color w:val="000000" w:themeColor="text1"/>
          <w:sz w:val="22"/>
          <w:szCs w:val="22"/>
          <w14:textFill>
            <w14:solidFill>
              <w14:schemeClr w14:val="tx1"/>
            </w14:solidFill>
          </w14:textFill>
        </w:rPr>
      </w:pPr>
    </w:p>
    <w:p>
      <w:pPr>
        <w:snapToGrid w:val="0"/>
        <w:spacing w:afterLines="50"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湖州市南浔区文化和广电旅游体育局新增维护全民健身路径采购项目</w:t>
      </w:r>
    </w:p>
    <w:p>
      <w:pPr>
        <w:snapToGrid w:val="0"/>
        <w:spacing w:line="560" w:lineRule="exact"/>
        <w:ind w:firstLine="1980" w:firstLineChars="900"/>
        <w:rPr>
          <w:rFonts w:ascii="仿宋" w:hAnsi="仿宋" w:eastAsia="仿宋" w:cs="仿宋"/>
          <w:color w:val="000000" w:themeColor="text1"/>
          <w:sz w:val="22"/>
          <w:szCs w:val="22"/>
          <w14:textFill>
            <w14:solidFill>
              <w14:schemeClr w14:val="tx1"/>
            </w14:solidFill>
          </w14:textFill>
        </w:rPr>
      </w:pPr>
    </w:p>
    <w:p>
      <w:pPr>
        <w:snapToGrid w:val="0"/>
        <w:spacing w:line="560" w:lineRule="exact"/>
        <w:ind w:firstLine="1980" w:firstLineChars="900"/>
        <w:rPr>
          <w:rFonts w:ascii="仿宋" w:hAnsi="仿宋" w:eastAsia="仿宋" w:cs="仿宋"/>
          <w:color w:val="000000" w:themeColor="text1"/>
          <w:sz w:val="22"/>
          <w:szCs w:val="22"/>
          <w14:textFill>
            <w14:solidFill>
              <w14:schemeClr w14:val="tx1"/>
            </w14:solidFill>
          </w14:textFill>
        </w:rPr>
      </w:pPr>
    </w:p>
    <w:p>
      <w:pPr>
        <w:snapToGrid w:val="0"/>
        <w:spacing w:line="560" w:lineRule="exact"/>
        <w:ind w:firstLine="2160" w:firstLineChars="9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《资格文件》/《技术、商务资信文件》/《报价文件》</w:t>
      </w:r>
    </w:p>
    <w:p>
      <w:pPr>
        <w:snapToGrid w:val="0"/>
        <w:spacing w:line="560" w:lineRule="exact"/>
        <w:ind w:firstLine="1092" w:firstLineChars="455"/>
        <w:rPr>
          <w:rFonts w:ascii="仿宋" w:hAnsi="仿宋" w:eastAsia="仿宋" w:cs="仿宋"/>
          <w:bCs/>
          <w:color w:val="000000" w:themeColor="text1"/>
          <w:szCs w:val="24"/>
          <w14:textFill>
            <w14:solidFill>
              <w14:schemeClr w14:val="tx1"/>
            </w14:solidFill>
          </w14:textFill>
        </w:rPr>
      </w:pPr>
    </w:p>
    <w:p>
      <w:pPr>
        <w:snapToGrid w:val="0"/>
        <w:spacing w:line="560" w:lineRule="exact"/>
        <w:ind w:firstLine="1092" w:firstLineChars="455"/>
        <w:rPr>
          <w:rFonts w:ascii="仿宋" w:hAnsi="仿宋" w:eastAsia="仿宋" w:cs="仿宋"/>
          <w:bCs/>
          <w:color w:val="000000" w:themeColor="text1"/>
          <w:szCs w:val="24"/>
          <w14:textFill>
            <w14:solidFill>
              <w14:schemeClr w14:val="tx1"/>
            </w14:solidFill>
          </w14:textFill>
        </w:rPr>
      </w:pPr>
    </w:p>
    <w:p>
      <w:pPr>
        <w:snapToGrid w:val="0"/>
        <w:spacing w:beforeLines="50" w:afterLines="50" w:line="560" w:lineRule="exact"/>
        <w:ind w:firstLine="960" w:firstLineChars="4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项目名称：</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14:textFill>
            <w14:solidFill>
              <w14:schemeClr w14:val="tx1"/>
            </w14:solidFill>
          </w14:textFill>
        </w:rPr>
        <w:t xml:space="preserve"> </w:t>
      </w:r>
    </w:p>
    <w:p>
      <w:pPr>
        <w:snapToGrid w:val="0"/>
        <w:spacing w:beforeLines="50" w:afterLines="50" w:line="560" w:lineRule="exact"/>
        <w:ind w:firstLine="960" w:firstLineChars="400"/>
        <w:rPr>
          <w:rFonts w:ascii="仿宋" w:hAnsi="仿宋" w:eastAsia="仿宋" w:cs="仿宋"/>
          <w:bCs/>
          <w:color w:val="000000" w:themeColor="text1"/>
          <w:szCs w:val="24"/>
          <w:u w:val="single"/>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项目编号：</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Lines="50" w:afterLines="50" w:line="56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供应商名称（盖章）：</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Lines="50" w:afterLines="50" w:line="56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供应商地址：</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Lines="50" w:afterLines="50" w:line="560" w:lineRule="exact"/>
        <w:ind w:firstLine="960" w:firstLineChars="4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授权代表签名：</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Lines="50" w:afterLines="50" w:line="560" w:lineRule="exact"/>
        <w:ind w:firstLine="960" w:firstLineChars="4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14:textFill>
            <w14:solidFill>
              <w14:schemeClr w14:val="tx1"/>
            </w14:solidFill>
          </w14:textFill>
        </w:rPr>
        <w:t>年</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14:textFill>
            <w14:solidFill>
              <w14:schemeClr w14:val="tx1"/>
            </w14:solidFill>
          </w14:textFill>
        </w:rPr>
        <w:t>月</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14:textFill>
            <w14:solidFill>
              <w14:schemeClr w14:val="tx1"/>
            </w14:solidFill>
          </w14:textFill>
        </w:rPr>
        <w:t>日</w:t>
      </w:r>
    </w:p>
    <w:p>
      <w:pPr>
        <w:pStyle w:val="27"/>
        <w:spacing w:line="560" w:lineRule="exact"/>
        <w:ind w:left="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br w:type="page"/>
      </w:r>
    </w:p>
    <w:p>
      <w:pPr>
        <w:pStyle w:val="27"/>
        <w:spacing w:line="560" w:lineRule="exact"/>
        <w:ind w:left="480"/>
        <w:rPr>
          <w:rFonts w:ascii="仿宋" w:hAnsi="仿宋" w:eastAsia="仿宋" w:cs="仿宋"/>
          <w:color w:val="000000" w:themeColor="text1"/>
          <w:sz w:val="22"/>
          <w:szCs w:val="22"/>
          <w14:textFill>
            <w14:solidFill>
              <w14:schemeClr w14:val="tx1"/>
            </w14:solidFill>
          </w14:textFill>
        </w:rPr>
      </w:pP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1、资格文件（具体参考第三章投标须知“投标文件的组成”）</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2、技术、商务资信文件（具体参考第三章投标须知“投标文件的组成”）</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3、报价文件（具体参考第三章投标须知“投标文件的组成”）</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pStyle w:val="27"/>
        <w:spacing w:line="560" w:lineRule="exact"/>
        <w:ind w:left="480"/>
        <w:rPr>
          <w:rFonts w:ascii="仿宋" w:hAnsi="仿宋" w:eastAsia="仿宋" w:cs="仿宋"/>
          <w:b/>
          <w:color w:val="000000" w:themeColor="text1"/>
          <w:sz w:val="24"/>
          <w:szCs w:val="24"/>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color w:val="000000" w:themeColor="text1"/>
          <w:sz w:val="22"/>
          <w:szCs w:val="22"/>
          <w14:textFill>
            <w14:solidFill>
              <w14:schemeClr w14:val="tx1"/>
            </w14:solidFill>
          </w14:textFill>
        </w:rPr>
      </w:pPr>
    </w:p>
    <w:p>
      <w:pPr>
        <w:snapToGrid w:val="0"/>
        <w:spacing w:beforeLines="50" w:after="50" w:line="560" w:lineRule="exact"/>
        <w:rPr>
          <w:rFonts w:ascii="仿宋" w:hAnsi="仿宋" w:eastAsia="仿宋" w:cs="仿宋"/>
          <w:b/>
          <w:color w:val="000000" w:themeColor="text1"/>
          <w:szCs w:val="24"/>
          <w14:textFill>
            <w14:solidFill>
              <w14:schemeClr w14:val="tx1"/>
            </w14:solidFill>
          </w14:textFill>
        </w:rPr>
      </w:pPr>
    </w:p>
    <w:p>
      <w:pPr>
        <w:snapToGrid w:val="0"/>
        <w:spacing w:beforeLines="50" w:after="50" w:line="560" w:lineRule="exac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附件（资格文件部分）：</w:t>
      </w:r>
    </w:p>
    <w:p>
      <w:pPr>
        <w:snapToGrid w:val="0"/>
        <w:spacing w:beforeLines="50" w:after="50" w:line="560" w:lineRule="exact"/>
        <w:jc w:val="center"/>
        <w:rPr>
          <w:rFonts w:ascii="仿宋" w:hAnsi="仿宋" w:eastAsia="仿宋" w:cs="仿宋"/>
          <w:b/>
          <w:color w:val="000000" w:themeColor="text1"/>
          <w:sz w:val="22"/>
          <w:szCs w:val="22"/>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法定代表人有效身份证明书</w:t>
      </w:r>
    </w:p>
    <w:p>
      <w:pPr>
        <w:pStyle w:val="7"/>
        <w:spacing w:line="560" w:lineRule="exact"/>
        <w:ind w:firstLine="513" w:firstLineChars="156"/>
        <w:jc w:val="center"/>
        <w:rPr>
          <w:rFonts w:ascii="仿宋" w:hAnsi="仿宋" w:eastAsia="仿宋" w:cs="仿宋"/>
          <w:b/>
          <w:bCs/>
          <w:color w:val="000000" w:themeColor="text1"/>
          <w:spacing w:val="24"/>
          <w:sz w:val="28"/>
          <w:szCs w:val="28"/>
          <w14:textFill>
            <w14:solidFill>
              <w14:schemeClr w14:val="tx1"/>
            </w14:solidFill>
          </w14:textFill>
        </w:rPr>
      </w:pPr>
    </w:p>
    <w:p>
      <w:pPr>
        <w:pStyle w:val="7"/>
        <w:spacing w:line="560" w:lineRule="exact"/>
        <w:ind w:firstLine="513" w:firstLineChars="156"/>
        <w:jc w:val="center"/>
        <w:rPr>
          <w:rFonts w:ascii="仿宋" w:hAnsi="仿宋" w:eastAsia="仿宋" w:cs="仿宋"/>
          <w:b/>
          <w:bCs/>
          <w:color w:val="000000" w:themeColor="text1"/>
          <w:spacing w:val="24"/>
          <w:sz w:val="28"/>
          <w:szCs w:val="28"/>
          <w14:textFill>
            <w14:solidFill>
              <w14:schemeClr w14:val="tx1"/>
            </w14:solidFill>
          </w14:textFill>
        </w:rPr>
      </w:pPr>
    </w:p>
    <w:p>
      <w:pPr>
        <w:pStyle w:val="7"/>
        <w:spacing w:line="56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（姓名）是</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（单位全称）的法定代表人，身份证号码为</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w:t>
      </w:r>
    </w:p>
    <w:p>
      <w:pPr>
        <w:pStyle w:val="7"/>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特此证明。</w:t>
      </w:r>
    </w:p>
    <w:p>
      <w:pPr>
        <w:pStyle w:val="7"/>
        <w:spacing w:line="560" w:lineRule="exact"/>
        <w:ind w:firstLine="374" w:firstLineChars="156"/>
        <w:rPr>
          <w:rFonts w:ascii="仿宋" w:hAnsi="仿宋" w:eastAsia="仿宋" w:cs="仿宋"/>
          <w:color w:val="000000" w:themeColor="text1"/>
          <w:szCs w:val="24"/>
          <w14:textFill>
            <w14:solidFill>
              <w14:schemeClr w14:val="tx1"/>
            </w14:solidFill>
          </w14:textFill>
        </w:rPr>
      </w:pPr>
    </w:p>
    <w:p>
      <w:pPr>
        <w:pStyle w:val="7"/>
        <w:spacing w:line="560" w:lineRule="exact"/>
        <w:ind w:firstLine="374" w:firstLineChars="156"/>
        <w:rPr>
          <w:rFonts w:ascii="仿宋" w:hAnsi="仿宋" w:eastAsia="仿宋" w:cs="仿宋"/>
          <w:color w:val="000000" w:themeColor="text1"/>
          <w:szCs w:val="24"/>
          <w14:textFill>
            <w14:solidFill>
              <w14:schemeClr w14:val="tx1"/>
            </w14:solidFill>
          </w14:textFill>
        </w:rPr>
      </w:pPr>
    </w:p>
    <w:p>
      <w:pPr>
        <w:pStyle w:val="7"/>
        <w:spacing w:line="560" w:lineRule="exact"/>
        <w:ind w:firstLine="374" w:firstLineChars="156"/>
        <w:rPr>
          <w:rFonts w:ascii="仿宋" w:hAnsi="仿宋" w:eastAsia="仿宋" w:cs="仿宋"/>
          <w:color w:val="000000" w:themeColor="text1"/>
          <w:szCs w:val="24"/>
          <w14:textFill>
            <w14:solidFill>
              <w14:schemeClr w14:val="tx1"/>
            </w14:solidFill>
          </w14:textFill>
        </w:rPr>
      </w:pPr>
    </w:p>
    <w:p>
      <w:pPr>
        <w:pStyle w:val="7"/>
        <w:spacing w:line="560" w:lineRule="exact"/>
        <w:ind w:firstLine="374" w:firstLineChars="156"/>
        <w:rPr>
          <w:rFonts w:ascii="仿宋" w:hAnsi="仿宋" w:eastAsia="仿宋" w:cs="仿宋"/>
          <w:color w:val="000000" w:themeColor="text1"/>
          <w:szCs w:val="24"/>
          <w14:textFill>
            <w14:solidFill>
              <w14:schemeClr w14:val="tx1"/>
            </w14:solidFill>
          </w14:textFill>
        </w:rPr>
      </w:pPr>
    </w:p>
    <w:p>
      <w:pPr>
        <w:pStyle w:val="7"/>
        <w:spacing w:line="560" w:lineRule="exact"/>
        <w:ind w:firstLine="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（盖章）                     </w:t>
      </w:r>
    </w:p>
    <w:p>
      <w:pPr>
        <w:pStyle w:val="7"/>
        <w:spacing w:line="560" w:lineRule="exact"/>
        <w:ind w:firstLine="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法定代表人（签名或盖章）：</w:t>
      </w:r>
    </w:p>
    <w:p>
      <w:pPr>
        <w:pStyle w:val="7"/>
        <w:spacing w:line="560" w:lineRule="exact"/>
        <w:ind w:firstLine="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日期：    年   月   日</w:t>
      </w:r>
    </w:p>
    <w:p>
      <w:pPr>
        <w:pStyle w:val="7"/>
        <w:spacing w:line="560" w:lineRule="exact"/>
        <w:ind w:firstLine="374" w:firstLineChars="156"/>
        <w:jc w:val="center"/>
        <w:rPr>
          <w:rFonts w:ascii="仿宋" w:hAnsi="仿宋" w:eastAsia="仿宋" w:cs="仿宋"/>
          <w:color w:val="000000" w:themeColor="text1"/>
          <w:szCs w:val="24"/>
          <w14:textFill>
            <w14:solidFill>
              <w14:schemeClr w14:val="tx1"/>
            </w14:solidFill>
          </w14:textFill>
        </w:rPr>
      </w:pPr>
    </w:p>
    <w:p>
      <w:pPr>
        <w:pStyle w:val="7"/>
        <w:spacing w:line="560" w:lineRule="exact"/>
        <w:ind w:firstLine="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p>
    <w:p>
      <w:pPr>
        <w:pStyle w:val="7"/>
        <w:spacing w:line="560" w:lineRule="exact"/>
        <w:ind w:firstLine="374" w:firstLineChars="156"/>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有效身份证明复印件粘贴处</w:t>
      </w:r>
    </w:p>
    <w:p>
      <w:pPr>
        <w:pStyle w:val="7"/>
        <w:spacing w:line="560" w:lineRule="exact"/>
        <w:ind w:firstLine="343" w:firstLineChars="156"/>
        <w:jc w:val="center"/>
        <w:rPr>
          <w:rFonts w:ascii="仿宋" w:hAnsi="仿宋" w:eastAsia="仿宋" w:cs="仿宋"/>
          <w:color w:val="000000" w:themeColor="text1"/>
          <w:sz w:val="22"/>
          <w14:textFill>
            <w14:solidFill>
              <w14:schemeClr w14:val="tx1"/>
            </w14:solidFill>
          </w14:textFill>
        </w:rPr>
      </w:pPr>
    </w:p>
    <w:p>
      <w:pPr>
        <w:pStyle w:val="7"/>
        <w:spacing w:line="560" w:lineRule="exact"/>
        <w:ind w:firstLine="0"/>
        <w:rPr>
          <w:rFonts w:ascii="仿宋" w:hAnsi="仿宋" w:eastAsia="仿宋" w:cs="仿宋"/>
          <w:b/>
          <w:bCs/>
          <w:color w:val="000000" w:themeColor="text1"/>
          <w:spacing w:val="24"/>
          <w:sz w:val="30"/>
          <w:szCs w:val="30"/>
          <w14:textFill>
            <w14:solidFill>
              <w14:schemeClr w14:val="tx1"/>
            </w14:solidFill>
          </w14:textFill>
        </w:rPr>
        <w:sectPr>
          <w:pgSz w:w="11906" w:h="16838"/>
          <w:pgMar w:top="1474" w:right="1361" w:bottom="1417" w:left="1361" w:header="737" w:footer="737" w:gutter="0"/>
          <w:pgNumType w:fmt="numberInDash"/>
          <w:cols w:space="0" w:num="1"/>
          <w:docGrid w:linePitch="312" w:charSpace="0"/>
        </w:sect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法定代表人授权委托书</w:t>
      </w:r>
    </w:p>
    <w:p>
      <w:pPr>
        <w:snapToGrid w:val="0"/>
        <w:spacing w:beforeLines="50" w:after="50" w:line="560" w:lineRule="exact"/>
        <w:rPr>
          <w:rFonts w:ascii="仿宋" w:hAnsi="仿宋" w:eastAsia="仿宋" w:cs="仿宋"/>
          <w:bCs/>
          <w:color w:val="000000" w:themeColor="text1"/>
          <w:sz w:val="22"/>
          <w:szCs w:val="22"/>
          <w14:textFill>
            <w14:solidFill>
              <w14:schemeClr w14:val="tx1"/>
            </w14:solidFill>
          </w14:textFill>
        </w:rPr>
      </w:pPr>
    </w:p>
    <w:p>
      <w:pPr>
        <w:snapToGrid w:val="0"/>
        <w:spacing w:beforeLines="50" w:after="50" w:line="560" w:lineRule="exact"/>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致：</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（招标采购单位名称）：</w:t>
      </w:r>
    </w:p>
    <w:p>
      <w:pPr>
        <w:snapToGrid w:val="0"/>
        <w:spacing w:beforeLines="50" w:after="50" w:line="560" w:lineRule="exact"/>
        <w:ind w:firstLine="660" w:firstLineChars="3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我</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（姓名）系</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（供应商名称）的法定代表人，现授权委托本单位在职职工</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（姓名）以我方的名义参加</w:t>
      </w:r>
      <w:r>
        <w:rPr>
          <w:rFonts w:hint="eastAsia" w:ascii="仿宋" w:hAnsi="仿宋" w:eastAsia="仿宋" w:cs="仿宋"/>
          <w:color w:val="000000" w:themeColor="text1"/>
          <w:sz w:val="22"/>
          <w:szCs w:val="22"/>
          <w:u w:val="single"/>
          <w14:textFill>
            <w14:solidFill>
              <w14:schemeClr w14:val="tx1"/>
            </w14:solidFill>
          </w14:textFill>
        </w:rPr>
        <w:t>(项目名称)</w:t>
      </w: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的投标活动，并代表我方全权办理针对上述项目的投标、开标、评标、签约等具体事务和签署相关文件。</w:t>
      </w:r>
    </w:p>
    <w:p>
      <w:pPr>
        <w:snapToGrid w:val="0"/>
        <w:spacing w:beforeLines="50" w:after="50" w:line="5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我方对被授权人的签名事项负全部责任。</w:t>
      </w:r>
    </w:p>
    <w:p>
      <w:pPr>
        <w:snapToGrid w:val="0"/>
        <w:spacing w:beforeLines="50" w:after="50" w:line="560" w:lineRule="exact"/>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u w:val="single"/>
          <w14:textFill>
            <w14:solidFill>
              <w14:schemeClr w14:val="tx1"/>
            </w14:solidFill>
          </w14:textFill>
        </w:rPr>
        <w:t>在撤销授权的书面通知以前，本授权书一直有效。</w:t>
      </w:r>
      <w:r>
        <w:rPr>
          <w:rFonts w:hint="eastAsia" w:ascii="仿宋" w:hAnsi="仿宋" w:eastAsia="仿宋" w:cs="仿宋"/>
          <w:color w:val="000000" w:themeColor="text1"/>
          <w:sz w:val="22"/>
          <w:szCs w:val="22"/>
          <w14:textFill>
            <w14:solidFill>
              <w14:schemeClr w14:val="tx1"/>
            </w14:solidFill>
          </w14:textFill>
        </w:rPr>
        <w:t>被授权人在授权书有效期内签署的所有文件不因授权的撤销而失效。</w:t>
      </w:r>
    </w:p>
    <w:p>
      <w:pPr>
        <w:snapToGrid w:val="0"/>
        <w:spacing w:beforeLines="50" w:after="50" w:line="560" w:lineRule="exact"/>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被授权人无转委托权，特此委托。</w:t>
      </w:r>
    </w:p>
    <w:p>
      <w:pPr>
        <w:spacing w:line="480" w:lineRule="auto"/>
        <w:ind w:left="2699"/>
        <w:rPr>
          <w:rFonts w:ascii="仿宋" w:hAnsi="仿宋" w:eastAsia="仿宋" w:cs="仿宋"/>
          <w:color w:val="000000" w:themeColor="text1"/>
          <w:sz w:val="22"/>
          <w:szCs w:val="22"/>
          <w14:textFill>
            <w14:solidFill>
              <w14:schemeClr w14:val="tx1"/>
            </w14:solidFill>
          </w14:textFill>
        </w:rPr>
      </w:pPr>
    </w:p>
    <w:p>
      <w:pPr>
        <w:spacing w:line="480" w:lineRule="auto"/>
        <w:ind w:left="2699"/>
        <w:rPr>
          <w:rFonts w:ascii="仿宋" w:hAnsi="仿宋" w:eastAsia="仿宋" w:cs="仿宋"/>
          <w:color w:val="000000" w:themeColor="text1"/>
          <w:sz w:val="22"/>
          <w:szCs w:val="22"/>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授权代理人：</w:t>
      </w:r>
      <w:r>
        <w:rPr>
          <w:rFonts w:hint="eastAsia" w:ascii="仿宋" w:hAnsi="仿宋" w:eastAsia="仿宋" w:cs="仿宋"/>
          <w:color w:val="000000" w:themeColor="text1"/>
          <w:sz w:val="22"/>
          <w:szCs w:val="22"/>
          <w:u w:val="single"/>
          <w14:textFill>
            <w14:solidFill>
              <w14:schemeClr w14:val="tx1"/>
            </w14:solidFill>
          </w14:textFill>
        </w:rPr>
        <w:t xml:space="preserve">                     （签字）  </w:t>
      </w:r>
    </w:p>
    <w:p>
      <w:pPr>
        <w:spacing w:line="480" w:lineRule="auto"/>
        <w:ind w:left="2699"/>
        <w:rPr>
          <w:rFonts w:ascii="仿宋" w:hAnsi="仿宋" w:eastAsia="仿宋" w:cs="仿宋"/>
          <w:color w:val="000000" w:themeColor="text1"/>
          <w:sz w:val="22"/>
          <w:szCs w:val="22"/>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身份证号码：</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pacing w:line="480" w:lineRule="auto"/>
        <w:ind w:left="2699"/>
        <w:rPr>
          <w:rFonts w:hint="default" w:ascii="仿宋" w:hAnsi="仿宋" w:eastAsia="仿宋" w:cs="仿宋"/>
          <w:color w:val="000000" w:themeColor="text1"/>
          <w:sz w:val="22"/>
          <w:szCs w:val="22"/>
          <w:u w:val="single"/>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职务：</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p>
    <w:p>
      <w:pPr>
        <w:spacing w:line="480" w:lineRule="auto"/>
        <w:ind w:left="2699"/>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w:t>
      </w:r>
      <w:r>
        <w:rPr>
          <w:rFonts w:hint="eastAsia" w:ascii="仿宋" w:hAnsi="仿宋" w:eastAsia="仿宋" w:cs="仿宋"/>
          <w:color w:val="000000" w:themeColor="text1"/>
          <w:sz w:val="22"/>
          <w:szCs w:val="22"/>
          <w:u w:val="single"/>
          <w14:textFill>
            <w14:solidFill>
              <w14:schemeClr w14:val="tx1"/>
            </w14:solidFill>
          </w14:textFill>
        </w:rPr>
        <w:t xml:space="preserve">                            （盖章）</w:t>
      </w:r>
    </w:p>
    <w:p>
      <w:pPr>
        <w:spacing w:line="480" w:lineRule="auto"/>
        <w:jc w:val="center"/>
        <w:rPr>
          <w:rFonts w:ascii="仿宋" w:hAnsi="仿宋" w:eastAsia="仿宋" w:cs="仿宋"/>
          <w:color w:val="000000" w:themeColor="text1"/>
          <w:sz w:val="22"/>
          <w:szCs w:val="22"/>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法定代表人：</w:t>
      </w:r>
      <w:r>
        <w:rPr>
          <w:rFonts w:hint="eastAsia" w:ascii="仿宋" w:hAnsi="仿宋" w:eastAsia="仿宋" w:cs="仿宋"/>
          <w:color w:val="000000" w:themeColor="text1"/>
          <w:sz w:val="22"/>
          <w:szCs w:val="22"/>
          <w:u w:val="single"/>
          <w14:textFill>
            <w14:solidFill>
              <w14:schemeClr w14:val="tx1"/>
            </w14:solidFill>
          </w14:textFill>
        </w:rPr>
        <w:t xml:space="preserve">                  （签名或盖章）</w:t>
      </w:r>
    </w:p>
    <w:p>
      <w:pPr>
        <w:pStyle w:val="7"/>
        <w:spacing w:line="560" w:lineRule="exact"/>
        <w:ind w:firstLine="343" w:firstLineChars="156"/>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p>
    <w:p>
      <w:pPr>
        <w:pStyle w:val="7"/>
        <w:spacing w:line="560" w:lineRule="exact"/>
        <w:ind w:firstLine="343" w:firstLineChars="156"/>
        <w:jc w:val="center"/>
        <w:rPr>
          <w:rFonts w:ascii="仿宋" w:hAnsi="仿宋" w:eastAsia="仿宋" w:cs="仿宋"/>
          <w:color w:val="000000" w:themeColor="text1"/>
          <w:sz w:val="22"/>
          <w14:textFill>
            <w14:solidFill>
              <w14:schemeClr w14:val="tx1"/>
            </w14:solidFill>
          </w14:textFill>
        </w:rPr>
      </w:pPr>
    </w:p>
    <w:p>
      <w:pPr>
        <w:pStyle w:val="7"/>
        <w:spacing w:line="560" w:lineRule="exact"/>
        <w:ind w:firstLine="343" w:firstLineChars="156"/>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授权代理人有效身份证明复印件粘贴处</w:t>
      </w:r>
    </w:p>
    <w:p>
      <w:pPr>
        <w:snapToGrid w:val="0"/>
        <w:spacing w:beforeLines="50" w:after="50" w:line="560" w:lineRule="exact"/>
        <w:rPr>
          <w:rFonts w:ascii="仿宋" w:hAnsi="仿宋" w:eastAsia="仿宋" w:cs="仿宋"/>
          <w:color w:val="000000" w:themeColor="text1"/>
          <w:sz w:val="22"/>
          <w:szCs w:val="22"/>
          <w14:textFill>
            <w14:solidFill>
              <w14:schemeClr w14:val="tx1"/>
            </w14:solidFill>
          </w14:textFill>
        </w:rPr>
      </w:pPr>
    </w:p>
    <w:p>
      <w:pPr>
        <w:snapToGrid w:val="0"/>
        <w:spacing w:beforeLines="50" w:after="50" w:line="5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年    月    日</w:t>
      </w:r>
    </w:p>
    <w:p>
      <w:pPr>
        <w:tabs>
          <w:tab w:val="left" w:pos="1650"/>
        </w:tabs>
        <w:spacing w:line="560" w:lineRule="exact"/>
        <w:jc w:val="center"/>
        <w:rPr>
          <w:rFonts w:ascii="仿宋" w:hAnsi="仿宋" w:eastAsia="仿宋" w:cs="仿宋"/>
          <w:color w:val="000000" w:themeColor="text1"/>
          <w:sz w:val="32"/>
          <w:szCs w:val="32"/>
          <w14:textFill>
            <w14:solidFill>
              <w14:schemeClr w14:val="tx1"/>
            </w14:solidFill>
          </w14:textFill>
        </w:rPr>
        <w:sectPr>
          <w:footerReference r:id="rId8" w:type="first"/>
          <w:headerReference r:id="rId6" w:type="default"/>
          <w:footerReference r:id="rId7" w:type="default"/>
          <w:pgSz w:w="11906" w:h="16838"/>
          <w:pgMar w:top="1474" w:right="1361" w:bottom="1417" w:left="1361" w:header="737" w:footer="737" w:gutter="0"/>
          <w:pgNumType w:fmt="numberInDash"/>
          <w:cols w:space="0" w:num="1"/>
          <w:docGrid w:linePitch="312" w:charSpace="0"/>
        </w:sectPr>
      </w:pPr>
    </w:p>
    <w:p>
      <w:pPr>
        <w:tabs>
          <w:tab w:val="left" w:pos="1650"/>
        </w:tabs>
        <w:spacing w:line="560" w:lineRule="exact"/>
        <w:jc w:val="center"/>
        <w:rPr>
          <w:rFonts w:ascii="仿宋" w:hAnsi="仿宋" w:eastAsia="仿宋" w:cs="仿宋"/>
          <w:b/>
          <w:bCs/>
          <w:color w:val="000000" w:themeColor="text1"/>
          <w:sz w:val="28"/>
          <w:szCs w:val="28"/>
          <w14:textFill>
            <w14:solidFill>
              <w14:schemeClr w14:val="tx1"/>
            </w14:solidFill>
          </w14:textFill>
        </w:rPr>
      </w:pPr>
    </w:p>
    <w:p>
      <w:pPr>
        <w:tabs>
          <w:tab w:val="left" w:pos="1650"/>
        </w:tabs>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信用承诺书</w:t>
      </w:r>
    </w:p>
    <w:p>
      <w:pPr>
        <w:tabs>
          <w:tab w:val="left" w:pos="1650"/>
        </w:tabs>
        <w:spacing w:line="560" w:lineRule="exact"/>
        <w:rPr>
          <w:rFonts w:ascii="仿宋" w:hAnsi="仿宋" w:eastAsia="仿宋" w:cs="仿宋"/>
          <w:color w:val="000000" w:themeColor="text1"/>
          <w:sz w:val="44"/>
          <w:szCs w:val="44"/>
          <w14:textFill>
            <w14:solidFill>
              <w14:schemeClr w14:val="tx1"/>
            </w14:solidFill>
          </w14:textFill>
        </w:rPr>
      </w:pPr>
    </w:p>
    <w:p>
      <w:pPr>
        <w:pStyle w:val="13"/>
        <w:ind w:left="480"/>
        <w:rPr>
          <w:rFonts w:ascii="仿宋" w:hAnsi="仿宋" w:eastAsia="仿宋" w:cs="仿宋"/>
          <w:color w:val="000000" w:themeColor="text1"/>
          <w14:textFill>
            <w14:solidFill>
              <w14:schemeClr w14:val="tx1"/>
            </w14:solidFill>
          </w14:textFill>
        </w:rPr>
      </w:pPr>
    </w:p>
    <w:p>
      <w:pPr>
        <w:tabs>
          <w:tab w:val="left" w:pos="1650"/>
        </w:tabs>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（投标单位）现参加</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（采购项目）政府采购活动，郑重承诺如下：</w:t>
      </w:r>
    </w:p>
    <w:p>
      <w:pPr>
        <w:tabs>
          <w:tab w:val="left" w:pos="1650"/>
        </w:tabs>
        <w:spacing w:line="560" w:lineRule="exact"/>
        <w:ind w:firstLine="63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对所提供的资料合法性、真实性、准确性和有效性负责；</w:t>
      </w:r>
    </w:p>
    <w:p>
      <w:pPr>
        <w:tabs>
          <w:tab w:val="left" w:pos="1650"/>
        </w:tabs>
        <w:spacing w:line="560" w:lineRule="exact"/>
        <w:ind w:firstLine="63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仿宋" w:hAnsi="仿宋" w:eastAsia="仿宋" w:cs="仿宋"/>
          <w:color w:val="000000" w:themeColor="text1"/>
          <w:u w:val="single"/>
          <w14:textFill>
            <w14:solidFill>
              <w14:schemeClr w14:val="tx1"/>
            </w14:solidFill>
          </w14:textFill>
        </w:rPr>
      </w:pPr>
    </w:p>
    <w:p>
      <w:pPr>
        <w:tabs>
          <w:tab w:val="left" w:pos="1650"/>
        </w:tabs>
        <w:spacing w:line="560" w:lineRule="exact"/>
        <w:rPr>
          <w:rFonts w:ascii="仿宋" w:hAnsi="仿宋" w:eastAsia="仿宋" w:cs="仿宋"/>
          <w:color w:val="000000" w:themeColor="text1"/>
          <w:u w:val="single"/>
          <w14:textFill>
            <w14:solidFill>
              <w14:schemeClr w14:val="tx1"/>
            </w14:solidFill>
          </w14:textFill>
        </w:rPr>
      </w:pPr>
    </w:p>
    <w:p>
      <w:pPr>
        <w:pStyle w:val="51"/>
        <w:spacing w:before="0" w:beforeAutospacing="0" w:after="0" w:afterAutospacing="0" w:line="560" w:lineRule="exact"/>
        <w:ind w:firstLine="600" w:firstLineChars="250"/>
        <w:rPr>
          <w:rFonts w:ascii="仿宋" w:hAnsi="仿宋" w:eastAsia="仿宋" w:cs="仿宋"/>
          <w:color w:val="000000" w:themeColor="text1"/>
          <w:spacing w:val="-7"/>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统一社会信用代码：</w:t>
      </w:r>
      <w:r>
        <w:rPr>
          <w:rFonts w:hint="eastAsia" w:ascii="仿宋" w:hAnsi="仿宋" w:eastAsia="仿宋" w:cs="仿宋"/>
          <w:bCs/>
          <w:color w:val="000000" w:themeColor="text1"/>
          <w:szCs w:val="24"/>
          <w:u w:val="single"/>
          <w14:textFill>
            <w14:solidFill>
              <w14:schemeClr w14:val="tx1"/>
            </w14:solidFill>
          </w14:textFill>
        </w:rPr>
        <w:t xml:space="preserve">                     </w:t>
      </w:r>
    </w:p>
    <w:p>
      <w:pPr>
        <w:pStyle w:val="51"/>
        <w:spacing w:before="0" w:beforeAutospacing="0" w:after="0" w:afterAutospacing="0" w:line="560" w:lineRule="exact"/>
        <w:rPr>
          <w:rFonts w:ascii="仿宋" w:hAnsi="仿宋" w:eastAsia="仿宋" w:cs="仿宋"/>
          <w:color w:val="000000" w:themeColor="text1"/>
          <w14:textFill>
            <w14:solidFill>
              <w14:schemeClr w14:val="tx1"/>
            </w14:solidFill>
          </w14:textFill>
        </w:rPr>
      </w:pPr>
    </w:p>
    <w:p>
      <w:pPr>
        <w:pStyle w:val="51"/>
        <w:spacing w:before="0" w:beforeAutospacing="0" w:after="0" w:afterAutospacing="0" w:line="560" w:lineRule="exact"/>
        <w:ind w:firstLine="3240" w:firstLineChars="135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承诺单位/个人（盖章/签名）</w:t>
      </w:r>
    </w:p>
    <w:p>
      <w:pPr>
        <w:spacing w:line="56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时间：   年  月  日</w:t>
      </w:r>
    </w:p>
    <w:p>
      <w:pPr>
        <w:rPr>
          <w:rFonts w:ascii="仿宋" w:hAnsi="仿宋" w:eastAsia="仿宋" w:cs="仿宋"/>
          <w:color w:val="000000" w:themeColor="text1"/>
          <w14:textFill>
            <w14:solidFill>
              <w14:schemeClr w14:val="tx1"/>
            </w14:solidFill>
          </w14:textFill>
        </w:rPr>
      </w:pPr>
    </w:p>
    <w:p>
      <w:pPr>
        <w:snapToGrid w:val="0"/>
        <w:spacing w:beforeLines="50" w:after="50" w:line="560" w:lineRule="exact"/>
        <w:jc w:val="center"/>
        <w:rPr>
          <w:rFonts w:ascii="仿宋" w:hAnsi="仿宋" w:eastAsia="仿宋" w:cs="仿宋"/>
          <w:color w:val="000000" w:themeColor="text1"/>
          <w:sz w:val="22"/>
          <w:szCs w:val="22"/>
          <w14:textFill>
            <w14:solidFill>
              <w14:schemeClr w14:val="tx1"/>
            </w14:solidFill>
          </w14:textFill>
        </w:rPr>
      </w:pPr>
    </w:p>
    <w:p>
      <w:pPr>
        <w:snapToGrid w:val="0"/>
        <w:spacing w:beforeLines="50" w:after="50" w:line="560" w:lineRule="exact"/>
        <w:jc w:val="center"/>
        <w:rPr>
          <w:rFonts w:ascii="仿宋" w:hAnsi="仿宋" w:eastAsia="仿宋" w:cs="仿宋"/>
          <w:color w:val="000000" w:themeColor="text1"/>
          <w:sz w:val="22"/>
          <w:szCs w:val="22"/>
          <w14:textFill>
            <w14:solidFill>
              <w14:schemeClr w14:val="tx1"/>
            </w14:solidFill>
          </w14:textFill>
        </w:rPr>
      </w:pPr>
    </w:p>
    <w:p>
      <w:pPr>
        <w:snapToGrid w:val="0"/>
        <w:spacing w:before="50" w:afterLines="50" w:line="560" w:lineRule="exact"/>
        <w:jc w:val="left"/>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附件（</w:t>
      </w:r>
      <w:r>
        <w:rPr>
          <w:rFonts w:hint="eastAsia" w:ascii="仿宋" w:hAnsi="仿宋" w:eastAsia="仿宋" w:cs="仿宋"/>
          <w:b/>
          <w:color w:val="000000" w:themeColor="text1"/>
          <w:szCs w:val="24"/>
          <w14:textFill>
            <w14:solidFill>
              <w14:schemeClr w14:val="tx1"/>
            </w14:solidFill>
          </w14:textFill>
        </w:rPr>
        <w:t>技术、商务资信文件</w:t>
      </w:r>
      <w:r>
        <w:rPr>
          <w:rFonts w:hint="eastAsia" w:ascii="仿宋" w:hAnsi="仿宋" w:eastAsia="仿宋" w:cs="仿宋"/>
          <w:b/>
          <w:bCs/>
          <w:color w:val="000000" w:themeColor="text1"/>
          <w:szCs w:val="24"/>
          <w14:textFill>
            <w14:solidFill>
              <w14:schemeClr w14:val="tx1"/>
            </w14:solidFill>
          </w14:textFill>
        </w:rPr>
        <w:t>）</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评分索引表</w:t>
      </w:r>
    </w:p>
    <w:p>
      <w:pPr>
        <w:snapToGrid w:val="0"/>
        <w:spacing w:before="50"/>
        <w:jc w:val="center"/>
        <w:rPr>
          <w:rFonts w:ascii="仿宋" w:hAnsi="仿宋" w:eastAsia="仿宋" w:cs="仿宋"/>
          <w:b/>
          <w:color w:val="000000" w:themeColor="text1"/>
          <w:sz w:val="32"/>
          <w:szCs w:val="32"/>
          <w14:textFill>
            <w14:solidFill>
              <w14:schemeClr w14:val="tx1"/>
            </w14:solidFill>
          </w14:textFill>
        </w:rPr>
      </w:pPr>
    </w:p>
    <w:p>
      <w:pPr>
        <w:pStyle w:val="8"/>
        <w:snapToGrid w:val="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供应商全称（公章）：              </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投标文件对应资料</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自评分</w:t>
            </w:r>
          </w:p>
        </w:tc>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对应技术商务资信评分标准</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themeColor="text1"/>
                <w:sz w:val="22"/>
                <w:szCs w:val="22"/>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000000" w:themeColor="text1"/>
                <w:sz w:val="22"/>
                <w:szCs w:val="22"/>
                <w14:textFill>
                  <w14:solidFill>
                    <w14:schemeClr w14:val="tx1"/>
                  </w14:solidFill>
                </w14:textFill>
              </w:rPr>
            </w:pPr>
          </w:p>
        </w:tc>
      </w:tr>
    </w:tbl>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日期：          年        月        日</w:t>
      </w: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投标声明书</w:t>
      </w:r>
    </w:p>
    <w:p>
      <w:pPr>
        <w:snapToGrid w:val="0"/>
        <w:spacing w:beforeLines="50" w:after="50" w:line="56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致：</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（招标采购单位名称）：</w:t>
      </w:r>
    </w:p>
    <w:p>
      <w:pPr>
        <w:snapToGrid w:val="0"/>
        <w:spacing w:beforeLines="50" w:after="50" w:line="560" w:lineRule="exact"/>
        <w:ind w:firstLine="720" w:firstLineChars="3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（供应商名称）系中华人民共和国合法企业，经营地址</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w:t>
      </w:r>
    </w:p>
    <w:p>
      <w:pPr>
        <w:snapToGrid w:val="0"/>
        <w:spacing w:beforeLines="50" w:after="50"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我</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（姓名）系</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（供应商名称）的法定代表人，我方愿意参加贵方组织的</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项目的投标，为便于贵方公正、择优地确定中标人及其投标货物及服务，我方就本次投标有关事项郑重声明如下：</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1.我方向贵方提交的所有投标文件、资料都是准确的和真实的。</w:t>
      </w:r>
    </w:p>
    <w:p>
      <w:pPr>
        <w:snapToGrid w:val="0"/>
        <w:spacing w:beforeLines="50"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2.我方不是采购人的附属机构；在获知本项目采购信息后，与采购人聘请的为此项目提供咨询服务的公司及其附属机构没有任何联系。</w:t>
      </w:r>
    </w:p>
    <w:p>
      <w:pPr>
        <w:pStyle w:val="13"/>
        <w:numPr>
          <w:ilvl w:val="255"/>
          <w:numId w:val="0"/>
        </w:numPr>
        <w:tabs>
          <w:tab w:val="left" w:pos="0"/>
          <w:tab w:val="left" w:pos="993"/>
          <w:tab w:val="left" w:pos="1134"/>
        </w:tabs>
        <w:snapToGrid w:val="0"/>
        <w:spacing w:line="560" w:lineRule="exact"/>
        <w:ind w:firstLine="480" w:firstLineChars="200"/>
        <w:rPr>
          <w:rFonts w:ascii="仿宋" w:hAnsi="仿宋" w:eastAsia="仿宋" w:cs="仿宋"/>
          <w:color w:val="000000" w:themeColor="text1"/>
          <w:szCs w:val="24"/>
          <w:u w:val="single"/>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3.我方及由本人担任法定代表人的其他机构最近三年内被通报或者被处罚的违法行为有：</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4.以上事项如有虚假或隐瞒，我方愿意承担一切后果，并不再寻求任何旨在减轻或免除法律责任的辩解。</w:t>
      </w:r>
    </w:p>
    <w:p>
      <w:pPr>
        <w:snapToGrid w:val="0"/>
        <w:spacing w:beforeLines="50"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法定代表人或其授权委托人（签字）： </w:t>
      </w:r>
    </w:p>
    <w:p>
      <w:pPr>
        <w:snapToGrid w:val="0"/>
        <w:spacing w:beforeLines="50" w:after="50" w:line="560" w:lineRule="exact"/>
        <w:rPr>
          <w:rFonts w:ascii="仿宋" w:hAnsi="仿宋" w:eastAsia="仿宋" w:cs="仿宋"/>
          <w:b/>
          <w:color w:val="000000" w:themeColor="text1"/>
          <w:szCs w:val="24"/>
          <w14:textFill>
            <w14:solidFill>
              <w14:schemeClr w14:val="tx1"/>
            </w14:solidFill>
          </w14:textFill>
        </w:rPr>
        <w:sectPr>
          <w:footerReference r:id="rId10" w:type="first"/>
          <w:footerReference r:id="rId9" w:type="default"/>
          <w:pgSz w:w="11906" w:h="16838"/>
          <w:pgMar w:top="1474" w:right="1361" w:bottom="1417" w:left="1361" w:header="737" w:footer="737" w:gutter="0"/>
          <w:pgNumType w:fmt="numberInDash"/>
          <w:cols w:space="0" w:num="1"/>
          <w:docGrid w:linePitch="312" w:charSpace="0"/>
        </w:sectPr>
      </w:pPr>
      <w:r>
        <w:rPr>
          <w:rFonts w:hint="eastAsia" w:ascii="仿宋" w:hAnsi="仿宋" w:eastAsia="仿宋" w:cs="仿宋"/>
          <w:color w:val="000000" w:themeColor="text1"/>
          <w:szCs w:val="24"/>
          <w14:textFill>
            <w14:solidFill>
              <w14:schemeClr w14:val="tx1"/>
            </w14:solidFill>
          </w14:textFill>
        </w:rPr>
        <w:t>供应商公章：</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                      年    月    日</w:t>
      </w: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供应商基本情况一览表</w:t>
      </w:r>
    </w:p>
    <w:p>
      <w:pPr>
        <w:pStyle w:val="12"/>
        <w:ind w:firstLine="240"/>
        <w:rPr>
          <w:color w:val="000000" w:themeColor="text1"/>
          <w14:textFill>
            <w14:solidFill>
              <w14:schemeClr w14:val="tx1"/>
            </w14:solidFill>
          </w14:textFill>
        </w:rPr>
      </w:pPr>
    </w:p>
    <w:tbl>
      <w:tblPr>
        <w:tblStyle w:val="30"/>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单位名称</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企业代码</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经营地址</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企业法人</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经济类型</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授权代表</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公司成立时间</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公司联系电话、传真</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职工总人数</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资产总额</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固定资产净值</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负债总额</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09" w:type="dxa"/>
            <w:vAlign w:val="center"/>
          </w:tcPr>
          <w:p>
            <w:pPr>
              <w:spacing w:line="560" w:lineRule="exact"/>
              <w:jc w:val="center"/>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所有者权益总额</w:t>
            </w:r>
          </w:p>
        </w:tc>
        <w:tc>
          <w:tcPr>
            <w:tcW w:w="5890" w:type="dxa"/>
          </w:tcPr>
          <w:p>
            <w:pPr>
              <w:spacing w:line="560" w:lineRule="exact"/>
              <w:jc w:val="center"/>
              <w:rPr>
                <w:rFonts w:ascii="仿宋" w:hAnsi="仿宋" w:eastAsia="仿宋" w:cs="仿宋"/>
                <w:bCs/>
                <w:color w:val="000000" w:themeColor="text1"/>
                <w:szCs w:val="24"/>
                <w14:textFill>
                  <w14:solidFill>
                    <w14:schemeClr w14:val="tx1"/>
                  </w14:solidFill>
                </w14:textFill>
              </w:rPr>
            </w:pPr>
          </w:p>
        </w:tc>
      </w:tr>
    </w:tbl>
    <w:p>
      <w:pPr>
        <w:snapToGrid w:val="0"/>
        <w:spacing w:beforeLines="50" w:line="360" w:lineRule="auto"/>
        <w:rPr>
          <w:rFonts w:ascii="仿宋" w:hAnsi="仿宋" w:eastAsia="仿宋" w:cs="仿宋"/>
          <w:color w:val="000000" w:themeColor="text1"/>
          <w:szCs w:val="24"/>
          <w14:textFill>
            <w14:solidFill>
              <w14:schemeClr w14:val="tx1"/>
            </w14:solidFill>
          </w14:textFill>
        </w:rPr>
      </w:pPr>
    </w:p>
    <w:p>
      <w:pPr>
        <w:snapToGrid w:val="0"/>
        <w:spacing w:beforeLines="50"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日期：          年        月        日</w:t>
      </w: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p>
    <w:p>
      <w:pPr>
        <w:pStyle w:val="12"/>
        <w:ind w:firstLine="240"/>
        <w:rPr>
          <w:color w:val="000000" w:themeColor="text1"/>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技术响应表</w:t>
      </w:r>
    </w:p>
    <w:p>
      <w:pPr>
        <w:snapToGrid w:val="0"/>
        <w:spacing w:before="50" w:afterLines="50"/>
        <w:rPr>
          <w:rFonts w:ascii="仿宋" w:hAnsi="仿宋" w:eastAsia="仿宋" w:cs="仿宋"/>
          <w:b/>
          <w:color w:val="000000" w:themeColor="text1"/>
          <w:szCs w:val="28"/>
          <w14:textFill>
            <w14:solidFill>
              <w14:schemeClr w14:val="tx1"/>
            </w14:solidFill>
          </w14:textFill>
        </w:rPr>
      </w:pPr>
    </w:p>
    <w:tbl>
      <w:tblPr>
        <w:tblStyle w:val="30"/>
        <w:tblW w:w="0" w:type="auto"/>
        <w:tblInd w:w="91" w:type="dxa"/>
        <w:tblLayout w:type="fixed"/>
        <w:tblCellMar>
          <w:top w:w="0" w:type="dxa"/>
          <w:left w:w="108" w:type="dxa"/>
          <w:bottom w:w="0" w:type="dxa"/>
          <w:right w:w="108" w:type="dxa"/>
        </w:tblCellMar>
      </w:tblPr>
      <w:tblGrid>
        <w:gridCol w:w="3858"/>
        <w:gridCol w:w="3475"/>
        <w:gridCol w:w="1830"/>
      </w:tblGrid>
      <w:tr>
        <w:tblPrEx>
          <w:tblCellMar>
            <w:top w:w="0" w:type="dxa"/>
            <w:left w:w="108" w:type="dxa"/>
            <w:bottom w:w="0" w:type="dxa"/>
            <w:right w:w="108" w:type="dxa"/>
          </w:tblCellMar>
        </w:tblPrEx>
        <w:trPr>
          <w:trHeight w:val="721" w:hRule="atLeast"/>
        </w:trPr>
        <w:tc>
          <w:tcPr>
            <w:tcW w:w="38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招标文件要求</w:t>
            </w:r>
          </w:p>
        </w:tc>
        <w:tc>
          <w:tcPr>
            <w:tcW w:w="34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投标文件响应</w:t>
            </w:r>
          </w:p>
        </w:tc>
        <w:tc>
          <w:tcPr>
            <w:tcW w:w="1830"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偏离情况</w:t>
            </w:r>
          </w:p>
        </w:tc>
      </w:tr>
      <w:tr>
        <w:tblPrEx>
          <w:tblCellMar>
            <w:top w:w="0" w:type="dxa"/>
            <w:left w:w="108" w:type="dxa"/>
            <w:bottom w:w="0" w:type="dxa"/>
            <w:right w:w="108" w:type="dxa"/>
          </w:tblCellMar>
        </w:tblPrEx>
        <w:trPr>
          <w:trHeight w:val="514"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w:t>
            </w:r>
          </w:p>
          <w:p>
            <w:pPr>
              <w:widowControl/>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w:t>
            </w: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pStyle w:val="46"/>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3858"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color w:val="000000" w:themeColor="text1"/>
                <w14:textFill>
                  <w14:solidFill>
                    <w14:schemeClr w14:val="tx1"/>
                  </w14:solidFill>
                </w14:textFill>
              </w:rPr>
            </w:pPr>
          </w:p>
        </w:tc>
        <w:tc>
          <w:tcPr>
            <w:tcW w:w="3475" w:type="dxa"/>
            <w:tcBorders>
              <w:top w:val="nil"/>
              <w:left w:val="single" w:color="auto" w:sz="4" w:space="0"/>
              <w:bottom w:val="single" w:color="auto" w:sz="8" w:space="0"/>
              <w:right w:val="single" w:color="auto" w:sz="8" w:space="0"/>
            </w:tcBorders>
          </w:tcPr>
          <w:p>
            <w:pPr>
              <w:widowControl/>
              <w:rPr>
                <w:rFonts w:ascii="仿宋" w:hAnsi="仿宋" w:eastAsia="仿宋" w:cs="仿宋"/>
                <w:color w:val="000000" w:themeColor="text1"/>
                <w14:textFill>
                  <w14:solidFill>
                    <w14:schemeClr w14:val="tx1"/>
                  </w14:solidFill>
                </w14:textFill>
              </w:rPr>
            </w:pPr>
          </w:p>
        </w:tc>
        <w:tc>
          <w:tcPr>
            <w:tcW w:w="1830" w:type="dxa"/>
            <w:tcBorders>
              <w:top w:val="nil"/>
              <w:left w:val="nil"/>
              <w:bottom w:val="single" w:color="auto" w:sz="8" w:space="0"/>
              <w:right w:val="single" w:color="auto" w:sz="8" w:space="0"/>
            </w:tcBorders>
          </w:tcPr>
          <w:p>
            <w:pPr>
              <w:pStyle w:val="46"/>
              <w:rPr>
                <w:rFonts w:ascii="仿宋" w:hAnsi="仿宋" w:eastAsia="仿宋" w:cs="仿宋"/>
                <w:color w:val="000000" w:themeColor="text1"/>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注：供应商应根据性能指标、对照招标文件要求在“偏离情况”栏注明“正偏离”、“负偏离”或“无偏离”。本表格不填写视同完全响应招标文件要求，此表可在不改变格式的情况下自行制作。</w:t>
      </w:r>
    </w:p>
    <w:p>
      <w:pPr>
        <w:spacing w:line="480" w:lineRule="exact"/>
        <w:rPr>
          <w:rFonts w:ascii="仿宋" w:hAnsi="仿宋" w:eastAsia="仿宋" w:cs="仿宋"/>
          <w:b/>
          <w:bCs/>
          <w:color w:val="000000" w:themeColor="text1"/>
          <w:sz w:val="32"/>
          <w14:textFill>
            <w14:solidFill>
              <w14:schemeClr w14:val="tx1"/>
            </w14:solidFill>
          </w14:textFill>
        </w:rPr>
      </w:pPr>
    </w:p>
    <w:p>
      <w:pPr>
        <w:snapToGrid w:val="0"/>
        <w:spacing w:beforeLines="5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年        月        日</w:t>
      </w:r>
    </w:p>
    <w:p>
      <w:pPr>
        <w:pStyle w:val="46"/>
        <w:rPr>
          <w:rFonts w:ascii="仿宋" w:hAnsi="仿宋" w:eastAsia="仿宋" w:cs="仿宋"/>
          <w:color w:val="000000" w:themeColor="text1"/>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项目实施人员一览表</w:t>
      </w:r>
    </w:p>
    <w:p>
      <w:pPr>
        <w:snapToGrid w:val="0"/>
        <w:spacing w:before="50" w:afterLines="50" w:line="5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pPr>
        <w:snapToGrid w:val="0"/>
        <w:spacing w:before="50" w:afterLines="50" w:line="5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p>
    <w:tbl>
      <w:tblPr>
        <w:tblStyle w:val="30"/>
        <w:tblW w:w="8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1276"/>
        <w:gridCol w:w="1960"/>
        <w:gridCol w:w="1597"/>
        <w:gridCol w:w="2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54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54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职务</w:t>
            </w:r>
          </w:p>
        </w:tc>
        <w:tc>
          <w:tcPr>
            <w:tcW w:w="19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54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专业技术资格</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54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证书编号</w:t>
            </w:r>
          </w:p>
        </w:tc>
        <w:tc>
          <w:tcPr>
            <w:tcW w:w="25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54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参加本单位</w:t>
            </w:r>
          </w:p>
          <w:p>
            <w:pPr>
              <w:snapToGrid w:val="0"/>
              <w:spacing w:beforeLines="50" w:line="54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540" w:lineRule="exact"/>
              <w:ind w:left="6000"/>
              <w:rPr>
                <w:rFonts w:ascii="仿宋" w:hAnsi="仿宋" w:eastAsia="仿宋" w:cs="仿宋"/>
                <w:color w:val="000000" w:themeColor="text1"/>
                <w:sz w:val="24"/>
                <w:szCs w:val="24"/>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1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c>
          <w:tcPr>
            <w:tcW w:w="2569" w:type="dxa"/>
            <w:tcBorders>
              <w:top w:val="single" w:color="auto" w:sz="4" w:space="0"/>
              <w:left w:val="single" w:color="auto" w:sz="4" w:space="0"/>
              <w:bottom w:val="single" w:color="auto" w:sz="4" w:space="0"/>
              <w:right w:val="single" w:color="auto" w:sz="4" w:space="0"/>
            </w:tcBorders>
          </w:tcPr>
          <w:p>
            <w:pPr>
              <w:snapToGrid w:val="0"/>
              <w:spacing w:beforeLines="50" w:after="50" w:line="540" w:lineRule="exact"/>
              <w:rPr>
                <w:rFonts w:ascii="仿宋" w:hAnsi="仿宋" w:eastAsia="仿宋" w:cs="仿宋"/>
                <w:color w:val="000000" w:themeColor="text1"/>
                <w14:textFill>
                  <w14:solidFill>
                    <w14:schemeClr w14:val="tx1"/>
                  </w14:solidFill>
                </w14:textFill>
              </w:rPr>
            </w:pPr>
          </w:p>
        </w:tc>
      </w:tr>
    </w:tbl>
    <w:p>
      <w:pPr>
        <w:snapToGrid w:val="0"/>
        <w:spacing w:before="50" w:afterLines="50" w:line="54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注：在填写时，如本表格不适合供应商的实际情况，可根据本表格式自行划表填写。</w:t>
      </w:r>
    </w:p>
    <w:p>
      <w:pPr>
        <w:spacing w:line="500" w:lineRule="exact"/>
        <w:rPr>
          <w:rFonts w:ascii="仿宋" w:hAnsi="仿宋" w:eastAsia="仿宋" w:cs="仿宋"/>
          <w:color w:val="000000" w:themeColor="text1"/>
          <w:lang w:val="zh-CN"/>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pStyle w:val="46"/>
        <w:rPr>
          <w:rFonts w:ascii="仿宋" w:hAnsi="仿宋" w:eastAsia="仿宋" w:cs="仿宋"/>
          <w:color w:val="000000" w:themeColor="text1"/>
          <w14:textFill>
            <w14:solidFill>
              <w14:schemeClr w14:val="tx1"/>
            </w14:solidFill>
          </w14:textFill>
        </w:rPr>
      </w:pPr>
    </w:p>
    <w:p>
      <w:pPr>
        <w:snapToGrid w:val="0"/>
        <w:spacing w:beforeLines="50" w:after="50" w:line="560" w:lineRule="exact"/>
        <w:jc w:val="center"/>
        <w:rPr>
          <w:rFonts w:hint="eastAsia" w:ascii="仿宋" w:hAnsi="仿宋" w:eastAsia="仿宋" w:cs="仿宋"/>
          <w:b/>
          <w:color w:val="000000" w:themeColor="text1"/>
          <w:sz w:val="28"/>
          <w:szCs w:val="28"/>
          <w:lang w:val="zh-CN"/>
          <w14:textFill>
            <w14:solidFill>
              <w14:schemeClr w14:val="tx1"/>
            </w14:solidFill>
          </w14:textFill>
        </w:rPr>
      </w:pPr>
    </w:p>
    <w:p>
      <w:pPr>
        <w:snapToGrid w:val="0"/>
        <w:spacing w:beforeLines="50" w:after="50" w:line="560" w:lineRule="exact"/>
        <w:jc w:val="center"/>
        <w:rPr>
          <w:rFonts w:ascii="仿宋" w:hAnsi="仿宋" w:eastAsia="仿宋" w:cs="仿宋"/>
          <w:b/>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企业业绩</w:t>
      </w:r>
    </w:p>
    <w:p>
      <w:pPr>
        <w:snapToGrid w:val="0"/>
        <w:spacing w:before="50" w:afterLines="50" w:line="540" w:lineRule="exact"/>
        <w:ind w:firstLine="240" w:firstLineChars="1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pPr>
        <w:pStyle w:val="12"/>
        <w:ind w:firstLine="24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p>
    <w:tbl>
      <w:tblPr>
        <w:tblStyle w:val="30"/>
        <w:tblW w:w="890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58"/>
        <w:gridCol w:w="1534"/>
        <w:gridCol w:w="1534"/>
        <w:gridCol w:w="153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71"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序号</w:t>
            </w:r>
          </w:p>
        </w:tc>
        <w:tc>
          <w:tcPr>
            <w:tcW w:w="1458"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使用方</w:t>
            </w:r>
          </w:p>
        </w:tc>
        <w:tc>
          <w:tcPr>
            <w:tcW w:w="1534"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合同金额(人民币)</w:t>
            </w:r>
          </w:p>
        </w:tc>
        <w:tc>
          <w:tcPr>
            <w:tcW w:w="1534"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签订时间</w:t>
            </w:r>
          </w:p>
        </w:tc>
        <w:tc>
          <w:tcPr>
            <w:tcW w:w="1534"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使用方联系人</w:t>
            </w:r>
          </w:p>
        </w:tc>
        <w:tc>
          <w:tcPr>
            <w:tcW w:w="1677" w:type="dxa"/>
            <w:vAlign w:val="center"/>
          </w:tcPr>
          <w:p>
            <w:pPr>
              <w:spacing w:line="280" w:lineRule="exact"/>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71"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458"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534" w:type="dxa"/>
          </w:tcPr>
          <w:p>
            <w:pPr>
              <w:spacing w:line="360" w:lineRule="auto"/>
              <w:ind w:firstLine="480"/>
              <w:rPr>
                <w:rFonts w:ascii="仿宋" w:hAnsi="仿宋" w:eastAsia="仿宋" w:cs="仿宋"/>
                <w:bCs/>
                <w:color w:val="000000" w:themeColor="text1"/>
                <w14:textFill>
                  <w14:solidFill>
                    <w14:schemeClr w14:val="tx1"/>
                  </w14:solidFill>
                </w14:textFill>
              </w:rPr>
            </w:pPr>
          </w:p>
        </w:tc>
        <w:tc>
          <w:tcPr>
            <w:tcW w:w="1677" w:type="dxa"/>
          </w:tcPr>
          <w:p>
            <w:pPr>
              <w:spacing w:line="360" w:lineRule="auto"/>
              <w:ind w:firstLine="480"/>
              <w:rPr>
                <w:rFonts w:ascii="仿宋" w:hAnsi="仿宋" w:eastAsia="仿宋" w:cs="仿宋"/>
                <w:bCs/>
                <w:color w:val="000000" w:themeColor="text1"/>
                <w14:textFill>
                  <w14:solidFill>
                    <w14:schemeClr w14:val="tx1"/>
                  </w14:solidFill>
                </w14:textFill>
              </w:rPr>
            </w:pPr>
          </w:p>
        </w:tc>
      </w:tr>
    </w:tbl>
    <w:p>
      <w:pPr>
        <w:snapToGrid w:val="0"/>
        <w:spacing w:line="440" w:lineRule="exact"/>
        <w:rPr>
          <w:rFonts w:ascii="仿宋" w:hAnsi="仿宋" w:eastAsia="仿宋" w:cs="仿宋"/>
          <w:color w:val="000000" w:themeColor="text1"/>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p>
    <w:p>
      <w:pPr>
        <w:pStyle w:val="46"/>
        <w:rPr>
          <w:rFonts w:ascii="仿宋" w:hAnsi="仿宋" w:eastAsia="仿宋" w:cs="仿宋"/>
          <w:b/>
          <w:color w:val="000000" w:themeColor="text1"/>
          <w:szCs w:val="28"/>
          <w14:textFill>
            <w14:solidFill>
              <w14:schemeClr w14:val="tx1"/>
            </w14:solidFill>
          </w14:textFill>
        </w:rPr>
      </w:pPr>
    </w:p>
    <w:p>
      <w:pPr>
        <w:pStyle w:val="46"/>
        <w:rPr>
          <w:rFonts w:ascii="仿宋" w:hAnsi="仿宋" w:eastAsia="仿宋" w:cs="仿宋"/>
          <w:b/>
          <w:color w:val="000000" w:themeColor="text1"/>
          <w:szCs w:val="28"/>
          <w14:textFill>
            <w14:solidFill>
              <w14:schemeClr w14:val="tx1"/>
            </w14:solidFill>
          </w14:textFill>
        </w:rPr>
      </w:pPr>
    </w:p>
    <w:p>
      <w:pPr>
        <w:snapToGrid w:val="0"/>
        <w:spacing w:beforeLines="50" w:after="50" w:line="560" w:lineRule="exact"/>
        <w:ind w:firstLine="281" w:firstLineChars="100"/>
        <w:jc w:val="center"/>
        <w:rPr>
          <w:rFonts w:hint="eastAsia"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商务响应表</w:t>
      </w:r>
    </w:p>
    <w:p>
      <w:pPr>
        <w:pStyle w:val="8"/>
        <w:snapToGrid w:val="0"/>
        <w:spacing w:line="56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bl>
      <w:tblPr>
        <w:tblStyle w:val="30"/>
        <w:tblpPr w:leftFromText="180" w:rightFromText="180" w:vertAnchor="text" w:horzAnchor="page" w:tblpX="1321" w:tblpY="17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8"/>
        <w:gridCol w:w="2160"/>
        <w:gridCol w:w="1357"/>
        <w:gridCol w:w="30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  目</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招标文件要求</w:t>
            </w:r>
          </w:p>
        </w:tc>
        <w:tc>
          <w:tcPr>
            <w:tcW w:w="1357" w:type="dxa"/>
            <w:tcBorders>
              <w:top w:val="single" w:color="auto" w:sz="4" w:space="0"/>
              <w:left w:val="single" w:color="auto" w:sz="4" w:space="0"/>
              <w:bottom w:val="single" w:color="auto" w:sz="4" w:space="0"/>
              <w:right w:val="single" w:color="auto" w:sz="4" w:space="0"/>
            </w:tcBorders>
            <w:vAlign w:val="center"/>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响应</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808" w:type="dxa"/>
            <w:tcBorders>
              <w:top w:val="single" w:color="auto" w:sz="4" w:space="0"/>
              <w:left w:val="single" w:color="auto" w:sz="4" w:space="0"/>
              <w:bottom w:val="single" w:color="auto" w:sz="4" w:space="0"/>
              <w:right w:val="single" w:color="auto" w:sz="4" w:space="0"/>
            </w:tcBorders>
            <w:vAlign w:val="center"/>
          </w:tcPr>
          <w:p>
            <w:pPr>
              <w:tabs>
                <w:tab w:val="left" w:pos="1831"/>
              </w:tabs>
              <w:snapToGrid w:val="0"/>
              <w:spacing w:line="560" w:lineRule="exact"/>
              <w:ind w:firstLine="960" w:firstLineChars="400"/>
              <w:jc w:val="left"/>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ind w:left="43"/>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ind w:left="43"/>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cs="仿宋"/>
                <w:color w:val="000000" w:themeColor="text1"/>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napToGrid w:val="0"/>
              <w:spacing w:beforeLines="50" w:line="56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tcPr>
          <w:p>
            <w:pPr>
              <w:snapToGrid w:val="0"/>
              <w:spacing w:beforeLines="50" w:line="560" w:lineRule="exact"/>
              <w:rPr>
                <w:rFonts w:ascii="仿宋" w:hAnsi="仿宋" w:eastAsia="仿宋" w:cs="仿宋"/>
                <w:color w:val="000000" w:themeColor="text1"/>
                <w:szCs w:val="24"/>
                <w14:textFill>
                  <w14:solidFill>
                    <w14:schemeClr w14:val="tx1"/>
                  </w14:solidFill>
                </w14:textFill>
              </w:rPr>
            </w:pPr>
          </w:p>
        </w:tc>
      </w:tr>
    </w:tbl>
    <w:p>
      <w:pPr>
        <w:spacing w:line="560" w:lineRule="exact"/>
        <w:rPr>
          <w:rFonts w:ascii="仿宋" w:hAnsi="仿宋" w:eastAsia="仿宋" w:cs="仿宋"/>
          <w:b/>
          <w:color w:val="000000" w:themeColor="text1"/>
          <w:szCs w:val="24"/>
          <w14:textFill>
            <w14:solidFill>
              <w14:schemeClr w14:val="tx1"/>
            </w14:solidFill>
          </w14:textFill>
        </w:rPr>
      </w:pPr>
    </w:p>
    <w:p>
      <w:pPr>
        <w:spacing w:line="560" w:lineRule="exac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注：本表格</w:t>
      </w:r>
      <w:r>
        <w:rPr>
          <w:rFonts w:hint="eastAsia" w:ascii="仿宋" w:hAnsi="仿宋" w:eastAsia="仿宋" w:cs="仿宋"/>
          <w:b/>
          <w:bCs/>
          <w:color w:val="000000" w:themeColor="text1"/>
          <w:szCs w:val="24"/>
          <w14:textFill>
            <w14:solidFill>
              <w14:schemeClr w14:val="tx1"/>
            </w14:solidFill>
          </w14:textFill>
        </w:rPr>
        <w:t>不填写视同完全响应招标文件要求，</w:t>
      </w:r>
      <w:r>
        <w:rPr>
          <w:rFonts w:hint="eastAsia" w:ascii="仿宋" w:hAnsi="仿宋" w:eastAsia="仿宋" w:cs="仿宋"/>
          <w:b/>
          <w:color w:val="000000" w:themeColor="text1"/>
          <w:szCs w:val="24"/>
          <w14:textFill>
            <w14:solidFill>
              <w14:schemeClr w14:val="tx1"/>
            </w14:solidFill>
          </w14:textFill>
        </w:rPr>
        <w:t>此表可在不改变格式的情况下自行制作。</w:t>
      </w:r>
    </w:p>
    <w:p>
      <w:pPr>
        <w:snapToGrid w:val="0"/>
        <w:spacing w:beforeLines="50" w:line="360" w:lineRule="auto"/>
        <w:rPr>
          <w:rFonts w:ascii="仿宋" w:hAnsi="仿宋" w:eastAsia="仿宋" w:cs="仿宋"/>
          <w:color w:val="000000" w:themeColor="text1"/>
          <w:sz w:val="22"/>
          <w:szCs w:val="22"/>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napToGrid w:val="0"/>
        <w:spacing w:beforeLines="50" w:line="360" w:lineRule="auto"/>
        <w:rPr>
          <w:rFonts w:ascii="仿宋" w:hAnsi="仿宋" w:eastAsia="仿宋" w:cs="仿宋"/>
          <w:color w:val="000000" w:themeColor="text1"/>
          <w14:textFill>
            <w14:solidFill>
              <w14:schemeClr w14:val="tx1"/>
            </w14:solidFill>
          </w14:textFill>
        </w:rPr>
      </w:pPr>
    </w:p>
    <w:p>
      <w:pPr>
        <w:snapToGrid w:val="0"/>
        <w:spacing w:beforeLines="50" w:after="50" w:line="560" w:lineRule="exact"/>
        <w:ind w:firstLine="281" w:firstLineChars="100"/>
        <w:jc w:val="center"/>
        <w:rPr>
          <w:rFonts w:hint="eastAsia" w:ascii="仿宋" w:hAnsi="仿宋" w:eastAsia="仿宋" w:cs="仿宋"/>
          <w:b/>
          <w:color w:val="000000" w:themeColor="text1"/>
          <w:sz w:val="28"/>
          <w:szCs w:val="28"/>
          <w14:textFill>
            <w14:solidFill>
              <w14:schemeClr w14:val="tx1"/>
            </w14:solidFill>
          </w14:textFill>
        </w:rPr>
      </w:pPr>
    </w:p>
    <w:p>
      <w:pPr>
        <w:pStyle w:val="7"/>
      </w:pPr>
    </w:p>
    <w:p>
      <w:pPr>
        <w:spacing w:line="440" w:lineRule="exact"/>
        <w:jc w:val="center"/>
        <w:rPr>
          <w:rFonts w:ascii="仿宋" w:hAnsi="仿宋" w:eastAsia="仿宋" w:cs="仿宋"/>
          <w:b/>
          <w:color w:val="000000" w:themeColor="text1"/>
          <w:sz w:val="28"/>
          <w:szCs w:val="28"/>
          <w14:textFill>
            <w14:solidFill>
              <w14:schemeClr w14:val="tx1"/>
            </w14:solidFill>
          </w14:textFill>
        </w:rPr>
      </w:pPr>
      <w:bookmarkStart w:id="14" w:name="_Toc232080144"/>
      <w:r>
        <w:rPr>
          <w:rFonts w:hint="eastAsia" w:ascii="仿宋" w:hAnsi="仿宋" w:eastAsia="仿宋" w:cs="仿宋"/>
          <w:b/>
          <w:color w:val="000000" w:themeColor="text1"/>
          <w:sz w:val="28"/>
          <w:szCs w:val="28"/>
          <w14:textFill>
            <w14:solidFill>
              <w14:schemeClr w14:val="tx1"/>
            </w14:solidFill>
          </w14:textFill>
        </w:rPr>
        <w:t>湖州市政府投资建设项目供应商廉洁守信承诺书</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本公司决定参加</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项目投标。为维护公平竞争的市场秩序，促进企业廉洁从业、诚实守信，特承诺如下：</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一、严格遵守《中华人民共和国招标投标法》、《中华人民共和国政府采购法》等法律法规，决不发生以下行为：</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1.以他人名义投标，允许其他单位或个人使用本单位资质投标；</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2.提供虚假材料，或以其他方式弄虚作假骗取中标；</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3.与招标人或者其他竞标人相互串通投标；</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4.中标后将项目转包，或违法分包；</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5.中标后与招标人签订背离投标文件及合同实质性内容的私下协议；</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6.其他违反招标投标、政府采购等法律法规的行为。</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二、不以任何理由给予建设单位、主管部门、相关单位及其工作人员、专家评委以下好处：</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1.赠送礼金、有价证券、贵重物品，或给予回扣、感谢费、劳务费等各种名目的经费；</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2.报销应由上述单位或个人支付的费用；</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3.赠送或提供通讯工具、交通工具和高档办公用品等；</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4.提供宴请、健身、旅游、娱乐等高消费活动；</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5.无偿或明显低于市场价装修住房。</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三、不以任何理由为建设单位、主管部门、相关单位的工作人员及其配偶、子女等亲属的工作安排以及出国（境）等提供方便。</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四、自觉接受有关部门和派驻廉政监察组等机构的监督，积极配合建设单位开展廉政文化进工程工作，加强廉洁从业环境宣传、项目管理制度建设，多种形式开展廉洁教育。</w:t>
      </w:r>
    </w:p>
    <w:p>
      <w:pPr>
        <w:spacing w:line="38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上述承诺如有违反，愿接受录入诚信档案的处理，构成违纪违法的，由相关部门依纪依法作出处理。</w:t>
      </w:r>
    </w:p>
    <w:p>
      <w:pPr>
        <w:spacing w:line="380" w:lineRule="exact"/>
        <w:ind w:firstLine="480" w:firstLineChars="200"/>
        <w:rPr>
          <w:rFonts w:ascii="仿宋" w:hAnsi="仿宋" w:eastAsia="仿宋" w:cs="仿宋"/>
          <w:color w:val="000000" w:themeColor="text1"/>
          <w14:textFill>
            <w14:solidFill>
              <w14:schemeClr w14:val="tx1"/>
            </w14:solidFill>
          </w14:textFill>
        </w:rPr>
      </w:pPr>
    </w:p>
    <w:p>
      <w:pPr>
        <w:pStyle w:val="12"/>
        <w:ind w:firstLine="240"/>
        <w:rPr>
          <w:rFonts w:ascii="仿宋" w:hAnsi="仿宋" w:eastAsia="仿宋" w:cs="仿宋"/>
          <w:color w:val="000000" w:themeColor="text1"/>
          <w14:textFill>
            <w14:solidFill>
              <w14:schemeClr w14:val="tx1"/>
            </w14:solidFill>
          </w14:textFill>
        </w:rPr>
      </w:pPr>
    </w:p>
    <w:p>
      <w:pPr>
        <w:spacing w:line="380" w:lineRule="exact"/>
        <w:ind w:firstLine="4680" w:firstLineChars="19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法定代表人签名： </w:t>
      </w:r>
    </w:p>
    <w:p>
      <w:pPr>
        <w:spacing w:line="380" w:lineRule="exact"/>
        <w:ind w:firstLine="4680" w:firstLineChars="19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承诺单位（公章）： </w:t>
      </w:r>
    </w:p>
    <w:p>
      <w:pPr>
        <w:tabs>
          <w:tab w:val="left" w:pos="465"/>
        </w:tabs>
        <w:ind w:firstLine="4680" w:firstLineChars="19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承诺日期： </w:t>
      </w:r>
    </w:p>
    <w:p>
      <w:pPr>
        <w:snapToGrid w:val="0"/>
        <w:spacing w:before="50" w:afterLines="50" w:line="360" w:lineRule="exact"/>
        <w:ind w:firstLine="1853" w:firstLineChars="662"/>
        <w:jc w:val="left"/>
        <w:rPr>
          <w:rFonts w:ascii="仿宋" w:hAnsi="仿宋" w:eastAsia="仿宋" w:cs="仿宋"/>
          <w:color w:val="000000" w:themeColor="text1"/>
          <w:sz w:val="28"/>
          <w:szCs w:val="28"/>
          <w14:textFill>
            <w14:solidFill>
              <w14:schemeClr w14:val="tx1"/>
            </w14:solidFill>
          </w14:textFill>
        </w:rPr>
      </w:pPr>
    </w:p>
    <w:p>
      <w:pPr>
        <w:snapToGrid w:val="0"/>
        <w:spacing w:beforeLines="50" w:after="50" w:line="560" w:lineRule="exact"/>
        <w:ind w:firstLine="221" w:firstLineChars="100"/>
        <w:jc w:val="center"/>
        <w:rPr>
          <w:rFonts w:ascii="仿宋" w:hAnsi="仿宋" w:eastAsia="仿宋" w:cs="仿宋"/>
          <w:b/>
          <w:color w:val="000000" w:themeColor="text1"/>
          <w:sz w:val="22"/>
          <w:szCs w:val="22"/>
          <w14:textFill>
            <w14:solidFill>
              <w14:schemeClr w14:val="tx1"/>
            </w14:solidFill>
          </w14:textFill>
        </w:rPr>
      </w:pPr>
    </w:p>
    <w:p>
      <w:pPr>
        <w:snapToGrid w:val="0"/>
        <w:spacing w:beforeLines="50" w:after="50" w:line="560" w:lineRule="exact"/>
        <w:ind w:firstLine="281" w:firstLineChars="100"/>
        <w:jc w:val="center"/>
        <w:rPr>
          <w:rFonts w:hint="eastAsia" w:ascii="仿宋" w:hAnsi="仿宋" w:eastAsia="仿宋" w:cs="仿宋"/>
          <w:b/>
          <w:color w:val="000000" w:themeColor="text1"/>
          <w:sz w:val="28"/>
          <w:szCs w:val="28"/>
          <w14:textFill>
            <w14:solidFill>
              <w14:schemeClr w14:val="tx1"/>
            </w14:solidFill>
          </w14:textFill>
        </w:rPr>
      </w:pPr>
    </w:p>
    <w:p>
      <w:pPr>
        <w:snapToGrid w:val="0"/>
        <w:spacing w:beforeLines="50" w:after="50" w:line="560" w:lineRule="exact"/>
        <w:ind w:firstLine="281" w:firstLineChars="10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采购代理服务费承诺函</w:t>
      </w:r>
    </w:p>
    <w:p>
      <w:pPr>
        <w:spacing w:line="360" w:lineRule="auto"/>
        <w:rPr>
          <w:rFonts w:ascii="仿宋" w:hAnsi="仿宋" w:eastAsia="仿宋" w:cs="仿宋"/>
          <w:color w:val="000000" w:themeColor="text1"/>
          <w:sz w:val="22"/>
          <w:szCs w:val="22"/>
          <w14:textFill>
            <w14:solidFill>
              <w14:schemeClr w14:val="tx1"/>
            </w14:solidFill>
          </w14:textFill>
        </w:rPr>
      </w:pPr>
    </w:p>
    <w:p>
      <w:pPr>
        <w:spacing w:line="50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中纬工程管理咨询有限公司：</w:t>
      </w:r>
    </w:p>
    <w:p>
      <w:pPr>
        <w:spacing w:line="50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根据</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lang w:val="zh-CN"/>
          <w14:textFill>
            <w14:solidFill>
              <w14:schemeClr w14:val="tx1"/>
            </w14:solidFill>
          </w14:textFill>
        </w:rPr>
        <w:t>招</w:t>
      </w:r>
      <w:r>
        <w:rPr>
          <w:rFonts w:hint="eastAsia" w:ascii="仿宋" w:hAnsi="仿宋" w:eastAsia="仿宋" w:cs="仿宋"/>
          <w:color w:val="000000" w:themeColor="text1"/>
          <w:szCs w:val="24"/>
          <w14:textFill>
            <w14:solidFill>
              <w14:schemeClr w14:val="tx1"/>
            </w14:solidFill>
          </w14:textFill>
        </w:rPr>
        <w:t>标文件规定，一旦我公司中标，我公司全额支付本项目的采购代理服务费。在我公司收到中标通知书前一次性向贵公司缴清，费用缴清后代理机构开具等额发票。</w:t>
      </w:r>
    </w:p>
    <w:p>
      <w:pPr>
        <w:spacing w:line="500" w:lineRule="exact"/>
        <w:rPr>
          <w:rFonts w:ascii="仿宋" w:hAnsi="仿宋" w:eastAsia="仿宋" w:cs="仿宋"/>
          <w:color w:val="000000" w:themeColor="text1"/>
          <w:szCs w:val="24"/>
          <w14:textFill>
            <w14:solidFill>
              <w14:schemeClr w14:val="tx1"/>
            </w14:solidFill>
          </w14:textFill>
        </w:rPr>
      </w:pPr>
    </w:p>
    <w:p>
      <w:pPr>
        <w:spacing w:line="50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本承诺函自开标之日起至本次采购期满有效。</w:t>
      </w:r>
    </w:p>
    <w:p>
      <w:pPr>
        <w:spacing w:line="500" w:lineRule="exact"/>
        <w:rPr>
          <w:rFonts w:ascii="仿宋" w:hAnsi="仿宋" w:eastAsia="仿宋" w:cs="仿宋"/>
          <w:color w:val="000000" w:themeColor="text1"/>
          <w:szCs w:val="24"/>
          <w14:textFill>
            <w14:solidFill>
              <w14:schemeClr w14:val="tx1"/>
            </w14:solidFill>
          </w14:textFill>
        </w:rPr>
      </w:pPr>
    </w:p>
    <w:p>
      <w:pPr>
        <w:spacing w:line="500" w:lineRule="exact"/>
        <w:rPr>
          <w:rFonts w:ascii="仿宋" w:hAnsi="仿宋" w:eastAsia="仿宋" w:cs="仿宋"/>
          <w:color w:val="000000" w:themeColor="text1"/>
          <w:szCs w:val="24"/>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napToGrid w:val="0"/>
        <w:spacing w:beforeLines="50" w:line="360" w:lineRule="auto"/>
        <w:rPr>
          <w:rFonts w:ascii="仿宋" w:hAnsi="仿宋" w:eastAsia="仿宋" w:cs="仿宋"/>
          <w:color w:val="000000" w:themeColor="text1"/>
          <w14:textFill>
            <w14:solidFill>
              <w14:schemeClr w14:val="tx1"/>
            </w14:solidFill>
          </w14:textFill>
        </w:rPr>
      </w:pPr>
    </w:p>
    <w:p>
      <w:pPr>
        <w:snapToGrid w:val="0"/>
        <w:spacing w:line="500" w:lineRule="exact"/>
        <w:rPr>
          <w:rFonts w:ascii="仿宋" w:hAnsi="仿宋" w:eastAsia="仿宋" w:cs="仿宋"/>
          <w:b/>
          <w:color w:val="000000" w:themeColor="text1"/>
          <w:szCs w:val="24"/>
          <w14:textFill>
            <w14:solidFill>
              <w14:schemeClr w14:val="tx1"/>
            </w14:solidFill>
          </w14:textFill>
        </w:rPr>
      </w:pPr>
    </w:p>
    <w:p>
      <w:pPr>
        <w:pStyle w:val="47"/>
        <w:rPr>
          <w:rFonts w:ascii="仿宋" w:hAnsi="仿宋" w:eastAsia="仿宋" w:cs="仿宋"/>
          <w:color w:val="000000" w:themeColor="text1"/>
          <w:sz w:val="24"/>
          <w:szCs w:val="24"/>
          <w14:textFill>
            <w14:solidFill>
              <w14:schemeClr w14:val="tx1"/>
            </w14:solidFill>
          </w14:textFill>
        </w:rPr>
      </w:pPr>
    </w:p>
    <w:p>
      <w:pPr>
        <w:spacing w:line="500" w:lineRule="exact"/>
        <w:rPr>
          <w:rFonts w:ascii="仿宋" w:hAnsi="仿宋" w:eastAsia="仿宋" w:cs="仿宋"/>
          <w:color w:val="000000" w:themeColor="text1"/>
          <w:szCs w:val="24"/>
          <w14:textFill>
            <w14:solidFill>
              <w14:schemeClr w14:val="tx1"/>
            </w14:solidFill>
          </w14:textFill>
        </w:rPr>
      </w:pPr>
    </w:p>
    <w:p>
      <w:pPr>
        <w:spacing w:line="50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代理费汇款帐号:</w:t>
      </w:r>
    </w:p>
    <w:p>
      <w:pPr>
        <w:snapToGrid w:val="0"/>
        <w:spacing w:line="500" w:lineRule="exact"/>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单位名称：中纬工程管理咨询有限公司湖州分公司</w:t>
      </w:r>
    </w:p>
    <w:p>
      <w:pPr>
        <w:snapToGrid w:val="0"/>
        <w:spacing w:line="500" w:lineRule="exact"/>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开户银行：湖州银行日月城支行</w:t>
      </w:r>
    </w:p>
    <w:p>
      <w:pPr>
        <w:snapToGrid w:val="0"/>
        <w:spacing w:line="500" w:lineRule="exact"/>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银行帐号：800025382000238</w:t>
      </w:r>
    </w:p>
    <w:p>
      <w:pPr>
        <w:spacing w:line="500" w:lineRule="exact"/>
        <w:rPr>
          <w:rFonts w:ascii="仿宋" w:hAnsi="仿宋" w:eastAsia="仿宋" w:cs="仿宋"/>
          <w:b/>
          <w:color w:val="000000" w:themeColor="text1"/>
          <w:szCs w:val="28"/>
          <w14:textFill>
            <w14:solidFill>
              <w14:schemeClr w14:val="tx1"/>
            </w14:solidFill>
          </w14:textFill>
        </w:rPr>
      </w:pPr>
    </w:p>
    <w:p>
      <w:pPr>
        <w:snapToGrid w:val="0"/>
        <w:spacing w:beforeLines="50" w:after="50" w:line="560" w:lineRule="exact"/>
        <w:jc w:val="left"/>
        <w:rPr>
          <w:rFonts w:ascii="仿宋" w:hAnsi="仿宋" w:eastAsia="仿宋" w:cs="仿宋"/>
          <w:b/>
          <w:color w:val="000000" w:themeColor="text1"/>
          <w:sz w:val="22"/>
          <w:szCs w:val="22"/>
          <w14:textFill>
            <w14:solidFill>
              <w14:schemeClr w14:val="tx1"/>
            </w14:solidFill>
          </w14:textFill>
        </w:rPr>
      </w:pPr>
    </w:p>
    <w:p>
      <w:pPr>
        <w:snapToGrid w:val="0"/>
        <w:spacing w:beforeLines="50" w:after="50" w:line="560" w:lineRule="exact"/>
        <w:jc w:val="left"/>
        <w:rPr>
          <w:rFonts w:ascii="仿宋" w:hAnsi="仿宋" w:eastAsia="仿宋" w:cs="仿宋"/>
          <w:b/>
          <w:color w:val="000000" w:themeColor="text1"/>
          <w:sz w:val="22"/>
          <w:szCs w:val="22"/>
          <w14:textFill>
            <w14:solidFill>
              <w14:schemeClr w14:val="tx1"/>
            </w14:solidFill>
          </w14:textFill>
        </w:rPr>
      </w:pPr>
    </w:p>
    <w:p>
      <w:pPr>
        <w:snapToGrid w:val="0"/>
        <w:spacing w:beforeLines="50" w:after="50" w:line="560" w:lineRule="exact"/>
        <w:jc w:val="left"/>
        <w:rPr>
          <w:rFonts w:hint="eastAsia" w:ascii="仿宋" w:hAnsi="仿宋" w:eastAsia="仿宋" w:cs="仿宋"/>
          <w:b/>
          <w:color w:val="000000" w:themeColor="text1"/>
          <w:sz w:val="22"/>
          <w:szCs w:val="22"/>
          <w14:textFill>
            <w14:solidFill>
              <w14:schemeClr w14:val="tx1"/>
            </w14:solidFill>
          </w14:textFill>
        </w:rPr>
      </w:pPr>
    </w:p>
    <w:p>
      <w:pPr>
        <w:snapToGrid w:val="0"/>
        <w:spacing w:beforeLines="50" w:after="50" w:line="560" w:lineRule="exact"/>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附件（报价文件）：</w:t>
      </w:r>
    </w:p>
    <w:p>
      <w:pPr>
        <w:snapToGrid w:val="0"/>
        <w:spacing w:beforeLines="50" w:after="50"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 标 函</w:t>
      </w:r>
    </w:p>
    <w:p>
      <w:pPr>
        <w:snapToGrid w:val="0"/>
        <w:spacing w:line="56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致：</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（招标采购单位名称）：</w:t>
      </w:r>
    </w:p>
    <w:p>
      <w:pPr>
        <w:snapToGrid w:val="0"/>
        <w:spacing w:line="56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根据贵方为</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项目的招标公告/投标邀请书</w:t>
      </w:r>
    </w:p>
    <w:p>
      <w:pPr>
        <w:snapToGrid w:val="0"/>
        <w:spacing w:line="56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（项目编号：</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），签字代表</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（全名）经正式授权并代表投标方</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（投标方名称）提交资格文件、技术商务资信文件、报价文件。</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据此函，签字代表宣布如下：</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2.投标方在投标之前已经与贵方进行了充分的沟通，完全理解并接受招标文件的各项规定和要求，对招标文件的合理性、合法性不再有异议。</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3.本投标有效期自开标日起</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日。</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4.如中标，本投标文件至本项目合同履行完毕止均保持有效，本投标方将按“招标文件”及政府采购法律、法规的规定履行合同责任和义务。</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5.投标方同意按照贵方要求提供与投标有关的一切数据或资料。</w:t>
      </w:r>
    </w:p>
    <w:p>
      <w:pPr>
        <w:snapToGrid w:val="0"/>
        <w:spacing w:line="56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6.与本投标有关的一切正式往来信函请寄：</w:t>
      </w:r>
    </w:p>
    <w:p>
      <w:pPr>
        <w:snapToGrid w:val="0"/>
        <w:spacing w:line="560" w:lineRule="exact"/>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szCs w:val="24"/>
        </w:rPr>
        <w:t>邮编：</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szCs w:val="24"/>
        </w:rPr>
        <w:t xml:space="preserve"> 电话：</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line="560" w:lineRule="exact"/>
        <w:rPr>
          <w:rFonts w:ascii="仿宋" w:hAnsi="仿宋" w:eastAsia="仿宋" w:cs="仿宋"/>
          <w:szCs w:val="24"/>
        </w:rPr>
      </w:pPr>
      <w:r>
        <w:rPr>
          <w:rFonts w:hint="eastAsia" w:ascii="仿宋" w:hAnsi="仿宋" w:eastAsia="仿宋" w:cs="仿宋"/>
          <w:szCs w:val="24"/>
        </w:rPr>
        <w:t>传真：</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szCs w:val="24"/>
        </w:rPr>
        <w:t>投标方代表姓名</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szCs w:val="24"/>
        </w:rPr>
        <w:t xml:space="preserve"> 职务：</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line="560" w:lineRule="exact"/>
        <w:rPr>
          <w:rFonts w:ascii="仿宋" w:hAnsi="仿宋" w:eastAsia="仿宋" w:cs="仿宋"/>
          <w:szCs w:val="24"/>
        </w:rPr>
      </w:pPr>
      <w:r>
        <w:rPr>
          <w:rFonts w:hint="eastAsia" w:ascii="仿宋" w:hAnsi="仿宋" w:eastAsia="仿宋" w:cs="仿宋"/>
          <w:szCs w:val="24"/>
        </w:rPr>
        <w:t>投标方名称(公章):</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Lines="50" w:line="360" w:lineRule="auto"/>
        <w:rPr>
          <w:rFonts w:ascii="仿宋" w:hAnsi="仿宋" w:eastAsia="仿宋" w:cs="仿宋"/>
          <w:szCs w:val="24"/>
        </w:rPr>
      </w:pPr>
      <w:r>
        <w:rPr>
          <w:rFonts w:hint="eastAsia" w:ascii="仿宋" w:hAnsi="仿宋" w:eastAsia="仿宋" w:cs="仿宋"/>
          <w:szCs w:val="24"/>
        </w:rPr>
        <w:t xml:space="preserve">法定代表人或其授权委托人（签字）： </w:t>
      </w:r>
    </w:p>
    <w:p>
      <w:pPr>
        <w:snapToGrid w:val="0"/>
        <w:spacing w:line="560" w:lineRule="exact"/>
        <w:rPr>
          <w:rFonts w:ascii="仿宋" w:hAnsi="仿宋" w:eastAsia="仿宋" w:cs="仿宋"/>
          <w:szCs w:val="24"/>
        </w:rPr>
      </w:pPr>
      <w:r>
        <w:rPr>
          <w:rFonts w:hint="eastAsia" w:ascii="仿宋" w:hAnsi="仿宋" w:eastAsia="仿宋" w:cs="仿宋"/>
          <w:szCs w:val="24"/>
        </w:rPr>
        <w:t>日期:_____年___月___日</w:t>
      </w:r>
    </w:p>
    <w:p>
      <w:pPr>
        <w:snapToGrid w:val="0"/>
        <w:spacing w:line="560" w:lineRule="exact"/>
        <w:rPr>
          <w:rFonts w:ascii="仿宋" w:hAnsi="仿宋" w:eastAsia="仿宋" w:cs="仿宋"/>
          <w:sz w:val="22"/>
          <w:szCs w:val="22"/>
        </w:rPr>
      </w:pPr>
    </w:p>
    <w:p>
      <w:pPr>
        <w:snapToGrid w:val="0"/>
        <w:spacing w:line="560" w:lineRule="exact"/>
        <w:rPr>
          <w:rFonts w:ascii="仿宋" w:hAnsi="仿宋" w:eastAsia="仿宋" w:cs="仿宋"/>
          <w:sz w:val="22"/>
          <w:szCs w:val="22"/>
        </w:rPr>
        <w:sectPr>
          <w:footerReference r:id="rId11" w:type="default"/>
          <w:pgSz w:w="11906" w:h="16838"/>
          <w:pgMar w:top="1474" w:right="1361" w:bottom="1417" w:left="1361" w:header="737" w:footer="737" w:gutter="0"/>
          <w:pgNumType w:fmt="numberInDash"/>
          <w:cols w:space="0" w:num="1"/>
          <w:docGrid w:linePitch="312" w:charSpace="0"/>
        </w:sectPr>
      </w:pPr>
    </w:p>
    <w:p>
      <w:pPr>
        <w:spacing w:beforeLines="100" w:afterLines="50" w:line="5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开标一览表</w:t>
      </w:r>
    </w:p>
    <w:bookmarkEnd w:id="14"/>
    <w:p>
      <w:pPr>
        <w:snapToGrid w:val="0"/>
        <w:spacing w:before="50" w:after="50" w:line="480" w:lineRule="exact"/>
        <w:rPr>
          <w:rFonts w:ascii="仿宋" w:hAnsi="仿宋" w:eastAsia="仿宋" w:cs="仿宋"/>
          <w:color w:val="000000" w:themeColor="text1"/>
          <w14:textFill>
            <w14:solidFill>
              <w14:schemeClr w14:val="tx1"/>
            </w14:solidFill>
          </w14:textFill>
        </w:rPr>
      </w:pPr>
    </w:p>
    <w:p>
      <w:pPr>
        <w:snapToGrid w:val="0"/>
        <w:spacing w:before="50" w:after="50" w:line="4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p>
    <w:p>
      <w:pPr>
        <w:snapToGrid w:val="0"/>
        <w:spacing w:before="50" w:after="50" w:line="4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30"/>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2858"/>
        <w:gridCol w:w="3921"/>
        <w:gridCol w:w="19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8"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
              </w:rPr>
            </w:pPr>
            <w:r>
              <w:rPr>
                <w:rFonts w:hint="eastAsia" w:ascii="仿宋" w:hAnsi="仿宋" w:eastAsia="仿宋" w:cs="仿宋"/>
                <w:b/>
              </w:rPr>
              <w:t>序号</w:t>
            </w:r>
          </w:p>
        </w:tc>
        <w:tc>
          <w:tcPr>
            <w:tcW w:w="2858"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
              </w:rPr>
            </w:pPr>
            <w:r>
              <w:rPr>
                <w:rFonts w:hint="eastAsia" w:ascii="仿宋" w:hAnsi="仿宋" w:eastAsia="仿宋" w:cs="仿宋"/>
                <w:b/>
              </w:rPr>
              <w:t>项目内容</w:t>
            </w:r>
          </w:p>
        </w:tc>
        <w:tc>
          <w:tcPr>
            <w:tcW w:w="392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ind w:right="-84" w:rightChars="-35"/>
              <w:jc w:val="center"/>
              <w:textAlignment w:val="auto"/>
              <w:rPr>
                <w:rFonts w:ascii="仿宋" w:hAnsi="仿宋" w:eastAsia="仿宋" w:cs="仿宋"/>
                <w:b/>
                <w:bCs/>
              </w:rPr>
            </w:pPr>
            <w:r>
              <w:rPr>
                <w:rFonts w:hint="eastAsia" w:ascii="仿宋" w:hAnsi="仿宋" w:eastAsia="仿宋" w:cs="仿宋"/>
                <w:b/>
              </w:rPr>
              <w:t>投标报价（元）</w:t>
            </w:r>
          </w:p>
        </w:tc>
        <w:tc>
          <w:tcPr>
            <w:tcW w:w="1999"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Cs/>
              </w:rPr>
            </w:pPr>
            <w:r>
              <w:rPr>
                <w:rFonts w:hint="eastAsia" w:ascii="仿宋" w:hAnsi="仿宋" w:eastAsia="仿宋" w:cs="仿宋"/>
                <w:bCs/>
              </w:rPr>
              <w:t>1</w:t>
            </w:r>
          </w:p>
        </w:tc>
        <w:tc>
          <w:tcPr>
            <w:tcW w:w="2858"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Cs/>
              </w:rPr>
            </w:pPr>
            <w:r>
              <w:rPr>
                <w:rFonts w:hint="eastAsia" w:ascii="仿宋" w:hAnsi="仿宋" w:eastAsia="仿宋" w:cs="仿宋"/>
                <w:bCs/>
              </w:rPr>
              <w:t>新增部分</w:t>
            </w:r>
          </w:p>
        </w:tc>
        <w:tc>
          <w:tcPr>
            <w:tcW w:w="392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rPr>
            </w:pPr>
          </w:p>
        </w:tc>
        <w:tc>
          <w:tcPr>
            <w:tcW w:w="1999"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Cs/>
              </w:rPr>
            </w:pPr>
            <w:r>
              <w:rPr>
                <w:rFonts w:hint="eastAsia" w:ascii="仿宋" w:hAnsi="仿宋" w:eastAsia="仿宋" w:cs="仿宋"/>
                <w:bCs/>
              </w:rPr>
              <w:t>2</w:t>
            </w:r>
          </w:p>
        </w:tc>
        <w:tc>
          <w:tcPr>
            <w:tcW w:w="2858"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Cs/>
              </w:rPr>
            </w:pPr>
            <w:r>
              <w:rPr>
                <w:rFonts w:hint="eastAsia" w:ascii="仿宋" w:hAnsi="仿宋" w:eastAsia="仿宋" w:cs="仿宋"/>
                <w:bCs/>
              </w:rPr>
              <w:t>维护部分</w:t>
            </w:r>
          </w:p>
        </w:tc>
        <w:tc>
          <w:tcPr>
            <w:tcW w:w="392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rPr>
            </w:pPr>
          </w:p>
        </w:tc>
        <w:tc>
          <w:tcPr>
            <w:tcW w:w="1999"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before="50" w:after="50"/>
              <w:jc w:val="center"/>
              <w:textAlignment w:val="auto"/>
              <w:rPr>
                <w:rFonts w:ascii="仿宋" w:hAnsi="仿宋" w:eastAsia="仿宋" w:cs="仿宋"/>
                <w:bCs/>
              </w:rPr>
            </w:pPr>
            <w:r>
              <w:rPr>
                <w:rFonts w:hint="eastAsia" w:ascii="仿宋" w:hAnsi="仿宋" w:eastAsia="仿宋" w:cs="仿宋"/>
                <w:bCs/>
              </w:rPr>
              <w:t>3</w:t>
            </w:r>
          </w:p>
        </w:tc>
        <w:tc>
          <w:tcPr>
            <w:tcW w:w="2858" w:type="dxa"/>
            <w:tcBorders>
              <w:top w:val="single" w:color="auto" w:sz="4" w:space="0"/>
              <w:left w:val="single" w:color="auto" w:sz="4" w:space="0"/>
              <w:bottom w:val="single" w:color="auto" w:sz="4" w:space="0"/>
              <w:right w:val="single" w:color="auto" w:sz="4" w:space="0"/>
            </w:tcBorders>
            <w:vAlign w:val="center"/>
          </w:tcPr>
          <w:p>
            <w:pPr>
              <w:snapToGrid w:val="0"/>
              <w:spacing w:before="50" w:line="500" w:lineRule="exact"/>
              <w:jc w:val="center"/>
              <w:rPr>
                <w:rFonts w:ascii="仿宋" w:hAnsi="仿宋" w:eastAsia="仿宋" w:cs="仿宋"/>
                <w:bCs/>
              </w:rPr>
            </w:pPr>
            <w:r>
              <w:rPr>
                <w:rFonts w:hint="eastAsia" w:ascii="仿宋" w:hAnsi="仿宋" w:eastAsia="仿宋" w:cs="仿宋"/>
                <w:bCs/>
                <w:color w:val="000000" w:themeColor="text1"/>
                <w14:textFill>
                  <w14:solidFill>
                    <w14:schemeClr w14:val="tx1"/>
                  </w14:solidFill>
                </w14:textFill>
              </w:rPr>
              <w:t>投标总价</w:t>
            </w:r>
          </w:p>
        </w:tc>
        <w:tc>
          <w:tcPr>
            <w:tcW w:w="592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line="500" w:lineRule="exact"/>
              <w:ind w:firstLine="48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小写：</w:t>
            </w:r>
            <w:r>
              <w:rPr>
                <w:rFonts w:hint="eastAsia" w:ascii="仿宋" w:hAnsi="仿宋" w:eastAsia="仿宋" w:cs="仿宋"/>
                <w:bCs/>
                <w:color w:val="000000" w:themeColor="text1"/>
                <w:szCs w:val="24"/>
                <w:u w:val="single"/>
                <w14:textFill>
                  <w14:solidFill>
                    <w14:schemeClr w14:val="tx1"/>
                  </w14:solidFill>
                </w14:textFill>
              </w:rPr>
              <w:t xml:space="preserve">                  </w:t>
            </w:r>
          </w:p>
          <w:p>
            <w:pPr>
              <w:snapToGrid w:val="0"/>
              <w:spacing w:before="50" w:line="500" w:lineRule="exact"/>
              <w:ind w:firstLine="480"/>
              <w:rPr>
                <w:rFonts w:ascii="仿宋" w:hAnsi="仿宋" w:eastAsia="仿宋" w:cs="仿宋"/>
              </w:rPr>
            </w:pPr>
            <w:r>
              <w:rPr>
                <w:rFonts w:hint="eastAsia" w:ascii="仿宋" w:hAnsi="仿宋" w:eastAsia="仿宋" w:cs="仿宋"/>
                <w:bCs/>
                <w:color w:val="000000" w:themeColor="text1"/>
                <w14:textFill>
                  <w14:solidFill>
                    <w14:schemeClr w14:val="tx1"/>
                  </w14:solidFill>
                </w14:textFill>
              </w:rPr>
              <w:t>大写：</w:t>
            </w:r>
            <w:r>
              <w:rPr>
                <w:rFonts w:hint="eastAsia" w:ascii="仿宋" w:hAnsi="仿宋" w:eastAsia="仿宋" w:cs="仿宋"/>
                <w:bCs/>
                <w:color w:val="000000" w:themeColor="text1"/>
                <w:szCs w:val="24"/>
                <w:u w:val="single"/>
                <w14:textFill>
                  <w14:solidFill>
                    <w14:schemeClr w14:val="tx1"/>
                  </w14:solidFill>
                </w14:textFill>
              </w:rPr>
              <w:t xml:space="preserve">                  </w:t>
            </w:r>
          </w:p>
        </w:tc>
      </w:tr>
    </w:tbl>
    <w:p>
      <w:pPr>
        <w:snapToGrid w:val="0"/>
        <w:spacing w:before="50" w:after="50" w:line="360" w:lineRule="exact"/>
        <w:jc w:val="left"/>
        <w:rPr>
          <w:rFonts w:ascii="仿宋" w:hAnsi="仿宋" w:eastAsia="仿宋" w:cs="仿宋"/>
          <w:color w:val="000000" w:themeColor="text1"/>
          <w14:textFill>
            <w14:solidFill>
              <w14:schemeClr w14:val="tx1"/>
            </w14:solidFill>
          </w14:textFill>
        </w:rPr>
      </w:pPr>
    </w:p>
    <w:p>
      <w:pPr>
        <w:snapToGrid w:val="0"/>
        <w:spacing w:before="50" w:after="50" w:line="360" w:lineRule="exact"/>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 1、报价一经涂改，应在涂改处加盖单位公章或者由法定代表人或授权委托人签字，否则其投标作无效标处理。</w:t>
      </w:r>
    </w:p>
    <w:p>
      <w:pPr>
        <w:snapToGrid w:val="0"/>
        <w:spacing w:before="50" w:after="50" w:line="360" w:lineRule="exact"/>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2、投标费用包括项目实施所需的人工费、设备费、印刷费、服务费、税金、招标代理费、后续服务费及实施本项目所需的其他一切费用。</w:t>
      </w:r>
    </w:p>
    <w:p>
      <w:pPr>
        <w:snapToGrid w:val="0"/>
        <w:spacing w:before="50" w:after="50" w:line="360" w:lineRule="exact"/>
        <w:ind w:firstLine="480" w:firstLineChars="200"/>
        <w:jc w:val="lef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、以上投标总价应与投标报价明细表中的总价相一致。</w:t>
      </w:r>
    </w:p>
    <w:p>
      <w:pPr>
        <w:spacing w:line="500" w:lineRule="exact"/>
        <w:rPr>
          <w:rFonts w:ascii="仿宋" w:hAnsi="仿宋" w:eastAsia="仿宋" w:cs="仿宋"/>
          <w:color w:val="000000" w:themeColor="text1"/>
          <w:lang w:val="zh-CN"/>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pacing w:beforeLines="100" w:afterLines="50" w:line="560" w:lineRule="exact"/>
        <w:jc w:val="center"/>
        <w:rPr>
          <w:rFonts w:ascii="仿宋" w:hAnsi="仿宋" w:eastAsia="仿宋" w:cs="仿宋"/>
          <w:b/>
          <w:bCs/>
          <w:color w:val="000000" w:themeColor="text1"/>
          <w:sz w:val="28"/>
          <w:szCs w:val="28"/>
          <w14:textFill>
            <w14:solidFill>
              <w14:schemeClr w14:val="tx1"/>
            </w14:solidFill>
          </w14:textFill>
        </w:rPr>
      </w:pPr>
    </w:p>
    <w:p>
      <w:pPr>
        <w:spacing w:beforeLines="100" w:afterLines="50" w:line="560" w:lineRule="exact"/>
        <w:jc w:val="center"/>
        <w:rPr>
          <w:rFonts w:ascii="仿宋" w:hAnsi="仿宋" w:eastAsia="仿宋" w:cs="仿宋"/>
          <w:b/>
          <w:bCs/>
          <w:color w:val="000000" w:themeColor="text1"/>
          <w:sz w:val="28"/>
          <w:szCs w:val="28"/>
          <w14:textFill>
            <w14:solidFill>
              <w14:schemeClr w14:val="tx1"/>
            </w14:solidFill>
          </w14:textFill>
        </w:rPr>
      </w:pPr>
    </w:p>
    <w:p>
      <w:pPr>
        <w:spacing w:beforeLines="100" w:afterLines="50" w:line="56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p>
    <w:p>
      <w:pPr>
        <w:spacing w:beforeLines="100" w:afterLines="50"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投标项目报价明细表</w:t>
      </w:r>
    </w:p>
    <w:p>
      <w:pPr>
        <w:jc w:val="center"/>
        <w:rPr>
          <w:rFonts w:ascii="仿宋" w:hAnsi="仿宋" w:eastAsia="仿宋" w:cs="仿宋"/>
          <w:b/>
          <w:bCs/>
          <w:szCs w:val="28"/>
        </w:rPr>
      </w:pPr>
    </w:p>
    <w:p>
      <w:pPr>
        <w:rPr>
          <w:rFonts w:ascii="仿宋" w:hAnsi="仿宋" w:eastAsia="仿宋" w:cs="仿宋"/>
          <w:bCs/>
        </w:rPr>
      </w:pPr>
      <w:r>
        <w:rPr>
          <w:rFonts w:hint="eastAsia" w:ascii="仿宋" w:hAnsi="仿宋" w:eastAsia="仿宋" w:cs="仿宋"/>
        </w:rPr>
        <w:t>投标人全称（加盖公章）：                      招标文件编号：</w:t>
      </w:r>
    </w:p>
    <w:tbl>
      <w:tblPr>
        <w:tblStyle w:val="30"/>
        <w:tblW w:w="96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635"/>
        <w:gridCol w:w="2635"/>
        <w:gridCol w:w="754"/>
        <w:gridCol w:w="795"/>
        <w:gridCol w:w="568"/>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56" w:type="dxa"/>
            <w:vAlign w:val="center"/>
          </w:tcPr>
          <w:p>
            <w:pPr>
              <w:spacing w:line="240" w:lineRule="exact"/>
              <w:jc w:val="center"/>
              <w:rPr>
                <w:rFonts w:ascii="仿宋" w:hAnsi="仿宋" w:eastAsia="仿宋" w:cs="仿宋"/>
              </w:rPr>
            </w:pPr>
            <w:r>
              <w:rPr>
                <w:rFonts w:hint="eastAsia" w:ascii="仿宋" w:hAnsi="仿宋" w:eastAsia="仿宋" w:cs="仿宋"/>
              </w:rPr>
              <w:t>序号</w:t>
            </w:r>
          </w:p>
        </w:tc>
        <w:tc>
          <w:tcPr>
            <w:tcW w:w="2635" w:type="dxa"/>
            <w:vAlign w:val="center"/>
          </w:tcPr>
          <w:p>
            <w:pPr>
              <w:spacing w:line="240" w:lineRule="exact"/>
              <w:jc w:val="center"/>
              <w:rPr>
                <w:rFonts w:ascii="仿宋" w:hAnsi="仿宋" w:eastAsia="仿宋" w:cs="仿宋"/>
              </w:rPr>
            </w:pPr>
            <w:r>
              <w:rPr>
                <w:rFonts w:hint="eastAsia" w:ascii="仿宋" w:hAnsi="仿宋" w:eastAsia="仿宋" w:cs="仿宋"/>
              </w:rPr>
              <w:t>货物名称（部件名称）</w:t>
            </w:r>
          </w:p>
        </w:tc>
        <w:tc>
          <w:tcPr>
            <w:tcW w:w="2635" w:type="dxa"/>
            <w:vAlign w:val="center"/>
          </w:tcPr>
          <w:p>
            <w:pPr>
              <w:spacing w:line="240" w:lineRule="exact"/>
              <w:jc w:val="center"/>
              <w:rPr>
                <w:rFonts w:ascii="仿宋" w:hAnsi="仿宋" w:eastAsia="仿宋" w:cs="仿宋"/>
              </w:rPr>
            </w:pPr>
            <w:r>
              <w:rPr>
                <w:rFonts w:hint="eastAsia" w:ascii="仿宋" w:hAnsi="仿宋" w:eastAsia="仿宋" w:cs="仿宋"/>
              </w:rPr>
              <w:t>规格型号（技术参数）</w:t>
            </w:r>
          </w:p>
        </w:tc>
        <w:tc>
          <w:tcPr>
            <w:tcW w:w="754" w:type="dxa"/>
            <w:vAlign w:val="center"/>
          </w:tcPr>
          <w:p>
            <w:pPr>
              <w:spacing w:line="240" w:lineRule="exact"/>
              <w:jc w:val="center"/>
              <w:rPr>
                <w:rFonts w:ascii="仿宋" w:hAnsi="仿宋" w:eastAsia="仿宋" w:cs="仿宋"/>
              </w:rPr>
            </w:pPr>
            <w:r>
              <w:rPr>
                <w:rFonts w:hint="eastAsia" w:ascii="仿宋" w:hAnsi="仿宋" w:eastAsia="仿宋" w:cs="仿宋"/>
              </w:rPr>
              <w:t>品牌</w:t>
            </w:r>
          </w:p>
        </w:tc>
        <w:tc>
          <w:tcPr>
            <w:tcW w:w="795" w:type="dxa"/>
            <w:vAlign w:val="center"/>
          </w:tcPr>
          <w:p>
            <w:pPr>
              <w:spacing w:line="240" w:lineRule="exact"/>
              <w:jc w:val="center"/>
              <w:rPr>
                <w:rFonts w:ascii="仿宋" w:hAnsi="仿宋" w:eastAsia="仿宋" w:cs="仿宋"/>
              </w:rPr>
            </w:pPr>
            <w:r>
              <w:rPr>
                <w:rFonts w:hint="eastAsia" w:ascii="仿宋" w:hAnsi="仿宋" w:eastAsia="仿宋" w:cs="仿宋"/>
              </w:rPr>
              <w:t>数量</w:t>
            </w:r>
          </w:p>
        </w:tc>
        <w:tc>
          <w:tcPr>
            <w:tcW w:w="568" w:type="dxa"/>
            <w:vAlign w:val="center"/>
          </w:tcPr>
          <w:p>
            <w:pPr>
              <w:spacing w:line="240" w:lineRule="exact"/>
              <w:jc w:val="center"/>
              <w:rPr>
                <w:rFonts w:ascii="仿宋" w:hAnsi="仿宋" w:eastAsia="仿宋" w:cs="仿宋"/>
              </w:rPr>
            </w:pPr>
            <w:r>
              <w:rPr>
                <w:rFonts w:hint="eastAsia" w:ascii="仿宋" w:hAnsi="仿宋" w:eastAsia="仿宋" w:cs="仿宋"/>
              </w:rPr>
              <w:t>单位</w:t>
            </w:r>
          </w:p>
        </w:tc>
        <w:tc>
          <w:tcPr>
            <w:tcW w:w="756" w:type="dxa"/>
            <w:vAlign w:val="center"/>
          </w:tcPr>
          <w:p>
            <w:pPr>
              <w:spacing w:line="240" w:lineRule="exact"/>
              <w:jc w:val="center"/>
              <w:rPr>
                <w:rFonts w:ascii="仿宋" w:hAnsi="仿宋" w:eastAsia="仿宋" w:cs="仿宋"/>
              </w:rPr>
            </w:pPr>
            <w:r>
              <w:rPr>
                <w:rFonts w:hint="eastAsia" w:ascii="仿宋" w:hAnsi="仿宋" w:eastAsia="仿宋" w:cs="仿宋"/>
              </w:rPr>
              <w:t>单价</w:t>
            </w:r>
          </w:p>
        </w:tc>
        <w:tc>
          <w:tcPr>
            <w:tcW w:w="756" w:type="dxa"/>
            <w:vAlign w:val="center"/>
          </w:tcPr>
          <w:p>
            <w:pPr>
              <w:spacing w:line="240" w:lineRule="exact"/>
              <w:jc w:val="center"/>
              <w:rPr>
                <w:rFonts w:ascii="仿宋" w:hAnsi="仿宋" w:eastAsia="仿宋" w:cs="仿宋"/>
              </w:rPr>
            </w:pPr>
            <w:r>
              <w:rPr>
                <w:rFonts w:hint="eastAsia" w:ascii="仿宋" w:hAnsi="仿宋" w:eastAsia="仿宋" w:cs="仿宋"/>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7575" w:type="dxa"/>
            <w:gridSpan w:val="5"/>
          </w:tcPr>
          <w:p>
            <w:pPr>
              <w:spacing w:line="300" w:lineRule="exact"/>
              <w:rPr>
                <w:rFonts w:ascii="仿宋" w:hAnsi="仿宋" w:eastAsia="仿宋" w:cs="仿宋"/>
              </w:rPr>
            </w:pPr>
            <w:r>
              <w:rPr>
                <w:rFonts w:hint="eastAsia" w:ascii="仿宋" w:hAnsi="仿宋" w:eastAsia="仿宋" w:cs="仿宋"/>
              </w:rPr>
              <w:t>其他：</w:t>
            </w:r>
          </w:p>
        </w:tc>
        <w:tc>
          <w:tcPr>
            <w:tcW w:w="2080" w:type="dxa"/>
            <w:gridSpan w:val="3"/>
          </w:tcPr>
          <w:p>
            <w:pPr>
              <w:spacing w:line="3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6"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2635" w:type="dxa"/>
          </w:tcPr>
          <w:p>
            <w:pPr>
              <w:spacing w:line="300" w:lineRule="exact"/>
              <w:jc w:val="center"/>
              <w:rPr>
                <w:rFonts w:ascii="仿宋" w:hAnsi="仿宋" w:eastAsia="仿宋" w:cs="仿宋"/>
              </w:rPr>
            </w:pPr>
          </w:p>
        </w:tc>
        <w:tc>
          <w:tcPr>
            <w:tcW w:w="754" w:type="dxa"/>
          </w:tcPr>
          <w:p>
            <w:pPr>
              <w:spacing w:line="300" w:lineRule="exact"/>
              <w:jc w:val="center"/>
              <w:rPr>
                <w:rFonts w:ascii="仿宋" w:hAnsi="仿宋" w:eastAsia="仿宋" w:cs="仿宋"/>
              </w:rPr>
            </w:pPr>
          </w:p>
        </w:tc>
        <w:tc>
          <w:tcPr>
            <w:tcW w:w="795" w:type="dxa"/>
          </w:tcPr>
          <w:p>
            <w:pPr>
              <w:spacing w:line="300" w:lineRule="exact"/>
              <w:jc w:val="center"/>
              <w:rPr>
                <w:rFonts w:ascii="仿宋" w:hAnsi="仿宋" w:eastAsia="仿宋" w:cs="仿宋"/>
              </w:rPr>
            </w:pPr>
          </w:p>
        </w:tc>
        <w:tc>
          <w:tcPr>
            <w:tcW w:w="568"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c>
          <w:tcPr>
            <w:tcW w:w="756" w:type="dxa"/>
          </w:tcPr>
          <w:p>
            <w:pPr>
              <w:spacing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391" w:type="dxa"/>
            <w:gridSpan w:val="2"/>
          </w:tcPr>
          <w:p>
            <w:pPr>
              <w:spacing w:line="300" w:lineRule="exact"/>
              <w:jc w:val="center"/>
              <w:rPr>
                <w:rFonts w:ascii="仿宋" w:hAnsi="仿宋" w:eastAsia="仿宋" w:cs="仿宋"/>
              </w:rPr>
            </w:pPr>
            <w:r>
              <w:rPr>
                <w:rFonts w:hint="eastAsia" w:ascii="仿宋" w:hAnsi="仿宋" w:eastAsia="仿宋" w:cs="仿宋"/>
              </w:rPr>
              <w:t>汇总金额（人民币）</w:t>
            </w:r>
          </w:p>
        </w:tc>
        <w:tc>
          <w:tcPr>
            <w:tcW w:w="6264" w:type="dxa"/>
            <w:gridSpan w:val="6"/>
          </w:tcPr>
          <w:p>
            <w:pPr>
              <w:spacing w:line="300" w:lineRule="exact"/>
              <w:jc w:val="center"/>
              <w:rPr>
                <w:rFonts w:ascii="仿宋" w:hAnsi="仿宋" w:eastAsia="仿宋" w:cs="仿宋"/>
              </w:rPr>
            </w:pPr>
          </w:p>
        </w:tc>
      </w:tr>
    </w:tbl>
    <w:p>
      <w:pPr>
        <w:rPr>
          <w:rFonts w:ascii="仿宋" w:hAnsi="仿宋" w:eastAsia="仿宋" w:cs="仿宋"/>
        </w:rPr>
      </w:pPr>
      <w:r>
        <w:rPr>
          <w:rFonts w:hint="eastAsia" w:ascii="仿宋" w:hAnsi="仿宋" w:eastAsia="仿宋" w:cs="仿宋"/>
        </w:rPr>
        <w:t>法定代表人或其授权代理人签字或盖章：</w:t>
      </w:r>
    </w:p>
    <w:p>
      <w:pPr>
        <w:rPr>
          <w:rFonts w:ascii="仿宋" w:hAnsi="仿宋" w:eastAsia="仿宋" w:cs="仿宋"/>
        </w:rPr>
      </w:pPr>
      <w:r>
        <w:rPr>
          <w:rFonts w:hint="eastAsia" w:ascii="仿宋" w:hAnsi="仿宋" w:eastAsia="仿宋" w:cs="仿宋"/>
        </w:rPr>
        <w:t xml:space="preserve">                                 日期：    年  月   日</w:t>
      </w:r>
    </w:p>
    <w:p>
      <w:pPr>
        <w:rPr>
          <w:rFonts w:ascii="仿宋" w:hAnsi="仿宋" w:eastAsia="仿宋" w:cs="仿宋"/>
        </w:rPr>
      </w:pPr>
    </w:p>
    <w:p>
      <w:pPr>
        <w:tabs>
          <w:tab w:val="left" w:pos="1418"/>
        </w:tabs>
        <w:snapToGrid w:val="0"/>
        <w:spacing w:before="50" w:after="50"/>
        <w:rPr>
          <w:rFonts w:ascii="仿宋" w:hAnsi="仿宋" w:eastAsia="仿宋" w:cs="仿宋"/>
        </w:rPr>
      </w:pPr>
      <w:r>
        <w:rPr>
          <w:rFonts w:hint="eastAsia" w:ascii="仿宋" w:hAnsi="仿宋" w:eastAsia="仿宋" w:cs="仿宋"/>
        </w:rPr>
        <w:t>注：1、本表所列项目应根据实际情况填写，并计入投标总价；</w:t>
      </w:r>
    </w:p>
    <w:p>
      <w:pPr>
        <w:numPr>
          <w:ilvl w:val="0"/>
          <w:numId w:val="9"/>
        </w:numPr>
        <w:tabs>
          <w:tab w:val="left" w:pos="1418"/>
        </w:tabs>
        <w:snapToGrid w:val="0"/>
        <w:spacing w:before="50" w:after="50"/>
        <w:ind w:firstLine="482" w:firstLineChars="200"/>
        <w:rPr>
          <w:rFonts w:ascii="仿宋" w:hAnsi="仿宋" w:eastAsia="仿宋" w:cs="仿宋"/>
          <w:b/>
        </w:rPr>
      </w:pPr>
      <w:r>
        <w:rPr>
          <w:rFonts w:hint="eastAsia" w:ascii="仿宋" w:hAnsi="仿宋" w:eastAsia="仿宋" w:cs="仿宋"/>
          <w:b/>
        </w:rPr>
        <w:t>投标人应按招标文件“采购清单”所列清单明细逐一报价</w:t>
      </w:r>
    </w:p>
    <w:p>
      <w:pPr>
        <w:numPr>
          <w:ilvl w:val="0"/>
          <w:numId w:val="9"/>
        </w:numPr>
        <w:tabs>
          <w:tab w:val="left" w:pos="1418"/>
        </w:tabs>
        <w:snapToGrid w:val="0"/>
        <w:spacing w:before="50" w:after="50"/>
        <w:ind w:firstLine="480" w:firstLineChars="200"/>
        <w:rPr>
          <w:rFonts w:ascii="仿宋" w:hAnsi="仿宋" w:eastAsia="仿宋" w:cs="仿宋"/>
        </w:rPr>
      </w:pPr>
      <w:r>
        <w:rPr>
          <w:rFonts w:hint="eastAsia" w:ascii="仿宋" w:hAnsi="仿宋" w:eastAsia="仿宋" w:cs="仿宋"/>
        </w:rPr>
        <w:t>此表仅提供了表格形式，投标人应根据需要准备足够数量的表格来填写。</w:t>
      </w:r>
    </w:p>
    <w:p>
      <w:pPr>
        <w:snapToGrid w:val="0"/>
        <w:spacing w:beforeLines="50" w:line="360" w:lineRule="auto"/>
        <w:rPr>
          <w:rFonts w:ascii="仿宋" w:hAnsi="仿宋" w:eastAsia="仿宋" w:cs="仿宋"/>
          <w:color w:val="000000" w:themeColor="text1"/>
          <w14:textFill>
            <w14:solidFill>
              <w14:schemeClr w14:val="tx1"/>
            </w14:solidFill>
          </w14:textFill>
        </w:rPr>
      </w:pPr>
    </w:p>
    <w:p>
      <w:pPr>
        <w:tabs>
          <w:tab w:val="left" w:pos="720"/>
        </w:tabs>
        <w:spacing w:line="360" w:lineRule="auto"/>
        <w:ind w:left="-2" w:leftChars="-1" w:firstLine="412" w:firstLineChars="171"/>
        <w:jc w:val="center"/>
        <w:rPr>
          <w:rFonts w:ascii="仿宋" w:hAnsi="仿宋" w:eastAsia="仿宋" w:cs="仿宋"/>
          <w:b/>
          <w:bCs/>
          <w:color w:val="000000" w:themeColor="text1"/>
          <w14:textFill>
            <w14:solidFill>
              <w14:schemeClr w14:val="tx1"/>
            </w14:solidFill>
          </w14:textFill>
        </w:rPr>
      </w:pPr>
    </w:p>
    <w:p>
      <w:pPr>
        <w:tabs>
          <w:tab w:val="left" w:pos="720"/>
        </w:tabs>
        <w:spacing w:line="360" w:lineRule="auto"/>
        <w:ind w:left="-2" w:leftChars="-1" w:firstLine="412" w:firstLineChars="171"/>
        <w:jc w:val="center"/>
        <w:rPr>
          <w:rFonts w:ascii="仿宋" w:hAnsi="仿宋" w:eastAsia="仿宋" w:cs="仿宋"/>
          <w:b/>
          <w:bCs/>
          <w:color w:val="000000" w:themeColor="text1"/>
          <w14:textFill>
            <w14:solidFill>
              <w14:schemeClr w14:val="tx1"/>
            </w14:solidFill>
          </w14:textFill>
        </w:rPr>
      </w:pPr>
    </w:p>
    <w:p>
      <w:pPr>
        <w:tabs>
          <w:tab w:val="left" w:pos="720"/>
        </w:tabs>
        <w:spacing w:line="360" w:lineRule="auto"/>
        <w:ind w:left="-2" w:leftChars="-1" w:firstLine="412" w:firstLineChars="171"/>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政策分相关证明资料：</w:t>
      </w:r>
    </w:p>
    <w:p>
      <w:pPr>
        <w:snapToGrid w:val="0"/>
        <w:spacing w:line="360" w:lineRule="auto"/>
        <w:jc w:val="center"/>
        <w:rPr>
          <w:rFonts w:ascii="仿宋" w:hAnsi="仿宋" w:eastAsia="仿宋" w:cs="仿宋"/>
          <w:b/>
          <w:color w:val="000000" w:themeColor="text1"/>
          <w14:textFill>
            <w14:solidFill>
              <w14:schemeClr w14:val="tx1"/>
            </w14:solidFill>
          </w14:textFill>
        </w:rPr>
      </w:pPr>
    </w:p>
    <w:p>
      <w:pPr>
        <w:spacing w:line="44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中小企业声明函</w:t>
      </w:r>
    </w:p>
    <w:p>
      <w:pPr>
        <w:spacing w:before="55" w:line="440" w:lineRule="exact"/>
        <w:ind w:right="-23" w:firstLine="480" w:firstLineChars="200"/>
        <w:rPr>
          <w:rFonts w:hint="eastAsia" w:ascii="仿宋" w:hAnsi="仿宋" w:eastAsia="仿宋" w:cs="仿宋"/>
          <w:color w:val="000000" w:themeColor="text1"/>
          <w14:textFill>
            <w14:solidFill>
              <w14:schemeClr w14:val="tx1"/>
            </w14:solidFill>
          </w14:textFill>
        </w:rPr>
      </w:pPr>
    </w:p>
    <w:p>
      <w:pPr>
        <w:spacing w:before="55" w:line="440" w:lineRule="exact"/>
        <w:ind w:right="-23"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before="55" w:line="440" w:lineRule="exact"/>
        <w:ind w:right="-23"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（标的名称） ，属于（采购文件中明确的所属行业）； 承建（承接）企业为</w:t>
      </w:r>
      <w:r>
        <w:rPr>
          <w:rFonts w:hint="eastAsia" w:ascii="仿宋" w:hAnsi="仿宋" w:eastAsia="仿宋" w:cs="仿宋"/>
          <w:color w:val="000000" w:themeColor="text1"/>
          <w:u w:val="single"/>
          <w14:textFill>
            <w14:solidFill>
              <w14:schemeClr w14:val="tx1"/>
            </w14:solidFill>
          </w14:textFill>
        </w:rPr>
        <w:t xml:space="preserve">（企业名称   </w:t>
      </w:r>
      <w:r>
        <w:rPr>
          <w:rFonts w:hint="eastAsia" w:ascii="仿宋" w:hAnsi="仿宋" w:eastAsia="仿宋" w:cs="仿宋"/>
          <w:color w:val="000000" w:themeColor="text1"/>
          <w14:textFill>
            <w14:solidFill>
              <w14:schemeClr w14:val="tx1"/>
            </w14:solidFill>
          </w14:textFill>
        </w:rPr>
        <w:t>），从业人员</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人，营业收入为</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万元，资产总额为</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万元，属于（中型企业、 小型企业、微型企业）； </w:t>
      </w:r>
    </w:p>
    <w:p>
      <w:pPr>
        <w:spacing w:before="55" w:line="440" w:lineRule="exact"/>
        <w:ind w:right="-23"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before="55" w:line="440" w:lineRule="exact"/>
        <w:ind w:left="595" w:right="-23" w:firstLine="480" w:firstLineChars="200"/>
        <w:rPr>
          <w:rFonts w:ascii="仿宋" w:hAnsi="仿宋" w:eastAsia="仿宋" w:cs="仿宋"/>
          <w:color w:val="000000" w:themeColor="text1"/>
          <w14:textFill>
            <w14:solidFill>
              <w14:schemeClr w14:val="tx1"/>
            </w14:solidFill>
          </w14:textFill>
        </w:rPr>
      </w:pPr>
    </w:p>
    <w:p>
      <w:pPr>
        <w:spacing w:before="55" w:line="440" w:lineRule="exact"/>
        <w:ind w:right="-23" w:firstLine="482" w:firstLineChars="200"/>
        <w:rPr>
          <w:rFonts w:ascii="仿宋" w:hAnsi="仿宋" w:eastAsia="仿宋" w:cs="仿宋"/>
          <w:b/>
          <w:bCs/>
          <w:color w:val="000000" w:themeColor="text1"/>
          <w:u w:val="single"/>
          <w14:textFill>
            <w14:solidFill>
              <w14:schemeClr w14:val="tx1"/>
            </w14:solidFill>
          </w14:textFill>
        </w:rPr>
      </w:pPr>
      <w:r>
        <w:rPr>
          <w:rFonts w:hint="eastAsia" w:ascii="仿宋" w:hAnsi="仿宋" w:eastAsia="仿宋" w:cs="仿宋"/>
          <w:b/>
          <w:bCs/>
          <w:color w:val="000000" w:themeColor="text1"/>
          <w:u w:val="single"/>
          <w14:textFill>
            <w14:solidFill>
              <w14:schemeClr w14:val="tx1"/>
            </w14:solidFill>
          </w14:textFill>
        </w:rPr>
        <w:t>本企业对上述声明内容的真实性负责。如有虚假，将依法承担相应责任。</w:t>
      </w:r>
    </w:p>
    <w:p>
      <w:pPr>
        <w:spacing w:before="55" w:line="440" w:lineRule="exact"/>
        <w:ind w:left="594" w:right="-20"/>
        <w:jc w:val="right"/>
        <w:rPr>
          <w:rFonts w:ascii="仿宋" w:hAnsi="仿宋" w:eastAsia="仿宋" w:cs="仿宋"/>
          <w:color w:val="000000" w:themeColor="text1"/>
          <w14:textFill>
            <w14:solidFill>
              <w14:schemeClr w14:val="tx1"/>
            </w14:solidFill>
          </w14:textFill>
        </w:rPr>
      </w:pPr>
    </w:p>
    <w:p>
      <w:pPr>
        <w:spacing w:before="55" w:line="440" w:lineRule="exact"/>
        <w:ind w:left="594" w:right="-20"/>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企业名称（盖章）： </w:t>
      </w:r>
    </w:p>
    <w:p>
      <w:pPr>
        <w:spacing w:before="55" w:line="440" w:lineRule="exact"/>
        <w:ind w:left="594" w:right="-20"/>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日 期：  </w:t>
      </w:r>
    </w:p>
    <w:p>
      <w:pPr>
        <w:widowControl/>
        <w:tabs>
          <w:tab w:val="left" w:pos="312"/>
        </w:tabs>
        <w:spacing w:before="100" w:beforeAutospacing="1" w:after="100" w:afterAutospacing="1" w:line="440" w:lineRule="exact"/>
        <w:jc w:val="left"/>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注：</w:t>
      </w:r>
    </w:p>
    <w:p>
      <w:pPr>
        <w:widowControl/>
        <w:tabs>
          <w:tab w:val="left" w:pos="312"/>
        </w:tabs>
        <w:spacing w:before="100" w:beforeAutospacing="1" w:after="100" w:afterAutospacing="1" w:line="440" w:lineRule="exact"/>
        <w:ind w:firstLine="240" w:firstLineChars="100"/>
        <w:jc w:val="left"/>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1.从业人员、营业收入、资产总额填报上一年度数据，无上一年度数据的新成立企业可不填报。</w:t>
      </w:r>
    </w:p>
    <w:p>
      <w:pPr>
        <w:pStyle w:val="7"/>
        <w:ind w:firstLine="240" w:firstLineChars="100"/>
        <w:rPr>
          <w:rFonts w:ascii="仿宋" w:hAnsi="仿宋" w:eastAsia="仿宋" w:cs="仿宋"/>
          <w:bCs/>
          <w:color w:val="000000" w:themeColor="text1"/>
          <w:highlight w:val="lightGray"/>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w:t>
      </w:r>
      <w:r>
        <w:rPr>
          <w:rFonts w:hint="eastAsia" w:ascii="仿宋" w:hAnsi="仿宋" w:eastAsia="仿宋" w:cs="仿宋"/>
          <w:bCs/>
          <w:color w:val="000000" w:themeColor="text1"/>
          <w:highlight w:val="lightGray"/>
          <w14:textFill>
            <w14:solidFill>
              <w14:schemeClr w14:val="tx1"/>
            </w14:solidFill>
          </w14:textFill>
        </w:rPr>
        <w:t>如中标，将在中标公告中将此中小企业声明函予以公示，接受社会监督。</w:t>
      </w:r>
    </w:p>
    <w:p>
      <w:pPr>
        <w:rPr>
          <w:rFonts w:ascii="仿宋" w:hAnsi="仿宋" w:eastAsia="仿宋" w:cs="仿宋"/>
          <w:bCs/>
          <w:color w:val="000000" w:themeColor="text1"/>
          <w:highlight w:val="lightGray"/>
          <w14:textFill>
            <w14:solidFill>
              <w14:schemeClr w14:val="tx1"/>
            </w14:solidFill>
          </w14:textFill>
        </w:rPr>
      </w:pPr>
    </w:p>
    <w:p>
      <w:pPr>
        <w:pStyle w:val="12"/>
        <w:ind w:firstLine="240"/>
        <w:rPr>
          <w:rFonts w:ascii="仿宋" w:hAnsi="仿宋" w:eastAsia="仿宋" w:cs="仿宋"/>
          <w:bCs/>
          <w:color w:val="000000" w:themeColor="text1"/>
          <w:highlight w:val="lightGray"/>
          <w14:textFill>
            <w14:solidFill>
              <w14:schemeClr w14:val="tx1"/>
            </w14:solidFill>
          </w14:textFill>
        </w:rPr>
      </w:pPr>
    </w:p>
    <w:p>
      <w:pPr>
        <w:pStyle w:val="26"/>
        <w:ind w:left="480" w:hanging="480"/>
        <w:rPr>
          <w:rFonts w:ascii="仿宋" w:hAnsi="仿宋" w:eastAsia="仿宋" w:cs="仿宋"/>
          <w:bCs/>
          <w:color w:val="000000" w:themeColor="text1"/>
          <w:highlight w:val="lightGray"/>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p>
    <w:p>
      <w:pPr>
        <w:pStyle w:val="12"/>
        <w:ind w:firstLine="301"/>
        <w:rPr>
          <w:rFonts w:ascii="仿宋" w:hAnsi="仿宋" w:eastAsia="仿宋" w:cs="仿宋"/>
          <w:b/>
          <w:color w:val="000000" w:themeColor="text1"/>
          <w:sz w:val="30"/>
          <w:szCs w:val="30"/>
          <w14:textFill>
            <w14:solidFill>
              <w14:schemeClr w14:val="tx1"/>
            </w14:solidFill>
          </w14:textFill>
        </w:rPr>
      </w:pPr>
    </w:p>
    <w:p>
      <w:pPr>
        <w:pStyle w:val="26"/>
        <w:ind w:left="602" w:hanging="602"/>
        <w:rPr>
          <w:rFonts w:ascii="仿宋" w:hAnsi="仿宋" w:eastAsia="仿宋" w:cs="仿宋"/>
          <w:b/>
          <w:color w:val="000000" w:themeColor="text1"/>
          <w:sz w:val="30"/>
          <w:szCs w:val="30"/>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jc w:val="center"/>
        <w:rPr>
          <w:rFonts w:hint="eastAsia" w:ascii="仿宋" w:hAnsi="仿宋" w:eastAsia="仿宋" w:cs="仿宋"/>
          <w:b/>
          <w:color w:val="000000" w:themeColor="text1"/>
          <w:sz w:val="30"/>
          <w:szCs w:val="30"/>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残疾人福利性单位声明函</w:t>
      </w:r>
    </w:p>
    <w:p>
      <w:pPr>
        <w:jc w:val="center"/>
        <w:rPr>
          <w:rFonts w:ascii="仿宋" w:hAnsi="仿宋" w:eastAsia="仿宋" w:cs="仿宋"/>
          <w:b/>
          <w:color w:val="000000" w:themeColor="text1"/>
          <w:sz w:val="30"/>
          <w:szCs w:val="30"/>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（非残疾人福利性单位不用提供）</w:t>
      </w:r>
    </w:p>
    <w:p>
      <w:pPr>
        <w:spacing w:line="588" w:lineRule="exact"/>
        <w:rPr>
          <w:rFonts w:ascii="仿宋" w:hAnsi="仿宋" w:eastAsia="仿宋" w:cs="仿宋"/>
          <w:b/>
          <w:color w:val="000000" w:themeColor="text1"/>
          <w:spacing w:val="6"/>
          <w:sz w:val="30"/>
          <w:szCs w:val="30"/>
          <w14:textFill>
            <w14:solidFill>
              <w14:schemeClr w14:val="tx1"/>
            </w14:solidFill>
          </w14:textFill>
        </w:rPr>
      </w:pPr>
    </w:p>
    <w:p>
      <w:pPr>
        <w:spacing w:line="588" w:lineRule="exact"/>
        <w:ind w:firstLine="504" w:firstLineChars="200"/>
        <w:rPr>
          <w:rFonts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14:textFill>
            <w14:solidFill>
              <w14:schemeClr w14:val="tx1"/>
            </w14:solidFill>
          </w14:textFill>
        </w:rPr>
        <w:t>〔2017〕141</w:t>
      </w:r>
      <w:r>
        <w:rPr>
          <w:rFonts w:hint="eastAsia" w:ascii="仿宋" w:hAnsi="仿宋" w:eastAsia="仿宋" w:cs="仿宋"/>
          <w:color w:val="000000" w:themeColor="text1"/>
          <w:spacing w:val="6"/>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本单位对上述声明的真实性负责。如有虚假，将依法承担相应责任。</w:t>
      </w:r>
    </w:p>
    <w:p>
      <w:pPr>
        <w:spacing w:line="588" w:lineRule="exact"/>
        <w:rPr>
          <w:rFonts w:ascii="仿宋" w:hAnsi="仿宋" w:eastAsia="仿宋" w:cs="仿宋"/>
          <w:color w:val="000000" w:themeColor="text1"/>
          <w:spacing w:val="6"/>
          <w14:textFill>
            <w14:solidFill>
              <w14:schemeClr w14:val="tx1"/>
            </w14:solidFill>
          </w14:textFill>
        </w:rPr>
      </w:pPr>
    </w:p>
    <w:p>
      <w:pPr>
        <w:snapToGrid w:val="0"/>
        <w:spacing w:line="360" w:lineRule="auto"/>
        <w:ind w:firstLine="5280" w:firstLineChars="2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供应商名称(公章)：</w:t>
      </w:r>
    </w:p>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法定代表人或其授权代表(签字)：</w:t>
      </w:r>
    </w:p>
    <w:p>
      <w:pPr>
        <w:snapToGrid w:val="0"/>
        <w:spacing w:line="360" w:lineRule="auto"/>
        <w:ind w:firstLine="5160" w:firstLineChars="2150"/>
        <w:rPr>
          <w:rFonts w:ascii="仿宋" w:hAnsi="仿宋" w:eastAsia="仿宋" w:cs="仿宋"/>
          <w:color w:val="000000" w:themeColor="text1"/>
          <w:u w:val="single"/>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年  月   日</w:t>
      </w:r>
    </w:p>
    <w:p>
      <w:pPr>
        <w:snapToGrid w:val="0"/>
        <w:spacing w:line="320" w:lineRule="exact"/>
        <w:ind w:firstLine="2626" w:firstLineChars="1090"/>
        <w:rPr>
          <w:rFonts w:ascii="仿宋" w:hAnsi="仿宋" w:eastAsia="仿宋" w:cs="仿宋"/>
          <w:b/>
          <w:color w:val="000000" w:themeColor="text1"/>
          <w14:textFill>
            <w14:solidFill>
              <w14:schemeClr w14:val="tx1"/>
            </w14:solidFill>
          </w14:textFill>
        </w:rPr>
      </w:pPr>
    </w:p>
    <w:p>
      <w:pPr>
        <w:snapToGrid w:val="0"/>
        <w:spacing w:line="320" w:lineRule="exact"/>
        <w:ind w:firstLine="3502" w:firstLineChars="1090"/>
        <w:rPr>
          <w:rFonts w:ascii="仿宋" w:hAnsi="仿宋" w:eastAsia="仿宋" w:cs="仿宋"/>
          <w:b/>
          <w:color w:val="000000" w:themeColor="text1"/>
          <w:sz w:val="32"/>
          <w:szCs w:val="32"/>
          <w14:textFill>
            <w14:solidFill>
              <w14:schemeClr w14:val="tx1"/>
            </w14:solidFill>
          </w14:textFill>
        </w:rPr>
      </w:pPr>
    </w:p>
    <w:p>
      <w:pPr>
        <w:snapToGrid w:val="0"/>
        <w:spacing w:line="320" w:lineRule="exact"/>
        <w:ind w:firstLine="3502" w:firstLineChars="1090"/>
        <w:rPr>
          <w:rFonts w:ascii="仿宋" w:hAnsi="仿宋" w:eastAsia="仿宋" w:cs="仿宋"/>
          <w:b/>
          <w:color w:val="000000" w:themeColor="text1"/>
          <w:sz w:val="32"/>
          <w:szCs w:val="32"/>
          <w14:textFill>
            <w14:solidFill>
              <w14:schemeClr w14:val="tx1"/>
            </w14:solidFill>
          </w14:textFill>
        </w:rPr>
      </w:pPr>
    </w:p>
    <w:p>
      <w:pPr>
        <w:snapToGrid w:val="0"/>
        <w:spacing w:line="320" w:lineRule="exact"/>
        <w:ind w:firstLine="3502" w:firstLineChars="1090"/>
        <w:rPr>
          <w:rFonts w:ascii="仿宋" w:hAnsi="仿宋" w:eastAsia="仿宋" w:cs="仿宋"/>
          <w:b/>
          <w:color w:val="000000" w:themeColor="text1"/>
          <w:sz w:val="32"/>
          <w:szCs w:val="32"/>
          <w14:textFill>
            <w14:solidFill>
              <w14:schemeClr w14:val="tx1"/>
            </w14:solidFill>
          </w14:textFill>
        </w:rPr>
      </w:pPr>
    </w:p>
    <w:p>
      <w:pPr>
        <w:tabs>
          <w:tab w:val="left" w:pos="4860"/>
        </w:tabs>
        <w:spacing w:line="360" w:lineRule="auto"/>
        <w:ind w:right="1560"/>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备注说明：</w:t>
      </w:r>
    </w:p>
    <w:p>
      <w:pPr>
        <w:spacing w:line="360" w:lineRule="auto"/>
        <w:ind w:firstLine="504" w:firstLineChars="200"/>
        <w:rPr>
          <w:rFonts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1、如中标，将在中标公告中将此残疾人福利性单位声明函予以公示，接受社会监督；</w:t>
      </w:r>
    </w:p>
    <w:p>
      <w:pPr>
        <w:spacing w:line="360" w:lineRule="auto"/>
        <w:ind w:firstLine="504" w:firstLineChars="200"/>
        <w:rPr>
          <w:rFonts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2、供应商提供的《残疾人福利性单位声明函》与事实不符的，依照《政府采购法》第七十七条第一款的规定追究法律责任。</w:t>
      </w:r>
    </w:p>
    <w:p>
      <w:pPr>
        <w:snapToGrid w:val="0"/>
        <w:spacing w:line="360" w:lineRule="auto"/>
        <w:jc w:val="center"/>
        <w:rPr>
          <w:rFonts w:ascii="仿宋" w:hAnsi="仿宋" w:eastAsia="仿宋" w:cs="仿宋"/>
          <w:b/>
          <w:color w:val="000000" w:themeColor="text1"/>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监狱企业声明函</w:t>
      </w: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p>
    <w:p>
      <w:pPr>
        <w:snapToGrid w:val="0"/>
        <w:spacing w:line="32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（非监狱企业不用提供）</w:t>
      </w:r>
    </w:p>
    <w:p>
      <w:pPr>
        <w:widowControl/>
        <w:spacing w:line="360" w:lineRule="auto"/>
        <w:ind w:firstLine="480" w:firstLineChars="200"/>
        <w:jc w:val="left"/>
        <w:rPr>
          <w:rFonts w:hint="eastAsia" w:ascii="仿宋" w:hAnsi="仿宋" w:eastAsia="仿宋" w:cs="仿宋"/>
          <w:color w:val="000000" w:themeColor="text1"/>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本企业郑重声明，根据《关于政府采购支持监狱企业发展有关问题的通知》(财库[2014]68 号）的规定，本企业为监狱企业。 </w:t>
      </w: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根据上述标准，我企业属于监狱企业的理由为: </w:t>
      </w: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本企业为参加 (项目名称)</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bCs/>
          <w:color w:val="000000" w:themeColor="text1"/>
          <w:szCs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)采购活动提供本企业的产品。 </w:t>
      </w: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本企业对上述声明的真实性负责。如有虚假，将依法承担相应责任。 </w:t>
      </w:r>
    </w:p>
    <w:p>
      <w:pPr>
        <w:widowControl/>
        <w:spacing w:line="360" w:lineRule="auto"/>
        <w:jc w:val="left"/>
        <w:rPr>
          <w:rFonts w:ascii="仿宋" w:hAnsi="仿宋" w:eastAsia="仿宋" w:cs="仿宋"/>
          <w:color w:val="000000" w:themeColor="text1"/>
          <w14:textFill>
            <w14:solidFill>
              <w14:schemeClr w14:val="tx1"/>
            </w14:solidFill>
          </w14:textFill>
        </w:rPr>
      </w:pPr>
    </w:p>
    <w:p>
      <w:pPr>
        <w:widowControl/>
        <w:spacing w:line="360" w:lineRule="auto"/>
        <w:jc w:val="left"/>
        <w:rPr>
          <w:rFonts w:ascii="仿宋" w:hAnsi="仿宋" w:eastAsia="仿宋" w:cs="仿宋"/>
          <w:color w:val="000000" w:themeColor="text1"/>
          <w14:textFill>
            <w14:solidFill>
              <w14:schemeClr w14:val="tx1"/>
            </w14:solidFill>
          </w14:textFill>
        </w:rPr>
      </w:pPr>
    </w:p>
    <w:p>
      <w:pPr>
        <w:widowControl/>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供应商名称(盖章) : </w:t>
      </w:r>
    </w:p>
    <w:p>
      <w:pPr>
        <w:widowControl/>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日期: 年 月 日 </w:t>
      </w:r>
    </w:p>
    <w:p>
      <w:pPr>
        <w:widowControl/>
        <w:spacing w:line="360" w:lineRule="auto"/>
        <w:jc w:val="left"/>
        <w:rPr>
          <w:rFonts w:ascii="仿宋" w:hAnsi="仿宋" w:eastAsia="仿宋" w:cs="仿宋"/>
          <w:color w:val="000000" w:themeColor="text1"/>
          <w14:textFill>
            <w14:solidFill>
              <w14:schemeClr w14:val="tx1"/>
            </w14:solidFill>
          </w14:textFill>
        </w:rPr>
      </w:pPr>
    </w:p>
    <w:p>
      <w:pPr>
        <w:widowControl/>
        <w:spacing w:line="360" w:lineRule="auto"/>
        <w:jc w:val="left"/>
        <w:rPr>
          <w:rFonts w:ascii="仿宋" w:hAnsi="仿宋" w:eastAsia="仿宋" w:cs="仿宋"/>
          <w:color w:val="000000" w:themeColor="text1"/>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监狱企业参加政府采购活动时，应当提供由省级以上监狱管理局、戒毒管理局(新 疆生产建设兵团)出具的属于监狱企业的证明文件。</w:t>
      </w:r>
    </w:p>
    <w:p>
      <w:pPr>
        <w:widowControl/>
        <w:spacing w:line="360" w:lineRule="auto"/>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ascii="仿宋" w:hAnsi="仿宋" w:eastAsia="仿宋" w:cs="仿宋"/>
          <w:color w:val="000000" w:themeColor="text1"/>
          <w14:textFill>
            <w14:solidFill>
              <w14:schemeClr w14:val="tx1"/>
            </w14:solidFill>
          </w14:textFill>
        </w:rPr>
      </w:pPr>
    </w:p>
    <w:p>
      <w:pPr>
        <w:tabs>
          <w:tab w:val="left" w:pos="4860"/>
        </w:tabs>
        <w:spacing w:line="360" w:lineRule="auto"/>
        <w:ind w:right="1560"/>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备注说明：</w:t>
      </w:r>
    </w:p>
    <w:p>
      <w:pPr>
        <w:spacing w:line="360" w:lineRule="auto"/>
        <w:ind w:firstLine="504" w:firstLineChars="200"/>
        <w:rPr>
          <w:rFonts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1、如中标，将在中标公告中将此监狱企业声明函予以公示，接受社会监督；</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 xml:space="preserve">    2、供应商提供的《监狱企业声明函》与事实不符的，依照《政府采购法》第七十七条第一款的规定追究法律责任。</w:t>
      </w:r>
    </w:p>
    <w:p>
      <w:pPr>
        <w:snapToGrid w:val="0"/>
        <w:spacing w:line="360" w:lineRule="auto"/>
        <w:jc w:val="center"/>
        <w:rPr>
          <w:rFonts w:ascii="仿宋" w:hAnsi="仿宋" w:eastAsia="仿宋" w:cs="仿宋"/>
          <w:color w:val="000000" w:themeColor="text1"/>
          <w14:textFill>
            <w14:solidFill>
              <w14:schemeClr w14:val="tx1"/>
            </w14:solidFill>
          </w14:textFill>
        </w:rPr>
      </w:pPr>
    </w:p>
    <w:p>
      <w:pPr>
        <w:pStyle w:val="14"/>
        <w:ind w:left="480" w:firstLine="480"/>
        <w:rPr>
          <w:rFonts w:ascii="仿宋" w:hAnsi="仿宋" w:eastAsia="仿宋" w:cs="仿宋"/>
          <w:color w:val="000000" w:themeColor="text1"/>
          <w14:textFill>
            <w14:solidFill>
              <w14:schemeClr w14:val="tx1"/>
            </w14:solidFill>
          </w14:textFill>
        </w:rPr>
      </w:pPr>
    </w:p>
    <w:p>
      <w:pPr>
        <w:pStyle w:val="14"/>
        <w:ind w:left="480" w:firstLine="480"/>
        <w:rPr>
          <w:rFonts w:ascii="仿宋" w:hAnsi="仿宋" w:eastAsia="仿宋" w:cs="仿宋"/>
          <w:color w:val="000000" w:themeColor="text1"/>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28"/>
          <w14:textFill>
            <w14:solidFill>
              <w14:schemeClr w14:val="tx1"/>
            </w14:solidFill>
          </w14:textFill>
        </w:rPr>
      </w:pPr>
    </w:p>
    <w:p>
      <w:pPr>
        <w:snapToGrid w:val="0"/>
        <w:spacing w:line="360" w:lineRule="auto"/>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供应商需要说明的其他文件和说明</w:t>
      </w:r>
    </w:p>
    <w:p>
      <w:pPr>
        <w:pStyle w:val="14"/>
        <w:ind w:left="480" w:firstLine="480"/>
        <w:rPr>
          <w:rFonts w:ascii="仿宋" w:hAnsi="仿宋" w:eastAsia="仿宋" w:cs="仿宋"/>
          <w:color w:val="000000" w:themeColor="text1"/>
          <w14:textFill>
            <w14:solidFill>
              <w14:schemeClr w14:val="tx1"/>
            </w14:solidFill>
          </w14:textFill>
        </w:rPr>
      </w:pPr>
    </w:p>
    <w:p>
      <w:pPr>
        <w:snapToGrid w:val="0"/>
        <w:spacing w:before="50" w:after="50"/>
        <w:rPr>
          <w:rFonts w:ascii="仿宋" w:hAnsi="仿宋" w:eastAsia="仿宋" w:cs="仿宋"/>
          <w:color w:val="000000" w:themeColor="text1"/>
          <w:spacing w:val="20"/>
          <w:sz w:val="28"/>
          <w14:textFill>
            <w14:solidFill>
              <w14:schemeClr w14:val="tx1"/>
            </w14:solidFill>
          </w14:textFill>
        </w:rPr>
      </w:pPr>
    </w:p>
    <w:p>
      <w:pPr>
        <w:snapToGrid w:val="0"/>
        <w:spacing w:before="50" w:after="50"/>
        <w:rPr>
          <w:rFonts w:ascii="仿宋" w:hAnsi="仿宋" w:eastAsia="仿宋" w:cs="仿宋"/>
          <w:color w:val="000000" w:themeColor="text1"/>
          <w:spacing w:val="20"/>
          <w:sz w:val="28"/>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pStyle w:val="14"/>
        <w:ind w:left="480" w:firstLine="480"/>
        <w:rPr>
          <w:rFonts w:ascii="仿宋" w:hAnsi="仿宋" w:eastAsia="仿宋" w:cs="仿宋"/>
          <w:color w:val="000000" w:themeColor="text1"/>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pStyle w:val="12"/>
        <w:ind w:firstLine="240"/>
        <w:rPr>
          <w:rFonts w:ascii="仿宋" w:hAnsi="仿宋" w:eastAsia="仿宋" w:cs="仿宋"/>
          <w:color w:val="000000" w:themeColor="text1"/>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snapToGrid w:val="0"/>
        <w:spacing w:before="50" w:after="50"/>
        <w:rPr>
          <w:rFonts w:ascii="仿宋" w:hAnsi="仿宋" w:eastAsia="仿宋" w:cs="仿宋"/>
          <w:color w:val="000000" w:themeColor="text1"/>
          <w:spacing w:val="20"/>
          <w14:textFill>
            <w14:solidFill>
              <w14:schemeClr w14:val="tx1"/>
            </w14:solidFill>
          </w14:textFill>
        </w:rPr>
      </w:pP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供应商全称（盖章）：</w:t>
      </w:r>
    </w:p>
    <w:p>
      <w:pPr>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w:t>
      </w:r>
      <w:r>
        <w:rPr>
          <w:rFonts w:hint="eastAsia" w:ascii="仿宋" w:hAnsi="仿宋" w:eastAsia="仿宋" w:cs="仿宋"/>
          <w:color w:val="000000" w:themeColor="text1"/>
          <w:spacing w:val="20"/>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 xml:space="preserve">（签字或盖章）：         </w:t>
      </w:r>
    </w:p>
    <w:p>
      <w:pPr>
        <w:spacing w:line="500" w:lineRule="exact"/>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日   期：</w:t>
      </w:r>
    </w:p>
    <w:p>
      <w:pPr>
        <w:snapToGrid w:val="0"/>
        <w:spacing w:beforeLines="50" w:line="360" w:lineRule="auto"/>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sectPr>
      <w:headerReference r:id="rId12" w:type="default"/>
      <w:footerReference r:id="rId13" w:type="default"/>
      <w:pgSz w:w="11906" w:h="16838"/>
      <w:pgMar w:top="1474" w:right="1361" w:bottom="1417" w:left="1361" w:header="737" w:footer="73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ind w:firstLine="180" w:firstLineChars="100"/>
      <w:rPr>
        <w:rFonts w:ascii="仿宋" w:hAnsi="仿宋" w:eastAsia="仿宋" w:cs="仿宋"/>
      </w:rPr>
    </w:pPr>
    <w:r>
      <w:rPr>
        <w:rFonts w:hint="eastAsia" w:ascii="仿宋" w:hAnsi="仿宋" w:eastAsia="仿宋" w:cs="仿宋"/>
        <w:szCs w:val="21"/>
      </w:rPr>
      <w:t>中纬工程管理咨询有限公司                  电话：0572-2372728                      传真：0572-2166839</w:t>
    </w:r>
  </w:p>
  <w:p>
    <w:pPr>
      <w:pStyle w:val="21"/>
      <w:tabs>
        <w:tab w:val="right" w:pos="9180"/>
        <w:tab w:val="clear" w:pos="8306"/>
      </w:tabs>
      <w:ind w:right="-54"/>
      <w:rPr>
        <w:sz w:val="21"/>
        <w:szCs w:val="21"/>
      </w:rPr>
    </w:pPr>
    <w:r>
      <mc:AlternateContent>
        <mc:Choice Requires="wps">
          <w:drawing>
            <wp:anchor distT="0" distB="0" distL="114300" distR="114300" simplePos="0" relativeHeight="251661312" behindDoc="0" locked="0" layoutInCell="1" allowOverlap="1">
              <wp:simplePos x="0" y="0"/>
              <wp:positionH relativeFrom="margin">
                <wp:posOffset>2797175</wp:posOffset>
              </wp:positionH>
              <wp:positionV relativeFrom="paragraph">
                <wp:posOffset>107315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0.25pt;margin-top:8.45pt;height:144pt;width:144pt;mso-position-horizontal-relative:margin;mso-wrap-style:none;z-index:251661312;mso-width-relative:page;mso-height-relative:page;" filled="f" stroked="f" coordsize="21600,21600" o:gfxdata="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cXVYdcAAAAKAQAADwAAAAAAAAABACAAAAAiAAAAZHJzL2Rvd25yZXYueG1s&#10;UEsBAhQAFAAAAAgAh07iQNmcYOQyAgAAYwQAAA4AAAAAAAAAAQAgAAAAJgEAAGRycy9lMm9Eb2Mu&#10;eG1sUEsFBgAAAAAGAAYAWQEAAMo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ind w:firstLine="180" w:firstLineChars="100"/>
      <w:rPr>
        <w:rFonts w:ascii="仿宋" w:hAnsi="仿宋" w:eastAsia="仿宋" w:cs="仿宋"/>
      </w:rPr>
    </w:pPr>
    <w:r>
      <w:rPr>
        <w:rFonts w:hint="eastAsia" w:ascii="仿宋" w:hAnsi="仿宋" w:eastAsia="仿宋" w:cs="仿宋"/>
        <w:szCs w:val="21"/>
      </w:rPr>
      <w:t>中纬工程管理咨询有限公司                  电话：0572-2372728                      传真：0572-2166839</w:t>
    </w:r>
  </w:p>
  <w:p>
    <w:pPr>
      <w:pStyle w:val="21"/>
      <w:tabs>
        <w:tab w:val="right" w:pos="9180"/>
        <w:tab w:val="clear" w:pos="8306"/>
      </w:tabs>
      <w:ind w:right="-54"/>
      <w:rPr>
        <w:rFonts w:ascii="仿宋" w:hAnsi="仿宋" w:eastAsia="仿宋" w:cs="仿宋"/>
      </w:rPr>
    </w:pPr>
    <w:r>
      <mc:AlternateContent>
        <mc:Choice Requires="wps">
          <w:drawing>
            <wp:anchor distT="0" distB="0" distL="114300" distR="114300" simplePos="0" relativeHeight="251666432" behindDoc="0" locked="0" layoutInCell="1" allowOverlap="1">
              <wp:simplePos x="0" y="0"/>
              <wp:positionH relativeFrom="margin">
                <wp:posOffset>2713990</wp:posOffset>
              </wp:positionH>
              <wp:positionV relativeFrom="paragraph">
                <wp:posOffset>179705</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left:213.7pt;margin-top:14.15pt;height:144pt;width:144pt;mso-position-horizontal-relative:margin;mso-wrap-style:none;z-index:251666432;mso-width-relative:page;mso-height-relative:page;" filled="f" stroked="f" coordsize="21600,21600" o:gfxdata="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P5TE1wAAAAoBAAAPAAAAAAAAAAEAIAAAACIAAABkcnMvZG93bnJldi54bWxQ&#10;SwECFAAUAAAACACHTuJAjNyQSTECAABkBAAADgAAAAAAAAABACAAAAAm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- 40 -</w:t>
                    </w:r>
                    <w:r>
                      <w:fldChar w:fldCharType="end"/>
                    </w:r>
                  </w:p>
                </w:txbxContent>
              </v:textbox>
            </v:shape>
          </w:pict>
        </mc:Fallback>
      </mc:AlternateContent>
    </w:r>
    <w:r>
      <w:rPr>
        <w:rFonts w:ascii="仿宋" w:hAnsi="仿宋" w:eastAsia="仿宋" w:cs="仿宋"/>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1"/>
                            <w:jc w:val="both"/>
                            <w:rPr>
                              <w:rStyle w:val="34"/>
                            </w:rPr>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AsNXObQAQAApQMAAA4AAAAAAAAAAQAgAAAAIgEA&#10;AGRycy9lMm9Eb2MueG1sUEsFBgAAAAAGAAYAWQEAAGQFAAAAAA==&#10;">
              <v:fill on="f" focussize="0,0"/>
              <v:stroke on="f" weight="1.25pt"/>
              <v:imagedata o:title=""/>
              <o:lock v:ext="edit" aspectratio="f"/>
              <v:textbox inset="0mm,0mm,0mm,0mm" style="mso-fit-shape-to-text:t;">
                <w:txbxContent>
                  <w:p>
                    <w:pPr>
                      <w:pStyle w:val="21"/>
                      <w:jc w:val="both"/>
                      <w:rPr>
                        <w:rStyle w:val="3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pPr>
    <w:r>
      <w:rPr>
        <w:rFonts w:hint="eastAsia"/>
        <w:szCs w:val="21"/>
      </w:rPr>
      <w:t>中纬工程管理咨询有限公司                  电话：0572-2372728                      传真：0572-2166839</w:t>
    </w:r>
  </w:p>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7490" cy="177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7490" cy="177800"/>
                      </a:xfrm>
                      <a:prstGeom prst="rect">
                        <a:avLst/>
                      </a:prstGeom>
                      <a:noFill/>
                      <a:ln>
                        <a:noFill/>
                      </a:ln>
                      <a:effectLst/>
                    </wps:spPr>
                    <wps:txbx>
                      <w:txbxContent>
                        <w:p>
                          <w:pPr>
                            <w:pStyle w:val="21"/>
                          </w:pPr>
                          <w:r>
                            <w:fldChar w:fldCharType="begin"/>
                          </w:r>
                          <w:r>
                            <w:instrText xml:space="preserve"> PAGE  \* MERGEFORMAT </w:instrText>
                          </w:r>
                          <w:r>
                            <w:fldChar w:fldCharType="separate"/>
                          </w:r>
                          <w:r>
                            <w:t>- 41 -</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pt;width:18.7pt;mso-position-horizontal:center;mso-position-horizontal-relative:margin;z-index:251660288;mso-width-relative:page;mso-height-relative:page;" filled="f" stroked="f" coordsize="21600,21600" o:gfxdata="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wtNj9QAAAADAQAADwAAAAAAAAABACAA&#10;AAAiAAAAZHJzL2Rvd25yZXYueG1sUEsBAhQAFAAAAAgAh07iQPdOhykRAgAAEgQAAA4AAAAAAAAA&#10;AQAgAAAAIwEAAGRycy9lMm9Eb2MueG1sUEsFBgAAAAAGAAYAWQEAAKYFAAAAAA==&#10;">
              <v:fill on="f" focussize="0,0"/>
              <v:stroke on="f"/>
              <v:imagedata o:title=""/>
              <o:lock v:ext="edit" aspectratio="f"/>
              <v:textbox inset="0mm,0mm,0mm,0mm">
                <w:txbxContent>
                  <w:p>
                    <w:pPr>
                      <w:pStyle w:val="2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pPr>
    <w:r>
      <w:rPr>
        <w:rFonts w:hint="eastAsia"/>
        <w:szCs w:val="21"/>
      </w:rPr>
      <w:t>中纬工程管理咨询有限公司                  电话：0572-2372728                      传真：0572-2166839</w:t>
    </w:r>
  </w:p>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95250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1"/>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5pt;height:10.35pt;width:9.05pt;mso-position-horizontal:center;mso-position-horizontal-relative:margin;mso-wrap-style:none;z-index:251662336;mso-width-relative:page;mso-height-relative:page;" filled="f" stroked="f" coordsize="21600,21600" o:gfxdata="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yTy0gAAAAUBAAAPAAAAAAAAAAEAIAAAACIA&#10;AABkcnMvZG93bnJldi54bWxQSwECFAAUAAAACACHTuJAhyR23Q8CAAAQBAAADgAAAAAAAAABACAA&#10;AAAhAQAAZHJzL2Uyb0RvYy54bWxQSwUGAAAAAAYABgBZAQAAo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pPr>
    <w:r>
      <w:rPr>
        <w:rFonts w:hint="eastAsia"/>
        <w:szCs w:val="21"/>
      </w:rPr>
      <w:t>中纬工程管理咨询有限公司                电话：0572-2372728                 传真：0572-2166839</w:t>
    </w:r>
  </w:p>
  <w:p>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pPr>
    <w:r>
      <w:rPr>
        <w:rFonts w:hint="eastAsia"/>
        <w:szCs w:val="21"/>
      </w:rPr>
      <w:t>中纬工程管理咨询有限公司                  电话：0572-2372728                      传真：0572-2166839</w:t>
    </w:r>
  </w:p>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95250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1"/>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5pt;height:10.35pt;width:9.05pt;mso-position-horizontal:center;mso-position-horizontal-relative:margin;mso-wrap-style:none;z-index:251663360;mso-width-relative:page;mso-height-relative:page;" filled="f" stroked="f" coordsize="21600,21600" o:gfxdata="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yTy0gAAAAUBAAAPAAAAAAAAAAEAIAAAACIA&#10;AABkcnMvZG93bnJldi54bWxQSwECFAAUAAAACACHTuJAAti62g8CAAAQBAAADgAAAAAAAAABACAA&#10;AAAhAQAAZHJzL2Uyb0RvYy54bWxQSwUGAAAAAAYABgBZAQAAo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ind w:firstLine="180" w:firstLineChars="100"/>
    </w:pPr>
    <w:r>
      <w:rPr>
        <w:rFonts w:hint="eastAsia" w:ascii="仿宋" w:hAnsi="仿宋" w:eastAsia="仿宋" w:cs="仿宋"/>
        <w:szCs w:val="21"/>
      </w:rPr>
      <w:t>中纬工程管理咨询有限公司                  电话：0572-2372728                      传真：0572-2166839</w:t>
    </w:r>
  </w:p>
  <w:p>
    <w:pPr>
      <w:pStyle w:val="21"/>
    </w:pPr>
    <w:r>
      <mc:AlternateContent>
        <mc:Choice Requires="wps">
          <w:drawing>
            <wp:anchor distT="0" distB="0" distL="114300" distR="114300" simplePos="0" relativeHeight="251664384" behindDoc="0" locked="0" layoutInCell="1" allowOverlap="1">
              <wp:simplePos x="0" y="0"/>
              <wp:positionH relativeFrom="margin">
                <wp:posOffset>2797175</wp:posOffset>
              </wp:positionH>
              <wp:positionV relativeFrom="paragraph">
                <wp:posOffset>59690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0.25pt;margin-top:4.7pt;height:144pt;width:144pt;mso-position-horizontal-relative:margin;mso-wrap-style:none;z-index:251664384;mso-width-relative:page;mso-height-relative:page;" filled="f" stroked="f" coordsize="21600,21600" o:gfxdata="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MHmWha3eWR6hozzero4BciaVoyidEuhOPGD2Up/6PYnD/ec5RT3+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OfenHWAAAACQEAAA8AAAAAAAAAAQAgAAAAIgAAAGRycy9kb3ducmV2LnhtbFBL&#10;AQIUABQAAAAIAIdO4kCxzxesMQIAAGMEAAAOAAAAAAAAAAEAIAAAACUBAABkcnMvZTJvRG9jLnht&#10;bFBLBQYAAAAABgAGAFkBAAD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3577"/>
        <w:tab w:val="center" w:pos="4660"/>
      </w:tabs>
      <w:ind w:firstLine="180" w:firstLineChars="100"/>
    </w:pPr>
    <w:r>
      <w:rPr>
        <w:rFonts w:hint="eastAsia" w:ascii="仿宋" w:hAnsi="仿宋" w:eastAsia="仿宋" w:cs="仿宋"/>
        <w:szCs w:val="21"/>
      </w:rPr>
      <w:t>中纬工程管理咨询有限公司                  电话：0572-2372728                      传真：0572-2166839</w:t>
    </w:r>
  </w:p>
  <w:p>
    <w:pPr>
      <w:pStyle w:val="21"/>
    </w:pPr>
    <w:r>
      <mc:AlternateContent>
        <mc:Choice Requires="wps">
          <w:drawing>
            <wp:anchor distT="0" distB="0" distL="114300" distR="114300" simplePos="0" relativeHeight="251667456" behindDoc="0" locked="0" layoutInCell="1" allowOverlap="1">
              <wp:simplePos x="0" y="0"/>
              <wp:positionH relativeFrom="margin">
                <wp:posOffset>2794000</wp:posOffset>
              </wp:positionH>
              <wp:positionV relativeFrom="paragraph">
                <wp:posOffset>99695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left:220pt;margin-top:7.85pt;height:144pt;width:144pt;mso-position-horizontal-relative:margin;mso-wrap-style:none;z-index:251667456;mso-width-relative:page;mso-height-relative:page;" filled="f" stroked="f" coordsize="21600,21600" o:gfxdata="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LF921wAAAAoBAAAPAAAAAAAAAAEAIAAAACIAAABkcnMvZG93bnJldi54bWxQ&#10;SwECFAAUAAAACACHTuJAQYWS5TECAABlBAAADgAAAAAAAAABACAAAAAm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szCs w:val="18"/>
      </w:rPr>
    </w:pPr>
    <w:r>
      <w:rPr>
        <w:rFonts w:hint="eastAsia" w:ascii="仿宋" w:hAnsi="仿宋" w:eastAsia="仿宋" w:cs="仿宋"/>
        <w:szCs w:val="18"/>
      </w:rPr>
      <w:t>湖州市南浔区文化和广电旅游体育局新增维护全民健身路径采购项目</w:t>
    </w:r>
    <w:r>
      <w:rPr>
        <w:rFonts w:hint="eastAsia" w:ascii="仿宋" w:hAnsi="仿宋" w:eastAsia="仿宋" w:cs="仿宋"/>
        <w:szCs w:val="18"/>
        <w:lang w:val="en-US" w:eastAsia="zh-CN"/>
      </w:rPr>
      <w:t xml:space="preserve">                                  </w:t>
    </w:r>
    <w:r>
      <w:rPr>
        <w:rFonts w:hint="eastAsia" w:ascii="仿宋" w:hAnsi="仿宋" w:eastAsia="仿宋" w:cs="仿宋"/>
        <w:b/>
        <w:bCs/>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pPr>
    <w:r>
      <w:rPr>
        <w:rFonts w:hint="eastAsia" w:ascii="仿宋" w:hAnsi="仿宋" w:eastAsia="仿宋" w:cs="仿宋"/>
      </w:rPr>
      <w:t>湖州市南浔区文化和广电旅游体育局新增维护全民健身路径采购项目</w:t>
    </w:r>
    <w:r>
      <w:rPr>
        <w:rFonts w:hint="eastAsia" w:ascii="仿宋" w:hAnsi="仿宋" w:eastAsia="仿宋" w:cs="仿宋"/>
        <w:lang w:val="en-US" w:eastAsia="zh-CN"/>
      </w:rPr>
      <w:t xml:space="preserve">                                  </w:t>
    </w:r>
    <w:r>
      <w:rPr>
        <w:rFonts w:hint="eastAsia" w:ascii="仿宋" w:hAnsi="仿宋" w:eastAsia="仿宋" w:cs="仿宋"/>
        <w:b/>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ascii="仿宋" w:hAnsi="仿宋" w:eastAsia="仿宋" w:cs="仿宋"/>
        <w:u w:val="single"/>
      </w:rPr>
    </w:pPr>
    <w:r>
      <w:rPr>
        <w:rFonts w:hint="eastAsia" w:ascii="仿宋" w:hAnsi="仿宋" w:eastAsia="仿宋" w:cs="仿宋"/>
        <w:bCs/>
      </w:rPr>
      <w:t>湖州市南浔区文化和广电旅游体育局新增维护全民健身路径采购项目</w:t>
    </w:r>
    <w:r>
      <w:rPr>
        <w:rFonts w:hint="eastAsia" w:ascii="仿宋" w:hAnsi="仿宋" w:eastAsia="仿宋" w:cs="仿宋"/>
        <w:bCs/>
        <w:lang w:val="en-US" w:eastAsia="zh-CN"/>
      </w:rPr>
      <w:t xml:space="preserve">                                 </w:t>
    </w:r>
    <w:r>
      <w:rPr>
        <w:rFonts w:hint="eastAsia" w:ascii="仿宋" w:hAnsi="仿宋" w:eastAsia="仿宋" w:cs="仿宋"/>
        <w:b/>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460C1"/>
    <w:multiLevelType w:val="singleLevel"/>
    <w:tmpl w:val="9FF460C1"/>
    <w:lvl w:ilvl="0" w:tentative="0">
      <w:start w:val="1"/>
      <w:numFmt w:val="decimal"/>
      <w:lvlText w:val="%1."/>
      <w:lvlJc w:val="left"/>
      <w:pPr>
        <w:tabs>
          <w:tab w:val="left" w:pos="312"/>
        </w:tabs>
      </w:pPr>
    </w:lvl>
  </w:abstractNum>
  <w:abstractNum w:abstractNumId="1">
    <w:nsid w:val="CD97F65A"/>
    <w:multiLevelType w:val="singleLevel"/>
    <w:tmpl w:val="CD97F65A"/>
    <w:lvl w:ilvl="0" w:tentative="0">
      <w:start w:val="5"/>
      <w:numFmt w:val="chineseCounting"/>
      <w:suff w:val="space"/>
      <w:lvlText w:val="第%1章"/>
      <w:lvlJc w:val="left"/>
      <w:rPr>
        <w:rFonts w:hint="eastAsia"/>
      </w:rPr>
    </w:lvl>
  </w:abstractNum>
  <w:abstractNum w:abstractNumId="2">
    <w:nsid w:val="DDC6F610"/>
    <w:multiLevelType w:val="singleLevel"/>
    <w:tmpl w:val="DDC6F610"/>
    <w:lvl w:ilvl="0" w:tentative="0">
      <w:start w:val="1"/>
      <w:numFmt w:val="decimal"/>
      <w:suff w:val="nothing"/>
      <w:lvlText w:val="%1）"/>
      <w:lvlJc w:val="left"/>
    </w:lvl>
  </w:abstractNum>
  <w:abstractNum w:abstractNumId="3">
    <w:nsid w:val="E3B3BEC4"/>
    <w:multiLevelType w:val="singleLevel"/>
    <w:tmpl w:val="E3B3BEC4"/>
    <w:lvl w:ilvl="0" w:tentative="0">
      <w:start w:val="2"/>
      <w:numFmt w:val="decimal"/>
      <w:suff w:val="nothing"/>
      <w:lvlText w:val="%1、"/>
      <w:lvlJc w:val="left"/>
    </w:lvl>
  </w:abstractNum>
  <w:abstractNum w:abstractNumId="4">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52"/>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7A67369"/>
    <w:multiLevelType w:val="singleLevel"/>
    <w:tmpl w:val="07A67369"/>
    <w:lvl w:ilvl="0" w:tentative="0">
      <w:start w:val="1"/>
      <w:numFmt w:val="decimal"/>
      <w:suff w:val="nothing"/>
      <w:lvlText w:val="（%1）"/>
      <w:lvlJc w:val="left"/>
    </w:lvl>
  </w:abstractNum>
  <w:abstractNum w:abstractNumId="6">
    <w:nsid w:val="53C8258B"/>
    <w:multiLevelType w:val="singleLevel"/>
    <w:tmpl w:val="53C8258B"/>
    <w:lvl w:ilvl="0" w:tentative="0">
      <w:start w:val="2"/>
      <w:numFmt w:val="chineseCounting"/>
      <w:suff w:val="nothing"/>
      <w:lvlText w:val="（%1）"/>
      <w:lvlJc w:val="left"/>
      <w:rPr>
        <w:rFonts w:hint="eastAsia"/>
      </w:rPr>
    </w:lvl>
  </w:abstractNum>
  <w:abstractNum w:abstractNumId="7">
    <w:nsid w:val="58395235"/>
    <w:multiLevelType w:val="singleLevel"/>
    <w:tmpl w:val="58395235"/>
    <w:lvl w:ilvl="0" w:tentative="0">
      <w:start w:val="2"/>
      <w:numFmt w:val="decimal"/>
      <w:suff w:val="nothing"/>
      <w:lvlText w:val="%1、"/>
      <w:lvlJc w:val="left"/>
    </w:lvl>
  </w:abstractNum>
  <w:abstractNum w:abstractNumId="8">
    <w:nsid w:val="74A234BF"/>
    <w:multiLevelType w:val="singleLevel"/>
    <w:tmpl w:val="74A234BF"/>
    <w:lvl w:ilvl="0" w:tentative="0">
      <w:start w:val="1"/>
      <w:numFmt w:val="decimal"/>
      <w:pStyle w:val="6"/>
      <w:lvlText w:val="%1."/>
      <w:lvlJc w:val="left"/>
      <w:pPr>
        <w:tabs>
          <w:tab w:val="left" w:pos="360"/>
        </w:tabs>
        <w:ind w:left="360" w:hanging="360"/>
      </w:pPr>
    </w:lvl>
  </w:abstractNum>
  <w:num w:numId="1">
    <w:abstractNumId w:val="8"/>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24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D1F24"/>
    <w:rsid w:val="001405BE"/>
    <w:rsid w:val="00195EAD"/>
    <w:rsid w:val="00244D9C"/>
    <w:rsid w:val="003F6999"/>
    <w:rsid w:val="00532391"/>
    <w:rsid w:val="005E0AA6"/>
    <w:rsid w:val="00652444"/>
    <w:rsid w:val="00680B03"/>
    <w:rsid w:val="00702D4C"/>
    <w:rsid w:val="007F7C2B"/>
    <w:rsid w:val="009722D4"/>
    <w:rsid w:val="009B06C6"/>
    <w:rsid w:val="009B26E6"/>
    <w:rsid w:val="009C1F0D"/>
    <w:rsid w:val="00AE39B4"/>
    <w:rsid w:val="00B0142D"/>
    <w:rsid w:val="00B034BD"/>
    <w:rsid w:val="00B52F97"/>
    <w:rsid w:val="00C25E02"/>
    <w:rsid w:val="00D335F6"/>
    <w:rsid w:val="00D60AC2"/>
    <w:rsid w:val="00EC739E"/>
    <w:rsid w:val="00F51BE0"/>
    <w:rsid w:val="00FA5C9C"/>
    <w:rsid w:val="011D6579"/>
    <w:rsid w:val="014A397B"/>
    <w:rsid w:val="018E53BB"/>
    <w:rsid w:val="01AE3007"/>
    <w:rsid w:val="01AF682A"/>
    <w:rsid w:val="01C1347E"/>
    <w:rsid w:val="01F368FA"/>
    <w:rsid w:val="02304E44"/>
    <w:rsid w:val="02785724"/>
    <w:rsid w:val="02900320"/>
    <w:rsid w:val="02AD48A7"/>
    <w:rsid w:val="02AF7311"/>
    <w:rsid w:val="02B82804"/>
    <w:rsid w:val="02C40FFA"/>
    <w:rsid w:val="02EE4710"/>
    <w:rsid w:val="02F05096"/>
    <w:rsid w:val="033A33BF"/>
    <w:rsid w:val="03731F80"/>
    <w:rsid w:val="038B0A56"/>
    <w:rsid w:val="039C1BB8"/>
    <w:rsid w:val="03BD662F"/>
    <w:rsid w:val="03C30338"/>
    <w:rsid w:val="045A2A19"/>
    <w:rsid w:val="04871D49"/>
    <w:rsid w:val="04A45C68"/>
    <w:rsid w:val="04B83027"/>
    <w:rsid w:val="04C75056"/>
    <w:rsid w:val="04CE30F1"/>
    <w:rsid w:val="04D055E9"/>
    <w:rsid w:val="04E8312A"/>
    <w:rsid w:val="05423F3E"/>
    <w:rsid w:val="054D61B5"/>
    <w:rsid w:val="05611D6E"/>
    <w:rsid w:val="0607299E"/>
    <w:rsid w:val="06133128"/>
    <w:rsid w:val="06300F60"/>
    <w:rsid w:val="063D4A10"/>
    <w:rsid w:val="065835DC"/>
    <w:rsid w:val="0663343D"/>
    <w:rsid w:val="066C1133"/>
    <w:rsid w:val="067E0FC2"/>
    <w:rsid w:val="06845BEA"/>
    <w:rsid w:val="069E1075"/>
    <w:rsid w:val="06A64F55"/>
    <w:rsid w:val="06A9258A"/>
    <w:rsid w:val="06DB59F0"/>
    <w:rsid w:val="0726776D"/>
    <w:rsid w:val="07783FAB"/>
    <w:rsid w:val="07E01C13"/>
    <w:rsid w:val="07FB6543"/>
    <w:rsid w:val="080F61B8"/>
    <w:rsid w:val="082014E1"/>
    <w:rsid w:val="0828161F"/>
    <w:rsid w:val="0844138B"/>
    <w:rsid w:val="0864104C"/>
    <w:rsid w:val="08775154"/>
    <w:rsid w:val="0877657D"/>
    <w:rsid w:val="0887272F"/>
    <w:rsid w:val="089D361A"/>
    <w:rsid w:val="08A90F1A"/>
    <w:rsid w:val="08AB2ABD"/>
    <w:rsid w:val="08D36E40"/>
    <w:rsid w:val="08DD6A7A"/>
    <w:rsid w:val="090C0270"/>
    <w:rsid w:val="092A78EB"/>
    <w:rsid w:val="094452E3"/>
    <w:rsid w:val="0954232F"/>
    <w:rsid w:val="0961312E"/>
    <w:rsid w:val="09922F09"/>
    <w:rsid w:val="09AC415B"/>
    <w:rsid w:val="09B95F55"/>
    <w:rsid w:val="09BF3B02"/>
    <w:rsid w:val="09CD7C2E"/>
    <w:rsid w:val="09D63F17"/>
    <w:rsid w:val="09F70130"/>
    <w:rsid w:val="0A104030"/>
    <w:rsid w:val="0A19522A"/>
    <w:rsid w:val="0A301B4D"/>
    <w:rsid w:val="0A3F6605"/>
    <w:rsid w:val="0A53503E"/>
    <w:rsid w:val="0A6767AA"/>
    <w:rsid w:val="0A8A1F58"/>
    <w:rsid w:val="0A8E01DA"/>
    <w:rsid w:val="0AF12D5A"/>
    <w:rsid w:val="0B1517E3"/>
    <w:rsid w:val="0B1E0C43"/>
    <w:rsid w:val="0B310B66"/>
    <w:rsid w:val="0B7E727F"/>
    <w:rsid w:val="0B816AFB"/>
    <w:rsid w:val="0B8A7CBE"/>
    <w:rsid w:val="0BA21CCA"/>
    <w:rsid w:val="0BA21F00"/>
    <w:rsid w:val="0BC04CC4"/>
    <w:rsid w:val="0BCF3E46"/>
    <w:rsid w:val="0C0F7371"/>
    <w:rsid w:val="0C3741A4"/>
    <w:rsid w:val="0C434FF4"/>
    <w:rsid w:val="0C4869C1"/>
    <w:rsid w:val="0C4C002C"/>
    <w:rsid w:val="0C4C3022"/>
    <w:rsid w:val="0C5669FF"/>
    <w:rsid w:val="0C8D1F24"/>
    <w:rsid w:val="0C945850"/>
    <w:rsid w:val="0C9E40C3"/>
    <w:rsid w:val="0D131A12"/>
    <w:rsid w:val="0D14401D"/>
    <w:rsid w:val="0D6576AB"/>
    <w:rsid w:val="0D6D6D91"/>
    <w:rsid w:val="0D784185"/>
    <w:rsid w:val="0DE50F93"/>
    <w:rsid w:val="0DFA3F40"/>
    <w:rsid w:val="0E723C44"/>
    <w:rsid w:val="0E8403A7"/>
    <w:rsid w:val="0E8F13B7"/>
    <w:rsid w:val="0E9F6F14"/>
    <w:rsid w:val="0ED95D8B"/>
    <w:rsid w:val="0F0457FE"/>
    <w:rsid w:val="0F194D72"/>
    <w:rsid w:val="0F257B85"/>
    <w:rsid w:val="0F40256A"/>
    <w:rsid w:val="0F542C9B"/>
    <w:rsid w:val="0F616406"/>
    <w:rsid w:val="0FA91CEB"/>
    <w:rsid w:val="0FAE2661"/>
    <w:rsid w:val="0FB47D96"/>
    <w:rsid w:val="0FCC2782"/>
    <w:rsid w:val="0FF21B4F"/>
    <w:rsid w:val="1014168A"/>
    <w:rsid w:val="10584827"/>
    <w:rsid w:val="10940C0A"/>
    <w:rsid w:val="10B8613D"/>
    <w:rsid w:val="10D62D46"/>
    <w:rsid w:val="11847845"/>
    <w:rsid w:val="11C56383"/>
    <w:rsid w:val="11C617BE"/>
    <w:rsid w:val="11CD0530"/>
    <w:rsid w:val="12032B85"/>
    <w:rsid w:val="123D6D77"/>
    <w:rsid w:val="124C2A5D"/>
    <w:rsid w:val="127777A6"/>
    <w:rsid w:val="127F6BC0"/>
    <w:rsid w:val="129E4C70"/>
    <w:rsid w:val="12A367ED"/>
    <w:rsid w:val="13011FB0"/>
    <w:rsid w:val="138D308D"/>
    <w:rsid w:val="1393348F"/>
    <w:rsid w:val="139A1752"/>
    <w:rsid w:val="13CF163D"/>
    <w:rsid w:val="13DD2D88"/>
    <w:rsid w:val="14003178"/>
    <w:rsid w:val="146740F3"/>
    <w:rsid w:val="14686151"/>
    <w:rsid w:val="14B057A5"/>
    <w:rsid w:val="14E969EF"/>
    <w:rsid w:val="151068AE"/>
    <w:rsid w:val="1513209C"/>
    <w:rsid w:val="1532491E"/>
    <w:rsid w:val="155A4ACD"/>
    <w:rsid w:val="156758B0"/>
    <w:rsid w:val="157213FB"/>
    <w:rsid w:val="157F7DFA"/>
    <w:rsid w:val="15A21CFC"/>
    <w:rsid w:val="15C12634"/>
    <w:rsid w:val="15F30471"/>
    <w:rsid w:val="15FB15F1"/>
    <w:rsid w:val="15FF0964"/>
    <w:rsid w:val="162A7736"/>
    <w:rsid w:val="16554B8E"/>
    <w:rsid w:val="165A7DE7"/>
    <w:rsid w:val="168332CD"/>
    <w:rsid w:val="16981CF8"/>
    <w:rsid w:val="169B4224"/>
    <w:rsid w:val="16BF7D5D"/>
    <w:rsid w:val="16E4415D"/>
    <w:rsid w:val="170355A6"/>
    <w:rsid w:val="17124264"/>
    <w:rsid w:val="172B5D05"/>
    <w:rsid w:val="17370081"/>
    <w:rsid w:val="17603215"/>
    <w:rsid w:val="177C13BA"/>
    <w:rsid w:val="179C0513"/>
    <w:rsid w:val="17DD655C"/>
    <w:rsid w:val="180342C4"/>
    <w:rsid w:val="181A70D8"/>
    <w:rsid w:val="18B43E42"/>
    <w:rsid w:val="18D157C9"/>
    <w:rsid w:val="18D65D60"/>
    <w:rsid w:val="19360262"/>
    <w:rsid w:val="19376BDA"/>
    <w:rsid w:val="198B210F"/>
    <w:rsid w:val="19A53271"/>
    <w:rsid w:val="19FB4F66"/>
    <w:rsid w:val="19FC79CC"/>
    <w:rsid w:val="1A402110"/>
    <w:rsid w:val="1A432750"/>
    <w:rsid w:val="1A45626E"/>
    <w:rsid w:val="1A4A3317"/>
    <w:rsid w:val="1A5742C1"/>
    <w:rsid w:val="1A8C3D93"/>
    <w:rsid w:val="1A902A20"/>
    <w:rsid w:val="1AA11864"/>
    <w:rsid w:val="1B027E29"/>
    <w:rsid w:val="1B08684F"/>
    <w:rsid w:val="1B173B73"/>
    <w:rsid w:val="1B1C0060"/>
    <w:rsid w:val="1B5D06A2"/>
    <w:rsid w:val="1BA85951"/>
    <w:rsid w:val="1BF5014C"/>
    <w:rsid w:val="1C2931FE"/>
    <w:rsid w:val="1CA50956"/>
    <w:rsid w:val="1CA64F1F"/>
    <w:rsid w:val="1CB11B06"/>
    <w:rsid w:val="1CBA69DF"/>
    <w:rsid w:val="1D3A5FA0"/>
    <w:rsid w:val="1D3B48BD"/>
    <w:rsid w:val="1D521A92"/>
    <w:rsid w:val="1D896D47"/>
    <w:rsid w:val="1DE5714C"/>
    <w:rsid w:val="1E017C9B"/>
    <w:rsid w:val="1E1955DC"/>
    <w:rsid w:val="1E793B7B"/>
    <w:rsid w:val="1E937629"/>
    <w:rsid w:val="1EA6279A"/>
    <w:rsid w:val="1EA91D9E"/>
    <w:rsid w:val="1EC12063"/>
    <w:rsid w:val="1EFC6F2D"/>
    <w:rsid w:val="1F4978F2"/>
    <w:rsid w:val="1F8D1998"/>
    <w:rsid w:val="1FB32388"/>
    <w:rsid w:val="1FB641DF"/>
    <w:rsid w:val="1FBE65D5"/>
    <w:rsid w:val="1FC250BA"/>
    <w:rsid w:val="1FD524FC"/>
    <w:rsid w:val="1FF54625"/>
    <w:rsid w:val="20623DD1"/>
    <w:rsid w:val="207947E3"/>
    <w:rsid w:val="20B0261A"/>
    <w:rsid w:val="20D130BB"/>
    <w:rsid w:val="211B38C9"/>
    <w:rsid w:val="219017B6"/>
    <w:rsid w:val="21DF2C72"/>
    <w:rsid w:val="21E95DCA"/>
    <w:rsid w:val="21EA4906"/>
    <w:rsid w:val="21ED174D"/>
    <w:rsid w:val="22344593"/>
    <w:rsid w:val="22541C6D"/>
    <w:rsid w:val="226C2909"/>
    <w:rsid w:val="22AA43D5"/>
    <w:rsid w:val="22C246FE"/>
    <w:rsid w:val="23130E25"/>
    <w:rsid w:val="232B3864"/>
    <w:rsid w:val="234F3482"/>
    <w:rsid w:val="238C1627"/>
    <w:rsid w:val="23977CA8"/>
    <w:rsid w:val="23A65065"/>
    <w:rsid w:val="23C80D37"/>
    <w:rsid w:val="23E45AE1"/>
    <w:rsid w:val="24030E99"/>
    <w:rsid w:val="24195936"/>
    <w:rsid w:val="24457631"/>
    <w:rsid w:val="245931AF"/>
    <w:rsid w:val="24A125EA"/>
    <w:rsid w:val="24A37A98"/>
    <w:rsid w:val="24E632A0"/>
    <w:rsid w:val="256166C7"/>
    <w:rsid w:val="25D0726B"/>
    <w:rsid w:val="25F91E24"/>
    <w:rsid w:val="26076ABA"/>
    <w:rsid w:val="261A7C45"/>
    <w:rsid w:val="265026ED"/>
    <w:rsid w:val="26633FDF"/>
    <w:rsid w:val="268A3207"/>
    <w:rsid w:val="26986029"/>
    <w:rsid w:val="269E632F"/>
    <w:rsid w:val="26B26BA7"/>
    <w:rsid w:val="26BF6EFB"/>
    <w:rsid w:val="26D919E5"/>
    <w:rsid w:val="2707640B"/>
    <w:rsid w:val="270A6E28"/>
    <w:rsid w:val="2717191C"/>
    <w:rsid w:val="277359B7"/>
    <w:rsid w:val="279D0106"/>
    <w:rsid w:val="27A8515D"/>
    <w:rsid w:val="28056F4E"/>
    <w:rsid w:val="2834794F"/>
    <w:rsid w:val="283A50A6"/>
    <w:rsid w:val="28702875"/>
    <w:rsid w:val="287326A4"/>
    <w:rsid w:val="2873443B"/>
    <w:rsid w:val="28993D3F"/>
    <w:rsid w:val="28B33E5A"/>
    <w:rsid w:val="28C32D6C"/>
    <w:rsid w:val="28F14DF0"/>
    <w:rsid w:val="29023E15"/>
    <w:rsid w:val="29045CAD"/>
    <w:rsid w:val="29560844"/>
    <w:rsid w:val="296C0933"/>
    <w:rsid w:val="2989298F"/>
    <w:rsid w:val="298E6E3F"/>
    <w:rsid w:val="29A95004"/>
    <w:rsid w:val="29EC6874"/>
    <w:rsid w:val="2A0A7433"/>
    <w:rsid w:val="2A2239D5"/>
    <w:rsid w:val="2A2878AC"/>
    <w:rsid w:val="2A444747"/>
    <w:rsid w:val="2A6B382A"/>
    <w:rsid w:val="2A9E2655"/>
    <w:rsid w:val="2AB715C1"/>
    <w:rsid w:val="2ABB62ED"/>
    <w:rsid w:val="2AC844A1"/>
    <w:rsid w:val="2ADB4D42"/>
    <w:rsid w:val="2B0D25C9"/>
    <w:rsid w:val="2BCE1F6F"/>
    <w:rsid w:val="2C031662"/>
    <w:rsid w:val="2C0523AE"/>
    <w:rsid w:val="2C4E2999"/>
    <w:rsid w:val="2C6C262E"/>
    <w:rsid w:val="2C891F2F"/>
    <w:rsid w:val="2CED00B9"/>
    <w:rsid w:val="2D8F4ED5"/>
    <w:rsid w:val="2D9B2143"/>
    <w:rsid w:val="2DEA131C"/>
    <w:rsid w:val="2E1544F0"/>
    <w:rsid w:val="2E4D3585"/>
    <w:rsid w:val="2E5C00AA"/>
    <w:rsid w:val="2E871689"/>
    <w:rsid w:val="2EB21AF3"/>
    <w:rsid w:val="2EB27AA0"/>
    <w:rsid w:val="2EB3520F"/>
    <w:rsid w:val="2ED83D05"/>
    <w:rsid w:val="2EF5492F"/>
    <w:rsid w:val="2EF7784D"/>
    <w:rsid w:val="2F193C67"/>
    <w:rsid w:val="2F6C47E7"/>
    <w:rsid w:val="2F716152"/>
    <w:rsid w:val="2F7A753B"/>
    <w:rsid w:val="2F7C5FA4"/>
    <w:rsid w:val="2F874F8B"/>
    <w:rsid w:val="2FB144F2"/>
    <w:rsid w:val="2FC276CE"/>
    <w:rsid w:val="2FCF2577"/>
    <w:rsid w:val="2FE71543"/>
    <w:rsid w:val="2FF65D56"/>
    <w:rsid w:val="303203BA"/>
    <w:rsid w:val="30741760"/>
    <w:rsid w:val="30BC06F5"/>
    <w:rsid w:val="313C48B3"/>
    <w:rsid w:val="313E2918"/>
    <w:rsid w:val="316544F4"/>
    <w:rsid w:val="316875A1"/>
    <w:rsid w:val="31887B54"/>
    <w:rsid w:val="31BF3CEF"/>
    <w:rsid w:val="31C679AA"/>
    <w:rsid w:val="320E33A1"/>
    <w:rsid w:val="32A97E4B"/>
    <w:rsid w:val="32B85FD3"/>
    <w:rsid w:val="32C65EB4"/>
    <w:rsid w:val="32EB368F"/>
    <w:rsid w:val="33251BD6"/>
    <w:rsid w:val="33447562"/>
    <w:rsid w:val="334811B2"/>
    <w:rsid w:val="33754933"/>
    <w:rsid w:val="338F44F8"/>
    <w:rsid w:val="33CA66A4"/>
    <w:rsid w:val="34305E37"/>
    <w:rsid w:val="34E46A0B"/>
    <w:rsid w:val="35054007"/>
    <w:rsid w:val="352276F2"/>
    <w:rsid w:val="352C5D76"/>
    <w:rsid w:val="35322878"/>
    <w:rsid w:val="3548043B"/>
    <w:rsid w:val="3549352B"/>
    <w:rsid w:val="35521C81"/>
    <w:rsid w:val="355E6877"/>
    <w:rsid w:val="356F7E1A"/>
    <w:rsid w:val="35B71AE4"/>
    <w:rsid w:val="35E14DB3"/>
    <w:rsid w:val="36092058"/>
    <w:rsid w:val="361821B9"/>
    <w:rsid w:val="369750B3"/>
    <w:rsid w:val="36B532A9"/>
    <w:rsid w:val="36B8786E"/>
    <w:rsid w:val="36DF6F52"/>
    <w:rsid w:val="36EA5EE9"/>
    <w:rsid w:val="36EE061E"/>
    <w:rsid w:val="37020C98"/>
    <w:rsid w:val="373009B6"/>
    <w:rsid w:val="37456550"/>
    <w:rsid w:val="376143FD"/>
    <w:rsid w:val="37743C2E"/>
    <w:rsid w:val="3774440D"/>
    <w:rsid w:val="37A257C0"/>
    <w:rsid w:val="37B574FC"/>
    <w:rsid w:val="37C97946"/>
    <w:rsid w:val="37CD3E92"/>
    <w:rsid w:val="37E2491A"/>
    <w:rsid w:val="37E31829"/>
    <w:rsid w:val="37E77A53"/>
    <w:rsid w:val="37F317CF"/>
    <w:rsid w:val="38066DE7"/>
    <w:rsid w:val="382D42DF"/>
    <w:rsid w:val="384E44B8"/>
    <w:rsid w:val="388B5124"/>
    <w:rsid w:val="389E02FA"/>
    <w:rsid w:val="38A61CD4"/>
    <w:rsid w:val="38AB6D54"/>
    <w:rsid w:val="38AD4CA8"/>
    <w:rsid w:val="38CC7F9C"/>
    <w:rsid w:val="38FB7E56"/>
    <w:rsid w:val="38FD5C85"/>
    <w:rsid w:val="39061F86"/>
    <w:rsid w:val="39B821A2"/>
    <w:rsid w:val="3A2559C6"/>
    <w:rsid w:val="3A5D2959"/>
    <w:rsid w:val="3A630F81"/>
    <w:rsid w:val="3A7505ED"/>
    <w:rsid w:val="3AA66F67"/>
    <w:rsid w:val="3AA81522"/>
    <w:rsid w:val="3AB04BF1"/>
    <w:rsid w:val="3ADC0638"/>
    <w:rsid w:val="3B2F65C0"/>
    <w:rsid w:val="3B3E4ECD"/>
    <w:rsid w:val="3B7F496F"/>
    <w:rsid w:val="3B8B7780"/>
    <w:rsid w:val="3BA50630"/>
    <w:rsid w:val="3C6035B4"/>
    <w:rsid w:val="3C71621E"/>
    <w:rsid w:val="3CA33AAD"/>
    <w:rsid w:val="3CB75F1E"/>
    <w:rsid w:val="3CCE09A2"/>
    <w:rsid w:val="3CD10921"/>
    <w:rsid w:val="3CD26A35"/>
    <w:rsid w:val="3CED6733"/>
    <w:rsid w:val="3D474095"/>
    <w:rsid w:val="3D54230E"/>
    <w:rsid w:val="3D5D2F14"/>
    <w:rsid w:val="3D6111B7"/>
    <w:rsid w:val="3DCD1A2C"/>
    <w:rsid w:val="3DFF0586"/>
    <w:rsid w:val="3E3846AD"/>
    <w:rsid w:val="3E4C44C2"/>
    <w:rsid w:val="3E751E61"/>
    <w:rsid w:val="3E873AE4"/>
    <w:rsid w:val="3F0E1178"/>
    <w:rsid w:val="3F1738DF"/>
    <w:rsid w:val="3F4C50B6"/>
    <w:rsid w:val="3F5D7BA0"/>
    <w:rsid w:val="3FAC53B4"/>
    <w:rsid w:val="3FDB1754"/>
    <w:rsid w:val="3FE23C01"/>
    <w:rsid w:val="3FE3310B"/>
    <w:rsid w:val="3FFE6486"/>
    <w:rsid w:val="406D327B"/>
    <w:rsid w:val="407C46AF"/>
    <w:rsid w:val="408702BC"/>
    <w:rsid w:val="40B91EF4"/>
    <w:rsid w:val="40EF2C0C"/>
    <w:rsid w:val="41100E87"/>
    <w:rsid w:val="413B3143"/>
    <w:rsid w:val="4152749E"/>
    <w:rsid w:val="417B02F2"/>
    <w:rsid w:val="41A34AFE"/>
    <w:rsid w:val="41AF1852"/>
    <w:rsid w:val="424B014D"/>
    <w:rsid w:val="424D3EFC"/>
    <w:rsid w:val="42A15FF5"/>
    <w:rsid w:val="431B1F4F"/>
    <w:rsid w:val="43204D9B"/>
    <w:rsid w:val="436971C4"/>
    <w:rsid w:val="437B07BD"/>
    <w:rsid w:val="43AD6EAE"/>
    <w:rsid w:val="43BB4FDA"/>
    <w:rsid w:val="43E110E7"/>
    <w:rsid w:val="43E5702A"/>
    <w:rsid w:val="43EA0A6C"/>
    <w:rsid w:val="43F44186"/>
    <w:rsid w:val="43FA1658"/>
    <w:rsid w:val="443F60E5"/>
    <w:rsid w:val="449F2EDF"/>
    <w:rsid w:val="449F4940"/>
    <w:rsid w:val="44CB029B"/>
    <w:rsid w:val="44FA202F"/>
    <w:rsid w:val="453417FC"/>
    <w:rsid w:val="45784FA6"/>
    <w:rsid w:val="45994CCC"/>
    <w:rsid w:val="45A04A7B"/>
    <w:rsid w:val="46271D74"/>
    <w:rsid w:val="46363689"/>
    <w:rsid w:val="463D3CA0"/>
    <w:rsid w:val="46534D53"/>
    <w:rsid w:val="466435C2"/>
    <w:rsid w:val="468061BA"/>
    <w:rsid w:val="469579E2"/>
    <w:rsid w:val="474433F3"/>
    <w:rsid w:val="47444218"/>
    <w:rsid w:val="47B27243"/>
    <w:rsid w:val="47B95B8F"/>
    <w:rsid w:val="47C00AA0"/>
    <w:rsid w:val="47EF1F20"/>
    <w:rsid w:val="482144D8"/>
    <w:rsid w:val="486A4950"/>
    <w:rsid w:val="48765F81"/>
    <w:rsid w:val="48851570"/>
    <w:rsid w:val="48AF7CF4"/>
    <w:rsid w:val="48B41406"/>
    <w:rsid w:val="48F905DA"/>
    <w:rsid w:val="48FB3898"/>
    <w:rsid w:val="48FC4509"/>
    <w:rsid w:val="491B05F1"/>
    <w:rsid w:val="493E15A9"/>
    <w:rsid w:val="49634CDB"/>
    <w:rsid w:val="4968161B"/>
    <w:rsid w:val="4977360C"/>
    <w:rsid w:val="498D2A74"/>
    <w:rsid w:val="498F46D5"/>
    <w:rsid w:val="49E34C02"/>
    <w:rsid w:val="49EC3DB8"/>
    <w:rsid w:val="4A1A1595"/>
    <w:rsid w:val="4A323E25"/>
    <w:rsid w:val="4A4C10D0"/>
    <w:rsid w:val="4A8736F3"/>
    <w:rsid w:val="4ABF0AA9"/>
    <w:rsid w:val="4B354B09"/>
    <w:rsid w:val="4B6209B3"/>
    <w:rsid w:val="4B935BED"/>
    <w:rsid w:val="4BB43D64"/>
    <w:rsid w:val="4BCA0108"/>
    <w:rsid w:val="4BF02E56"/>
    <w:rsid w:val="4C01742A"/>
    <w:rsid w:val="4C0D2006"/>
    <w:rsid w:val="4C252CC1"/>
    <w:rsid w:val="4C2B5D14"/>
    <w:rsid w:val="4C46140A"/>
    <w:rsid w:val="4C5338D2"/>
    <w:rsid w:val="4C545E87"/>
    <w:rsid w:val="4C69381F"/>
    <w:rsid w:val="4C744FB8"/>
    <w:rsid w:val="4C856040"/>
    <w:rsid w:val="4C8B05BB"/>
    <w:rsid w:val="4C9C620F"/>
    <w:rsid w:val="4CC36B68"/>
    <w:rsid w:val="4CD76C0F"/>
    <w:rsid w:val="4CEC2C58"/>
    <w:rsid w:val="4CEC360C"/>
    <w:rsid w:val="4D3A79CE"/>
    <w:rsid w:val="4D4E5FE1"/>
    <w:rsid w:val="4D65189B"/>
    <w:rsid w:val="4D726722"/>
    <w:rsid w:val="4E1F0A95"/>
    <w:rsid w:val="4E323FA5"/>
    <w:rsid w:val="4E395334"/>
    <w:rsid w:val="4E4125AE"/>
    <w:rsid w:val="4E4F249C"/>
    <w:rsid w:val="4EAA506D"/>
    <w:rsid w:val="4EB24236"/>
    <w:rsid w:val="4ED1746B"/>
    <w:rsid w:val="4EE44581"/>
    <w:rsid w:val="4F0A39FE"/>
    <w:rsid w:val="4F1A56E6"/>
    <w:rsid w:val="4F3E12F7"/>
    <w:rsid w:val="4F517BC7"/>
    <w:rsid w:val="4F7F46BE"/>
    <w:rsid w:val="4FB31116"/>
    <w:rsid w:val="4FCA0BF2"/>
    <w:rsid w:val="50082502"/>
    <w:rsid w:val="50104B24"/>
    <w:rsid w:val="502618E8"/>
    <w:rsid w:val="506339E9"/>
    <w:rsid w:val="50873E74"/>
    <w:rsid w:val="50A61CAF"/>
    <w:rsid w:val="51413273"/>
    <w:rsid w:val="51736DAF"/>
    <w:rsid w:val="5179593A"/>
    <w:rsid w:val="51870A7E"/>
    <w:rsid w:val="51F61214"/>
    <w:rsid w:val="52254F91"/>
    <w:rsid w:val="525E61C2"/>
    <w:rsid w:val="52D3218D"/>
    <w:rsid w:val="52F25FD4"/>
    <w:rsid w:val="52F73F54"/>
    <w:rsid w:val="53356ED4"/>
    <w:rsid w:val="533A4E7F"/>
    <w:rsid w:val="533E60EA"/>
    <w:rsid w:val="539F7E88"/>
    <w:rsid w:val="53CE7E65"/>
    <w:rsid w:val="5415414D"/>
    <w:rsid w:val="541D265F"/>
    <w:rsid w:val="54425A5D"/>
    <w:rsid w:val="54576ABA"/>
    <w:rsid w:val="546B4F0C"/>
    <w:rsid w:val="548B440F"/>
    <w:rsid w:val="54A812C0"/>
    <w:rsid w:val="54CA13DC"/>
    <w:rsid w:val="54CC57B3"/>
    <w:rsid w:val="54DF25F2"/>
    <w:rsid w:val="54F60928"/>
    <w:rsid w:val="550B2C96"/>
    <w:rsid w:val="551E0119"/>
    <w:rsid w:val="55630541"/>
    <w:rsid w:val="55977BC4"/>
    <w:rsid w:val="55A05166"/>
    <w:rsid w:val="55A32583"/>
    <w:rsid w:val="55F55CA3"/>
    <w:rsid w:val="55F77C90"/>
    <w:rsid w:val="5609306F"/>
    <w:rsid w:val="56443CB7"/>
    <w:rsid w:val="566C7A9D"/>
    <w:rsid w:val="572620C9"/>
    <w:rsid w:val="57885ADF"/>
    <w:rsid w:val="5790710D"/>
    <w:rsid w:val="57A41A2A"/>
    <w:rsid w:val="57AB5400"/>
    <w:rsid w:val="57D75E67"/>
    <w:rsid w:val="58060A31"/>
    <w:rsid w:val="581C5E4D"/>
    <w:rsid w:val="582B411C"/>
    <w:rsid w:val="585E119C"/>
    <w:rsid w:val="586F6B81"/>
    <w:rsid w:val="5889510A"/>
    <w:rsid w:val="589C3F31"/>
    <w:rsid w:val="58A503A0"/>
    <w:rsid w:val="58CB1EE2"/>
    <w:rsid w:val="58CB2E4E"/>
    <w:rsid w:val="58CC0661"/>
    <w:rsid w:val="58DF23EB"/>
    <w:rsid w:val="59067E30"/>
    <w:rsid w:val="593826CF"/>
    <w:rsid w:val="59471DDC"/>
    <w:rsid w:val="5999136F"/>
    <w:rsid w:val="59C234AE"/>
    <w:rsid w:val="59FD6EF2"/>
    <w:rsid w:val="5A0803AF"/>
    <w:rsid w:val="5A0A5160"/>
    <w:rsid w:val="5A1C1C8D"/>
    <w:rsid w:val="5A320287"/>
    <w:rsid w:val="5A377854"/>
    <w:rsid w:val="5A5A4FB0"/>
    <w:rsid w:val="5A744ECD"/>
    <w:rsid w:val="5A923F3D"/>
    <w:rsid w:val="5AAB2EAD"/>
    <w:rsid w:val="5AC0785A"/>
    <w:rsid w:val="5AE51E1F"/>
    <w:rsid w:val="5B2306EF"/>
    <w:rsid w:val="5B676697"/>
    <w:rsid w:val="5B740512"/>
    <w:rsid w:val="5B745BFD"/>
    <w:rsid w:val="5BB43174"/>
    <w:rsid w:val="5BCF3D6E"/>
    <w:rsid w:val="5BE45A07"/>
    <w:rsid w:val="5BFD1FF0"/>
    <w:rsid w:val="5C20124B"/>
    <w:rsid w:val="5C261053"/>
    <w:rsid w:val="5C277A59"/>
    <w:rsid w:val="5C81365B"/>
    <w:rsid w:val="5C8F6BB0"/>
    <w:rsid w:val="5C973170"/>
    <w:rsid w:val="5CC53238"/>
    <w:rsid w:val="5D386A29"/>
    <w:rsid w:val="5D674A0D"/>
    <w:rsid w:val="5D9C1170"/>
    <w:rsid w:val="5DD46E27"/>
    <w:rsid w:val="5E224037"/>
    <w:rsid w:val="5E463D78"/>
    <w:rsid w:val="5E501FFE"/>
    <w:rsid w:val="5E540219"/>
    <w:rsid w:val="5E800D5D"/>
    <w:rsid w:val="5E804F33"/>
    <w:rsid w:val="5EEF7807"/>
    <w:rsid w:val="5F0F7022"/>
    <w:rsid w:val="5F5F58A2"/>
    <w:rsid w:val="5F7C5893"/>
    <w:rsid w:val="5F7E040F"/>
    <w:rsid w:val="5FDC0805"/>
    <w:rsid w:val="5FEE233B"/>
    <w:rsid w:val="6010312A"/>
    <w:rsid w:val="603E4F06"/>
    <w:rsid w:val="60427B06"/>
    <w:rsid w:val="60786190"/>
    <w:rsid w:val="608473D5"/>
    <w:rsid w:val="60F35816"/>
    <w:rsid w:val="61187DD0"/>
    <w:rsid w:val="614E6EF1"/>
    <w:rsid w:val="616D3DA2"/>
    <w:rsid w:val="619471BB"/>
    <w:rsid w:val="61CE15EA"/>
    <w:rsid w:val="61F46CBD"/>
    <w:rsid w:val="623B798E"/>
    <w:rsid w:val="62483940"/>
    <w:rsid w:val="62640357"/>
    <w:rsid w:val="6270439D"/>
    <w:rsid w:val="628F45DC"/>
    <w:rsid w:val="62BB6808"/>
    <w:rsid w:val="62BE1898"/>
    <w:rsid w:val="63372143"/>
    <w:rsid w:val="633C077C"/>
    <w:rsid w:val="63444988"/>
    <w:rsid w:val="63564258"/>
    <w:rsid w:val="636E7136"/>
    <w:rsid w:val="63A76914"/>
    <w:rsid w:val="63A91D95"/>
    <w:rsid w:val="63AE2056"/>
    <w:rsid w:val="63B83B99"/>
    <w:rsid w:val="64346872"/>
    <w:rsid w:val="645E6BCC"/>
    <w:rsid w:val="648F4DAA"/>
    <w:rsid w:val="649A0A9A"/>
    <w:rsid w:val="649B6672"/>
    <w:rsid w:val="64E275E8"/>
    <w:rsid w:val="64FE15F3"/>
    <w:rsid w:val="653F2DBB"/>
    <w:rsid w:val="654F4FE5"/>
    <w:rsid w:val="65585AC1"/>
    <w:rsid w:val="655F3D33"/>
    <w:rsid w:val="65C71FBC"/>
    <w:rsid w:val="6623094C"/>
    <w:rsid w:val="665161D8"/>
    <w:rsid w:val="665479F4"/>
    <w:rsid w:val="66777C4F"/>
    <w:rsid w:val="667A48EB"/>
    <w:rsid w:val="66D04C91"/>
    <w:rsid w:val="66D371DB"/>
    <w:rsid w:val="66D8562F"/>
    <w:rsid w:val="66DC0AFB"/>
    <w:rsid w:val="66E30F2F"/>
    <w:rsid w:val="67111597"/>
    <w:rsid w:val="678231BA"/>
    <w:rsid w:val="679412B7"/>
    <w:rsid w:val="67D90CE2"/>
    <w:rsid w:val="67EC080B"/>
    <w:rsid w:val="67FEB937"/>
    <w:rsid w:val="680114EC"/>
    <w:rsid w:val="684442C7"/>
    <w:rsid w:val="687F173A"/>
    <w:rsid w:val="688C3A85"/>
    <w:rsid w:val="68933337"/>
    <w:rsid w:val="68B50AE3"/>
    <w:rsid w:val="68D51CA5"/>
    <w:rsid w:val="69855479"/>
    <w:rsid w:val="69967157"/>
    <w:rsid w:val="69AA3789"/>
    <w:rsid w:val="69BB7763"/>
    <w:rsid w:val="69CD7C28"/>
    <w:rsid w:val="69F3549D"/>
    <w:rsid w:val="6A0813C7"/>
    <w:rsid w:val="6A10224E"/>
    <w:rsid w:val="6A33123F"/>
    <w:rsid w:val="6AB361C7"/>
    <w:rsid w:val="6ACB282B"/>
    <w:rsid w:val="6B3E5458"/>
    <w:rsid w:val="6B462EA9"/>
    <w:rsid w:val="6B847AEB"/>
    <w:rsid w:val="6BAF2557"/>
    <w:rsid w:val="6BAF4A30"/>
    <w:rsid w:val="6C553DA1"/>
    <w:rsid w:val="6C5C4BB7"/>
    <w:rsid w:val="6C8077A4"/>
    <w:rsid w:val="6CC01566"/>
    <w:rsid w:val="6D126DE5"/>
    <w:rsid w:val="6D170ADE"/>
    <w:rsid w:val="6D31477D"/>
    <w:rsid w:val="6D584926"/>
    <w:rsid w:val="6DA20F46"/>
    <w:rsid w:val="6DA21DF8"/>
    <w:rsid w:val="6DA34138"/>
    <w:rsid w:val="6DCD01F2"/>
    <w:rsid w:val="6DE5561B"/>
    <w:rsid w:val="6E355E11"/>
    <w:rsid w:val="6E6A10FC"/>
    <w:rsid w:val="6E8002B1"/>
    <w:rsid w:val="6E883A61"/>
    <w:rsid w:val="6E934195"/>
    <w:rsid w:val="6EAD47E9"/>
    <w:rsid w:val="6ED22F2E"/>
    <w:rsid w:val="6EF80775"/>
    <w:rsid w:val="6F176B74"/>
    <w:rsid w:val="6F653941"/>
    <w:rsid w:val="6F771D08"/>
    <w:rsid w:val="6FFF71EB"/>
    <w:rsid w:val="70245642"/>
    <w:rsid w:val="706B2AC0"/>
    <w:rsid w:val="70935104"/>
    <w:rsid w:val="70960059"/>
    <w:rsid w:val="70AC562C"/>
    <w:rsid w:val="70E03214"/>
    <w:rsid w:val="7104068F"/>
    <w:rsid w:val="712A6AF3"/>
    <w:rsid w:val="71353C1C"/>
    <w:rsid w:val="7147685E"/>
    <w:rsid w:val="71851891"/>
    <w:rsid w:val="71D52AA0"/>
    <w:rsid w:val="72312B2F"/>
    <w:rsid w:val="72407F7C"/>
    <w:rsid w:val="72CB03A1"/>
    <w:rsid w:val="7318110C"/>
    <w:rsid w:val="7327625C"/>
    <w:rsid w:val="735E28B4"/>
    <w:rsid w:val="739C4586"/>
    <w:rsid w:val="73A5108D"/>
    <w:rsid w:val="73CC0EBA"/>
    <w:rsid w:val="73E831D5"/>
    <w:rsid w:val="74045505"/>
    <w:rsid w:val="74367A9C"/>
    <w:rsid w:val="74420F9F"/>
    <w:rsid w:val="74577010"/>
    <w:rsid w:val="74710781"/>
    <w:rsid w:val="74B051F7"/>
    <w:rsid w:val="753F2512"/>
    <w:rsid w:val="755A1EB0"/>
    <w:rsid w:val="75696EBB"/>
    <w:rsid w:val="7573595F"/>
    <w:rsid w:val="758A0796"/>
    <w:rsid w:val="758B206A"/>
    <w:rsid w:val="75C42822"/>
    <w:rsid w:val="75E112EB"/>
    <w:rsid w:val="76120F7B"/>
    <w:rsid w:val="764F1A31"/>
    <w:rsid w:val="76A515BB"/>
    <w:rsid w:val="76B80C3C"/>
    <w:rsid w:val="76C0248C"/>
    <w:rsid w:val="76CC0B8C"/>
    <w:rsid w:val="76CE64CC"/>
    <w:rsid w:val="76E05FFF"/>
    <w:rsid w:val="76E934EC"/>
    <w:rsid w:val="76F07B4B"/>
    <w:rsid w:val="77456248"/>
    <w:rsid w:val="77DF03D0"/>
    <w:rsid w:val="77FB46C8"/>
    <w:rsid w:val="782B24F8"/>
    <w:rsid w:val="788039DC"/>
    <w:rsid w:val="78883D28"/>
    <w:rsid w:val="78C4686A"/>
    <w:rsid w:val="78DB1667"/>
    <w:rsid w:val="78E977D3"/>
    <w:rsid w:val="78EF79A3"/>
    <w:rsid w:val="790D167C"/>
    <w:rsid w:val="79155F85"/>
    <w:rsid w:val="791F18B1"/>
    <w:rsid w:val="791F1C65"/>
    <w:rsid w:val="79690DA9"/>
    <w:rsid w:val="79B23FBE"/>
    <w:rsid w:val="7A082E7F"/>
    <w:rsid w:val="7A4B6276"/>
    <w:rsid w:val="7A4E0C00"/>
    <w:rsid w:val="7A59030A"/>
    <w:rsid w:val="7AA51BDB"/>
    <w:rsid w:val="7ABD78D7"/>
    <w:rsid w:val="7AE76B94"/>
    <w:rsid w:val="7B144819"/>
    <w:rsid w:val="7B482494"/>
    <w:rsid w:val="7B581F4B"/>
    <w:rsid w:val="7B70141E"/>
    <w:rsid w:val="7BA0141D"/>
    <w:rsid w:val="7C224DAA"/>
    <w:rsid w:val="7C314A41"/>
    <w:rsid w:val="7C566410"/>
    <w:rsid w:val="7C6429F8"/>
    <w:rsid w:val="7CAB128C"/>
    <w:rsid w:val="7CAD3B1A"/>
    <w:rsid w:val="7CAF663E"/>
    <w:rsid w:val="7CD14C73"/>
    <w:rsid w:val="7D0F35AB"/>
    <w:rsid w:val="7D0F5EB3"/>
    <w:rsid w:val="7D4719DD"/>
    <w:rsid w:val="7D7C50F1"/>
    <w:rsid w:val="7D9C5A66"/>
    <w:rsid w:val="7DCB3CC4"/>
    <w:rsid w:val="7DDD4571"/>
    <w:rsid w:val="7DFE2AA2"/>
    <w:rsid w:val="7E332A56"/>
    <w:rsid w:val="7E350DC4"/>
    <w:rsid w:val="7E386D58"/>
    <w:rsid w:val="7E43623E"/>
    <w:rsid w:val="7E564686"/>
    <w:rsid w:val="7E5E41C3"/>
    <w:rsid w:val="7E8B3D2D"/>
    <w:rsid w:val="7EAE0187"/>
    <w:rsid w:val="7F680767"/>
    <w:rsid w:val="7F984974"/>
    <w:rsid w:val="7FE2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Calibri" w:hAnsi="Calibri" w:eastAsia="宋体" w:cs="Times New Roman"/>
      <w:sz w:val="24"/>
      <w:lang w:val="en-US" w:eastAsia="zh-CN" w:bidi="ar-SA"/>
    </w:rPr>
  </w:style>
  <w:style w:type="paragraph" w:styleId="3">
    <w:name w:val="heading 1"/>
    <w:basedOn w:val="1"/>
    <w:next w:val="1"/>
    <w:qFormat/>
    <w:uiPriority w:val="0"/>
    <w:pPr>
      <w:pageBreakBefore/>
      <w:tabs>
        <w:tab w:val="left" w:pos="360"/>
      </w:tabs>
      <w:spacing w:before="480" w:after="240"/>
      <w:jc w:val="center"/>
      <w:outlineLvl w:val="0"/>
    </w:pPr>
    <w:rPr>
      <w:rFonts w:eastAsia="黑体"/>
      <w:snapToGrid w:val="0"/>
      <w:sz w:val="36"/>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Lines/>
      <w:widowControl/>
      <w:tabs>
        <w:tab w:val="left" w:pos="709"/>
      </w:tabs>
      <w:spacing w:before="60"/>
      <w:ind w:left="709" w:hanging="709"/>
      <w:jc w:val="left"/>
      <w:outlineLvl w:val="2"/>
    </w:pPr>
    <w:rPr>
      <w:rFonts w:eastAsia="黑体"/>
      <w:b/>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1"/>
    <w:qFormat/>
    <w:uiPriority w:val="99"/>
    <w:pPr>
      <w:ind w:firstLine="488"/>
    </w:pPr>
    <w:rPr>
      <w:rFonts w:asciiTheme="minorHAnsi" w:hAnsiTheme="minorHAnsi" w:cstheme="minorBidi"/>
      <w:kern w:val="2"/>
      <w:szCs w:val="22"/>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pPr>
  </w:style>
  <w:style w:type="paragraph" w:styleId="12">
    <w:name w:val="Body Text First Indent"/>
    <w:basedOn w:val="11"/>
    <w:next w:val="1"/>
    <w:semiHidden/>
    <w:unhideWhenUsed/>
    <w:qFormat/>
    <w:uiPriority w:val="99"/>
    <w:pPr>
      <w:ind w:firstLine="420" w:firstLineChars="100"/>
    </w:pPr>
  </w:style>
  <w:style w:type="paragraph" w:styleId="13">
    <w:name w:val="Body Text Indent"/>
    <w:basedOn w:val="1"/>
    <w:next w:val="14"/>
    <w:unhideWhenUsed/>
    <w:qFormat/>
    <w:uiPriority w:val="0"/>
    <w:pPr>
      <w:spacing w:after="120"/>
      <w:ind w:left="420" w:leftChars="200"/>
    </w:pPr>
  </w:style>
  <w:style w:type="paragraph" w:styleId="14">
    <w:name w:val="Body Text First Indent 2"/>
    <w:basedOn w:val="13"/>
    <w:next w:val="15"/>
    <w:unhideWhenUsed/>
    <w:qFormat/>
    <w:uiPriority w:val="99"/>
    <w:pPr>
      <w:tabs>
        <w:tab w:val="left" w:pos="0"/>
        <w:tab w:val="left" w:pos="993"/>
        <w:tab w:val="left" w:pos="1134"/>
      </w:tabs>
      <w:ind w:firstLine="420" w:firstLineChars="200"/>
    </w:pPr>
  </w:style>
  <w:style w:type="paragraph" w:customStyle="1" w:styleId="1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sz w:val="20"/>
    </w:rPr>
  </w:style>
  <w:style w:type="paragraph" w:styleId="16">
    <w:name w:val="Block Text"/>
    <w:basedOn w:val="1"/>
    <w:qFormat/>
    <w:uiPriority w:val="0"/>
    <w:pPr>
      <w:spacing w:line="360" w:lineRule="auto"/>
      <w:ind w:left="420" w:right="33" w:firstLine="200"/>
    </w:pPr>
    <w:rPr>
      <w:rFonts w:ascii="Times New Roman" w:hAnsi="Times New Roman"/>
    </w:rPr>
  </w:style>
  <w:style w:type="paragraph" w:styleId="17">
    <w:name w:val="Plain Text"/>
    <w:basedOn w:val="1"/>
    <w:qFormat/>
    <w:uiPriority w:val="0"/>
    <w:pPr>
      <w:autoSpaceDE/>
      <w:autoSpaceDN/>
      <w:adjustRightInd/>
      <w:textAlignment w:val="auto"/>
    </w:pPr>
    <w:rPr>
      <w:rFonts w:ascii="宋体" w:hAnsi="Courier New" w:cstheme="minorBidi"/>
      <w:kern w:val="2"/>
      <w:sz w:val="21"/>
      <w:szCs w:val="22"/>
    </w:rPr>
  </w:style>
  <w:style w:type="paragraph" w:styleId="18">
    <w:name w:val="toc 8"/>
    <w:basedOn w:val="1"/>
    <w:next w:val="1"/>
    <w:qFormat/>
    <w:uiPriority w:val="0"/>
    <w:pPr>
      <w:ind w:left="2940" w:leftChars="1400"/>
    </w:pPr>
    <w:rPr>
      <w:szCs w:val="22"/>
    </w:rPr>
  </w:style>
  <w:style w:type="paragraph" w:styleId="19">
    <w:name w:val="Date"/>
    <w:basedOn w:val="1"/>
    <w:next w:val="1"/>
    <w:qFormat/>
    <w:uiPriority w:val="0"/>
    <w:pPr>
      <w:ind w:left="2500" w:leftChars="2500"/>
    </w:pPr>
    <w:rPr>
      <w:rFonts w:ascii="楷体_GB2312" w:eastAsia="楷体_GB2312"/>
      <w:sz w:val="32"/>
    </w:rPr>
  </w:style>
  <w:style w:type="paragraph" w:styleId="20">
    <w:name w:val="Body Text Indent 2"/>
    <w:basedOn w:val="1"/>
    <w:unhideWhenUsed/>
    <w:qFormat/>
    <w:uiPriority w:val="0"/>
    <w:pPr>
      <w:spacing w:after="120" w:line="480" w:lineRule="auto"/>
      <w:ind w:left="420" w:leftChars="200"/>
    </w:pPr>
  </w:style>
  <w:style w:type="paragraph" w:styleId="21">
    <w:name w:val="footer"/>
    <w:basedOn w:val="1"/>
    <w:unhideWhenUsed/>
    <w:qFormat/>
    <w:uiPriority w:val="0"/>
    <w:pPr>
      <w:tabs>
        <w:tab w:val="center" w:pos="4153"/>
        <w:tab w:val="right" w:pos="8306"/>
      </w:tabs>
      <w:snapToGrid w:val="0"/>
      <w:jc w:val="left"/>
    </w:pPr>
    <w:rPr>
      <w:sz w:val="18"/>
      <w:szCs w:val="18"/>
    </w:rPr>
  </w:style>
  <w:style w:type="paragraph" w:styleId="22">
    <w:name w:val="envelope return"/>
    <w:basedOn w:val="1"/>
    <w:qFormat/>
    <w:uiPriority w:val="0"/>
    <w:pPr>
      <w:widowControl/>
      <w:snapToGrid w:val="0"/>
      <w:spacing w:after="200"/>
      <w:jc w:val="left"/>
    </w:pPr>
    <w:rPr>
      <w:rFonts w:ascii="Arial" w:hAnsi="Arial" w:eastAsia="微软雅黑"/>
      <w:sz w:val="22"/>
      <w:szCs w:val="22"/>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semiHidden/>
    <w:unhideWhenUsed/>
    <w:qFormat/>
    <w:uiPriority w:val="0"/>
    <w:rPr>
      <w:rFonts w:asciiTheme="minorHAnsi" w:hAnsiTheme="minorHAnsi" w:eastAsiaTheme="minorEastAsia" w:cstheme="minorBidi"/>
      <w:kern w:val="2"/>
      <w:sz w:val="28"/>
      <w:szCs w:val="22"/>
    </w:rPr>
  </w:style>
  <w:style w:type="paragraph" w:styleId="25">
    <w:name w:val="Subtitle"/>
    <w:basedOn w:val="1"/>
    <w:next w:val="1"/>
    <w:qFormat/>
    <w:uiPriority w:val="11"/>
    <w:pPr>
      <w:autoSpaceDE/>
      <w:autoSpaceDN/>
      <w:adjustRightInd/>
      <w:spacing w:before="240" w:after="60" w:line="312" w:lineRule="auto"/>
      <w:ind w:firstLine="200" w:firstLineChars="200"/>
      <w:jc w:val="center"/>
      <w:outlineLvl w:val="1"/>
    </w:pPr>
    <w:rPr>
      <w:rFonts w:ascii="Calibri Light" w:hAnsi="Calibri Light"/>
      <w:b/>
      <w:bCs/>
      <w:kern w:val="28"/>
      <w:sz w:val="32"/>
      <w:szCs w:val="32"/>
    </w:rPr>
  </w:style>
  <w:style w:type="paragraph" w:styleId="26">
    <w:name w:val="List"/>
    <w:basedOn w:val="1"/>
    <w:next w:val="1"/>
    <w:qFormat/>
    <w:uiPriority w:val="0"/>
    <w:pPr>
      <w:ind w:left="200" w:hanging="200" w:hangingChars="200"/>
    </w:pPr>
  </w:style>
  <w:style w:type="paragraph" w:styleId="27">
    <w:name w:val="Body Text Indent 3"/>
    <w:basedOn w:val="1"/>
    <w:qFormat/>
    <w:uiPriority w:val="0"/>
    <w:pPr>
      <w:spacing w:after="120"/>
      <w:ind w:left="420" w:leftChars="200"/>
    </w:pPr>
    <w:rPr>
      <w:sz w:val="16"/>
      <w:szCs w:val="16"/>
    </w:rPr>
  </w:style>
  <w:style w:type="paragraph" w:styleId="28">
    <w:name w:val="Normal (Web)"/>
    <w:basedOn w:val="1"/>
    <w:qFormat/>
    <w:uiPriority w:val="0"/>
    <w:pPr>
      <w:widowControl/>
      <w:spacing w:before="100" w:beforeAutospacing="1" w:after="100" w:afterAutospacing="1"/>
      <w:jc w:val="left"/>
    </w:pPr>
  </w:style>
  <w:style w:type="paragraph" w:styleId="29">
    <w:name w:val="Title"/>
    <w:basedOn w:val="1"/>
    <w:next w:val="1"/>
    <w:qFormat/>
    <w:uiPriority w:val="0"/>
    <w:pPr>
      <w:spacing w:before="240" w:after="60"/>
      <w:jc w:val="center"/>
      <w:outlineLvl w:val="0"/>
    </w:pPr>
    <w:rPr>
      <w:b/>
      <w:sz w:val="32"/>
    </w:rPr>
  </w:style>
  <w:style w:type="table" w:styleId="31">
    <w:name w:val="Table Grid"/>
    <w:basedOn w:val="30"/>
    <w:qFormat/>
    <w:uiPriority w:val="0"/>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style>
  <w:style w:type="character" w:styleId="34">
    <w:name w:val="page number"/>
    <w:basedOn w:val="32"/>
    <w:qFormat/>
    <w:uiPriority w:val="0"/>
  </w:style>
  <w:style w:type="character" w:styleId="35">
    <w:name w:val="FollowedHyperlink"/>
    <w:basedOn w:val="32"/>
    <w:qFormat/>
    <w:uiPriority w:val="0"/>
    <w:rPr>
      <w:color w:val="333333"/>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0"/>
    <w:rPr>
      <w:color w:val="333333"/>
      <w:u w:val="non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_Style 1"/>
    <w:qFormat/>
    <w:uiPriority w:val="0"/>
    <w:rPr>
      <w:rFonts w:ascii="Calibri" w:hAnsi="Calibri" w:eastAsia="宋体" w:cs="Times New Roman"/>
      <w:kern w:val="2"/>
      <w:sz w:val="28"/>
      <w:szCs w:val="22"/>
      <w:lang w:val="en-US" w:eastAsia="zh-CN" w:bidi="ar-SA"/>
    </w:rPr>
  </w:style>
  <w:style w:type="paragraph" w:customStyle="1" w:styleId="47">
    <w:name w:val="_Style 3"/>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段"/>
    <w:next w:val="1"/>
    <w:qFormat/>
    <w:uiPriority w:val="0"/>
    <w:pPr>
      <w:autoSpaceDE w:val="0"/>
      <w:autoSpaceDN w:val="0"/>
      <w:adjustRightInd w:val="0"/>
      <w:snapToGrid w:val="0"/>
      <w:spacing w:line="360" w:lineRule="auto"/>
      <w:ind w:firstLine="200" w:firstLineChars="200"/>
      <w:jc w:val="both"/>
    </w:pPr>
    <w:rPr>
      <w:rFonts w:ascii="宋体" w:hAnsi="Times New Roman" w:cs="Times New Roman" w:eastAsiaTheme="minorEastAsia"/>
      <w:sz w:val="24"/>
      <w:szCs w:val="22"/>
      <w:lang w:val="en-US" w:eastAsia="zh-CN" w:bidi="ar-SA"/>
    </w:rPr>
  </w:style>
  <w:style w:type="paragraph" w:customStyle="1" w:styleId="49">
    <w:name w:val="[Normal]"/>
    <w:qFormat/>
    <w:uiPriority w:val="0"/>
    <w:rPr>
      <w:rFonts w:ascii="宋体" w:hAnsi="宋体" w:eastAsia="宋体" w:cs="Times New Roman"/>
      <w:sz w:val="24"/>
      <w:lang w:val="en-US" w:eastAsia="en-US" w:bidi="ar-SA"/>
    </w:rPr>
  </w:style>
  <w:style w:type="paragraph" w:customStyle="1" w:styleId="50">
    <w:name w:val="列表段落3"/>
    <w:basedOn w:val="1"/>
    <w:qFormat/>
    <w:uiPriority w:val="34"/>
    <w:pPr>
      <w:ind w:firstLine="420" w:firstLineChars="200"/>
    </w:pPr>
  </w:style>
  <w:style w:type="paragraph" w:customStyle="1" w:styleId="51">
    <w:name w:val="reader-word-layer"/>
    <w:basedOn w:val="1"/>
    <w:qFormat/>
    <w:uiPriority w:val="0"/>
    <w:pPr>
      <w:widowControl/>
      <w:autoSpaceDE/>
      <w:autoSpaceDN/>
      <w:adjustRightInd/>
      <w:spacing w:before="100" w:beforeAutospacing="1" w:after="100" w:afterAutospacing="1"/>
      <w:jc w:val="left"/>
      <w:textAlignment w:val="auto"/>
    </w:pPr>
    <w:rPr>
      <w:rFonts w:ascii="宋体" w:hAnsi="宋体" w:cs="宋体"/>
      <w:szCs w:val="24"/>
    </w:rPr>
  </w:style>
  <w:style w:type="paragraph" w:customStyle="1" w:styleId="52">
    <w:name w:val="首行缩进"/>
    <w:basedOn w:val="1"/>
    <w:qFormat/>
    <w:uiPriority w:val="0"/>
    <w:pPr>
      <w:widowControl/>
      <w:numPr>
        <w:ilvl w:val="6"/>
        <w:numId w:val="2"/>
      </w:numPr>
      <w:tabs>
        <w:tab w:val="left" w:pos="822"/>
        <w:tab w:val="clear" w:pos="3120"/>
      </w:tabs>
      <w:snapToGrid w:val="0"/>
      <w:spacing w:before="40" w:after="40" w:line="300" w:lineRule="atLeast"/>
    </w:pPr>
    <w:rPr>
      <w:rFonts w:ascii="Arial" w:hAnsi="Arial"/>
    </w:rPr>
  </w:style>
  <w:style w:type="paragraph" w:customStyle="1" w:styleId="53">
    <w:name w:val="样式 首行缩进:  0 字符"/>
    <w:basedOn w:val="1"/>
    <w:qFormat/>
    <w:uiPriority w:val="0"/>
    <w:pPr>
      <w:spacing w:line="360" w:lineRule="auto"/>
      <w:ind w:firstLine="200" w:firstLineChars="200"/>
    </w:pPr>
    <w:rPr>
      <w:rFonts w:ascii="Arial" w:hAnsi="Arial" w:cs="宋体"/>
    </w:rPr>
  </w:style>
  <w:style w:type="paragraph" w:customStyle="1" w:styleId="54">
    <w:name w:val="列出段落1"/>
    <w:basedOn w:val="1"/>
    <w:qFormat/>
    <w:uiPriority w:val="0"/>
    <w:pPr>
      <w:autoSpaceDE/>
      <w:autoSpaceDN/>
      <w:adjustRightInd/>
      <w:ind w:firstLine="420" w:firstLineChars="200"/>
    </w:pPr>
    <w:rPr>
      <w:kern w:val="2"/>
      <w:szCs w:val="22"/>
    </w:rPr>
  </w:style>
  <w:style w:type="paragraph" w:customStyle="1" w:styleId="55">
    <w:name w:val="正文标准"/>
    <w:basedOn w:val="1"/>
    <w:qFormat/>
    <w:uiPriority w:val="0"/>
    <w:pPr>
      <w:autoSpaceDE/>
      <w:autoSpaceDN/>
      <w:adjustRightInd/>
      <w:ind w:firstLine="200" w:firstLineChars="200"/>
      <w:jc w:val="left"/>
    </w:pPr>
    <w:rPr>
      <w:rFonts w:hint="eastAsia"/>
      <w:kern w:val="2"/>
    </w:rPr>
  </w:style>
  <w:style w:type="paragraph" w:customStyle="1" w:styleId="56">
    <w:name w:val="Bid_正文"/>
    <w:basedOn w:val="7"/>
    <w:qFormat/>
    <w:uiPriority w:val="0"/>
    <w:pPr>
      <w:widowControl/>
      <w:autoSpaceDE/>
      <w:autoSpaceDN/>
      <w:adjustRightInd/>
      <w:ind w:firstLine="480"/>
      <w:jc w:val="left"/>
    </w:pPr>
    <w:rPr>
      <w:szCs w:val="20"/>
    </w:rPr>
  </w:style>
  <w:style w:type="paragraph" w:customStyle="1" w:styleId="57">
    <w:name w:val="默认段落字体 Para Char Char Char Char Char Char Char Char Char1 Char Char Char Char"/>
    <w:basedOn w:val="1"/>
    <w:qFormat/>
    <w:uiPriority w:val="0"/>
    <w:rPr>
      <w:rFonts w:ascii="Tahoma" w:hAnsi="Tahom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rPr>
  </w:style>
  <w:style w:type="character" w:customStyle="1" w:styleId="59">
    <w:name w:val="NormalCharacter"/>
    <w:qFormat/>
    <w:uiPriority w:val="99"/>
  </w:style>
  <w:style w:type="paragraph" w:customStyle="1" w:styleId="6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1">
    <w:name w:val="DAS正文"/>
    <w:basedOn w:val="1"/>
    <w:qFormat/>
    <w:uiPriority w:val="0"/>
    <w:pPr>
      <w:spacing w:line="360" w:lineRule="auto"/>
      <w:ind w:right="181" w:firstLine="480" w:firstLineChars="200"/>
    </w:pPr>
    <w:rPr>
      <w:rFonts w:ascii="Verdana" w:hAnsi="Verdana"/>
    </w:rPr>
  </w:style>
  <w:style w:type="character" w:customStyle="1" w:styleId="62">
    <w:name w:val="ask-title"/>
    <w:basedOn w:val="32"/>
    <w:qFormat/>
    <w:uiPriority w:val="0"/>
  </w:style>
  <w:style w:type="paragraph" w:styleId="63">
    <w:name w:val="List Paragraph"/>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jpe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5216</Words>
  <Characters>29734</Characters>
  <Lines>247</Lines>
  <Paragraphs>69</Paragraphs>
  <TotalTime>41</TotalTime>
  <ScaleCrop>false</ScaleCrop>
  <LinksUpToDate>false</LinksUpToDate>
  <CharactersWithSpaces>34881</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2020-03-26T10:20:00Z</dcterms:created>
  <dc:creator>星沙沫痕</dc:creator>
  <cp:lastModifiedBy>WPS_1625792579</cp:lastModifiedBy>
  <cp:lastPrinted>2022-02-23T08:16:00Z</cp:lastPrinted>
  <dcterms:modified xsi:type="dcterms:W3CDTF">2022-05-05T01:53:02Z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F61265F1839B4DF6B2046040C4486EE7</vt:lpwstr>
  </property>
</Properties>
</file>