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adjustRightInd/>
        <w:spacing w:line="360" w:lineRule="auto"/>
        <w:rPr>
          <w:rFonts w:ascii="宋体" w:hAnsi="宋体" w:cs="宋体"/>
          <w:b/>
          <w:sz w:val="48"/>
          <w:szCs w:val="48"/>
        </w:rPr>
      </w:pPr>
    </w:p>
    <w:p>
      <w:pPr>
        <w:adjustRightInd/>
        <w:spacing w:line="360" w:lineRule="auto"/>
        <w:jc w:val="center"/>
        <w:rPr>
          <w:rFonts w:ascii="宋体" w:hAnsi="宋体" w:cs="宋体"/>
          <w:sz w:val="48"/>
          <w:szCs w:val="48"/>
        </w:rPr>
      </w:pPr>
      <w:r>
        <w:rPr>
          <w:rFonts w:hint="eastAsia" w:ascii="宋体" w:hAnsi="宋体" w:cs="宋体"/>
          <w:b/>
          <w:bCs/>
          <w:sz w:val="44"/>
          <w:szCs w:val="44"/>
        </w:rPr>
        <w:t>仁和街道和庭未来社区电器电子设备采购项目</w:t>
      </w:r>
    </w:p>
    <w:p>
      <w:pPr>
        <w:adjustRightInd/>
        <w:spacing w:line="360" w:lineRule="auto"/>
        <w:jc w:val="center"/>
        <w:rPr>
          <w:rFonts w:ascii="宋体" w:hAnsi="宋体" w:cs="宋体"/>
          <w:sz w:val="48"/>
          <w:szCs w:val="48"/>
        </w:rPr>
      </w:pPr>
      <w:r>
        <w:rPr>
          <w:rFonts w:hint="eastAsia" w:ascii="宋体" w:hAnsi="宋体" w:cs="宋体"/>
          <w:sz w:val="48"/>
          <w:szCs w:val="48"/>
        </w:rPr>
        <w:t xml:space="preserve">招标文件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hint="default" w:ascii="宋体" w:hAnsi="宋体" w:eastAsia="宋体" w:cs="宋体"/>
          <w:sz w:val="30"/>
          <w:szCs w:val="30"/>
          <w:lang w:val="en-US" w:eastAsia="zh-CN"/>
        </w:rPr>
      </w:pPr>
      <w:r>
        <w:rPr>
          <w:rFonts w:hint="eastAsia" w:ascii="宋体" w:hAnsi="宋体" w:cs="宋体"/>
          <w:sz w:val="30"/>
          <w:szCs w:val="30"/>
        </w:rPr>
        <w:t>编号:JSCGJJ-2023-009</w:t>
      </w:r>
      <w:r>
        <w:rPr>
          <w:rFonts w:hint="eastAsia" w:ascii="宋体" w:hAnsi="宋体" w:cs="宋体"/>
          <w:sz w:val="30"/>
          <w:szCs w:val="30"/>
          <w:lang w:val="en-US" w:eastAsia="zh-CN"/>
        </w:rPr>
        <w:t>-1</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32"/>
          <w:szCs w:val="32"/>
        </w:rPr>
      </w:pPr>
    </w:p>
    <w:p>
      <w:pPr>
        <w:snapToGrid w:val="0"/>
        <w:spacing w:line="360" w:lineRule="auto"/>
        <w:jc w:val="center"/>
        <w:rPr>
          <w:rFonts w:ascii="宋体" w:hAnsi="宋体" w:cs="宋体"/>
          <w:sz w:val="32"/>
          <w:szCs w:val="32"/>
        </w:rPr>
      </w:pPr>
      <w:r>
        <w:rPr>
          <w:rFonts w:hint="eastAsia" w:ascii="宋体" w:hAnsi="宋体" w:cs="宋体"/>
          <w:sz w:val="32"/>
          <w:szCs w:val="32"/>
        </w:rPr>
        <w:t>采购人：杭州市余杭区人民政府仁和街道办事处</w:t>
      </w:r>
    </w:p>
    <w:p>
      <w:pPr>
        <w:pStyle w:val="24"/>
      </w:pPr>
    </w:p>
    <w:p>
      <w:pPr>
        <w:snapToGrid w:val="0"/>
        <w:spacing w:line="360" w:lineRule="auto"/>
        <w:jc w:val="center"/>
        <w:rPr>
          <w:rFonts w:ascii="宋体" w:hAnsi="宋体" w:cs="宋体"/>
          <w:sz w:val="32"/>
          <w:szCs w:val="32"/>
        </w:rPr>
      </w:pPr>
      <w:r>
        <w:rPr>
          <w:rFonts w:hint="eastAsia" w:ascii="宋体" w:hAnsi="宋体" w:cs="宋体"/>
          <w:sz w:val="32"/>
          <w:szCs w:val="32"/>
        </w:rPr>
        <w:t>采购代理机构：杭州市建设工程管理集团有限公司</w:t>
      </w:r>
    </w:p>
    <w:p>
      <w:pPr>
        <w:pStyle w:val="24"/>
        <w:rPr>
          <w:color w:val="auto"/>
        </w:rPr>
      </w:pPr>
    </w:p>
    <w:p>
      <w:pPr>
        <w:snapToGrid w:val="0"/>
        <w:spacing w:line="360" w:lineRule="auto"/>
        <w:jc w:val="center"/>
        <w:rPr>
          <w:rFonts w:ascii="宋体" w:hAnsi="宋体" w:cs="宋体"/>
          <w:color w:val="0000FF"/>
          <w:sz w:val="32"/>
          <w:szCs w:val="32"/>
        </w:rPr>
      </w:pPr>
      <w:r>
        <w:rPr>
          <w:rFonts w:hint="eastAsia" w:ascii="宋体" w:hAnsi="宋体" w:cs="宋体"/>
          <w:color w:val="auto"/>
          <w:sz w:val="32"/>
          <w:szCs w:val="32"/>
        </w:rPr>
        <w:t>二〇二三年</w:t>
      </w:r>
      <w:r>
        <w:rPr>
          <w:rFonts w:hint="eastAsia" w:ascii="宋体" w:hAnsi="宋体" w:cs="宋体"/>
          <w:color w:val="auto"/>
          <w:sz w:val="32"/>
          <w:szCs w:val="32"/>
          <w:lang w:val="en-US" w:eastAsia="zh-CN"/>
        </w:rPr>
        <w:t>八</w:t>
      </w:r>
      <w:r>
        <w:rPr>
          <w:rFonts w:hint="eastAsia" w:ascii="宋体" w:hAnsi="宋体" w:cs="宋体"/>
          <w:color w:val="auto"/>
          <w:sz w:val="32"/>
          <w:szCs w:val="32"/>
        </w:rPr>
        <w:t>月</w:t>
      </w:r>
      <w:r>
        <w:rPr>
          <w:rFonts w:hint="eastAsia" w:ascii="宋体" w:hAnsi="宋体" w:cs="宋体"/>
          <w:color w:val="auto"/>
          <w:sz w:val="32"/>
          <w:szCs w:val="32"/>
          <w:lang w:val="en-US" w:eastAsia="zh-CN"/>
        </w:rPr>
        <w:t>二十四</w:t>
      </w:r>
      <w:r>
        <w:rPr>
          <w:rFonts w:hint="eastAsia" w:ascii="宋体" w:hAnsi="宋体" w:cs="宋体"/>
          <w:color w:val="auto"/>
          <w:sz w:val="32"/>
          <w:szCs w:val="32"/>
        </w:rPr>
        <w:t>日</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spacing w:line="360" w:lineRule="auto"/>
        <w:jc w:val="center"/>
        <w:rPr>
          <w:rFonts w:ascii="宋体" w:hAnsi="宋体" w:cs="宋体"/>
          <w:sz w:val="24"/>
        </w:rPr>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649545"/>
      <w:bookmarkEnd w:id="4"/>
      <w:bookmarkStart w:id="5" w:name="_Hlt74729822"/>
      <w:bookmarkEnd w:id="5"/>
      <w:bookmarkStart w:id="6" w:name="_Hlt74728647"/>
      <w:bookmarkEnd w:id="6"/>
      <w:bookmarkStart w:id="7" w:name="_Hlt74707423"/>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rPr>
        <w:t>仁和街道和庭未来社区</w:t>
      </w:r>
      <w:r>
        <w:rPr>
          <w:rFonts w:hint="eastAsia" w:asciiTheme="minorEastAsia" w:hAnsiTheme="minorEastAsia" w:eastAsiaTheme="minorEastAsia"/>
          <w:sz w:val="24"/>
          <w:lang w:eastAsia="zh-CN"/>
        </w:rPr>
        <w:t>电器</w:t>
      </w:r>
      <w:r>
        <w:rPr>
          <w:rFonts w:hint="eastAsia" w:asciiTheme="minorEastAsia" w:hAnsiTheme="minorEastAsia" w:eastAsiaTheme="minorEastAsia"/>
          <w:sz w:val="24"/>
        </w:rPr>
        <w:t>电子设备采购项目的潜在投标人应在政采云平台（</w:t>
      </w:r>
      <w:r>
        <w:fldChar w:fldCharType="begin"/>
      </w:r>
      <w:r>
        <w:instrText xml:space="preserve"> HYPERLINK "https://www.zcygov.cn/）获取（下载）招标文件，并于202%20年%20月%20日%20点%20分00秒" </w:instrText>
      </w:r>
      <w:r>
        <w:fldChar w:fldCharType="separate"/>
      </w:r>
      <w:r>
        <w:rPr>
          <w:rStyle w:val="77"/>
          <w:rFonts w:cs="Times New Roman" w:asciiTheme="minorEastAsia" w:hAnsiTheme="minorEastAsia" w:eastAsiaTheme="minorEastAsia"/>
          <w:snapToGrid/>
          <w:color w:val="auto"/>
          <w:kern w:val="2"/>
          <w:sz w:val="24"/>
          <w:szCs w:val="24"/>
        </w:rPr>
        <w:t>https://www.zcygov.cn/）获取（下载）招标文件，并于</w:t>
      </w:r>
      <w:r>
        <w:rPr>
          <w:rStyle w:val="77"/>
          <w:rFonts w:hint="eastAsia" w:cs="Times New Roman" w:asciiTheme="minorEastAsia" w:hAnsiTheme="minorEastAsia" w:eastAsiaTheme="minorEastAsia"/>
          <w:snapToGrid/>
          <w:color w:val="auto"/>
          <w:kern w:val="2"/>
          <w:sz w:val="24"/>
          <w:szCs w:val="24"/>
        </w:rPr>
        <w:t>2023</w:t>
      </w:r>
      <w:r>
        <w:rPr>
          <w:rStyle w:val="77"/>
          <w:rFonts w:cs="Times New Roman" w:asciiTheme="minorEastAsia" w:hAnsiTheme="minorEastAsia" w:eastAsiaTheme="minorEastAsia"/>
          <w:snapToGrid/>
          <w:color w:val="auto"/>
          <w:kern w:val="2"/>
          <w:sz w:val="24"/>
          <w:szCs w:val="24"/>
        </w:rPr>
        <w:t>年</w:t>
      </w:r>
      <w:r>
        <w:rPr>
          <w:rStyle w:val="77"/>
          <w:rFonts w:hint="eastAsia" w:cs="Times New Roman" w:asciiTheme="minorEastAsia" w:hAnsiTheme="minorEastAsia" w:eastAsiaTheme="minorEastAsia"/>
          <w:snapToGrid/>
          <w:color w:val="auto"/>
          <w:kern w:val="2"/>
          <w:sz w:val="24"/>
          <w:szCs w:val="24"/>
          <w:lang w:val="en-US" w:eastAsia="zh-CN"/>
        </w:rPr>
        <w:t>9</w:t>
      </w:r>
      <w:r>
        <w:rPr>
          <w:rStyle w:val="77"/>
          <w:rFonts w:hint="eastAsia" w:cs="Times New Roman" w:asciiTheme="minorEastAsia" w:hAnsiTheme="minorEastAsia" w:eastAsiaTheme="minorEastAsia"/>
          <w:snapToGrid/>
          <w:color w:val="auto"/>
          <w:kern w:val="2"/>
          <w:sz w:val="24"/>
          <w:szCs w:val="24"/>
        </w:rPr>
        <w:t>月</w:t>
      </w:r>
      <w:r>
        <w:rPr>
          <w:rStyle w:val="77"/>
          <w:rFonts w:hint="eastAsia" w:cs="Times New Roman" w:asciiTheme="minorEastAsia" w:hAnsiTheme="minorEastAsia" w:eastAsiaTheme="minorEastAsia"/>
          <w:snapToGrid/>
          <w:color w:val="auto"/>
          <w:kern w:val="2"/>
          <w:sz w:val="24"/>
          <w:szCs w:val="24"/>
          <w:lang w:val="en-US" w:eastAsia="zh-CN"/>
        </w:rPr>
        <w:t>14</w:t>
      </w:r>
      <w:r>
        <w:rPr>
          <w:rStyle w:val="77"/>
          <w:rFonts w:hint="eastAsia" w:cs="Times New Roman" w:asciiTheme="minorEastAsia" w:hAnsiTheme="minorEastAsia" w:eastAsiaTheme="minorEastAsia"/>
          <w:snapToGrid/>
          <w:color w:val="auto"/>
          <w:kern w:val="2"/>
          <w:sz w:val="24"/>
          <w:szCs w:val="24"/>
        </w:rPr>
        <w:t>日</w:t>
      </w:r>
      <w:r>
        <w:rPr>
          <w:rStyle w:val="77"/>
          <w:rFonts w:hint="eastAsia" w:cs="Times New Roman" w:asciiTheme="minorEastAsia" w:hAnsiTheme="minorEastAsia" w:eastAsiaTheme="minorEastAsia"/>
          <w:snapToGrid/>
          <w:color w:val="auto"/>
          <w:kern w:val="2"/>
          <w:sz w:val="24"/>
          <w:szCs w:val="24"/>
          <w:lang w:val="en-US" w:eastAsia="zh-CN"/>
        </w:rPr>
        <w:t>13</w:t>
      </w:r>
      <w:r>
        <w:rPr>
          <w:rStyle w:val="77"/>
          <w:rFonts w:hint="eastAsia" w:cs="Times New Roman" w:asciiTheme="minorEastAsia" w:hAnsiTheme="minorEastAsia" w:eastAsiaTheme="minorEastAsia"/>
          <w:snapToGrid/>
          <w:color w:val="auto"/>
          <w:kern w:val="2"/>
          <w:sz w:val="24"/>
          <w:szCs w:val="24"/>
        </w:rPr>
        <w:t>点30分</w:t>
      </w:r>
      <w:r>
        <w:rPr>
          <w:rStyle w:val="77"/>
          <w:rFonts w:hint="eastAsia" w:cs="Times New Roman" w:asciiTheme="minorEastAsia" w:hAnsiTheme="minorEastAsia" w:eastAsiaTheme="minorEastAsia"/>
          <w:bCs/>
          <w:snapToGrid/>
          <w:color w:val="auto"/>
          <w:kern w:val="2"/>
          <w:sz w:val="24"/>
          <w:szCs w:val="24"/>
        </w:rPr>
        <w:t>00秒</w:t>
      </w:r>
      <w:r>
        <w:rPr>
          <w:rStyle w:val="77"/>
          <w:rFonts w:hint="eastAsia" w:cs="Times New Roman" w:asciiTheme="minorEastAsia" w:hAnsiTheme="minorEastAsia" w:eastAsiaTheme="minorEastAsia"/>
          <w:bCs/>
          <w:snapToGrid/>
          <w:color w:val="auto"/>
          <w:kern w:val="2"/>
          <w:sz w:val="24"/>
          <w:szCs w:val="24"/>
        </w:rPr>
        <w:fldChar w:fldCharType="end"/>
      </w:r>
      <w:r>
        <w:rPr>
          <w:rFonts w:hint="eastAsia" w:asciiTheme="minorEastAsia" w:hAnsiTheme="minorEastAsia" w:eastAsiaTheme="minorEastAsia"/>
          <w:bCs/>
          <w:sz w:val="24"/>
        </w:rPr>
        <w:t>（北京时间）前</w:t>
      </w:r>
      <w:r>
        <w:rPr>
          <w:rFonts w:hint="eastAsia" w:asciiTheme="minorEastAsia" w:hAnsiTheme="minorEastAsia" w:eastAsiaTheme="minorEastAsia"/>
          <w:sz w:val="24"/>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rPr>
          <w:rFonts w:hint="default" w:ascii="宋体" w:hAnsi="宋体" w:eastAsia="宋体" w:cs="宋体"/>
          <w:sz w:val="24"/>
          <w:lang w:val="en-US" w:eastAsia="zh-CN"/>
        </w:rPr>
      </w:pPr>
      <w:r>
        <w:rPr>
          <w:rFonts w:hint="eastAsia" w:ascii="宋体" w:hAnsi="宋体" w:cs="宋体"/>
          <w:sz w:val="24"/>
        </w:rPr>
        <w:t xml:space="preserve">    </w:t>
      </w:r>
      <w:r>
        <w:rPr>
          <w:rFonts w:hint="eastAsia" w:ascii="宋体" w:hAnsi="宋体" w:cs="宋体"/>
          <w:b/>
          <w:sz w:val="24"/>
        </w:rPr>
        <w:t>项目编号：</w:t>
      </w:r>
      <w:r>
        <w:rPr>
          <w:rFonts w:hint="eastAsia" w:ascii="宋体" w:hAnsi="宋体"/>
          <w:sz w:val="24"/>
        </w:rPr>
        <w:t>JSCGJJ-2023-009</w:t>
      </w:r>
      <w:r>
        <w:rPr>
          <w:rFonts w:hint="eastAsia" w:ascii="宋体" w:hAnsi="宋体"/>
          <w:sz w:val="24"/>
          <w:lang w:val="en-US" w:eastAsia="zh-CN"/>
        </w:rPr>
        <w:t>-1</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 xml:space="preserve"> 项目名称：</w:t>
      </w:r>
      <w:r>
        <w:rPr>
          <w:rFonts w:hint="eastAsia" w:ascii="宋体" w:hAnsi="宋体"/>
          <w:sz w:val="24"/>
        </w:rPr>
        <w:t>仁和街道和庭未来社区</w:t>
      </w:r>
      <w:r>
        <w:rPr>
          <w:rFonts w:hint="eastAsia" w:asciiTheme="minorEastAsia" w:hAnsiTheme="minorEastAsia" w:eastAsiaTheme="minorEastAsia"/>
          <w:sz w:val="24"/>
          <w:lang w:eastAsia="zh-CN"/>
        </w:rPr>
        <w:t>电器</w:t>
      </w:r>
      <w:r>
        <w:rPr>
          <w:rFonts w:hint="eastAsia" w:ascii="宋体" w:hAnsi="宋体"/>
          <w:sz w:val="24"/>
        </w:rPr>
        <w:t>电子设备采购项目</w:t>
      </w:r>
    </w:p>
    <w:p>
      <w:pPr>
        <w:spacing w:line="360" w:lineRule="auto"/>
        <w:rPr>
          <w:rFonts w:ascii="宋体" w:hAnsi="宋体" w:cs="宋体"/>
          <w:sz w:val="24"/>
          <w:highlight w:val="none"/>
        </w:rPr>
      </w:pPr>
      <w:r>
        <w:rPr>
          <w:rFonts w:hint="eastAsia" w:ascii="宋体" w:hAnsi="宋体" w:cs="宋体"/>
          <w:sz w:val="24"/>
        </w:rPr>
        <w:t xml:space="preserve">  </w:t>
      </w:r>
      <w:r>
        <w:rPr>
          <w:rFonts w:hint="eastAsia" w:ascii="宋体" w:hAnsi="宋体" w:cs="宋体"/>
          <w:sz w:val="24"/>
          <w:highlight w:val="none"/>
        </w:rPr>
        <w:t xml:space="preserve"> </w:t>
      </w:r>
      <w:r>
        <w:rPr>
          <w:rFonts w:hint="eastAsia" w:ascii="宋体" w:hAnsi="宋体" w:cs="宋体"/>
          <w:b/>
          <w:sz w:val="24"/>
          <w:highlight w:val="none"/>
        </w:rPr>
        <w:t xml:space="preserve"> 预算金额（元）：5000000 </w:t>
      </w:r>
    </w:p>
    <w:p>
      <w:pPr>
        <w:spacing w:line="360" w:lineRule="auto"/>
        <w:ind w:firstLine="480"/>
        <w:rPr>
          <w:rFonts w:ascii="宋体" w:hAnsi="宋体" w:cs="宋体"/>
          <w:sz w:val="24"/>
          <w:highlight w:val="none"/>
        </w:rPr>
      </w:pPr>
      <w:r>
        <w:rPr>
          <w:rFonts w:hint="eastAsia" w:ascii="宋体" w:hAnsi="宋体" w:cs="宋体"/>
          <w:b/>
          <w:sz w:val="24"/>
          <w:highlight w:val="none"/>
        </w:rPr>
        <w:t>最高限价（元）：</w:t>
      </w:r>
      <w:r>
        <w:rPr>
          <w:rFonts w:hint="eastAsia" w:ascii="宋体" w:hAnsi="宋体" w:eastAsia="宋体" w:cs="宋体"/>
          <w:b/>
          <w:sz w:val="24"/>
          <w:highlight w:val="none"/>
          <w:lang w:val="en-US" w:eastAsia="zh-CN"/>
        </w:rPr>
        <w:t>3550447</w:t>
      </w:r>
      <w:r>
        <w:rPr>
          <w:rFonts w:hint="eastAsia" w:ascii="宋体" w:hAnsi="宋体" w:eastAsia="宋体" w:cs="宋体"/>
          <w:b/>
          <w:sz w:val="24"/>
          <w:highlight w:val="none"/>
        </w:rPr>
        <w:t xml:space="preserve"> </w:t>
      </w:r>
    </w:p>
    <w:p>
      <w:pPr>
        <w:pStyle w:val="5"/>
        <w:spacing w:line="360" w:lineRule="auto"/>
        <w:ind w:firstLine="480"/>
        <w:rPr>
          <w:rFonts w:hAnsi="宋体" w:cs="宋体"/>
          <w:bCs/>
          <w:snapToGrid/>
          <w:color w:val="auto"/>
          <w:kern w:val="2"/>
          <w:sz w:val="24"/>
          <w:szCs w:val="24"/>
        </w:rPr>
      </w:pPr>
      <w:r>
        <w:rPr>
          <w:rFonts w:hint="eastAsia" w:hAnsi="宋体" w:cs="宋体"/>
          <w:b/>
          <w:color w:val="auto"/>
          <w:sz w:val="24"/>
        </w:rPr>
        <w:t>采购需求：</w:t>
      </w:r>
      <w:r>
        <w:rPr>
          <w:rFonts w:hint="eastAsia" w:asciiTheme="minorEastAsia" w:hAnsiTheme="minorEastAsia" w:eastAsiaTheme="minorEastAsia"/>
          <w:sz w:val="24"/>
        </w:rPr>
        <w:t>仁和街道和庭未来社区</w:t>
      </w:r>
      <w:r>
        <w:rPr>
          <w:rFonts w:hint="eastAsia" w:asciiTheme="minorEastAsia" w:hAnsiTheme="minorEastAsia" w:eastAsiaTheme="minorEastAsia"/>
          <w:sz w:val="24"/>
          <w:lang w:eastAsia="zh-CN"/>
        </w:rPr>
        <w:t>电器</w:t>
      </w:r>
      <w:r>
        <w:rPr>
          <w:rFonts w:hint="eastAsia" w:asciiTheme="minorEastAsia" w:hAnsiTheme="minorEastAsia" w:eastAsiaTheme="minorEastAsia"/>
          <w:sz w:val="24"/>
        </w:rPr>
        <w:t>电子设备采购项目</w:t>
      </w:r>
      <w:r>
        <w:rPr>
          <w:rFonts w:hint="eastAsia" w:hAnsi="宋体"/>
          <w:color w:val="auto"/>
          <w:kern w:val="2"/>
          <w:sz w:val="24"/>
          <w:szCs w:val="24"/>
        </w:rPr>
        <w:t>主要内容：</w:t>
      </w:r>
      <w:r>
        <w:rPr>
          <w:rFonts w:hint="eastAsia" w:hAnsi="宋体" w:cs="宋体"/>
          <w:color w:val="auto"/>
          <w:sz w:val="24"/>
        </w:rPr>
        <w:t>智能化</w:t>
      </w:r>
      <w:r>
        <w:rPr>
          <w:rFonts w:hint="eastAsia" w:hAnsi="宋体" w:cs="宋体"/>
          <w:color w:val="auto"/>
          <w:kern w:val="0"/>
          <w:sz w:val="24"/>
        </w:rPr>
        <w:t>的采购、运输、安装、调试、培训和相关维护等</w:t>
      </w:r>
      <w:r>
        <w:rPr>
          <w:rFonts w:hint="eastAsia" w:hAnsi="宋体"/>
          <w:color w:val="auto"/>
          <w:kern w:val="2"/>
          <w:sz w:val="24"/>
          <w:szCs w:val="24"/>
        </w:rPr>
        <w:t>。具体以招标文件第三部分采购需求为准，供应商可点击本公告下方“浏览采购文件”查看采购需求。</w:t>
      </w:r>
    </w:p>
    <w:p>
      <w:pPr>
        <w:pStyle w:val="129"/>
        <w:ind w:firstLine="482"/>
        <w:outlineLvl w:val="2"/>
        <w:rPr>
          <w:rFonts w:ascii="宋体" w:hAnsi="宋体" w:cs="宋体"/>
          <w:highlight w:val="none"/>
        </w:rPr>
      </w:pPr>
      <w:r>
        <w:rPr>
          <w:rFonts w:hint="eastAsia" w:ascii="宋体" w:hAnsi="宋体" w:cs="宋体"/>
          <w:b/>
          <w:highlight w:val="none"/>
        </w:rPr>
        <w:t xml:space="preserve">合同履约期限：30日历天 </w:t>
      </w:r>
    </w:p>
    <w:p>
      <w:pPr>
        <w:pStyle w:val="5"/>
        <w:spacing w:line="360" w:lineRule="auto"/>
        <w:ind w:firstLine="480"/>
        <w:rPr>
          <w:rFonts w:hAnsi="宋体" w:cs="宋体"/>
          <w:color w:val="auto"/>
          <w:kern w:val="0"/>
          <w:sz w:val="24"/>
          <w:highlight w:val="none"/>
        </w:rPr>
      </w:pPr>
      <w:r>
        <w:rPr>
          <w:rFonts w:hint="eastAsia" w:hAnsi="宋体" w:cs="宋体"/>
          <w:b/>
          <w:color w:val="auto"/>
          <w:sz w:val="24"/>
          <w:highlight w:val="none"/>
        </w:rPr>
        <w:t>本项目接受联合体投标：</w:t>
      </w:r>
      <w:sdt>
        <w:sdtPr>
          <w:rPr>
            <w:rFonts w:hint="eastAsia" w:hAnsi="宋体" w:cs="宋体"/>
            <w:color w:val="auto"/>
            <w:kern w:val="0"/>
            <w:sz w:val="24"/>
            <w:highlight w:val="none"/>
          </w:rPr>
          <w:id w:val="2035453831"/>
          <w14:checkbox>
            <w14:checked w14:val="1"/>
            <w14:checkedState w14:val="00FE" w14:font="Wingdings"/>
            <w14:uncheckedState w14:val="2610" w14:font="MS Gothic"/>
          </w14:checkbox>
        </w:sdtPr>
        <w:sdtEndPr>
          <w:rPr>
            <w:rFonts w:hint="eastAsia"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hAnsi="宋体" w:cs="宋体"/>
          <w:b/>
          <w:color w:val="auto"/>
          <w:sz w:val="24"/>
          <w:highlight w:val="none"/>
        </w:rPr>
        <w:t>是</w:t>
      </w:r>
      <w:r>
        <w:rPr>
          <w:rFonts w:hint="eastAsia" w:hAnsi="宋体" w:cs="宋体"/>
          <w:b/>
          <w:snapToGrid/>
          <w:color w:val="auto"/>
          <w:kern w:val="2"/>
          <w:sz w:val="24"/>
          <w:highlight w:val="none"/>
        </w:rPr>
        <w:t>；</w:t>
      </w:r>
      <w:sdt>
        <w:sdtPr>
          <w:rPr>
            <w:rFonts w:hint="eastAsia" w:hAnsi="宋体" w:cs="宋体"/>
            <w:color w:val="auto"/>
            <w:kern w:val="0"/>
            <w:sz w:val="24"/>
            <w:highlight w:val="none"/>
          </w:rPr>
          <w:id w:val="-1765526721"/>
          <w14:checkbox>
            <w14:checked w14:val="0"/>
            <w14:checkedState w14:val="00FE" w14:font="Wingdings"/>
            <w14:uncheckedState w14:val="2610" w14:font="MS Gothic"/>
          </w14:checkbox>
        </w:sdtPr>
        <w:sdtEndPr>
          <w:rPr>
            <w:rFonts w:hint="eastAsia" w:hAnsi="宋体" w:cs="宋体"/>
            <w:color w:val="auto"/>
            <w:kern w:val="0"/>
            <w:sz w:val="24"/>
            <w:highlight w:val="none"/>
          </w:rPr>
        </w:sdtEndPr>
        <w:sdtContent>
          <w:r>
            <w:rPr>
              <w:rFonts w:hint="eastAsia" w:ascii="MS Gothic" w:hAnsi="MS Gothic" w:cs="宋体"/>
              <w:color w:val="auto"/>
              <w:kern w:val="0"/>
              <w:sz w:val="24"/>
              <w:highlight w:val="none"/>
            </w:rPr>
            <w:t>☐</w:t>
          </w:r>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sz w:val="24"/>
        </w:rPr>
      </w:pPr>
      <w:r>
        <w:rPr>
          <w:rFonts w:hint="eastAsia" w:ascii="宋体" w:hAnsi="宋体" w:cs="宋体"/>
          <w:b/>
          <w:sz w:val="24"/>
        </w:rPr>
        <w:t>二、</w:t>
      </w:r>
      <w:bookmarkStart w:id="11" w:name="_Hlk101132948"/>
      <w:r>
        <w:rPr>
          <w:rFonts w:hint="eastAsia" w:ascii="宋体" w:hAnsi="宋体" w:cs="宋体"/>
          <w:b/>
          <w:sz w:val="24"/>
        </w:rPr>
        <w:t>申请人的资格要求</w:t>
      </w:r>
      <w:bookmarkEnd w:id="11"/>
      <w:r>
        <w:rPr>
          <w:rFonts w:hint="eastAsia" w:ascii="宋体" w:hAnsi="宋体" w:cs="宋体"/>
          <w:b/>
          <w:sz w:val="24"/>
        </w:rPr>
        <w:t>：</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w:t>
      </w:r>
      <w:r>
        <w:rPr>
          <w:rFonts w:ascii="宋体" w:hAnsi="宋体" w:cs="宋体"/>
          <w:snapToGrid w:val="0"/>
          <w:kern w:val="28"/>
          <w:sz w:val="24"/>
          <w:szCs w:val="20"/>
        </w:rPr>
        <w:t>2</w:t>
      </w:r>
      <w:r>
        <w:rPr>
          <w:rFonts w:hint="eastAsia" w:ascii="宋体" w:hAnsi="宋体" w:cs="宋体"/>
          <w:snapToGrid w:val="0"/>
          <w:kern w:val="28"/>
          <w:sz w:val="24"/>
          <w:szCs w:val="20"/>
        </w:rPr>
        <w:t>.</w:t>
      </w:r>
      <w:r>
        <w:rPr>
          <w:rFonts w:hint="eastAsia"/>
        </w:rPr>
        <w:t xml:space="preserve"> </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rPr>
      </w:pPr>
      <w:r>
        <w:rPr>
          <w:rFonts w:ascii="宋体" w:hAnsi="宋体" w:cs="宋体"/>
          <w:snapToGrid w:val="0"/>
          <w:kern w:val="28"/>
          <w:sz w:val="24"/>
          <w:szCs w:val="20"/>
        </w:rPr>
        <w:t>3</w:t>
      </w:r>
      <w:r>
        <w:rPr>
          <w:rFonts w:hint="eastAsia" w:ascii="宋体" w:hAnsi="宋体" w:cs="宋体"/>
          <w:snapToGrid w:val="0"/>
          <w:kern w:val="28"/>
          <w:sz w:val="24"/>
          <w:szCs w:val="20"/>
        </w:rPr>
        <w:t>.落实政府采购政策需满足的资格要求：</w:t>
      </w:r>
    </w:p>
    <w:p>
      <w:pPr>
        <w:spacing w:line="360" w:lineRule="auto"/>
        <w:ind w:firstLine="480" w:firstLineChars="200"/>
        <w:rPr>
          <w:rFonts w:ascii="宋体" w:hAnsi="宋体" w:cs="宋体"/>
          <w:sz w:val="24"/>
        </w:rPr>
      </w:pPr>
      <w:sdt>
        <w:sdtPr>
          <w:rPr>
            <w:rFonts w:hint="eastAsia" w:ascii="宋体" w:hAnsi="宋体" w:cs="宋体"/>
            <w:kern w:val="0"/>
            <w:sz w:val="24"/>
          </w:rPr>
          <w:id w:val="1928616923"/>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cs="宋体"/>
              <w:kern w:val="0"/>
              <w:sz w:val="24"/>
            </w:rPr>
            <w:t>☐</w:t>
          </w:r>
        </w:sdtContent>
      </w:sdt>
      <w:r>
        <w:rPr>
          <w:rFonts w:hint="eastAsia" w:ascii="宋体" w:hAnsi="宋体" w:cs="宋体"/>
          <w:sz w:val="24"/>
        </w:rPr>
        <w:t>无</w:t>
      </w:r>
      <w:r>
        <w:rPr>
          <w:rFonts w:hint="eastAsia" w:ascii="宋体" w:hAnsi="宋体" w:cs="宋体"/>
          <w:snapToGrid w:val="0"/>
          <w:kern w:val="28"/>
          <w:sz w:val="24"/>
          <w:szCs w:val="20"/>
        </w:rPr>
        <w:t>（注：不得限制大中型企业与小微企业组成联合体参与投标）</w:t>
      </w:r>
      <w:r>
        <w:rPr>
          <w:rFonts w:hint="eastAsia" w:ascii="宋体" w:hAnsi="宋体" w:cs="宋体"/>
          <w:sz w:val="24"/>
        </w:rPr>
        <w:t>；</w:t>
      </w:r>
    </w:p>
    <w:p>
      <w:pPr>
        <w:spacing w:line="360" w:lineRule="auto"/>
        <w:ind w:firstLine="480" w:firstLineChars="200"/>
        <w:rPr>
          <w:rFonts w:ascii="宋体" w:hAnsi="宋体" w:cs="宋体"/>
          <w:sz w:val="24"/>
          <w:highlight w:val="none"/>
        </w:rPr>
      </w:pPr>
      <w:sdt>
        <w:sdtPr>
          <w:rPr>
            <w:rFonts w:hint="eastAsia" w:ascii="宋体" w:hAnsi="宋体" w:cs="宋体"/>
            <w:kern w:val="0"/>
            <w:sz w:val="24"/>
            <w:highlight w:val="none"/>
          </w:rPr>
          <w:id w:val="-1024704304"/>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ascii="Wingdings" w:hAnsi="Wingdings" w:eastAsia="MS Gothic" w:cs="宋体"/>
              <w:kern w:val="0"/>
              <w:sz w:val="24"/>
              <w:highlight w:val="none"/>
            </w:rPr>
            <w:t></w:t>
          </w:r>
        </w:sdtContent>
      </w:sdt>
      <w:r>
        <w:rPr>
          <w:rFonts w:hint="eastAsia" w:ascii="宋体" w:hAnsi="宋体" w:cs="宋体"/>
          <w:kern w:val="0"/>
          <w:sz w:val="24"/>
          <w:highlight w:val="none"/>
        </w:rPr>
        <w:t>专</w:t>
      </w:r>
      <w:r>
        <w:rPr>
          <w:rFonts w:hint="eastAsia" w:ascii="宋体" w:hAnsi="宋体" w:cs="宋体"/>
          <w:sz w:val="24"/>
          <w:highlight w:val="none"/>
        </w:rPr>
        <w:t>门面向中小企业</w:t>
      </w:r>
    </w:p>
    <w:p>
      <w:pPr>
        <w:spacing w:line="360" w:lineRule="auto"/>
        <w:ind w:firstLine="897" w:firstLineChars="374"/>
        <w:rPr>
          <w:rFonts w:ascii="宋体" w:hAnsi="宋体" w:cs="宋体"/>
          <w:sz w:val="24"/>
          <w:highlight w:val="none"/>
          <w:u w:val="single"/>
        </w:rPr>
      </w:pPr>
      <w:sdt>
        <w:sdtPr>
          <w:rPr>
            <w:rFonts w:hint="eastAsia" w:ascii="宋体" w:hAnsi="宋体" w:cs="宋体"/>
            <w:kern w:val="0"/>
            <w:sz w:val="24"/>
            <w:highlight w:val="none"/>
          </w:rPr>
          <w:id w:val="-924730588"/>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ascii="Wingdings" w:hAnsi="Wingdings" w:eastAsia="MS Gothic" w:cs="宋体"/>
              <w:kern w:val="0"/>
              <w:sz w:val="24"/>
              <w:highlight w:val="none"/>
            </w:rPr>
            <w:t></w:t>
          </w:r>
        </w:sdtContent>
      </w:sdt>
      <w:r>
        <w:rPr>
          <w:rFonts w:hint="eastAsia" w:ascii="宋体" w:hAnsi="宋体" w:cs="宋体"/>
          <w:sz w:val="24"/>
          <w:highlight w:val="none"/>
        </w:rPr>
        <w:t>货物全部由符合政策要求的中小企业制造，提供中小企业声明函；</w:t>
      </w:r>
    </w:p>
    <w:p>
      <w:pPr>
        <w:spacing w:line="360" w:lineRule="auto"/>
        <w:ind w:firstLine="897" w:firstLineChars="374"/>
        <w:rPr>
          <w:rFonts w:ascii="宋体" w:hAnsi="宋体" w:cs="宋体"/>
          <w:sz w:val="24"/>
          <w:highlight w:val="none"/>
        </w:rPr>
      </w:pPr>
      <w:sdt>
        <w:sdtPr>
          <w:rPr>
            <w:rFonts w:hint="eastAsia" w:ascii="宋体" w:hAnsi="宋体" w:cs="宋体"/>
            <w:kern w:val="0"/>
            <w:sz w:val="24"/>
            <w:highlight w:val="none"/>
          </w:rPr>
          <w:id w:val="-1152604937"/>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ascii="Wingdings" w:hAnsi="Wingdings" w:cs="宋体"/>
              <w:kern w:val="0"/>
              <w:sz w:val="24"/>
              <w:highlight w:val="none"/>
            </w:rPr>
            <w:t></w:t>
          </w:r>
        </w:sdtContent>
      </w:sdt>
      <w:r>
        <w:rPr>
          <w:rFonts w:hint="eastAsia" w:ascii="宋体" w:hAnsi="宋体" w:cs="宋体"/>
          <w:sz w:val="24"/>
          <w:highlight w:val="none"/>
        </w:rPr>
        <w:t>货物全部由符合政策要求的小微企业制造，提供中小企业声明函；</w:t>
      </w:r>
    </w:p>
    <w:p>
      <w:pPr>
        <w:spacing w:line="360" w:lineRule="auto"/>
        <w:ind w:firstLine="480" w:firstLineChars="200"/>
        <w:rPr>
          <w:rFonts w:ascii="宋体" w:hAnsi="宋体" w:cs="宋体"/>
          <w:sz w:val="24"/>
        </w:rPr>
      </w:pPr>
      <w:sdt>
        <w:sdtPr>
          <w:rPr>
            <w:rFonts w:hint="eastAsia" w:ascii="宋体" w:hAnsi="宋体" w:cs="宋体"/>
            <w:kern w:val="0"/>
            <w:sz w:val="24"/>
          </w:rPr>
          <w:id w:val="-1985607795"/>
          <w14:checkbox>
            <w14:checked w14:val="0"/>
            <w14:checkedState w14:val="00FE" w14:font="Wingdings"/>
            <w14:uncheckedState w14:val="2610" w14:font="MS Gothic"/>
          </w14:checkbox>
        </w:sdtPr>
        <w:sdtEndPr>
          <w:rPr>
            <w:rFonts w:hint="eastAsia" w:ascii="宋体" w:hAnsi="宋体" w:cs="宋体"/>
            <w:kern w:val="0"/>
            <w:sz w:val="24"/>
          </w:rPr>
        </w:sdtEndPr>
        <w:sdtContent>
          <w:bookmarkStart w:id="12" w:name="_Hlk101132524"/>
          <w:r>
            <w:rPr>
              <w:rFonts w:hint="eastAsia" w:ascii="MS Gothic" w:hAnsi="MS Gothic" w:cs="宋体"/>
              <w:kern w:val="0"/>
              <w:sz w:val="24"/>
            </w:rPr>
            <w:t>☐</w:t>
          </w:r>
        </w:sdtContent>
      </w:sdt>
      <w:r>
        <w:rPr>
          <w:rFonts w:hint="eastAsia" w:ascii="宋体" w:hAnsi="宋体" w:cs="宋体"/>
          <w:sz w:val="24"/>
        </w:rPr>
        <w:t>要求以联合体形式参加，提供联合协议和中小企业声明函，联合协议中中小企业合同金额应当达到</w:t>
      </w:r>
      <w:r>
        <w:rPr>
          <w:rFonts w:hint="eastAsia" w:ascii="宋体" w:hAnsi="宋体" w:cs="宋体"/>
          <w:sz w:val="24"/>
          <w:u w:val="single"/>
        </w:rPr>
        <w:t xml:space="preserve">  </w:t>
      </w:r>
      <w:r>
        <w:rPr>
          <w:rFonts w:hint="eastAsia" w:ascii="宋体" w:hAnsi="宋体" w:cs="宋体"/>
          <w:sz w:val="24"/>
        </w:rPr>
        <w:t>%，其中小微企业合同金额应当达到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sz w:val="24"/>
        </w:rPr>
        <w:t>；</w:t>
      </w:r>
    </w:p>
    <w:bookmarkEnd w:id="12"/>
    <w:p>
      <w:pPr>
        <w:spacing w:line="360" w:lineRule="auto"/>
        <w:ind w:firstLine="480" w:firstLineChars="200"/>
        <w:rPr>
          <w:rFonts w:ascii="宋体" w:hAnsi="宋体" w:cs="宋体"/>
          <w:sz w:val="24"/>
        </w:rPr>
      </w:pPr>
      <w:sdt>
        <w:sdtPr>
          <w:rPr>
            <w:rFonts w:hint="eastAsia" w:ascii="宋体" w:hAnsi="宋体" w:cs="宋体"/>
            <w:kern w:val="0"/>
            <w:sz w:val="24"/>
          </w:rPr>
          <w:id w:val="3463064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cs="宋体"/>
              <w:kern w:val="0"/>
              <w:sz w:val="24"/>
            </w:rPr>
            <w:t>☐</w:t>
          </w:r>
        </w:sdtContent>
      </w:sdt>
      <w:r>
        <w:rPr>
          <w:rFonts w:hint="eastAsia" w:ascii="宋体" w:hAnsi="宋体" w:cs="宋体"/>
          <w:sz w:val="24"/>
        </w:rPr>
        <w:t>要求合同分包，提供分包意向协议和中小企业声明函，分包意向协议中中小企业合同金额应当达到达到</w:t>
      </w:r>
      <w:r>
        <w:rPr>
          <w:rFonts w:hint="eastAsia" w:ascii="宋体" w:hAnsi="宋体" w:cs="宋体"/>
          <w:sz w:val="24"/>
          <w:u w:val="single"/>
        </w:rPr>
        <w:t xml:space="preserve">  </w:t>
      </w:r>
      <w:r>
        <w:rPr>
          <w:rFonts w:hint="eastAsia" w:ascii="宋体" w:hAnsi="宋体" w:cs="宋体"/>
          <w:sz w:val="24"/>
        </w:rPr>
        <w:t>% ，其中小微企业合同金额应当达到</w:t>
      </w:r>
      <w:r>
        <w:rPr>
          <w:rFonts w:hint="eastAsia" w:ascii="宋体" w:hAnsi="宋体" w:cs="宋体"/>
          <w:sz w:val="24"/>
          <w:u w:val="single"/>
        </w:rPr>
        <w:t xml:space="preserve">  </w:t>
      </w:r>
      <w:r>
        <w:rPr>
          <w:rFonts w:hint="eastAsia" w:ascii="宋体" w:hAnsi="宋体" w:cs="宋体"/>
          <w:sz w:val="24"/>
        </w:rPr>
        <w:t>% ;</w:t>
      </w:r>
      <w:r>
        <w:rPr>
          <w:rFonts w:hint="eastAsia" w:ascii="宋体" w:hAnsi="宋体" w:cs="宋体"/>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sz w:val="24"/>
        </w:rPr>
        <w:t>；</w:t>
      </w:r>
    </w:p>
    <w:p>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.本项目的特定资格要求：无；</w:t>
      </w:r>
    </w:p>
    <w:p>
      <w:pPr>
        <w:snapToGrid w:val="0"/>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2" w:firstLineChars="200"/>
        <w:rPr>
          <w:rFonts w:ascii="宋体" w:hAnsi="宋体" w:cs="宋体"/>
          <w:sz w:val="24"/>
        </w:rPr>
      </w:pPr>
      <w:r>
        <w:rPr>
          <w:rFonts w:hint="eastAsia" w:ascii="宋体" w:hAnsi="宋体" w:cs="宋体"/>
          <w:b/>
          <w:sz w:val="24"/>
        </w:rPr>
        <w:t>时间：</w:t>
      </w:r>
      <w:r>
        <w:rPr>
          <w:rFonts w:hint="eastAsia" w:ascii="宋体" w:hAnsi="宋体" w:cs="宋体"/>
          <w:sz w:val="24"/>
        </w:rPr>
        <w:t>/至</w:t>
      </w:r>
      <w:r>
        <w:rPr>
          <w:rFonts w:hint="eastAsia" w:ascii="宋体" w:hAnsi="宋体" w:cs="宋体"/>
          <w:sz w:val="24"/>
          <w:u w:val="single"/>
        </w:rPr>
        <w:t>2023年</w:t>
      </w:r>
      <w:r>
        <w:rPr>
          <w:rFonts w:hint="eastAsia" w:ascii="宋体" w:hAnsi="宋体" w:cs="宋体"/>
          <w:sz w:val="24"/>
          <w:u w:val="single"/>
          <w:lang w:val="en-US" w:eastAsia="zh-CN"/>
        </w:rPr>
        <w:t>9</w:t>
      </w:r>
      <w:r>
        <w:rPr>
          <w:rFonts w:hint="eastAsia" w:ascii="宋体" w:hAnsi="宋体" w:cs="宋体"/>
          <w:sz w:val="24"/>
          <w:u w:val="single"/>
        </w:rPr>
        <w:t>月</w:t>
      </w:r>
      <w:r>
        <w:rPr>
          <w:rFonts w:hint="eastAsia" w:ascii="宋体" w:hAnsi="宋体" w:cs="宋体"/>
          <w:sz w:val="24"/>
          <w:u w:val="single"/>
          <w:lang w:val="en-US" w:eastAsia="zh-CN"/>
        </w:rPr>
        <w:t>14</w:t>
      </w:r>
      <w:r>
        <w:rPr>
          <w:rFonts w:hint="eastAsia" w:ascii="宋体" w:hAnsi="宋体" w:cs="宋体"/>
          <w:sz w:val="24"/>
          <w:u w:val="single"/>
        </w:rPr>
        <w:t>日</w:t>
      </w:r>
      <w:r>
        <w:rPr>
          <w:rFonts w:hint="eastAsia" w:ascii="宋体" w:hAnsi="宋体" w:cs="宋体"/>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ascii="宋体" w:hAnsi="宋体" w:cs="宋体"/>
          <w:sz w:val="24"/>
        </w:rPr>
      </w:pPr>
      <w:r>
        <w:rPr>
          <w:rFonts w:hint="eastAsia" w:ascii="宋体" w:hAnsi="宋体" w:cs="宋体"/>
          <w:b/>
          <w:sz w:val="24"/>
        </w:rPr>
        <w:t>提交投标文件截止时间：</w:t>
      </w:r>
      <w:r>
        <w:rPr>
          <w:rFonts w:hint="eastAsia" w:ascii="宋体" w:hAnsi="宋体" w:cs="宋体"/>
          <w:sz w:val="24"/>
          <w:u w:val="single"/>
        </w:rPr>
        <w:t xml:space="preserve"> 2023年</w:t>
      </w:r>
      <w:r>
        <w:rPr>
          <w:rFonts w:hint="eastAsia" w:ascii="宋体" w:hAnsi="宋体" w:cs="宋体"/>
          <w:sz w:val="24"/>
          <w:u w:val="single"/>
          <w:lang w:val="en-US" w:eastAsia="zh-CN"/>
        </w:rPr>
        <w:t>9</w:t>
      </w:r>
      <w:r>
        <w:rPr>
          <w:rFonts w:hint="eastAsia" w:ascii="宋体" w:hAnsi="宋体" w:cs="宋体"/>
          <w:sz w:val="24"/>
          <w:u w:val="single"/>
        </w:rPr>
        <w:t>月</w:t>
      </w:r>
      <w:r>
        <w:rPr>
          <w:rFonts w:hint="eastAsia" w:ascii="宋体" w:hAnsi="宋体" w:cs="宋体"/>
          <w:sz w:val="24"/>
          <w:u w:val="single"/>
          <w:lang w:val="en-US" w:eastAsia="zh-CN"/>
        </w:rPr>
        <w:t>14</w:t>
      </w:r>
      <w:r>
        <w:rPr>
          <w:rFonts w:hint="eastAsia" w:ascii="宋体" w:hAnsi="宋体" w:cs="宋体"/>
          <w:sz w:val="24"/>
          <w:u w:val="single"/>
        </w:rPr>
        <w:t>日</w:t>
      </w:r>
      <w:r>
        <w:rPr>
          <w:rFonts w:hint="eastAsia" w:ascii="宋体" w:hAnsi="宋体" w:cs="宋体"/>
          <w:sz w:val="24"/>
          <w:u w:val="single"/>
          <w:lang w:val="en-US" w:eastAsia="zh-CN"/>
        </w:rPr>
        <w:t>13</w:t>
      </w:r>
      <w:r>
        <w:rPr>
          <w:rFonts w:hint="eastAsia" w:ascii="宋体" w:hAnsi="宋体" w:cs="宋体"/>
          <w:sz w:val="24"/>
          <w:u w:val="single"/>
        </w:rPr>
        <w:t>点30分00秒</w:t>
      </w:r>
      <w:r>
        <w:rPr>
          <w:rFonts w:hint="eastAsia" w:ascii="宋体" w:hAnsi="宋体" w:cs="宋体"/>
          <w:sz w:val="24"/>
        </w:rPr>
        <w:t>（北京时间）</w:t>
      </w:r>
    </w:p>
    <w:p>
      <w:pPr>
        <w:spacing w:line="360" w:lineRule="auto"/>
        <w:ind w:firstLine="482" w:firstLineChars="200"/>
        <w:rPr>
          <w:rFonts w:ascii="宋体" w:hAnsi="宋体" w:cs="宋体"/>
          <w:b/>
          <w:sz w:val="24"/>
        </w:rPr>
      </w:pPr>
      <w:r>
        <w:rPr>
          <w:rFonts w:hint="eastAsia" w:ascii="宋体" w:hAnsi="宋体" w:cs="宋体"/>
          <w:b/>
          <w:sz w:val="24"/>
        </w:rPr>
        <w:t>投标地点（网址）：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bCs/>
          <w:sz w:val="24"/>
          <w:u w:val="single"/>
        </w:rPr>
      </w:pPr>
      <w:r>
        <w:rPr>
          <w:rFonts w:hint="eastAsia" w:ascii="宋体" w:hAnsi="宋体" w:cs="宋体"/>
          <w:b/>
          <w:sz w:val="24"/>
        </w:rPr>
        <w:t>开标时间：</w:t>
      </w:r>
      <w:r>
        <w:rPr>
          <w:rFonts w:hint="eastAsia" w:ascii="宋体" w:hAnsi="宋体" w:cs="宋体"/>
          <w:sz w:val="24"/>
          <w:u w:val="single"/>
        </w:rPr>
        <w:t>2023年</w:t>
      </w:r>
      <w:r>
        <w:rPr>
          <w:rFonts w:hint="eastAsia" w:ascii="宋体" w:hAnsi="宋体" w:cs="宋体"/>
          <w:sz w:val="24"/>
          <w:u w:val="single"/>
          <w:lang w:val="en-US" w:eastAsia="zh-CN"/>
        </w:rPr>
        <w:t>9</w:t>
      </w:r>
      <w:bookmarkStart w:id="559" w:name="_GoBack"/>
      <w:bookmarkEnd w:id="559"/>
      <w:r>
        <w:rPr>
          <w:rFonts w:hint="eastAsia" w:ascii="宋体" w:hAnsi="宋体" w:cs="宋体"/>
          <w:sz w:val="24"/>
          <w:u w:val="single"/>
        </w:rPr>
        <w:t>月</w:t>
      </w:r>
      <w:r>
        <w:rPr>
          <w:rFonts w:hint="eastAsia" w:ascii="宋体" w:hAnsi="宋体" w:cs="宋体"/>
          <w:sz w:val="24"/>
          <w:u w:val="single"/>
          <w:lang w:val="en-US" w:eastAsia="zh-CN"/>
        </w:rPr>
        <w:t>14</w:t>
      </w:r>
      <w:r>
        <w:rPr>
          <w:rFonts w:hint="eastAsia" w:ascii="宋体" w:hAnsi="宋体" w:cs="宋体"/>
          <w:sz w:val="24"/>
          <w:u w:val="single"/>
        </w:rPr>
        <w:t>日</w:t>
      </w:r>
      <w:r>
        <w:rPr>
          <w:rFonts w:hint="eastAsia" w:ascii="宋体" w:hAnsi="宋体" w:cs="宋体"/>
          <w:sz w:val="24"/>
          <w:u w:val="single"/>
          <w:lang w:val="en-US" w:eastAsia="zh-CN"/>
        </w:rPr>
        <w:t>13</w:t>
      </w:r>
      <w:r>
        <w:rPr>
          <w:rFonts w:hint="eastAsia" w:ascii="宋体" w:hAnsi="宋体" w:cs="宋体"/>
          <w:sz w:val="24"/>
          <w:u w:val="single"/>
        </w:rPr>
        <w:t>点30分00秒</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 </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ascii="宋体" w:hAnsi="宋体" w:cs="宋体"/>
          <w:sz w:val="24"/>
        </w:rPr>
      </w:pPr>
      <w:r>
        <w:rPr>
          <w:rFonts w:hint="eastAsia" w:ascii="宋体" w:hAnsi="宋体" w:cs="宋体"/>
          <w:sz w:val="24"/>
        </w:rPr>
        <w:t xml:space="preserve">    1.采购人信息</w:t>
      </w:r>
    </w:p>
    <w:p>
      <w:pPr>
        <w:spacing w:line="360" w:lineRule="auto"/>
        <w:rPr>
          <w:rFonts w:ascii="宋体" w:hAnsi="宋体" w:cs="宋体"/>
          <w:sz w:val="24"/>
        </w:rPr>
      </w:pPr>
      <w:r>
        <w:rPr>
          <w:rFonts w:hint="eastAsia" w:ascii="宋体" w:hAnsi="宋体" w:cs="宋体"/>
          <w:sz w:val="24"/>
        </w:rPr>
        <w:t xml:space="preserve">    名    称：杭州市余杭区人民政府仁和街道办事处   </w:t>
      </w:r>
    </w:p>
    <w:p>
      <w:pPr>
        <w:spacing w:line="360" w:lineRule="auto"/>
        <w:rPr>
          <w:rFonts w:ascii="宋体" w:hAnsi="宋体" w:cs="宋体"/>
          <w:sz w:val="24"/>
        </w:rPr>
      </w:pPr>
      <w:r>
        <w:rPr>
          <w:rFonts w:hint="eastAsia" w:ascii="宋体" w:hAnsi="宋体" w:cs="宋体"/>
          <w:sz w:val="24"/>
        </w:rPr>
        <w:t xml:space="preserve">    地    址：仁和街道办事处       </w:t>
      </w:r>
    </w:p>
    <w:p>
      <w:pPr>
        <w:spacing w:line="360" w:lineRule="auto"/>
        <w:ind w:firstLine="480"/>
        <w:rPr>
          <w:rFonts w:ascii="宋体" w:hAnsi="宋体" w:cs="宋体"/>
          <w:sz w:val="24"/>
        </w:rPr>
      </w:pPr>
      <w:r>
        <w:rPr>
          <w:rFonts w:hint="eastAsia" w:ascii="宋体" w:hAnsi="宋体" w:cs="宋体"/>
          <w:sz w:val="24"/>
        </w:rPr>
        <w:t>传    真： /</w:t>
      </w:r>
    </w:p>
    <w:p>
      <w:pPr>
        <w:spacing w:line="360" w:lineRule="auto"/>
        <w:ind w:firstLine="480"/>
        <w:rPr>
          <w:rFonts w:ascii="宋体" w:hAnsi="宋体" w:cs="宋体"/>
          <w:sz w:val="24"/>
          <w:highlight w:val="none"/>
        </w:rPr>
      </w:pPr>
      <w:r>
        <w:rPr>
          <w:rFonts w:hint="eastAsia" w:ascii="宋体" w:hAnsi="宋体" w:cs="宋体"/>
          <w:sz w:val="24"/>
          <w:highlight w:val="none"/>
        </w:rPr>
        <w:t xml:space="preserve">项目联系人（询问）： 刘工  </w:t>
      </w:r>
    </w:p>
    <w:p>
      <w:pPr>
        <w:spacing w:line="360" w:lineRule="auto"/>
        <w:rPr>
          <w:rFonts w:ascii="宋体" w:hAnsi="宋体" w:cs="宋体"/>
          <w:sz w:val="24"/>
          <w:highlight w:val="none"/>
        </w:rPr>
      </w:pPr>
      <w:r>
        <w:rPr>
          <w:rFonts w:hint="eastAsia" w:ascii="宋体" w:hAnsi="宋体" w:cs="宋体"/>
          <w:sz w:val="24"/>
          <w:highlight w:val="none"/>
        </w:rPr>
        <w:t xml:space="preserve">    项目联系方式（询问）：86390661</w:t>
      </w:r>
    </w:p>
    <w:p>
      <w:pPr>
        <w:spacing w:line="360" w:lineRule="auto"/>
        <w:rPr>
          <w:rFonts w:ascii="宋体" w:hAnsi="宋体" w:cs="宋体"/>
          <w:sz w:val="24"/>
          <w:highlight w:val="none"/>
        </w:rPr>
      </w:pPr>
      <w:r>
        <w:rPr>
          <w:rFonts w:hint="eastAsia" w:ascii="宋体" w:hAnsi="宋体" w:cs="宋体"/>
          <w:sz w:val="24"/>
          <w:highlight w:val="none"/>
        </w:rPr>
        <w:t xml:space="preserve">    质疑联系人： 沈工</w:t>
      </w:r>
    </w:p>
    <w:p>
      <w:pPr>
        <w:spacing w:line="360" w:lineRule="auto"/>
        <w:rPr>
          <w:rFonts w:ascii="宋体" w:hAnsi="宋体" w:cs="宋体"/>
          <w:sz w:val="24"/>
          <w:highlight w:val="none"/>
        </w:rPr>
      </w:pPr>
      <w:r>
        <w:rPr>
          <w:rFonts w:hint="eastAsia" w:ascii="宋体" w:hAnsi="宋体" w:cs="宋体"/>
          <w:sz w:val="24"/>
          <w:highlight w:val="none"/>
        </w:rPr>
        <w:t xml:space="preserve">    质疑联系方式：19558180336  </w:t>
      </w:r>
    </w:p>
    <w:p>
      <w:pPr>
        <w:spacing w:line="360" w:lineRule="auto"/>
        <w:rPr>
          <w:rFonts w:ascii="宋体" w:hAnsi="宋体" w:cs="宋体"/>
          <w:sz w:val="24"/>
        </w:rPr>
      </w:pPr>
      <w:r>
        <w:rPr>
          <w:rFonts w:hint="eastAsia" w:ascii="宋体" w:hAnsi="宋体" w:cs="宋体"/>
          <w:sz w:val="24"/>
        </w:rPr>
        <w:t xml:space="preserve">    2.采购代理机构信息            </w:t>
      </w:r>
    </w:p>
    <w:p>
      <w:pPr>
        <w:spacing w:line="360" w:lineRule="auto"/>
        <w:rPr>
          <w:rFonts w:ascii="宋体" w:hAnsi="宋体" w:cs="宋体"/>
          <w:sz w:val="24"/>
        </w:rPr>
      </w:pPr>
      <w:r>
        <w:rPr>
          <w:rFonts w:hint="eastAsia" w:ascii="宋体" w:hAnsi="宋体" w:cs="宋体"/>
          <w:sz w:val="24"/>
        </w:rPr>
        <w:t xml:space="preserve">    名    称：杭州市建设工程管理集团有限公司</w:t>
      </w:r>
    </w:p>
    <w:p>
      <w:pPr>
        <w:spacing w:line="360" w:lineRule="auto"/>
        <w:rPr>
          <w:rFonts w:ascii="宋体" w:hAnsi="宋体" w:cs="宋体"/>
          <w:sz w:val="24"/>
        </w:rPr>
      </w:pPr>
      <w:r>
        <w:rPr>
          <w:rFonts w:hint="eastAsia" w:ascii="宋体" w:hAnsi="宋体" w:cs="宋体"/>
          <w:sz w:val="24"/>
        </w:rPr>
        <w:t xml:space="preserve">    地    址：杭州市临平区临平北沙东路7号兄弟实业1#（里面那幢）三楼 </w:t>
      </w:r>
    </w:p>
    <w:p>
      <w:pPr>
        <w:spacing w:line="360" w:lineRule="auto"/>
        <w:rPr>
          <w:rFonts w:ascii="宋体" w:hAnsi="宋体" w:cs="宋体"/>
          <w:sz w:val="24"/>
        </w:rPr>
      </w:pPr>
      <w:r>
        <w:rPr>
          <w:rFonts w:hint="eastAsia" w:ascii="宋体" w:hAnsi="宋体" w:cs="宋体"/>
          <w:sz w:val="24"/>
        </w:rPr>
        <w:t xml:space="preserve">    传    真：/             </w:t>
      </w:r>
    </w:p>
    <w:p>
      <w:pPr>
        <w:spacing w:line="360" w:lineRule="auto"/>
        <w:rPr>
          <w:rFonts w:ascii="宋体" w:hAnsi="宋体" w:cs="宋体"/>
          <w:sz w:val="24"/>
        </w:rPr>
      </w:pPr>
      <w:r>
        <w:rPr>
          <w:rFonts w:hint="eastAsia" w:ascii="宋体" w:hAnsi="宋体" w:cs="宋体"/>
          <w:sz w:val="24"/>
        </w:rPr>
        <w:t xml:space="preserve">    项目联系人（询问）：姜君        </w:t>
      </w:r>
    </w:p>
    <w:p>
      <w:pPr>
        <w:spacing w:line="360" w:lineRule="auto"/>
        <w:rPr>
          <w:rFonts w:ascii="宋体" w:hAnsi="宋体" w:cs="宋体"/>
          <w:sz w:val="24"/>
        </w:rPr>
      </w:pPr>
      <w:r>
        <w:rPr>
          <w:rFonts w:hint="eastAsia" w:ascii="宋体" w:hAnsi="宋体" w:cs="宋体"/>
          <w:sz w:val="24"/>
        </w:rPr>
        <w:t xml:space="preserve">    项目联系方式（询问）：0571-86225768 </w:t>
      </w:r>
    </w:p>
    <w:p>
      <w:pPr>
        <w:spacing w:line="360" w:lineRule="auto"/>
        <w:rPr>
          <w:rFonts w:ascii="宋体" w:hAnsi="宋体" w:cs="宋体"/>
          <w:sz w:val="24"/>
        </w:rPr>
      </w:pPr>
      <w:r>
        <w:rPr>
          <w:rFonts w:hint="eastAsia" w:ascii="宋体" w:hAnsi="宋体" w:cs="宋体"/>
          <w:sz w:val="24"/>
        </w:rPr>
        <w:t xml:space="preserve">    质疑联系人：王肖艳             </w:t>
      </w:r>
    </w:p>
    <w:p>
      <w:pPr>
        <w:spacing w:line="360" w:lineRule="auto"/>
        <w:rPr>
          <w:rFonts w:ascii="宋体" w:hAnsi="宋体" w:cs="宋体"/>
          <w:sz w:val="24"/>
        </w:rPr>
      </w:pPr>
      <w:r>
        <w:rPr>
          <w:rFonts w:hint="eastAsia" w:ascii="宋体" w:hAnsi="宋体" w:cs="宋体"/>
          <w:sz w:val="24"/>
        </w:rPr>
        <w:t xml:space="preserve">    质疑联系方式：18968070007 　</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 xml:space="preserve">    3.</w:t>
      </w:r>
      <w:r>
        <w:rPr>
          <w:rFonts w:hint="eastAsia"/>
        </w:rPr>
        <w:t xml:space="preserve"> </w:t>
      </w:r>
      <w:r>
        <w:rPr>
          <w:rFonts w:hint="eastAsia" w:ascii="宋体" w:hAnsi="宋体" w:cs="宋体"/>
          <w:sz w:val="24"/>
        </w:rPr>
        <w:t xml:space="preserve">同级政府采购监督管理部门            </w:t>
      </w:r>
    </w:p>
    <w:p>
      <w:pPr>
        <w:spacing w:line="360" w:lineRule="auto"/>
        <w:rPr>
          <w:rFonts w:ascii="宋体" w:hAnsi="宋体" w:cs="宋体"/>
          <w:sz w:val="24"/>
        </w:rPr>
      </w:pPr>
      <w:r>
        <w:rPr>
          <w:rFonts w:hint="eastAsia" w:ascii="宋体" w:hAnsi="宋体" w:cs="宋体"/>
          <w:sz w:val="24"/>
        </w:rPr>
        <w:t xml:space="preserve">    名    称：杭州市余杭区财政局</w:t>
      </w:r>
    </w:p>
    <w:p>
      <w:pPr>
        <w:spacing w:line="360" w:lineRule="auto"/>
        <w:rPr>
          <w:rFonts w:ascii="宋体" w:hAnsi="宋体" w:cs="宋体"/>
          <w:sz w:val="24"/>
        </w:rPr>
      </w:pPr>
      <w:r>
        <w:rPr>
          <w:rFonts w:hint="eastAsia" w:ascii="宋体" w:hAnsi="宋体" w:cs="宋体"/>
          <w:sz w:val="24"/>
        </w:rPr>
        <w:t xml:space="preserve">    地    址：杭州市余杭区文一西路1500号8号楼12楼 </w:t>
      </w:r>
    </w:p>
    <w:p>
      <w:pPr>
        <w:spacing w:line="360" w:lineRule="auto"/>
        <w:rPr>
          <w:rFonts w:ascii="宋体" w:hAnsi="宋体" w:cs="宋体"/>
          <w:sz w:val="24"/>
        </w:rPr>
      </w:pPr>
      <w:r>
        <w:rPr>
          <w:rFonts w:hint="eastAsia" w:ascii="宋体" w:hAnsi="宋体" w:cs="宋体"/>
          <w:sz w:val="24"/>
        </w:rPr>
        <w:t xml:space="preserve">    传    真： /</w:t>
      </w:r>
    </w:p>
    <w:p>
      <w:pPr>
        <w:spacing w:line="360" w:lineRule="auto"/>
        <w:rPr>
          <w:rFonts w:ascii="宋体" w:hAnsi="宋体" w:cs="宋体"/>
          <w:sz w:val="24"/>
        </w:rPr>
      </w:pPr>
      <w:r>
        <w:rPr>
          <w:rFonts w:hint="eastAsia" w:ascii="宋体" w:hAnsi="宋体" w:cs="宋体"/>
          <w:sz w:val="24"/>
        </w:rPr>
        <w:t xml:space="preserve">    联系人 ：储女士</w:t>
      </w:r>
    </w:p>
    <w:p>
      <w:pPr>
        <w:spacing w:line="360" w:lineRule="auto"/>
        <w:ind w:firstLine="480"/>
        <w:rPr>
          <w:rFonts w:ascii="宋体" w:hAnsi="宋体" w:cs="宋体"/>
          <w:sz w:val="24"/>
        </w:rPr>
      </w:pPr>
      <w:r>
        <w:rPr>
          <w:rFonts w:hint="eastAsia" w:ascii="宋体" w:hAnsi="宋体" w:cs="宋体"/>
          <w:sz w:val="24"/>
        </w:rPr>
        <w:t xml:space="preserve">监督投诉电话：电话：0571-88728858    </w:t>
      </w:r>
    </w:p>
    <w:p>
      <w:pPr>
        <w:spacing w:line="360" w:lineRule="auto"/>
        <w:ind w:firstLine="480" w:firstLineChars="20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pStyle w:val="33"/>
        <w:spacing w:line="360" w:lineRule="auto"/>
      </w:pPr>
      <w:r>
        <w:rPr>
          <w:rFonts w:hint="eastAsia" w:hAnsi="宋体" w:cs="宋体"/>
          <w:sz w:val="24"/>
        </w:rPr>
        <w:t xml:space="preserve">                        </w:t>
      </w:r>
      <w:r>
        <w:rPr>
          <w:rFonts w:hAnsi="宋体" w:cs="宋体"/>
          <w:b/>
          <w:sz w:val="36"/>
          <w:szCs w:val="20"/>
        </w:rPr>
        <w:t xml:space="preserve"> </w:t>
      </w:r>
    </w:p>
    <w:p>
      <w:pPr>
        <w:adjustRightInd/>
        <w:spacing w:line="360" w:lineRule="auto"/>
        <w:jc w:val="center"/>
        <w:outlineLvl w:val="0"/>
        <w:rPr>
          <w:rFonts w:ascii="宋体" w:hAnsi="宋体" w:cs="宋体"/>
          <w:b/>
          <w:sz w:val="36"/>
          <w:szCs w:val="20"/>
        </w:rPr>
      </w:pPr>
    </w:p>
    <w:p>
      <w:pPr>
        <w:adjustRightInd/>
        <w:spacing w:line="360" w:lineRule="auto"/>
        <w:jc w:val="center"/>
        <w:outlineLvl w:val="0"/>
        <w:rPr>
          <w:rFonts w:ascii="宋体" w:hAnsi="宋体" w:cs="宋体"/>
          <w:b/>
          <w:sz w:val="36"/>
          <w:szCs w:val="20"/>
        </w:rPr>
      </w:pPr>
    </w:p>
    <w:p>
      <w:pPr>
        <w:adjustRightInd/>
        <w:spacing w:line="360" w:lineRule="auto"/>
        <w:jc w:val="center"/>
        <w:outlineLvl w:val="0"/>
        <w:rPr>
          <w:rFonts w:ascii="宋体" w:hAnsi="宋体" w:cs="宋体"/>
          <w:b/>
          <w:sz w:val="36"/>
          <w:szCs w:val="20"/>
        </w:rPr>
      </w:pPr>
    </w:p>
    <w:p>
      <w:pPr>
        <w:adjustRightInd/>
        <w:spacing w:line="360" w:lineRule="auto"/>
        <w:jc w:val="center"/>
        <w:outlineLvl w:val="0"/>
        <w:rPr>
          <w:rFonts w:ascii="宋体" w:hAnsi="宋体" w:cs="宋体"/>
          <w:b/>
          <w:sz w:val="36"/>
          <w:szCs w:val="20"/>
        </w:rPr>
      </w:pPr>
    </w:p>
    <w:p>
      <w:pPr>
        <w:adjustRightInd/>
        <w:spacing w:line="360" w:lineRule="auto"/>
        <w:jc w:val="center"/>
        <w:outlineLvl w:val="0"/>
        <w:rPr>
          <w:rFonts w:ascii="宋体" w:hAnsi="宋体" w:cs="宋体"/>
          <w:b/>
          <w:sz w:val="36"/>
          <w:szCs w:val="20"/>
        </w:rPr>
      </w:pPr>
    </w:p>
    <w:p>
      <w:pPr>
        <w:adjustRightInd/>
        <w:spacing w:line="360" w:lineRule="auto"/>
        <w:jc w:val="center"/>
        <w:outlineLvl w:val="0"/>
        <w:rPr>
          <w:rFonts w:ascii="宋体" w:hAnsi="宋体" w:cs="宋体"/>
          <w:b/>
          <w:sz w:val="36"/>
          <w:szCs w:val="20"/>
        </w:rPr>
      </w:pPr>
    </w:p>
    <w:p>
      <w:pPr>
        <w:adjustRightInd/>
        <w:spacing w:line="360" w:lineRule="auto"/>
        <w:jc w:val="center"/>
        <w:outlineLvl w:val="0"/>
        <w:rPr>
          <w:rFonts w:ascii="宋体" w:hAnsi="宋体" w:cs="宋体"/>
          <w:b/>
          <w:sz w:val="36"/>
          <w:szCs w:val="20"/>
        </w:rPr>
      </w:pPr>
    </w:p>
    <w:p>
      <w:pPr>
        <w:adjustRightInd/>
        <w:spacing w:line="360" w:lineRule="auto"/>
        <w:jc w:val="center"/>
        <w:outlineLvl w:val="0"/>
        <w:rPr>
          <w:rFonts w:ascii="宋体" w:hAnsi="宋体" w:cs="宋体"/>
          <w:b/>
          <w:sz w:val="36"/>
          <w:szCs w:val="20"/>
        </w:rPr>
      </w:pPr>
    </w:p>
    <w:p>
      <w:pPr>
        <w:adjustRightInd/>
        <w:spacing w:line="360" w:lineRule="auto"/>
        <w:jc w:val="center"/>
        <w:outlineLvl w:val="0"/>
        <w:rPr>
          <w:rFonts w:ascii="宋体" w:hAnsi="宋体" w:cs="宋体"/>
          <w:b/>
          <w:sz w:val="36"/>
          <w:szCs w:val="20"/>
        </w:rPr>
      </w:pPr>
    </w:p>
    <w:p>
      <w:pPr>
        <w:adjustRightInd/>
        <w:spacing w:line="360" w:lineRule="auto"/>
        <w:jc w:val="center"/>
        <w:outlineLvl w:val="0"/>
        <w:rPr>
          <w:rFonts w:ascii="宋体" w:hAnsi="宋体" w:cs="宋体"/>
          <w:b/>
          <w:sz w:val="36"/>
          <w:szCs w:val="20"/>
        </w:rPr>
      </w:pPr>
    </w:p>
    <w:p>
      <w:pPr>
        <w:adjustRightInd/>
        <w:spacing w:line="360" w:lineRule="auto"/>
        <w:jc w:val="center"/>
        <w:outlineLvl w:val="0"/>
        <w:rPr>
          <w:rFonts w:ascii="宋体" w:hAnsi="宋体" w:cs="宋体"/>
          <w:b/>
          <w:sz w:val="36"/>
          <w:szCs w:val="20"/>
        </w:rPr>
      </w:pPr>
    </w:p>
    <w:p>
      <w:pPr>
        <w:adjustRightInd/>
        <w:spacing w:line="360" w:lineRule="auto"/>
        <w:jc w:val="center"/>
        <w:outlineLvl w:val="0"/>
        <w:rPr>
          <w:rFonts w:ascii="宋体" w:hAnsi="宋体" w:cs="宋体"/>
          <w:b/>
          <w:sz w:val="36"/>
          <w:szCs w:val="20"/>
        </w:rPr>
      </w:pPr>
    </w:p>
    <w:p>
      <w:pPr>
        <w:adjustRightInd/>
        <w:spacing w:line="360" w:lineRule="auto"/>
        <w:jc w:val="center"/>
        <w:outlineLvl w:val="0"/>
        <w:rPr>
          <w:rFonts w:ascii="宋体" w:hAnsi="宋体" w:cs="宋体"/>
          <w:b/>
          <w:sz w:val="36"/>
          <w:szCs w:val="20"/>
        </w:rPr>
      </w:pPr>
    </w:p>
    <w:p>
      <w:pPr>
        <w:adjustRightInd/>
        <w:spacing w:line="360" w:lineRule="auto"/>
        <w:jc w:val="center"/>
        <w:outlineLvl w:val="0"/>
        <w:rPr>
          <w:rFonts w:ascii="宋体" w:hAnsi="宋体" w:cs="宋体"/>
          <w:b/>
          <w:sz w:val="36"/>
          <w:szCs w:val="20"/>
        </w:rPr>
      </w:pPr>
    </w:p>
    <w:p>
      <w:pPr>
        <w:adjustRightInd/>
        <w:spacing w:line="360" w:lineRule="auto"/>
        <w:jc w:val="center"/>
        <w:outlineLvl w:val="0"/>
        <w:rPr>
          <w:rFonts w:ascii="宋体" w:hAnsi="宋体" w:cs="宋体"/>
          <w:b/>
          <w:sz w:val="36"/>
          <w:szCs w:val="20"/>
        </w:rPr>
      </w:pPr>
    </w:p>
    <w:p>
      <w:pPr>
        <w:adjustRightInd/>
        <w:spacing w:line="360" w:lineRule="auto"/>
        <w:jc w:val="center"/>
        <w:outlineLvl w:val="0"/>
        <w:rPr>
          <w:rFonts w:ascii="宋体" w:hAnsi="宋体" w:cs="宋体"/>
          <w:b/>
          <w:sz w:val="36"/>
          <w:szCs w:val="20"/>
        </w:rPr>
      </w:pPr>
    </w:p>
    <w:p>
      <w:pPr>
        <w:adjustRightInd/>
        <w:spacing w:line="360" w:lineRule="auto"/>
        <w:jc w:val="center"/>
        <w:outlineLvl w:val="0"/>
        <w:rPr>
          <w:rFonts w:ascii="宋体" w:hAnsi="宋体" w:cs="宋体"/>
          <w:b/>
          <w:sz w:val="36"/>
          <w:szCs w:val="20"/>
        </w:rPr>
      </w:pP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3"/>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highlight w:val="none"/>
              </w:rPr>
            </w:pPr>
            <w:r>
              <w:rPr>
                <w:rFonts w:hint="eastAsia" w:ascii="宋体" w:hAnsi="宋体" w:cs="宋体"/>
                <w:sz w:val="24"/>
                <w:highlight w:val="none"/>
              </w:rPr>
              <w:t>货物类，单一产品或</w:t>
            </w:r>
            <w:r>
              <w:rPr>
                <w:rFonts w:hint="eastAsia" w:ascii="宋体" w:hAnsi="宋体" w:cs="宋体"/>
                <w:kern w:val="0"/>
                <w:sz w:val="24"/>
                <w:highlight w:val="none"/>
              </w:rPr>
              <w:t>核心产品为：</w:t>
            </w:r>
            <w:r>
              <w:rPr>
                <w:rFonts w:hint="eastAsia" w:ascii="宋体" w:hAnsi="宋体" w:cs="宋体"/>
                <w:sz w:val="24"/>
                <w:highlight w:val="none"/>
                <w:u w:val="single"/>
              </w:rPr>
              <w:t>室外4K高清枪机</w:t>
            </w:r>
            <w:r>
              <w:rPr>
                <w:rFonts w:hint="eastAsia" w:ascii="宋体" w:hAnsi="宋体" w:cs="宋体"/>
                <w:sz w:val="24"/>
                <w:highlight w:val="none"/>
              </w:rPr>
              <w:t>。</w:t>
            </w:r>
          </w:p>
          <w:p>
            <w:pPr>
              <w:spacing w:line="360" w:lineRule="auto"/>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 xml:space="preserve">（1）标的： </w:t>
            </w:r>
            <w:r>
              <w:rPr>
                <w:rFonts w:hint="eastAsia" w:ascii="宋体" w:hAnsi="宋体" w:cs="宋体"/>
                <w:sz w:val="24"/>
                <w:u w:val="single"/>
                <w:lang w:val="zh-CN"/>
              </w:rPr>
              <w:t>电子设备采购</w:t>
            </w:r>
            <w:r>
              <w:rPr>
                <w:rFonts w:ascii="宋体" w:hAnsi="宋体" w:cs="宋体"/>
                <w:sz w:val="24"/>
              </w:rPr>
              <w:t xml:space="preserve"> </w:t>
            </w:r>
            <w:r>
              <w:rPr>
                <w:rFonts w:hint="eastAsia" w:ascii="宋体" w:hAnsi="宋体" w:cs="宋体"/>
                <w:sz w:val="24"/>
                <w:lang w:val="zh-CN"/>
              </w:rPr>
              <w:t>，属于</w:t>
            </w:r>
            <w:r>
              <w:rPr>
                <w:rFonts w:hint="eastAsia" w:ascii="宋体" w:hAnsi="宋体" w:cs="宋体"/>
                <w:sz w:val="24"/>
                <w:u w:val="single"/>
                <w:lang w:val="zh-CN"/>
              </w:rPr>
              <w:t>其他未列明</w:t>
            </w:r>
            <w:r>
              <w:rPr>
                <w:rFonts w:hint="eastAsia" w:ascii="宋体" w:hAnsi="宋体" w:cs="宋体"/>
                <w:sz w:val="24"/>
                <w:lang w:val="zh-CN"/>
              </w:rPr>
              <w:t>行业</w:t>
            </w:r>
            <w:r>
              <w:rPr>
                <w:rFonts w:hint="eastAsia" w:ascii="宋体" w:hAnsi="宋体" w:cs="宋体"/>
                <w:sz w:val="24"/>
              </w:rPr>
              <w:t>；</w:t>
            </w:r>
          </w:p>
          <w:p>
            <w:pPr>
              <w:spacing w:line="360" w:lineRule="auto"/>
              <w:rPr>
                <w:rFonts w:ascii="宋体" w:hAnsi="宋体" w:cs="宋体"/>
              </w:rPr>
            </w:pPr>
            <w:r>
              <w:rPr>
                <w:rFonts w:hint="eastAsia" w:ascii="宋体" w:hAnsi="宋体" w:cs="宋体"/>
                <w:sz w:val="24"/>
              </w:rPr>
              <w:t>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sdt>
              <w:sdtPr>
                <w:rPr>
                  <w:rFonts w:hint="eastAsia" w:ascii="宋体" w:hAnsi="宋体" w:cs="宋体"/>
                  <w:kern w:val="0"/>
                  <w:sz w:val="24"/>
                </w:rPr>
                <w:id w:val="-182842570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本项目不允许采购进口产品。</w:t>
            </w:r>
          </w:p>
          <w:p>
            <w:pPr>
              <w:spacing w:line="360" w:lineRule="auto"/>
              <w:rPr>
                <w:rFonts w:ascii="宋体" w:hAnsi="宋体" w:cs="宋体"/>
              </w:rPr>
            </w:pPr>
            <w:sdt>
              <w:sdtPr>
                <w:rPr>
                  <w:rFonts w:hint="eastAsia" w:ascii="宋体" w:hAnsi="宋体" w:cs="宋体"/>
                  <w:kern w:val="0"/>
                  <w:sz w:val="24"/>
                </w:rPr>
                <w:id w:val="-5285282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可以就</w:t>
            </w:r>
            <w:r>
              <w:rPr>
                <w:rFonts w:hint="eastAsia" w:ascii="宋体" w:hAnsi="宋体" w:cs="宋体"/>
                <w:sz w:val="24"/>
                <w:u w:val="single"/>
              </w:rPr>
              <w:t xml:space="preserve">    </w:t>
            </w:r>
            <w:r>
              <w:rPr>
                <w:rFonts w:hint="eastAsia" w:ascii="宋体" w:hAnsi="宋体" w:cs="宋体"/>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highlight w:val="none"/>
              </w:rPr>
            </w:pPr>
            <w:r>
              <w:rPr>
                <w:rFonts w:hint="eastAsia" w:ascii="宋体" w:hAnsi="宋体" w:cs="宋体"/>
                <w:b/>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highlight w:val="none"/>
              </w:rPr>
            </w:pPr>
            <w:sdt>
              <w:sdtPr>
                <w:rPr>
                  <w:rFonts w:hint="eastAsia" w:ascii="宋体" w:hAnsi="宋体" w:cs="宋体"/>
                  <w:kern w:val="0"/>
                  <w:sz w:val="24"/>
                  <w:highlight w:val="none"/>
                </w:rPr>
                <w:id w:val="-1477286927"/>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ascii="Wingdings" w:hAnsi="Wingdings" w:cs="宋体"/>
                    <w:kern w:val="0"/>
                    <w:sz w:val="24"/>
                    <w:highlight w:val="none"/>
                  </w:rPr>
                  <w:t></w:t>
                </w:r>
              </w:sdtContent>
            </w:sdt>
            <w:r>
              <w:rPr>
                <w:rFonts w:hint="eastAsia" w:ascii="宋体" w:hAnsi="宋体" w:cs="宋体"/>
                <w:kern w:val="0"/>
                <w:sz w:val="24"/>
                <w:highlight w:val="none"/>
              </w:rPr>
              <w:t xml:space="preserve"> A</w:t>
            </w:r>
            <w:r>
              <w:rPr>
                <w:rFonts w:hint="eastAsia" w:ascii="宋体" w:hAnsi="宋体" w:cs="宋体"/>
                <w:sz w:val="24"/>
                <w:highlight w:val="none"/>
              </w:rPr>
              <w:t>同意将非主体、非关键性的硬件采购等工作分包。</w:t>
            </w:r>
          </w:p>
          <w:p>
            <w:pPr>
              <w:spacing w:line="360" w:lineRule="auto"/>
              <w:rPr>
                <w:rFonts w:ascii="宋体" w:hAnsi="宋体" w:cs="宋体"/>
                <w:sz w:val="24"/>
                <w:highlight w:val="none"/>
              </w:rPr>
            </w:pPr>
            <w:sdt>
              <w:sdtPr>
                <w:rPr>
                  <w:rFonts w:hint="eastAsia" w:ascii="宋体" w:hAnsi="宋体" w:cs="宋体"/>
                  <w:kern w:val="0"/>
                  <w:sz w:val="24"/>
                  <w:highlight w:val="none"/>
                </w:rPr>
                <w:id w:val="-1276331357"/>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MS Gothic" w:hAnsi="MS Gothic" w:cs="宋体"/>
                    <w:kern w:val="0"/>
                    <w:sz w:val="24"/>
                    <w:highlight w:val="none"/>
                  </w:rPr>
                  <w:t>☐</w:t>
                </w:r>
              </w:sdtContent>
            </w:sdt>
            <w:r>
              <w:rPr>
                <w:rFonts w:hint="eastAsia" w:ascii="宋体" w:hAnsi="宋体" w:cs="宋体"/>
                <w:kern w:val="0"/>
                <w:sz w:val="24"/>
                <w:highlight w:val="none"/>
              </w:rPr>
              <w:t xml:space="preserve"> B</w:t>
            </w:r>
            <w:r>
              <w:rPr>
                <w:rFonts w:hint="eastAsia" w:ascii="宋体" w:hAnsi="宋体" w:cs="宋体"/>
                <w:sz w:val="24"/>
                <w:highlight w:val="none"/>
              </w:rPr>
              <w:t>不同意分包。</w:t>
            </w:r>
          </w:p>
          <w:p>
            <w:pPr>
              <w:spacing w:line="360" w:lineRule="auto"/>
              <w:rPr>
                <w:rFonts w:ascii="宋体" w:hAnsi="宋体" w:cs="宋体"/>
                <w:sz w:val="24"/>
                <w:highlight w:val="none"/>
              </w:rPr>
            </w:pPr>
            <w:r>
              <w:rPr>
                <w:rFonts w:hint="eastAsia" w:ascii="宋体" w:hAnsi="宋体" w:cs="宋体"/>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21296641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eastAsia="MS Gothic" w:cs="宋体"/>
                    <w:kern w:val="0"/>
                    <w:sz w:val="24"/>
                  </w:rPr>
                  <w:t></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sdt>
              <w:sdtPr>
                <w:rPr>
                  <w:rFonts w:hint="eastAsia" w:ascii="宋体" w:hAnsi="宋体" w:cs="宋体"/>
                  <w:kern w:val="0"/>
                  <w:sz w:val="24"/>
                </w:rPr>
                <w:id w:val="-99980297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63994648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kern w:val="0"/>
                <w:sz w:val="24"/>
              </w:rPr>
              <w:t>A</w:t>
            </w:r>
            <w:r>
              <w:rPr>
                <w:rFonts w:hint="eastAsia" w:ascii="宋体" w:hAnsi="宋体" w:cs="宋体"/>
                <w:sz w:val="24"/>
              </w:rPr>
              <w:t>不要求提供。</w:t>
            </w:r>
          </w:p>
          <w:p>
            <w:pPr>
              <w:spacing w:line="360" w:lineRule="auto"/>
              <w:rPr>
                <w:rFonts w:ascii="宋体" w:hAnsi="宋体" w:cs="宋体"/>
                <w:kern w:val="0"/>
                <w:sz w:val="24"/>
              </w:rPr>
            </w:pPr>
            <w:sdt>
              <w:sdtPr>
                <w:rPr>
                  <w:rFonts w:hint="eastAsia" w:ascii="宋体" w:hAnsi="宋体" w:cs="宋体"/>
                  <w:kern w:val="0"/>
                  <w:sz w:val="24"/>
                </w:rPr>
                <w:id w:val="1026831988"/>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B要求提供，</w:t>
            </w:r>
          </w:p>
          <w:p>
            <w:pPr>
              <w:spacing w:line="360" w:lineRule="auto"/>
              <w:rPr>
                <w:rFonts w:ascii="宋体" w:hAnsi="宋体" w:cs="宋体"/>
                <w:kern w:val="0"/>
                <w:sz w:val="24"/>
              </w:rPr>
            </w:pPr>
            <w:r>
              <w:rPr>
                <w:rFonts w:hint="eastAsia" w:ascii="宋体" w:hAnsi="宋体" w:cs="宋体"/>
                <w:kern w:val="0"/>
                <w:sz w:val="24"/>
              </w:rPr>
              <w:t>（1）</w:t>
            </w:r>
            <w:r>
              <w:rPr>
                <w:rFonts w:hint="eastAsia" w:ascii="宋体" w:hAnsi="宋体" w:cs="宋体"/>
                <w:snapToGrid w:val="0"/>
                <w:kern w:val="28"/>
                <w:sz w:val="24"/>
              </w:rPr>
              <w:t>样品：</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（3）样品的评审方法以及评审标准</w:t>
            </w:r>
            <w:r>
              <w:rPr>
                <w:rFonts w:hint="eastAsia" w:ascii="宋体" w:hAnsi="宋体" w:cs="宋体"/>
                <w:snapToGrid w:val="0"/>
                <w:kern w:val="28"/>
                <w:sz w:val="24"/>
              </w:rPr>
              <w:t>：详见</w:t>
            </w:r>
            <w:r>
              <w:rPr>
                <w:rFonts w:hint="eastAsia" w:ascii="宋体" w:hAnsi="宋体" w:cs="宋体"/>
                <w:sz w:val="24"/>
                <w:u w:val="single"/>
              </w:rPr>
              <w:t>评标办法</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（4）是否需要随样品提交检测报告：</w:t>
            </w:r>
            <w:sdt>
              <w:sdtPr>
                <w:rPr>
                  <w:rFonts w:hint="eastAsia" w:ascii="宋体" w:hAnsi="宋体" w:cs="宋体"/>
                  <w:kern w:val="0"/>
                  <w:sz w:val="24"/>
                </w:rPr>
                <w:id w:val="130342145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否；</w:t>
            </w:r>
            <w:sdt>
              <w:sdtPr>
                <w:rPr>
                  <w:rFonts w:hint="eastAsia" w:ascii="宋体" w:hAnsi="宋体" w:cs="宋体"/>
                  <w:kern w:val="0"/>
                  <w:sz w:val="24"/>
                </w:rPr>
                <w:id w:val="1621728433"/>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cs="宋体"/>
                    <w:kern w:val="0"/>
                    <w:sz w:val="24"/>
                  </w:rPr>
                  <w:t>☐</w:t>
                </w:r>
              </w:sdtContent>
            </w:sdt>
            <w:r>
              <w:rPr>
                <w:rFonts w:hint="eastAsia" w:ascii="宋体" w:hAnsi="宋体" w:cs="宋体"/>
                <w:kern w:val="0"/>
                <w:sz w:val="24"/>
              </w:rPr>
              <w:t>是，检测机构的要求</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sz w:val="24"/>
              </w:rPr>
            </w:pPr>
            <w:r>
              <w:rPr>
                <w:rFonts w:hint="eastAsia" w:ascii="宋体" w:hAnsi="宋体" w:cs="宋体"/>
                <w:sz w:val="24"/>
              </w:rPr>
              <w:t>（5）提供样品的时间：</w:t>
            </w:r>
            <w:r>
              <w:rPr>
                <w:rFonts w:hint="eastAsia" w:ascii="宋体" w:hAnsi="宋体" w:cs="宋体"/>
                <w:sz w:val="24"/>
                <w:u w:val="single"/>
              </w:rPr>
              <w:t xml:space="preserve">    </w:t>
            </w:r>
            <w:r>
              <w:rPr>
                <w:rFonts w:hint="eastAsia" w:ascii="宋体" w:hAnsi="宋体" w:cs="宋体"/>
                <w:kern w:val="0"/>
                <w:sz w:val="24"/>
              </w:rPr>
              <w:t>；地点：</w:t>
            </w:r>
            <w:r>
              <w:rPr>
                <w:rFonts w:hint="eastAsia" w:ascii="宋体" w:hAnsi="宋体" w:cs="宋体"/>
                <w:sz w:val="24"/>
                <w:u w:val="single"/>
              </w:rPr>
              <w:t xml:space="preserve">    </w:t>
            </w:r>
            <w:r>
              <w:rPr>
                <w:rFonts w:hint="eastAsia" w:ascii="宋体" w:hAnsi="宋体" w:cs="宋体"/>
                <w:kern w:val="0"/>
                <w:sz w:val="24"/>
              </w:rPr>
              <w:t>；联系人</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28"/>
                <w:sz w:val="24"/>
              </w:rPr>
              <w:t>联系电话：</w:t>
            </w:r>
            <w:r>
              <w:rPr>
                <w:rFonts w:hint="eastAsia" w:ascii="宋体" w:hAnsi="宋体" w:cs="宋体"/>
                <w:sz w:val="24"/>
                <w:u w:val="single"/>
              </w:rPr>
              <w:t xml:space="preserve">    </w:t>
            </w:r>
            <w:r>
              <w:rPr>
                <w:rFonts w:hint="eastAsia" w:ascii="宋体" w:hAnsi="宋体" w:cs="宋体"/>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rPr>
            </w:pPr>
            <w:r>
              <w:rPr>
                <w:rFonts w:hint="eastAsia" w:ascii="宋体" w:hAnsi="宋体" w:cs="宋体"/>
                <w:sz w:val="24"/>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auto"/>
              <w:rPr>
                <w:rFonts w:ascii="宋体" w:hAnsi="宋体" w:cs="宋体"/>
                <w:b/>
                <w:sz w:val="24"/>
              </w:rPr>
            </w:pPr>
            <w:r>
              <w:rPr>
                <w:rFonts w:hint="eastAsia" w:ascii="宋体" w:hAnsi="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85934854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eastAsia="MS Gothic" w:cs="宋体"/>
                    <w:kern w:val="0"/>
                    <w:sz w:val="24"/>
                  </w:rPr>
                  <w:t></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kern w:val="0"/>
                <w:sz w:val="24"/>
              </w:rPr>
            </w:pPr>
            <w:sdt>
              <w:sdtPr>
                <w:rPr>
                  <w:rFonts w:hint="eastAsia" w:ascii="宋体" w:hAnsi="宋体" w:cs="宋体"/>
                  <w:kern w:val="0"/>
                  <w:sz w:val="24"/>
                </w:rPr>
                <w:id w:val="1174071719"/>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cs="宋体"/>
                    <w:kern w:val="0"/>
                    <w:sz w:val="24"/>
                  </w:rPr>
                  <w:t>☐</w:t>
                </w:r>
              </w:sdtContent>
            </w:sdt>
            <w:r>
              <w:rPr>
                <w:rFonts w:hint="eastAsia" w:ascii="宋体" w:hAnsi="宋体" w:cs="宋体"/>
                <w:kern w:val="0"/>
                <w:sz w:val="24"/>
              </w:rPr>
              <w:t>B组织。</w:t>
            </w:r>
          </w:p>
          <w:p>
            <w:pPr>
              <w:snapToGrid w:val="0"/>
              <w:spacing w:line="360" w:lineRule="auto"/>
              <w:rPr>
                <w:rFonts w:ascii="宋体" w:hAnsi="宋体" w:cs="宋体"/>
                <w:kern w:val="0"/>
                <w:sz w:val="24"/>
              </w:rPr>
            </w:pPr>
            <w:r>
              <w:rPr>
                <w:rFonts w:hint="eastAsia" w:ascii="宋体" w:hAnsi="宋体" w:cs="宋体"/>
                <w:kern w:val="0"/>
                <w:sz w:val="24"/>
              </w:rPr>
              <w:t>（1）在评标时安排每个投标人进行方案讲解演示。每个投标人时间不超过</w:t>
            </w:r>
            <w:r>
              <w:rPr>
                <w:rFonts w:hint="eastAsia" w:ascii="宋体" w:hAnsi="宋体" w:cs="宋体"/>
                <w:kern w:val="0"/>
                <w:sz w:val="24"/>
                <w:u w:val="single"/>
              </w:rPr>
              <w:t xml:space="preserve">  </w:t>
            </w:r>
            <w:r>
              <w:rPr>
                <w:rFonts w:hint="eastAsia" w:ascii="宋体" w:hAnsi="宋体" w:cs="宋体"/>
                <w:kern w:val="0"/>
                <w:sz w:val="24"/>
              </w:rPr>
              <w:t>分钟，讲解次序以投标文件解密时间先后次序为准，讲解演示人员不超过</w:t>
            </w:r>
            <w:r>
              <w:rPr>
                <w:rFonts w:hint="eastAsia" w:ascii="宋体" w:hAnsi="宋体" w:cs="宋体"/>
                <w:kern w:val="0"/>
                <w:sz w:val="24"/>
                <w:u w:val="single"/>
              </w:rPr>
              <w:t xml:space="preserve">  </w:t>
            </w:r>
            <w:r>
              <w:rPr>
                <w:rFonts w:hint="eastAsia" w:ascii="宋体" w:hAnsi="宋体" w:cs="宋体"/>
                <w:kern w:val="0"/>
                <w:sz w:val="24"/>
              </w:rPr>
              <w:t>人。讲解演示结束后按要求解答评标委员会提问。</w:t>
            </w:r>
          </w:p>
          <w:p>
            <w:pPr>
              <w:snapToGrid w:val="0"/>
              <w:spacing w:line="360" w:lineRule="auto"/>
              <w:rPr>
                <w:rFonts w:ascii="宋体" w:hAnsi="宋体" w:cs="宋体"/>
                <w:kern w:val="0"/>
                <w:sz w:val="24"/>
              </w:rPr>
            </w:pPr>
            <w:r>
              <w:rPr>
                <w:rFonts w:hint="eastAsia" w:ascii="宋体" w:hAnsi="宋体" w:cs="宋体"/>
                <w:kern w:val="0"/>
                <w:sz w:val="24"/>
              </w:rPr>
              <w:t>（2）方案讲解演示可选择以下其中一种方式：</w:t>
            </w:r>
          </w:p>
          <w:p>
            <w:pPr>
              <w:snapToGrid w:val="0"/>
              <w:spacing w:line="360" w:lineRule="auto"/>
              <w:rPr>
                <w:rFonts w:ascii="宋体" w:hAnsi="宋体" w:cs="宋体"/>
                <w:kern w:val="0"/>
                <w:sz w:val="24"/>
              </w:rPr>
            </w:pPr>
            <w:r>
              <w:rPr>
                <w:rFonts w:hint="eastAsia" w:ascii="宋体" w:hAnsi="宋体" w:cs="宋体"/>
                <w:kern w:val="0"/>
                <w:sz w:val="24"/>
              </w:rPr>
              <w:t>方式二：现场讲解演示。现场讲解地点为</w:t>
            </w:r>
            <w:r>
              <w:rPr>
                <w:rFonts w:hint="eastAsia" w:ascii="宋体" w:hAnsi="宋体" w:cs="宋体"/>
                <w:sz w:val="24"/>
                <w:u w:val="single"/>
              </w:rPr>
              <w:t xml:space="preserve">  </w:t>
            </w:r>
            <w:r>
              <w:rPr>
                <w:rFonts w:hint="eastAsia" w:ascii="宋体" w:hAnsi="宋体" w:cs="宋体"/>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kern w:val="0"/>
                <w:sz w:val="24"/>
                <w:lang w:val="zh-CN"/>
              </w:rPr>
            </w:pPr>
            <w:r>
              <w:rPr>
                <w:rFonts w:hint="eastAsia" w:ascii="宋体" w:hAnsi="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Ansi="宋体" w:cs="宋体"/>
                <w:kern w:val="28"/>
                <w:sz w:val="24"/>
              </w:rPr>
            </w:pPr>
            <w:r>
              <w:rPr>
                <w:rFonts w:hint="eastAsia" w:hAnsi="宋体" w:cs="宋体"/>
                <w:kern w:val="28"/>
                <w:sz w:val="24"/>
                <w:szCs w:val="24"/>
              </w:rPr>
              <w:t>备份投标文件送达地点：</w:t>
            </w:r>
            <w:r>
              <w:rPr>
                <w:rFonts w:hint="eastAsia" w:ascii="仿宋" w:hAnsi="仿宋" w:eastAsia="仿宋" w:cs="仿宋"/>
                <w:b/>
                <w:bCs/>
                <w:sz w:val="24"/>
                <w:szCs w:val="24"/>
                <w:u w:val="single"/>
              </w:rPr>
              <w:t>杭州市临平区临平北沙东路7号兄弟实业1#（里面那幢）三楼代理部</w:t>
            </w:r>
            <w:r>
              <w:rPr>
                <w:rFonts w:hint="eastAsia" w:hAnsi="宋体" w:cs="宋体"/>
                <w:sz w:val="24"/>
                <w:u w:val="single"/>
              </w:rPr>
              <w:t xml:space="preserve"> </w:t>
            </w:r>
            <w:r>
              <w:rPr>
                <w:rFonts w:hint="eastAsia" w:hAnsi="宋体" w:cs="宋体"/>
                <w:kern w:val="28"/>
                <w:sz w:val="24"/>
                <w:szCs w:val="24"/>
              </w:rPr>
              <w:t>；备份投标文件签收人员联系电话：</w:t>
            </w:r>
            <w:r>
              <w:rPr>
                <w:rFonts w:hint="eastAsia" w:hAnsi="宋体" w:cs="宋体"/>
                <w:sz w:val="24"/>
                <w:u w:val="single"/>
              </w:rPr>
              <w:t xml:space="preserve"> </w:t>
            </w:r>
            <w:r>
              <w:rPr>
                <w:rFonts w:hint="eastAsia" w:ascii="仿宋" w:hAnsi="仿宋" w:eastAsia="仿宋" w:cs="仿宋"/>
                <w:b/>
                <w:bCs/>
                <w:sz w:val="24"/>
                <w:szCs w:val="24"/>
                <w:u w:val="single"/>
              </w:rPr>
              <w:t>姜君、18968070007</w:t>
            </w:r>
            <w:r>
              <w:rPr>
                <w:rFonts w:hint="eastAsia" w:hAnsi="宋体" w:cs="宋体"/>
                <w:sz w:val="24"/>
                <w:szCs w:val="24"/>
              </w:rPr>
              <w:t>。</w:t>
            </w:r>
            <w:r>
              <w:rPr>
                <w:rFonts w:hint="eastAsia" w:hAnsi="宋体" w:cs="宋体"/>
                <w:b/>
                <w:sz w:val="24"/>
                <w:szCs w:val="24"/>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cs="仿宋_GB2312" w:asciiTheme="minorEastAsia" w:hAnsiTheme="minorEastAsia" w:eastAsiaTheme="minorEastAsia"/>
                <w:b/>
                <w:sz w:val="24"/>
              </w:rPr>
              <w:t>特别说明</w:t>
            </w:r>
          </w:p>
        </w:tc>
        <w:tc>
          <w:tcPr>
            <w:tcW w:w="6095" w:type="dxa"/>
            <w:tcBorders>
              <w:top w:val="single" w:color="000000" w:sz="8" w:space="0"/>
              <w:left w:val="single" w:color="000000" w:sz="2" w:space="0"/>
              <w:bottom w:val="single" w:color="auto" w:sz="4" w:space="0"/>
              <w:right w:val="single" w:color="000000" w:sz="8" w:space="0"/>
            </w:tcBorders>
            <w:vAlign w:val="center"/>
          </w:tcPr>
          <w:p>
            <w:pPr>
              <w:jc w:val="left"/>
              <w:rPr>
                <w:rFonts w:ascii="宋体" w:hAnsi="宋体" w:cs="宋体"/>
                <w:snapToGrid w:val="0"/>
                <w:kern w:val="28"/>
                <w:sz w:val="24"/>
              </w:rPr>
            </w:pPr>
            <w:r>
              <w:rPr>
                <w:rFonts w:hint="eastAsia" w:ascii="宋体" w:hAnsi="宋体" w:cs="宋体"/>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51"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tc>
        <w:tc>
          <w:tcPr>
            <w:tcW w:w="1843" w:type="dxa"/>
            <w:vMerge w:val="continue"/>
            <w:tcBorders>
              <w:left w:val="single" w:color="000000" w:sz="2" w:space="0"/>
              <w:bottom w:val="single" w:color="auto" w:sz="4" w:space="0"/>
              <w:right w:val="single" w:color="000000" w:sz="8" w:space="0"/>
            </w:tcBorders>
            <w:vAlign w:val="center"/>
          </w:tcPr>
          <w:p>
            <w:pPr>
              <w:snapToGrid w:val="0"/>
              <w:spacing w:line="360" w:lineRule="auto"/>
              <w:jc w:val="center"/>
              <w:rPr>
                <w:rFonts w:cs="仿宋_GB2312" w:asciiTheme="minorEastAsia" w:hAnsiTheme="minorEastAsia" w:eastAsiaTheme="minorEastAsia"/>
                <w:b/>
                <w:sz w:val="24"/>
              </w:rPr>
            </w:pPr>
          </w:p>
        </w:tc>
        <w:tc>
          <w:tcPr>
            <w:tcW w:w="6095" w:type="dxa"/>
            <w:tcBorders>
              <w:top w:val="single" w:color="auto" w:sz="4" w:space="0"/>
              <w:left w:val="single" w:color="000000" w:sz="2" w:space="0"/>
              <w:bottom w:val="single" w:color="auto" w:sz="4" w:space="0"/>
              <w:right w:val="single" w:color="000000" w:sz="8" w:space="0"/>
            </w:tcBorders>
            <w:vAlign w:val="center"/>
          </w:tcPr>
          <w:p>
            <w:pPr>
              <w:jc w:val="left"/>
              <w:rPr>
                <w:rFonts w:ascii="宋体" w:hAnsi="宋体" w:cs="宋体"/>
                <w:sz w:val="24"/>
              </w:rPr>
            </w:pPr>
            <w:r>
              <w:rPr>
                <w:rFonts w:hint="eastAsia" w:ascii="宋体" w:hAnsi="宋体" w:cs="宋体"/>
                <w:sz w:val="24"/>
              </w:rPr>
              <w:t>☐联合体投标的，联合体各方均需按招标文件第四部分评标标准要求提供资信证明文件，否则视为不符合相关要求。</w:t>
            </w:r>
          </w:p>
          <w:p>
            <w:pPr>
              <w:jc w:val="left"/>
              <w:rPr>
                <w:rFonts w:ascii="宋体" w:hAnsi="宋体" w:cs="宋体"/>
                <w:snapToGrid w:val="0"/>
                <w:kern w:val="28"/>
                <w:sz w:val="24"/>
              </w:rPr>
            </w:pPr>
            <w:r>
              <w:rPr>
                <w:rFonts w:hint="eastAsia" w:ascii="宋体" w:hAnsi="宋体" w:cs="宋体"/>
                <w:sz w:val="24"/>
              </w:rPr>
              <w:sym w:font="Wingdings" w:char="00FE"/>
            </w:r>
            <w:r>
              <w:rPr>
                <w:rFonts w:hint="eastAsia" w:ascii="宋体" w:hAnsi="宋体" w:cs="宋体"/>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r>
              <w:rPr>
                <w:rFonts w:hint="eastAsia" w:ascii="宋体" w:hAnsi="宋体" w:cs="宋体"/>
                <w:sz w:val="24"/>
              </w:rPr>
              <w:t>14</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rPr>
            </w:pPr>
            <w:r>
              <w:rPr>
                <w:rFonts w:hint="eastAsia" w:ascii="宋体" w:hAnsi="宋体" w:cs="宋体"/>
                <w:b/>
                <w:bCs/>
                <w:color w:val="000000"/>
                <w:sz w:val="24"/>
              </w:rPr>
              <w:t>招标代理服务费</w:t>
            </w:r>
          </w:p>
        </w:tc>
        <w:tc>
          <w:tcPr>
            <w:tcW w:w="609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4"/>
                <w:szCs w:val="20"/>
              </w:rPr>
            </w:pPr>
            <w:r>
              <w:rPr>
                <w:rFonts w:hint="eastAsia" w:ascii="宋体" w:hAnsi="宋体" w:cs="宋体"/>
                <w:sz w:val="24"/>
                <w:szCs w:val="20"/>
              </w:rPr>
              <w:t>本项目的招标代理费用由各中标服务单位支付，代理费用付款按《招标代理服务收费管理暂行办法》的通知（计价格[2002]1980号）文件直接支付给分散采购招标代理单位。投标人在报价时应综合考虑该笔费用，但不单列进投标总价。招标代理服务费为70000元。</w:t>
            </w:r>
          </w:p>
          <w:p>
            <w:pPr>
              <w:pStyle w:val="129"/>
              <w:snapToGrid w:val="0"/>
              <w:spacing w:before="0"/>
              <w:ind w:firstLine="0" w:firstLineChars="0"/>
              <w:rPr>
                <w:rFonts w:ascii="宋体" w:hAnsi="宋体" w:cs="宋体"/>
                <w:szCs w:val="24"/>
              </w:rPr>
            </w:pPr>
            <w:r>
              <w:rPr>
                <w:rFonts w:hint="eastAsia" w:ascii="宋体" w:hAnsi="宋体" w:cs="宋体"/>
                <w:szCs w:val="24"/>
              </w:rPr>
              <w:t>收款单位（户名）:杭州市建设工程管理集团有限公司余杭分公司</w:t>
            </w:r>
          </w:p>
          <w:p>
            <w:pPr>
              <w:spacing w:line="360" w:lineRule="auto"/>
              <w:rPr>
                <w:rFonts w:ascii="宋体" w:hAnsi="宋体" w:cs="宋体"/>
                <w:sz w:val="24"/>
              </w:rPr>
            </w:pPr>
            <w:r>
              <w:rPr>
                <w:rFonts w:hint="eastAsia" w:ascii="宋体" w:hAnsi="宋体" w:cs="宋体"/>
                <w:sz w:val="24"/>
              </w:rPr>
              <w:t xml:space="preserve">开户银行：浙商银行临平支行    </w:t>
            </w:r>
          </w:p>
          <w:p>
            <w:pPr>
              <w:spacing w:line="360" w:lineRule="auto"/>
              <w:rPr>
                <w:rFonts w:cs="Arial" w:asciiTheme="minorEastAsia" w:hAnsiTheme="minorEastAsia" w:eastAsiaTheme="minorEastAsia"/>
                <w:kern w:val="0"/>
                <w:sz w:val="24"/>
              </w:rPr>
            </w:pPr>
            <w:r>
              <w:rPr>
                <w:rFonts w:hint="eastAsia" w:ascii="宋体" w:hAnsi="宋体" w:cs="宋体"/>
                <w:sz w:val="24"/>
              </w:rPr>
              <w:t>银行账号：3310010210120100062318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r>
              <w:rPr>
                <w:rFonts w:hint="eastAsia" w:ascii="宋体" w:hAnsi="宋体" w:cs="宋体"/>
                <w:sz w:val="24"/>
              </w:rPr>
              <w:t>15</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rPr>
            </w:pPr>
            <w:r>
              <w:rPr>
                <w:rFonts w:hint="eastAsia" w:ascii="宋体" w:hAnsi="宋体" w:cs="宋体"/>
                <w:b/>
                <w:bCs/>
                <w:color w:val="000000"/>
                <w:sz w:val="24"/>
              </w:rPr>
              <w:t>其他</w:t>
            </w:r>
          </w:p>
        </w:tc>
        <w:tc>
          <w:tcPr>
            <w:tcW w:w="609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b/>
                <w:sz w:val="24"/>
                <w:szCs w:val="20"/>
              </w:rPr>
              <w:t>中标单位需在领取中标通知书时，提供本项目纸质投标文件（资格文件”、“报价文件”和“商务技术文件”）四份（正本一份，副本三份）并提供电子投标文件与纸质投标文件内容一致承诺书三份。</w:t>
            </w:r>
          </w:p>
        </w:tc>
      </w:tr>
    </w:tbl>
    <w:p>
      <w:pPr>
        <w:snapToGrid w:val="0"/>
        <w:spacing w:line="360" w:lineRule="auto"/>
        <w:jc w:val="center"/>
        <w:rPr>
          <w:rFonts w:ascii="宋体" w:hAnsi="宋体" w:cs="宋体"/>
          <w:b/>
          <w:sz w:val="32"/>
          <w:szCs w:val="20"/>
        </w:rPr>
      </w:pPr>
    </w:p>
    <w:bookmarkEnd w:id="10"/>
    <w:p>
      <w:pPr>
        <w:adjustRightInd/>
        <w:spacing w:line="360" w:lineRule="auto"/>
        <w:ind w:firstLine="3845" w:firstLineChars="1197"/>
        <w:outlineLvl w:val="0"/>
        <w:rPr>
          <w:rFonts w:ascii="宋体" w:hAnsi="宋体" w:cs="宋体"/>
          <w:b/>
          <w:sz w:val="32"/>
          <w:szCs w:val="20"/>
        </w:rPr>
      </w:pPr>
      <w:bookmarkStart w:id="13" w:name="_Toc91899903"/>
      <w:bookmarkStart w:id="14" w:name="_Toc164416483"/>
      <w:bookmarkStart w:id="15" w:name="第三部分"/>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“采购代理机构”系指招标公告中载明的本项目的采购代理机构。</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2.6“电子交易平台”系指本项目政府采购活动所依托的政府采购云平台（https://www.zcygov.cn/）。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kern w:val="0"/>
            <w:sz w:val="24"/>
          </w:rPr>
          <w:id w:val="51297023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6" w:name="_Hlk107568539"/>
      <w:r>
        <w:rPr>
          <w:rFonts w:hint="eastAsia" w:ascii="宋体" w:hAnsi="宋体" w:cs="宋体"/>
          <w:color w:val="000000" w:themeColor="text1"/>
          <w:sz w:val="24"/>
          <w14:textFill>
            <w14:solidFill>
              <w14:schemeClr w14:val="tx1"/>
            </w14:solidFill>
          </w14:textFill>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hint="eastAsia" w:ascii="宋体" w:hAnsi="宋体" w:cs="宋体"/>
          <w:sz w:val="24"/>
        </w:rPr>
        <w:t>3.2.4 鼓励供应商在参加政府采购过程中开展绿色设计、选择绿色材料、打造绿色制造工艺、开展绿色运输、做好废弃产品回收处理，实现产品全周期的绿色环保。鼓励采购单位对其提高预付款比例、免收履约保证金。</w:t>
      </w:r>
      <w:bookmarkEnd w:id="16"/>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货物项目，以及预留份额政府采购货物项目中的非预留部分标项，对小型和微型企业的投标报价给予10%的扣除，用扣除后的价格参与评审。接受大中型企业与小微企业组成联合体或者允许大中型企业向一家或者多家小微企业分包的政府采购货物项目，对于</w:t>
      </w:r>
      <w:bookmarkStart w:id="17" w:name="_Hlk101132181"/>
      <w:r>
        <w:rPr>
          <w:rFonts w:hint="eastAsia" w:ascii="宋体" w:hAnsi="宋体" w:cs="宋体"/>
          <w:sz w:val="24"/>
        </w:rPr>
        <w:t>联合协议或者分包意向协议约定小微企业的合同份额占到合同总金额30%以上的</w:t>
      </w:r>
      <w:bookmarkEnd w:id="17"/>
      <w:r>
        <w:rPr>
          <w:rFonts w:hint="eastAsia" w:ascii="宋体" w:hAnsi="宋体" w:cs="宋体"/>
          <w:sz w:val="24"/>
        </w:rPr>
        <w:t>，对联合体或者大中型企业的报价给予4%的扣除，用扣除后的价格参加评审。组成联合体或者接受分包的小微企业与联合体内其他企业、分包企业之间存在直接控股、管理关系的，不享受价格扣除优惠政策。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480" w:firstLineChars="200"/>
        <w:rPr>
          <w:b/>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b/>
        </w:rPr>
        <w:t>4. 询问、质疑、投诉</w:t>
      </w:r>
    </w:p>
    <w:p>
      <w:pPr>
        <w:pStyle w:val="887"/>
        <w:shd w:val="clear" w:color="auto" w:fill="FFFFFF"/>
        <w:snapToGrid w:val="0"/>
        <w:spacing w:after="240" w:afterAutospacing="0" w:line="360" w:lineRule="auto"/>
        <w:ind w:firstLine="400"/>
        <w:contextualSpacing/>
        <w:rPr>
          <w:lang w:val="zh-CN"/>
        </w:rPr>
      </w:pPr>
      <w:r>
        <w:rPr>
          <w:rFonts w:hint="eastAsia"/>
          <w:lang w:val="zh-CN"/>
        </w:rPr>
        <w:t>4.1在线询问、质疑、投诉</w:t>
      </w:r>
    </w:p>
    <w:p>
      <w:pPr>
        <w:pStyle w:val="887"/>
        <w:shd w:val="clear" w:color="auto" w:fill="FFFFFF"/>
        <w:snapToGrid w:val="0"/>
        <w:spacing w:after="240" w:afterAutospacing="0" w:line="360" w:lineRule="auto"/>
        <w:ind w:firstLine="400"/>
        <w:contextualSpacing/>
        <w:rPr>
          <w:lang w:val="zh-CN"/>
        </w:rPr>
      </w:pPr>
      <w:r>
        <w:rPr>
          <w:rFonts w:hint="eastAsia"/>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3"/>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5"/>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3"/>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3"/>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887"/>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00"/>
        <w:contextualSpacing/>
      </w:pPr>
      <w:r>
        <w:rPr>
          <w:rFonts w:hint="eastAsia"/>
        </w:rPr>
        <w:t>质疑函范本及制作说明详见附件2。</w:t>
      </w:r>
    </w:p>
    <w:p>
      <w:pPr>
        <w:pStyle w:val="887"/>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887"/>
        <w:shd w:val="clear" w:color="auto" w:fill="FFFFFF"/>
        <w:snapToGrid w:val="0"/>
        <w:spacing w:after="240" w:afterAutospacing="0" w:line="360" w:lineRule="auto"/>
        <w:ind w:firstLine="400"/>
        <w:contextualSpacing/>
      </w:pPr>
      <w:r>
        <w:rPr>
          <w:rFonts w:hint="eastAsia"/>
          <w:lang w:val="zh-CN"/>
        </w:rPr>
        <w:t>4.3</w:t>
      </w:r>
      <w:r>
        <w:rPr>
          <w:rFonts w:hint="eastAsia"/>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87"/>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887"/>
        <w:shd w:val="clear" w:color="auto" w:fill="FFFFFF"/>
        <w:snapToGrid w:val="0"/>
        <w:spacing w:after="240" w:afterAutospacing="0" w:line="360" w:lineRule="auto"/>
        <w:ind w:firstLine="400"/>
        <w:contextualSpacing/>
      </w:pPr>
      <w:r>
        <w:rPr>
          <w:rFonts w:hint="eastAsia"/>
        </w:rPr>
        <w:t>4.4.1质疑供应商对采购人、采购代理机构的答复不满意或者采购人、采购代理机构未在规定的时间内作出答复的，可以在答复期满后十五个工作日内向同级政府采购监督管理部门提出投诉。</w:t>
      </w:r>
    </w:p>
    <w:p>
      <w:pPr>
        <w:pStyle w:val="887"/>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887"/>
        <w:shd w:val="clear" w:color="auto" w:fill="FFFFFF"/>
        <w:snapToGrid w:val="0"/>
        <w:spacing w:after="240" w:afterAutospacing="0" w:line="360" w:lineRule="auto"/>
        <w:ind w:firstLine="400"/>
        <w:contextualSpacing/>
      </w:pPr>
      <w:r>
        <w:rPr>
          <w:rFonts w:hint="eastAsia"/>
        </w:rPr>
        <w:t>4.4.4 以联合体形式参加政府采购活动的，其投诉应当由组成联合体的所有供应商共同提出。</w:t>
      </w:r>
    </w:p>
    <w:p>
      <w:pPr>
        <w:pStyle w:val="887"/>
        <w:shd w:val="clear" w:color="auto" w:fill="FFFFFF"/>
        <w:snapToGrid w:val="0"/>
        <w:spacing w:after="240" w:afterAutospacing="0" w:line="360" w:lineRule="auto"/>
        <w:ind w:firstLine="400"/>
        <w:contextualSpacing/>
      </w:pPr>
      <w:r>
        <w:rPr>
          <w:rFonts w:hint="eastAsia"/>
        </w:rPr>
        <w:t>投诉书范本及制作说明详见附件3。</w:t>
      </w:r>
    </w:p>
    <w:p>
      <w:pPr>
        <w:pStyle w:val="129"/>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3"/>
        <w:spacing w:line="360" w:lineRule="auto"/>
        <w:rPr>
          <w:rFonts w:hAnsi="宋体" w:cs="宋体"/>
          <w:b/>
          <w:sz w:val="24"/>
          <w:szCs w:val="24"/>
        </w:rPr>
      </w:pPr>
      <w:r>
        <w:rPr>
          <w:rFonts w:hint="eastAsia" w:hAnsi="宋体" w:cs="宋体"/>
          <w:b/>
          <w:sz w:val="24"/>
          <w:szCs w:val="24"/>
        </w:rPr>
        <w:t>5．招标文件的构成</w:t>
      </w:r>
    </w:p>
    <w:p>
      <w:pPr>
        <w:pStyle w:val="33"/>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3"/>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3"/>
        <w:spacing w:line="360" w:lineRule="auto"/>
        <w:rPr>
          <w:rFonts w:hAnsi="宋体" w:cs="宋体"/>
          <w:b/>
          <w:sz w:val="24"/>
          <w:szCs w:val="24"/>
        </w:rPr>
      </w:pPr>
      <w:r>
        <w:rPr>
          <w:rFonts w:hint="eastAsia" w:hAnsi="宋体" w:cs="宋体"/>
          <w:b/>
          <w:sz w:val="24"/>
          <w:szCs w:val="24"/>
        </w:rPr>
        <w:t>6. 招标文件的澄清、修改</w:t>
      </w:r>
    </w:p>
    <w:p>
      <w:pPr>
        <w:pStyle w:val="129"/>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6.1已获取招标文件的潜在投标人，若有问题需要澄清，应于投标截止时间前，以书面形式向采购代理机构提出。</w:t>
      </w:r>
    </w:p>
    <w:p>
      <w:pPr>
        <w:pStyle w:val="129"/>
        <w:snapToGrid w:val="0"/>
        <w:spacing w:before="0"/>
        <w:ind w:firstLine="480"/>
        <w:rPr>
          <w:rFonts w:ascii="宋体" w:hAnsi="宋体" w:cs="宋体"/>
        </w:rPr>
      </w:pPr>
      <w:r>
        <w:rPr>
          <w:rFonts w:hint="eastAsia" w:ascii="宋体" w:hAnsi="宋体" w:cs="宋体"/>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3"/>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3"/>
        <w:spacing w:line="360" w:lineRule="auto"/>
        <w:rPr>
          <w:rFonts w:hAnsi="宋体" w:cs="宋体"/>
          <w:b/>
          <w:sz w:val="24"/>
          <w:szCs w:val="24"/>
        </w:rPr>
      </w:pPr>
      <w:r>
        <w:rPr>
          <w:rFonts w:hint="eastAsia" w:hAnsi="宋体" w:cs="宋体"/>
          <w:b/>
          <w:sz w:val="24"/>
          <w:szCs w:val="24"/>
        </w:rPr>
        <w:t>8.开标前答疑会或现场考察</w:t>
      </w:r>
    </w:p>
    <w:p>
      <w:pPr>
        <w:pStyle w:val="33"/>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hAnsi="宋体" w:cs="宋体"/>
          <w:b/>
          <w:szCs w:val="24"/>
        </w:rPr>
      </w:pPr>
      <w:r>
        <w:rPr>
          <w:rFonts w:hint="eastAsia" w:hAnsi="宋体" w:cs="宋体"/>
          <w:b/>
          <w:kern w:val="28"/>
          <w:sz w:val="24"/>
          <w:szCs w:val="24"/>
        </w:rPr>
        <w:t>9.投标保证金</w:t>
      </w:r>
    </w:p>
    <w:p>
      <w:pPr>
        <w:pStyle w:val="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3"/>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3"/>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w:t>
      </w:r>
      <w:r>
        <w:rPr>
          <w:rFonts w:ascii="宋体" w:hAnsi="宋体" w:cs="宋体"/>
          <w:sz w:val="24"/>
        </w:rPr>
        <w:t>1.1.2</w:t>
      </w:r>
      <w:bookmarkStart w:id="18" w:name="_Hlk101259339"/>
      <w:r>
        <w:rPr>
          <w:rFonts w:hint="eastAsia" w:ascii="宋体" w:hAnsi="宋体" w:cs="宋体"/>
          <w:snapToGrid w:val="0"/>
          <w:kern w:val="28"/>
          <w:sz w:val="24"/>
          <w:szCs w:val="20"/>
        </w:rPr>
        <w:t>联合协议</w:t>
      </w:r>
      <w:bookmarkEnd w:id="18"/>
      <w:r>
        <w:rPr>
          <w:rFonts w:hint="eastAsia" w:ascii="宋体" w:hAnsi="宋体" w:cs="宋体"/>
          <w:snapToGrid w:val="0"/>
          <w:color w:val="FF0000"/>
          <w:kern w:val="28"/>
          <w:sz w:val="24"/>
          <w:szCs w:val="20"/>
        </w:rPr>
        <w:t>（如果有)</w:t>
      </w:r>
      <w:r>
        <w:rPr>
          <w:rFonts w:hint="eastAsia" w:ascii="宋体" w:hAnsi="宋体" w:cs="宋体"/>
          <w:snapToGrid w:val="0"/>
          <w:kern w:val="28"/>
          <w:sz w:val="24"/>
          <w:szCs w:val="20"/>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3</w:t>
      </w:r>
      <w:r>
        <w:rPr>
          <w:rFonts w:hint="eastAsia" w:ascii="宋体" w:hAnsi="宋体" w:cs="宋体"/>
          <w:sz w:val="24"/>
        </w:rPr>
        <w:t>落实政府采购政策需满足的资格要求</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3</w:t>
      </w:r>
      <w:r>
        <w:rPr>
          <w:rFonts w:hint="eastAsia" w:ascii="宋体" w:hAnsi="宋体" w:cs="宋体"/>
          <w:sz w:val="24"/>
        </w:rPr>
        <w:t>分包意向协议</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pPr>
        <w:snapToGrid w:val="0"/>
        <w:spacing w:line="360" w:lineRule="auto"/>
        <w:ind w:firstLine="960" w:firstLineChars="400"/>
        <w:rPr>
          <w:rFonts w:ascii="宋体" w:hAnsi="宋体" w:cs="宋体"/>
          <w:color w:val="FF0000"/>
          <w:sz w:val="24"/>
        </w:rPr>
      </w:pPr>
      <w:r>
        <w:rPr>
          <w:rFonts w:hint="eastAsia" w:ascii="宋体" w:hAnsi="宋体" w:cs="宋体"/>
          <w:color w:val="FF0000"/>
          <w:sz w:val="24"/>
        </w:rPr>
        <w:t>11.3.2中小企业声明函。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29"/>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29"/>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29"/>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29"/>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29"/>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9"/>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9"/>
        <w:spacing w:before="0"/>
        <w:ind w:firstLine="480"/>
        <w:rPr>
          <w:rFonts w:ascii="宋体" w:hAnsi="宋体" w:cs="宋体"/>
          <w:szCs w:val="24"/>
        </w:rPr>
      </w:pPr>
      <w:r>
        <w:rPr>
          <w:rFonts w:hint="eastAsia" w:ascii="宋体" w:hAnsi="宋体" w:cs="宋体"/>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3"/>
        <w:spacing w:line="360" w:lineRule="auto"/>
        <w:rPr>
          <w:rFonts w:hAnsi="宋体" w:cs="宋体"/>
          <w:b/>
          <w:sz w:val="24"/>
          <w:szCs w:val="24"/>
        </w:rPr>
      </w:pPr>
      <w:r>
        <w:rPr>
          <w:rFonts w:hint="eastAsia" w:hAnsi="宋体" w:cs="宋体"/>
          <w:b/>
          <w:sz w:val="24"/>
          <w:szCs w:val="24"/>
        </w:rPr>
        <w:t>15.备份投标文件</w:t>
      </w:r>
    </w:p>
    <w:p>
      <w:pPr>
        <w:pStyle w:val="33"/>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但采购人、采购代理机构不强制或变相强制投标人提交备份投标文件。</w:t>
      </w:r>
    </w:p>
    <w:p>
      <w:pPr>
        <w:pStyle w:val="33"/>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DVD光盘等存储介质</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3"/>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15.3直接提交备份投标文件的，投标人应于投标截止时间前在招标公告中载明的开标地点将备份投标文件提交给采购代理机构，采购代理机构将拒绝接受逾期送达的备份投标文件。</w:t>
      </w:r>
    </w:p>
    <w:p>
      <w:pPr>
        <w:pStyle w:val="33"/>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送达时间以签收人签收时间为准。采购代理机构将拒绝接受逾期送达的备份投标文件。邮寄过程中，电子备份投标文件发生泄露、遗失、损坏或延期送达等情况的，由投标人自行负责。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129"/>
        <w:spacing w:before="0"/>
        <w:ind w:firstLine="0" w:firstLineChars="0"/>
        <w:rPr>
          <w:rFonts w:ascii="宋体" w:hAnsi="宋体" w:cs="宋体"/>
          <w:b/>
          <w:szCs w:val="24"/>
        </w:rPr>
      </w:pPr>
      <w:r>
        <w:rPr>
          <w:rFonts w:hint="eastAsia" w:ascii="宋体" w:hAnsi="宋体" w:cs="宋体"/>
          <w:b/>
          <w:szCs w:val="24"/>
        </w:rPr>
        <w:t>16.投标文件的无效处理</w:t>
      </w:r>
    </w:p>
    <w:p>
      <w:pPr>
        <w:pStyle w:val="24"/>
        <w:spacing w:line="360" w:lineRule="auto"/>
        <w:ind w:firstLine="360" w:firstLineChars="150"/>
        <w:rPr>
          <w:rFonts w:cs="宋体"/>
          <w:szCs w:val="21"/>
        </w:rPr>
      </w:pPr>
      <w:r>
        <w:rPr>
          <w:rFonts w:hint="eastAsia" w:cs="宋体"/>
          <w:szCs w:val="21"/>
        </w:rPr>
        <w:t>有招标文件第四部分</w:t>
      </w:r>
      <w:r>
        <w:rPr>
          <w:rFonts w:cs="宋体"/>
        </w:rPr>
        <w:t>4.2规定</w:t>
      </w:r>
      <w:r>
        <w:rPr>
          <w:rFonts w:hint="eastAsia" w:cs="宋体"/>
          <w:szCs w:val="21"/>
        </w:rPr>
        <w:t>的情形之一的，投标无效：</w:t>
      </w:r>
    </w:p>
    <w:p>
      <w:pPr>
        <w:pStyle w:val="129"/>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29"/>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29"/>
        <w:spacing w:before="0"/>
        <w:ind w:firstLine="480"/>
        <w:rPr>
          <w:rFonts w:ascii="宋体" w:hAnsi="宋体" w:cs="宋体"/>
        </w:rPr>
      </w:pPr>
      <w:r>
        <w:rPr>
          <w:rFonts w:hint="eastAsia" w:ascii="宋体" w:hAnsi="宋体" w:cs="宋体"/>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29"/>
        <w:spacing w:before="0"/>
        <w:ind w:firstLine="643"/>
        <w:rPr>
          <w:rFonts w:ascii="宋体" w:hAnsi="宋体" w:cs="宋体"/>
          <w:b/>
          <w:sz w:val="32"/>
        </w:rPr>
      </w:pPr>
    </w:p>
    <w:p>
      <w:pPr>
        <w:pStyle w:val="129"/>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5"/>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55"/>
        <w:spacing w:before="0" w:line="360" w:lineRule="auto"/>
        <w:ind w:left="0" w:firstLine="480" w:firstLineChars="200"/>
        <w:contextualSpacing/>
        <w:rPr>
          <w:rFonts w:ascii="宋体" w:hAnsi="宋体" w:cs="宋体"/>
          <w:sz w:val="24"/>
        </w:rPr>
      </w:pPr>
      <w:r>
        <w:rPr>
          <w:rFonts w:hint="eastAsia" w:ascii="宋体" w:hAnsi="宋体" w:cs="宋体"/>
          <w:sz w:val="24"/>
        </w:rPr>
        <w:t>18.1采购代理机构按照招标文件规定的时间通过电子交易平台组织开标，所有投标人均应当准时在线参加。投标人不足3家的，不得开标。</w:t>
      </w:r>
    </w:p>
    <w:p>
      <w:pPr>
        <w:pStyle w:val="555"/>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18.2开标时，电子交易平台按开标时间自动提取所有投标文件。采购代理机构依托电子交易平台发起开始解密指令，投标人按照平台提示和招标文件的规定在半小时内完成在线解密。</w:t>
      </w:r>
    </w:p>
    <w:p>
      <w:pPr>
        <w:pStyle w:val="555"/>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snapToGrid w:val="0"/>
        <w:spacing w:line="360" w:lineRule="auto"/>
        <w:ind w:firstLine="480" w:firstLineChars="200"/>
        <w:rPr>
          <w:rFonts w:ascii="宋体" w:hAnsi="宋体" w:cs="宋体"/>
          <w:sz w:val="24"/>
        </w:rPr>
      </w:pPr>
      <w:r>
        <w:rPr>
          <w:rFonts w:hint="eastAsia" w:ascii="宋体" w:hAnsi="宋体" w:cs="宋体"/>
          <w:kern w:val="0"/>
          <w:sz w:val="24"/>
        </w:rPr>
        <w:t>19.1</w:t>
      </w:r>
      <w:r>
        <w:rPr>
          <w:rFonts w:hint="eastAsia" w:ascii="宋体" w:hAnsi="宋体" w:cs="宋体"/>
          <w:sz w:val="24"/>
        </w:rPr>
        <w:t>采购人或采购代理机构依据法律法规和招标文件的规定，对投标人的资格进行审查。</w:t>
      </w:r>
    </w:p>
    <w:p>
      <w:pPr>
        <w:pStyle w:val="129"/>
        <w:spacing w:before="0"/>
        <w:ind w:firstLine="480"/>
        <w:rPr>
          <w:rFonts w:ascii="宋体" w:hAnsi="宋体" w:cs="宋体"/>
        </w:rPr>
      </w:pPr>
      <w:r>
        <w:rPr>
          <w:rFonts w:hint="eastAsia" w:ascii="宋体" w:hAnsi="宋体" w:cs="宋体"/>
          <w:kern w:val="0"/>
          <w:szCs w:val="24"/>
        </w:rPr>
        <w:t>19.2投标人未按照招标文件要求提供与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29"/>
        <w:spacing w:before="0"/>
        <w:ind w:firstLine="480"/>
        <w:rPr>
          <w:rFonts w:ascii="宋体" w:hAnsi="宋体" w:cs="宋体"/>
        </w:rPr>
      </w:pPr>
      <w:r>
        <w:rPr>
          <w:rFonts w:hint="eastAsia" w:ascii="宋体" w:hAnsi="宋体" w:cs="宋体"/>
          <w:kern w:val="0"/>
          <w:szCs w:val="24"/>
        </w:rPr>
        <w:t>19.</w:t>
      </w:r>
      <w:r>
        <w:rPr>
          <w:rFonts w:hint="eastAsia" w:ascii="宋体" w:hAnsi="宋体" w:cs="宋体"/>
        </w:rPr>
        <w:t>3对未通过资格审查的投标人，采购人或采购代理机构告知其未通过的原因。</w:t>
      </w:r>
    </w:p>
    <w:p>
      <w:pPr>
        <w:pStyle w:val="129"/>
        <w:spacing w:before="0"/>
        <w:ind w:firstLine="480"/>
        <w:rPr>
          <w:rFonts w:ascii="宋体" w:hAnsi="宋体" w:cs="宋体"/>
        </w:rPr>
      </w:pPr>
      <w:r>
        <w:rPr>
          <w:rFonts w:hint="eastAsia" w:ascii="宋体" w:hAnsi="宋体" w:cs="宋体"/>
          <w:kern w:val="0"/>
          <w:szCs w:val="24"/>
        </w:rPr>
        <w:t>19.</w:t>
      </w:r>
      <w:r>
        <w:rPr>
          <w:rFonts w:hint="eastAsia" w:ascii="宋体" w:hAnsi="宋体" w:cs="宋体"/>
        </w:rPr>
        <w:t>4合格投标人不足3家的，不再评标。</w:t>
      </w:r>
    </w:p>
    <w:p>
      <w:pPr>
        <w:pStyle w:val="129"/>
        <w:spacing w:before="0"/>
        <w:ind w:firstLine="0" w:firstLineChars="0"/>
        <w:rPr>
          <w:rFonts w:ascii="宋体" w:hAnsi="宋体" w:cs="宋体"/>
          <w:b/>
          <w:szCs w:val="24"/>
        </w:rPr>
      </w:pPr>
      <w:r>
        <w:rPr>
          <w:rFonts w:hint="eastAsia" w:ascii="宋体" w:hAnsi="宋体" w:cs="宋体"/>
          <w:b/>
          <w:szCs w:val="24"/>
        </w:rPr>
        <w:t>20、信用信息查询</w:t>
      </w:r>
    </w:p>
    <w:p>
      <w:pPr>
        <w:pStyle w:val="129"/>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20.1信用信息查询渠道及截止时间：采购代理机构将在资格审查时通过“信用中国”网站(www.creditchina.gov.cn)、中国政府采购网(www.ccgp.gov.cn)渠道查询投标人接受资格审查时的信用记录。</w:t>
      </w:r>
    </w:p>
    <w:p>
      <w:pPr>
        <w:pStyle w:val="129"/>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29"/>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29"/>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29"/>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4"/>
        <w:spacing w:line="360" w:lineRule="auto"/>
        <w:ind w:left="479" w:hanging="479" w:hangingChars="199"/>
        <w:rPr>
          <w:rFonts w:cs="宋体"/>
          <w:b/>
        </w:rPr>
      </w:pPr>
      <w:r>
        <w:rPr>
          <w:rFonts w:hint="eastAsia" w:cs="宋体"/>
          <w:b/>
        </w:rPr>
        <w:t>22. 确定中标供应商</w:t>
      </w:r>
    </w:p>
    <w:p>
      <w:pPr>
        <w:pStyle w:val="129"/>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9"/>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采购代理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4"/>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4"/>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9"/>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29"/>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29"/>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4"/>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2"/>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pPr>
      <w:r>
        <w:rPr>
          <w:rFonts w:ascii="宋体" w:hAnsi="宋体" w:eastAsia="宋体"/>
          <w:sz w:val="24"/>
          <w:lang w:val="en-US"/>
        </w:rPr>
        <w:t>27.预付款</w:t>
      </w:r>
    </w:p>
    <w:p>
      <w:pPr>
        <w:adjustRightInd/>
        <w:spacing w:line="360" w:lineRule="auto"/>
        <w:ind w:firstLine="480" w:firstLineChars="200"/>
      </w:pPr>
      <w:r>
        <w:rPr>
          <w:rFonts w:hint="eastAsia" w:ascii="宋体" w:hAnsi="宋体"/>
          <w:sz w:val="24"/>
        </w:rPr>
        <w:t>采购单位应当在政府采购合同中约定预付款，对中小企业合同预付款比例原则上不低于合同金额的</w:t>
      </w:r>
      <w:r>
        <w:rPr>
          <w:rFonts w:ascii="宋体" w:hAnsi="宋体"/>
          <w:sz w:val="24"/>
        </w:rPr>
        <w:t>40％</w:t>
      </w:r>
      <w:r>
        <w:rPr>
          <w:rFonts w:hint="eastAsia" w:ascii="宋体" w:hAnsi="宋体"/>
          <w:sz w:val="24"/>
        </w:rPr>
        <w:t>，不高于合同金额的</w:t>
      </w:r>
      <w:r>
        <w:rPr>
          <w:rFonts w:ascii="宋体" w:hAnsi="宋体"/>
          <w:sz w:val="24"/>
        </w:rPr>
        <w:t>70%；项目分年安排预算的，每年预付款比例</w:t>
      </w:r>
      <w:r>
        <w:rPr>
          <w:rFonts w:hint="eastAsia" w:ascii="宋体" w:hAnsi="宋体"/>
          <w:sz w:val="24"/>
        </w:rPr>
        <w:t>不低于</w:t>
      </w:r>
      <w:r>
        <w:rPr>
          <w:rFonts w:ascii="宋体" w:hAnsi="宋体"/>
          <w:sz w:val="24"/>
        </w:rPr>
        <w:t>项目年度计划支付资金额的40％</w:t>
      </w:r>
      <w:r>
        <w:rPr>
          <w:rFonts w:hint="eastAsia" w:ascii="宋体" w:hAnsi="宋体"/>
          <w:sz w:val="24"/>
        </w:rPr>
        <w:t>，不高于合同金额的</w:t>
      </w:r>
      <w:r>
        <w:rPr>
          <w:rFonts w:ascii="宋体" w:hAnsi="宋体"/>
          <w:sz w:val="24"/>
        </w:rPr>
        <w:t>70%；采购项目实施以人工投入为主的，</w:t>
      </w:r>
      <w:r>
        <w:rPr>
          <w:rFonts w:hint="eastAsia" w:ascii="宋体" w:hAnsi="宋体"/>
          <w:sz w:val="24"/>
        </w:rPr>
        <w:t>可适当降低预付款比例，但不得低于</w:t>
      </w:r>
      <w:r>
        <w:rPr>
          <w:rFonts w:ascii="宋体" w:hAnsi="宋体"/>
          <w:sz w:val="24"/>
        </w:rPr>
        <w:t>20%。对供应商为大型企业的项目或者以人工投入为主且实行按月定期结算支付款项的项目，预付款可低于上述比例或者不约定预付款。在签订合同时，</w:t>
      </w:r>
      <w:r>
        <w:rPr>
          <w:rFonts w:hint="eastAsia" w:ascii="宋体" w:hAnsi="宋体"/>
          <w:sz w:val="24"/>
        </w:rPr>
        <w:t>供应商</w:t>
      </w:r>
      <w:r>
        <w:rPr>
          <w:rFonts w:ascii="宋体" w:hAnsi="宋体"/>
          <w:sz w:val="24"/>
        </w:rPr>
        <w:t>明确表示无需预付款或者主动要求降低预付款比例的，</w:t>
      </w:r>
      <w:r>
        <w:rPr>
          <w:rFonts w:hint="eastAsia" w:ascii="宋体" w:hAnsi="宋体"/>
          <w:sz w:val="24"/>
        </w:rPr>
        <w:t>采购单位</w:t>
      </w:r>
      <w:r>
        <w:rPr>
          <w:rFonts w:ascii="宋体" w:hAnsi="宋体"/>
          <w:sz w:val="24"/>
        </w:rPr>
        <w:t>可不适用前述规定。</w:t>
      </w:r>
      <w:r>
        <w:rPr>
          <w:rFonts w:hint="eastAsia" w:ascii="宋体" w:hAnsi="宋体"/>
          <w:sz w:val="24"/>
        </w:rPr>
        <w:t>采购单位</w:t>
      </w:r>
      <w:r>
        <w:rPr>
          <w:rFonts w:ascii="宋体" w:hAnsi="宋体"/>
          <w:sz w:val="24"/>
        </w:rPr>
        <w:t>根据项目特点、供应商诚信等因素，可以要求</w:t>
      </w:r>
      <w:r>
        <w:rPr>
          <w:rFonts w:hint="eastAsia" w:ascii="宋体" w:hAnsi="宋体"/>
          <w:sz w:val="24"/>
        </w:rPr>
        <w:t>供应商</w:t>
      </w:r>
      <w:r>
        <w:rPr>
          <w:rFonts w:ascii="宋体" w:hAnsi="宋体"/>
          <w:sz w:val="24"/>
        </w:rPr>
        <w:t>提交银行、保险公司等金融机构出具的预付款保函或其他担保措施。政府采购预付款应在合同生效以及具备实施条件后5个工作日内支付。</w:t>
      </w:r>
      <w:r>
        <w:rPr>
          <w:rFonts w:hint="eastAsia" w:ascii="宋体" w:hAnsi="宋体"/>
          <w:sz w:val="24"/>
        </w:rPr>
        <w:t>政府采购工程以及与工程建设有关的货物、服务，采用招标方式采购的，预付款从其相关规定。供应商可登录政采云前台大厅选择金融服务</w:t>
      </w:r>
      <w:r>
        <w:rPr>
          <w:rFonts w:ascii="宋体" w:hAnsi="宋体"/>
          <w:sz w:val="24"/>
        </w:rPr>
        <w:t xml:space="preserve"> - </w:t>
      </w:r>
      <w:r>
        <w:rPr>
          <w:rFonts w:hint="eastAsia" w:ascii="宋体" w:hAnsi="宋体"/>
          <w:sz w:val="24"/>
        </w:rPr>
        <w:t>【保函保险服务】出具预付款保函，具体步骤：选择产品—填写供应商信息—选择中标项目—确认信息—等待保险</w:t>
      </w:r>
      <w:r>
        <w:rPr>
          <w:rFonts w:ascii="宋体" w:hAnsi="宋体"/>
          <w:sz w:val="24"/>
        </w:rPr>
        <w:t>/保函受理—确认保单—支付保费—成功出单。政</w:t>
      </w:r>
      <w:r>
        <w:rPr>
          <w:rFonts w:hint="eastAsia" w:ascii="宋体" w:hAnsi="宋体"/>
          <w:sz w:val="24"/>
        </w:rPr>
        <w:t>采云金融专线</w:t>
      </w:r>
      <w:r>
        <w:rPr>
          <w:rFonts w:ascii="宋体" w:hAnsi="宋体"/>
          <w:sz w:val="24"/>
        </w:rPr>
        <w:t>400-903-9583。</w:t>
      </w:r>
    </w:p>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29"/>
        <w:snapToGrid w:val="0"/>
        <w:spacing w:before="0"/>
        <w:ind w:firstLine="0" w:firstLineChars="0"/>
        <w:rPr>
          <w:rFonts w:ascii="宋体" w:hAnsi="宋体" w:cs="宋体"/>
        </w:rPr>
      </w:pPr>
      <w:r>
        <w:rPr>
          <w:rFonts w:ascii="宋体" w:hAnsi="宋体" w:cs="宋体"/>
          <w:b/>
          <w:bCs/>
        </w:rPr>
        <w:t>2</w:t>
      </w:r>
      <w:r>
        <w:rPr>
          <w:rFonts w:ascii="宋体" w:hAnsi="宋体" w:cs="宋体"/>
          <w:b/>
          <w:bCs/>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采购过程中出现以下情形，导致电子交易平台无法正常运行，或者无法保证电子交易的公平、公正和安全时，采购代理机构可中止电子交易活动：</w:t>
      </w:r>
    </w:p>
    <w:p>
      <w:pPr>
        <w:pStyle w:val="129"/>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129"/>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129"/>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129"/>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129"/>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129"/>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4"/>
        <w:spacing w:line="360" w:lineRule="auto"/>
        <w:ind w:firstLine="0" w:firstLineChars="0"/>
        <w:rPr>
          <w:rFonts w:cs="宋体"/>
          <w:b/>
        </w:rPr>
      </w:pPr>
      <w:r>
        <w:rPr>
          <w:rFonts w:hint="eastAsia" w:cs="宋体"/>
          <w:b/>
        </w:rPr>
        <w:t>30.验收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bookmarkEnd w:id="14"/>
    <w:bookmarkEnd w:id="15"/>
    <w:p>
      <w:pPr>
        <w:spacing w:line="360" w:lineRule="auto"/>
        <w:jc w:val="center"/>
        <w:outlineLvl w:val="0"/>
        <w:rPr>
          <w:rFonts w:ascii="宋体" w:hAnsi="宋体" w:cs="宋体"/>
          <w:b/>
          <w:sz w:val="36"/>
          <w:szCs w:val="36"/>
        </w:rPr>
      </w:pPr>
      <w:bookmarkStart w:id="19" w:name="_Hlt75236101"/>
      <w:bookmarkEnd w:id="19"/>
      <w:bookmarkStart w:id="20" w:name="_Hlt68072990"/>
      <w:bookmarkEnd w:id="20"/>
      <w:bookmarkStart w:id="21" w:name="_Hlt68403820"/>
      <w:bookmarkEnd w:id="21"/>
      <w:bookmarkStart w:id="22" w:name="_Hlt74714665"/>
      <w:bookmarkEnd w:id="22"/>
      <w:bookmarkStart w:id="23" w:name="_Hlt75236011"/>
      <w:bookmarkEnd w:id="23"/>
      <w:bookmarkStart w:id="24" w:name="_Hlt75236290"/>
      <w:bookmarkEnd w:id="24"/>
      <w:bookmarkStart w:id="25" w:name="_Hlt74707468"/>
      <w:bookmarkEnd w:id="25"/>
      <w:bookmarkStart w:id="26" w:name="_Hlt68057669"/>
      <w:bookmarkEnd w:id="26"/>
      <w:bookmarkStart w:id="27" w:name="_Hlt74729768"/>
      <w:bookmarkEnd w:id="27"/>
      <w:bookmarkStart w:id="28" w:name="_Hlt68073093"/>
      <w:bookmarkEnd w:id="28"/>
      <w:bookmarkStart w:id="29" w:name="_Hlt74730295"/>
      <w:bookmarkEnd w:id="29"/>
      <w:bookmarkStart w:id="30" w:name="_Hlt68072998"/>
      <w:bookmarkEnd w:id="30"/>
      <w:bookmarkStart w:id="31" w:name="第四部分"/>
      <w:r>
        <w:rPr>
          <w:rFonts w:hint="eastAsia" w:ascii="宋体" w:hAnsi="宋体" w:cs="宋体"/>
          <w:b/>
          <w:sz w:val="36"/>
          <w:szCs w:val="36"/>
        </w:rPr>
        <w:t>第三部分   采购需求</w:t>
      </w:r>
    </w:p>
    <w:p>
      <w:pPr>
        <w:snapToGrid w:val="0"/>
        <w:spacing w:line="360" w:lineRule="auto"/>
        <w:rPr>
          <w:rFonts w:ascii="宋体" w:hAnsi="宋体"/>
          <w:b/>
          <w:bCs/>
          <w:sz w:val="24"/>
        </w:rPr>
      </w:pPr>
      <w:r>
        <w:rPr>
          <w:rFonts w:hint="eastAsia" w:ascii="宋体" w:hAnsi="宋体"/>
          <w:b/>
          <w:bCs/>
          <w:sz w:val="24"/>
        </w:rPr>
        <w:t>一、项目概述：</w:t>
      </w:r>
    </w:p>
    <w:p>
      <w:pPr>
        <w:spacing w:line="360" w:lineRule="auto"/>
        <w:ind w:firstLine="120" w:firstLineChars="50"/>
        <w:rPr>
          <w:rFonts w:ascii="宋体" w:hAnsi="宋体" w:cs="宋体"/>
          <w:sz w:val="24"/>
        </w:rPr>
      </w:pPr>
      <w:r>
        <w:rPr>
          <w:rFonts w:hint="eastAsia" w:ascii="宋体" w:hAnsi="宋体" w:cs="宋体"/>
          <w:sz w:val="24"/>
        </w:rPr>
        <w:t>本项目为“交钥匙”项目，采购内容包括采购清单中货物供货、安装调试、货物验收、培训、质保期内的售后服务等。投标报价应包括设备费、产品演示产生的费用、材料费、保管费、运费、安装调试费、培训、货物验收、税收、售后服务、采购需求中未提到但在实际采购和安装过程中需要配置的各种设备、材料及其他费用等须由投标单位支付的所有费用。</w:t>
      </w:r>
    </w:p>
    <w:p>
      <w:pPr>
        <w:pStyle w:val="700"/>
        <w:numPr>
          <w:ilvl w:val="0"/>
          <w:numId w:val="1"/>
        </w:numPr>
        <w:ind w:left="0" w:leftChars="0" w:firstLine="0" w:firstLineChars="0"/>
        <w:rPr>
          <w:rFonts w:ascii="宋体" w:hAnsi="宋体" w:cs="宋体"/>
          <w:b/>
          <w:szCs w:val="24"/>
          <w:highlight w:val="none"/>
          <w:lang w:bidi="ar"/>
        </w:rPr>
      </w:pPr>
      <w:r>
        <w:rPr>
          <w:rFonts w:hint="eastAsia" w:ascii="宋体" w:hAnsi="宋体" w:cs="宋体"/>
          <w:b/>
          <w:szCs w:val="24"/>
          <w:highlight w:val="none"/>
          <w:lang w:bidi="ar"/>
        </w:rPr>
        <w:t>采购清单：</w:t>
      </w:r>
    </w:p>
    <w:p>
      <w:pPr>
        <w:pStyle w:val="24"/>
        <w:ind w:firstLine="482"/>
        <w:outlineLvl w:val="2"/>
        <w:rPr>
          <w:highlight w:val="none"/>
        </w:rPr>
      </w:pPr>
      <w:r>
        <w:rPr>
          <w:rFonts w:hint="eastAsia" w:cs="宋体"/>
          <w:b/>
          <w:highlight w:val="none"/>
          <w:lang w:bidi="ar"/>
        </w:rPr>
        <w:t>1.硬件产品清单</w:t>
      </w:r>
    </w:p>
    <w:tbl>
      <w:tblPr>
        <w:tblStyle w:val="63"/>
        <w:tblW w:w="5126" w:type="pct"/>
        <w:jc w:val="center"/>
        <w:tblLayout w:type="fixed"/>
        <w:tblCellMar>
          <w:top w:w="0" w:type="dxa"/>
          <w:left w:w="108" w:type="dxa"/>
          <w:bottom w:w="0" w:type="dxa"/>
          <w:right w:w="108" w:type="dxa"/>
        </w:tblCellMar>
      </w:tblPr>
      <w:tblGrid>
        <w:gridCol w:w="455"/>
        <w:gridCol w:w="1373"/>
        <w:gridCol w:w="5833"/>
        <w:gridCol w:w="525"/>
        <w:gridCol w:w="524"/>
      </w:tblGrid>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kern w:val="0"/>
                <w:sz w:val="18"/>
                <w:szCs w:val="18"/>
                <w:lang w:bidi="ar"/>
              </w:rPr>
              <w:t>序号</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kern w:val="0"/>
                <w:sz w:val="18"/>
                <w:szCs w:val="18"/>
                <w:lang w:bidi="ar"/>
              </w:rPr>
              <w:t>品名</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kern w:val="0"/>
                <w:sz w:val="18"/>
                <w:szCs w:val="18"/>
                <w:lang w:bidi="ar"/>
              </w:rPr>
              <w:t>技术参数等要求</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kern w:val="0"/>
                <w:sz w:val="18"/>
                <w:szCs w:val="18"/>
                <w:lang w:bidi="ar"/>
              </w:rPr>
              <w:t>单位</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kern w:val="0"/>
                <w:sz w:val="18"/>
                <w:szCs w:val="18"/>
                <w:lang w:bidi="ar"/>
              </w:rPr>
              <w:t>数量</w:t>
            </w:r>
          </w:p>
        </w:tc>
      </w:tr>
      <w:tr>
        <w:tblPrEx>
          <w:tblCellMar>
            <w:top w:w="0" w:type="dxa"/>
            <w:left w:w="108" w:type="dxa"/>
            <w:bottom w:w="0" w:type="dxa"/>
            <w:right w:w="108" w:type="dxa"/>
          </w:tblCellMar>
        </w:tblPrEx>
        <w:trPr>
          <w:trHeight w:val="23" w:hRule="atLeast"/>
          <w:jc w:val="center"/>
        </w:trPr>
        <w:tc>
          <w:tcPr>
            <w:tcW w:w="76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24"/>
              </w:rPr>
            </w:pPr>
            <w:r>
              <w:rPr>
                <w:rFonts w:hint="eastAsia" w:ascii="宋体" w:hAnsi="宋体" w:cs="宋体"/>
                <w:b/>
                <w:bCs/>
                <w:color w:val="000000"/>
                <w:kern w:val="0"/>
                <w:sz w:val="24"/>
                <w:lang w:bidi="ar"/>
              </w:rPr>
              <w:t>一、紧急报警系统</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4"/>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4"/>
              </w:rPr>
            </w:pP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前端探测器设备</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b/>
                <w:bCs/>
                <w:color w:val="000000"/>
                <w:sz w:val="20"/>
                <w:szCs w:val="20"/>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紧急按钮（有线）</w:t>
            </w:r>
          </w:p>
        </w:tc>
        <w:tc>
          <w:tcPr>
            <w:tcW w:w="5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接线方式：常闭                                                                 • 86盒孔位安装                                                                            • 最大耐压：250V                                                                                     • 最大耐流：300mA；</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 外壳材质：ABS阻燃材料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 钥匙：金属                                                                            </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报警专用电源</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DC12V</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声光报警器</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报警时鸣叫同时有灯闪烁，ABS阻燃塑胶外壳；                                                                       • 工作电压：DC9—16V；                                                                                      • 报警声压：≥85dB@1m；</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室内网络报警主机</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 额定输入电压：9-18VDC,具备反接保护</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额定消耗电流：静态65mA，满载电流〈500mA</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使用工作温度：-10℃~55℃</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相对湿度：95%RH@40度</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 防区数量：16路有线+8路无线                                                       • 防区扩展功能：可扩展64个防区（支持防区模块扩展和LED防区键盘）                                   </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主控分控功能；                                                                       • 继电器输出：1路                                                            • 报警输出：1路警号输出</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 报警通讯方式：网络传输                                                                                                                                 • 中文LCD显示  </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中间设备</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b/>
                <w:bCs/>
                <w:color w:val="000000"/>
                <w:sz w:val="20"/>
                <w:szCs w:val="20"/>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485单模光纤转换器</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·采集各报警主机的状态，上传上一级通讯机；同时向各用户终端（报警主机）传达管理中心的控制、配置命令                                       </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 xml:space="preserve">·在上级通讯机出现故障时，可保存长达12小时的状态数据，待上级通讯机恢复正常后，会主动上报状态信息                                         </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·接入系统中即自动发送本身的及转发的信号 可以连接120台用户报警主机</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·主机可输出12V/3A电源，工作电压：AC220V</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消耗电流：≦100mA</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总线端口：1路输入+1路输出</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工作温度：-10℃-+45℃</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环境湿度：40℃≦95%</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外形尺寸：160*220*72㎜</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2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485转换器</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1.中继延长485总线网络的通信距离，增强485总线网络设备的数目。可以将485总线进行光电隔离，防止共模电压干扰</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2.信号延长距离1000米（周界长度较长时使用）</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2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485集线器</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4路485信号集线，增加信号的分支节点数，多条总线时使用</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2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后备电池</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满足系统、设计、技术要求</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中心设备</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b/>
                <w:bCs/>
                <w:color w:val="000000"/>
                <w:sz w:val="20"/>
                <w:szCs w:val="20"/>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中心接警主机</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双向通讯，采用高端处理路，超快运行速度，超大的容量设计最可支持2000个防区。                                         •带网络接收功能，可不需要电脑脱机使用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集成双总线驱动器、串口转换器，或者通过扩展模块实现；</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在中心电脑故障或紧急情况下可通过报警键盘对主机进行控制</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热插拔双电源冗余备份供电设计，支持连接蓄电池提供备电，免维护铅蓄电池智能充电控制电路，对电池实时监控，过冲，过放.PWM充电控制.在电池电量到达临界点时，自动完全关断，寿命最大化，确保高效可靠的系统供电</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具备严密的用户权限管理功能，可设置15级密码权限，保障系统的安全性</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具有完善的系统运行日志功能，便于日常系统的管理及维护                      • 128个时间驱动表，每组时间驱动表可最多设置执行多个事件（防区布防/撤防.防区旁路/恢复.），可以做到无人值守.                            • 多种可编程智能联动，实现电子地图，DVR报警输入.就地报警等功能.每个防区最多支持9个联动输出，支持报警联动，布撤防联动，异常联动等.</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总线通讯距离长达5200米（RVV2*1.0），单向2600米                                                                                                                • 支持硬件SDK开放，供第三方系统集成商进行二次开发                                       • 满足上海地标</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0"/>
                <w:szCs w:val="20"/>
                <w:lang w:bidi="ar"/>
              </w:rPr>
              <w:t>报警软件</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200"/>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简洁、直观的用户状态显示窗口，实时反映用户的当前布撤防及报警状态</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具有完善的用户资料管理功能：新用户添加、历史用户修改、用户信息查询/排序/删除及列表打印便捷（事件分类查询及报表导出）</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支持预定撤布防预案设置，可按时间设定</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实时事件接收栏可根据不同的警情信息自动分类；可以通过不同的颜色及字体区分不同的事件</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•可同时集中监控多台防盗报警主机</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 可实时报警、实时巡更监控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可远程进行撤防、外出布防、周界布防等操作；可以设置外出延时、进入延时等参数</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可远程控制报警主机各防区，开启、旁路等参数</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可系统记录所有报警信息，可依条件查询所需的报警历史信息，并具有打印功能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具备声音提示报警功能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具备电子地图联动功能，能够在用户处理相关报警记录时，显示相应电子地图</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设计了分区图、事件记录、用户状态列表等多种监控手段，能够一目了然地看到整个系统的运行状况</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可操作员分级权限管理，每级用户具有不同的管理权限，根据所赋予的权限可以进行相应的系统访问和监控操作，以防止非法登录和越权操作。</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系统具有自动备份报警历史记录功能，并且可根据用户设定自动优化系统数据库记录数量大小</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具备完善的事件记录系统。例如报警记录、系统记录、操作记录等。可以按各种顺序排序，执行分类查询等操作</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 报警个性颜色显示，定时清除布撤防等可不用处理事件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快速响应与总线式主机紧密相连，实时显示主机和防区状态</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可编辑联动设备功能及触发时间。</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报警键盘</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LCD中文显示                                                                         • 具有分区功能、单防区布撤防功能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 具有过压、过流和防雷击功能                                                                                             </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声光报警器</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报警时鸣叫同时有灯闪烁，ABS阻燃塑胶外壳；                                                                       • 工作电压：DC9—16V；                                                                                      • 报警声压：≥85dB@1m；</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网络中继器</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可将模拟总线数据信号转换成TCP/IP协议传输；</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 可在上级通讯机出现故障时，保存长达12小时的状态数据，待上级通讯机恢复正常后，会主动上报状态信息；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接入系统中即自动发送信号；</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可通过此模块进行组成超大型管理平台；</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可通过网络传输实现多地区跨区集中管理；</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 工作电压：220V； </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关联报警设备</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B450主板/8G/1TB/1G显卡/千兆网卡/DOS/含22寸显示器/3年保修</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 </w:t>
            </w:r>
          </w:p>
        </w:tc>
      </w:tr>
      <w:tr>
        <w:tblPrEx>
          <w:tblCellMar>
            <w:top w:w="0" w:type="dxa"/>
            <w:left w:w="108" w:type="dxa"/>
            <w:bottom w:w="0" w:type="dxa"/>
            <w:right w:w="108" w:type="dxa"/>
          </w:tblCellMar>
        </w:tblPrEx>
        <w:trPr>
          <w:trHeight w:val="23" w:hRule="atLeast"/>
          <w:jc w:val="center"/>
        </w:trPr>
        <w:tc>
          <w:tcPr>
            <w:tcW w:w="767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b/>
                <w:bCs/>
                <w:color w:val="000000"/>
                <w:sz w:val="24"/>
              </w:rPr>
            </w:pPr>
            <w:r>
              <w:rPr>
                <w:rFonts w:hint="eastAsia" w:ascii="宋体" w:hAnsi="宋体" w:cs="宋体"/>
                <w:b/>
                <w:bCs/>
                <w:color w:val="000000"/>
                <w:kern w:val="0"/>
                <w:sz w:val="24"/>
                <w:lang w:bidi="ar"/>
              </w:rPr>
              <w:t>二、数字监控系统</w:t>
            </w: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前端摄像机设备</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室外200万高清红外枪机</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传感器类型：1/2.8英寸CMOS；</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像素：200万；</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最大分辨率：1920×1080；</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最低照度：0.002Lux(彩色模式);0.0002Lux(黑白模式);0Lux(补光灯开启)。；</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最大补光距离：100m（红外视频监控距离）30m（暖光视频监控距离）5m（暖光人脸检测距离）；</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镜头类型：电动变焦；</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镜头焦距：2.7mm~13.5mm；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通用行为分析：物品遗留；物品搬移；</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热度图：支持；</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周界防范：绊线入侵；区域入侵；快速移动（三项均支持人车分类及精准检测）；徘徊检测；人员聚集；停车检测；</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人脸检测：支持人脸检测；支持跟踪；支持优选；支持抓拍；支持上报最优的人脸抓图；支持人脸增强，支持人脸曝光；支持人脸抠图区域可设：人脸，单寸照；支持实时抓拍、优选抓拍、质量优先三种抓拍策略；支持人脸角度过滤功能；支持优选时长可设；</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人数统计：支持对进入、离开以及经过的人员进行数量统计，并可显示及输出日、月、年统计报表；支持区域内人员进行数量统计，支持4条规则配置，对限定的区域内人数和滞留时间进行统计并联动报警；支持排队管理，支持4条规则配置，对限定的排队人数和排队时间进行统计并联动报警；</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视频压缩标准：H.265；H.264；H.264H；H.264B；MJPEG（仅辅码流支持）；</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智能编码：H.264：支持H.265：支持；</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宽动态：120dB；</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透雾功能：支持；</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内置MIC：支持；</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内置扬声器：支持；</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报警事件：无SD卡；SD卡空间不足；SD卡出错；网络断开；IP冲突；非法访问；动态检测；视频遮挡；绊线入侵；区域入侵；快速移动；物品遗留；物品搬移；徘徊检测；人员聚集；停车检测；场景变更；音频异常侦测；电压检测；虚焦侦测；人脸检测；SMD；区域内人数统计；滞留报警；人数统计；人数异常检测；排队人数；排队时间；安全异常；灯光报警；声音报警（内置21种语音可选，支持用户自定义语音导入）；</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接入标准：ONVIF（Profile S/Profile G/Profile T）;CGI;GB/T28181（双国标）;GA/T1400;乐橙;；</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最大Micro SD卡：256GB；</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供电方式：DC12V/POE；</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防护等级：IP67</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91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室外4K高清枪机</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传感器类型：1/1.8英寸CMOS；</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像素：800万；</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最大分辨率：3840×2160；</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最低照度：0.002Lux（彩色模式）;0.0002Lux（黑白模式）;0Lux（补光灯开启）；</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最大补光距离：60m（红外视频监控距离）30m（暖光视频监控距离）4m（暖光人脸检测距离）；</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镜头类型：电动变焦；</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镜头焦距：2.7mm~12mm；</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通用行为分析：物品遗留;物品搬移；</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热度图：支持；</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周界防范：绊线入侵；区域入侵；快速移动（三项均支持人车分类及精准检测）；徘徊检测；人员聚集；停车检测；</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人脸检测：支持人脸检测；支持跟踪；支持优选；支持抓拍；支持上报最优的人脸抓图；支持人脸增强，支持人脸曝光；支持人脸抠图区域可设：人脸，单寸照；支持实时抓拍、优选抓拍、质量优先三种抓拍策略；支持人脸角度过滤功能；支持优选时长可设；</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人数统计：支持对进入、离开以及经过的人员进行数量统计，并可显示及输出日、周、月、年统计报表；支持区域内人员进行数量统计，支持4条规则配置，对限定的区域内人数和滞留时间进行统计并联动报警；支持排队管理，支持4条规则配置，对限定的排队人数和排队时间进行统计并联动报警；</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视频压缩标准：H.265;H.264;H.264H;H.264B;MJPEG（仅辅码流支持）；</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智能编码：H.264:支持;H.265:支持；</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宽动态：120dB；</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透雾功能：支持；</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内置MIC：支持；</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内置扬声器：支持；</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报警事件：无SD卡;SD卡空间不足;SD卡出错;网络断开;IP冲突;非法访问;动态检测;视频遮挡;绊线入侵;区域入侵;快速移动;物品遗留;物品搬移;徘徊检测;人员聚集;停车检测;SMD;场景变更;音频异常侦测;电压检测;虚焦侦测;外部报警;人脸检测;区域内人数统计;滞留报警;人数统计;人数异常检测;排队管理;灯光报警;声音报警;安全异常；</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接入标准：ONVIF（Profile S/Profile G/Profile T）;CGI;GB/T28181（双国标）;GA/T1400；</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最大Micro SD卡：256GB；</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音频输入：1路（RCA头）；</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音频输出：1路（RCA头）；</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报警输入：3路（湿节点,支持直流3V~5V电位,5mA电流）；</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报警输出：2路（湿节点,支持直流最大12V电位,0.3A电流）；</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供电方式：DC12V/POE；</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防护等级：IP67</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123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双目客流-400万红外定焦海螺网络摄像机</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支持高度自适应功能，可适配安装高度和角度提升顶装下客流功能检测效果</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内置GPU芯片，支持深度学习算法，有效提升检测准确率</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支持三种智能资源切换：人数统计、通用行为分析、人脸检测</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支持人数统计：支持排队管理；支持区域内人数统计；进入/离开人数统计，并可生成人数统计日/周/月/年报表，导出使用</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支持绊线入侵，区域入侵，快速移动，物品遗留，物品搬移，徘徊检测，人员聚集，停车检测</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支持人脸检测：支持跟踪，支持优选，支持抓拍，支持上报最优的人脸抓图，支持人脸增强，人脸曝光，支持人脸属性提取，支持6种属性，8种表情</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支持三码流功能，两路高清视频显示</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采用高性能星光级低照度400万像素1/3英寸CMOS图像传感器，低照度效果好，图像清晰度高</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最大可输出400万(2560 × 1440)@25fps</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支持H.265编码，压缩比高，实现超低码流传输</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内置高效红外补光灯，最大红外监控距离14米</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支持宽动态，3D降噪，强光抑制，背光补偿，数字水印，适用不同监控环境</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支持ROI，SMART H.264/H.265，灵活编码，适用不同带宽和存储环境</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支持报警2进2出，音频2进1出，485，BNC，最大支持512G Micro SD卡，内置麦克和扬声器</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支持DC12V/POE供电方式，支持12V电源返送，最大电流165mA，方便工程安装</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支持IP67防护等级</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20 </w:t>
            </w:r>
          </w:p>
        </w:tc>
      </w:tr>
      <w:tr>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室外4K高清红外球机</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传感器类型：1/1.2英寸CMOS；</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像素：800万；</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最大分辨率：3840×2160；</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最低照度：彩色：0.0005Lux@F1.5黑白：0.0001Lux@F1.50Lux（红外灯开启）；</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最大补光距离：250m（红外）；</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补光类型：红外；</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镜头焦距：8mm-320mm；</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光学变倍：40倍；</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视频结构化：支持机动车、非机动车、人脸、人体检测；支持优选；支持抓拍；支持上报最优的抓图机动车属性（车牌，车牌颜色 ，车辆类型，车身颜色，车标，车系/年款，遮阳板，安全带，抽烟，打电话，车内饰品，年检标志）非机动车属性（类型，车身颜色，骑车人数，上衣类型，上衣颜色，帽子）人体属性（上衣类型，下衣类型，上衣颜色，下衣颜色，背包，帽子，性别，雨伞）人脸属性（性别，年龄，表情，戴眼镜，戴口罩，胡子）；</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周界防范：支持绊线入侵；支持区域入侵；支持穿越围栏；支持徘徊检测；支持物品遗留；支持物品搬移；支持快速移动；支持停车检测；支持人员聚集；支持人车分类报警；支持联动跟踪；</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人脸识别：支持人脸检测；支持人脸轨迹框；支持优选；支持抓拍；支持上报最优的人脸抓图；支持人脸增强，人脸曝光；支持人脸属性提取，支持6种属性，8种表情：性别，年龄，眼镜，表情（愤怒，悲伤，厌恶，害怕，惊讶，平静，高兴，困惑），口罩，胡子；支持人脸抠图区域可设：人脸，单寸照；支持实时抓拍，优选抓拍，质量优先三种抓拍策略；支持添加5个人脸库；支持单个以及批量人员注册；支持人脸识别相似度设置；支持1万人脸底库的人脸比对；</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透雾功能：光学透雾；</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音频输入：1路（LINE IN；裸线）；</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音频输出：1路（LINE OUT；裸线）；</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报警接口：2进1出；</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语音对讲：支持；</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报警输入：2路，开关量输入（0~5V DC）；</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报警输出：1路；</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供电方式：DC24V/2.5A±25%（标配）；</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球机尺寸：8寸；</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接口类型：RJ45接口</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13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大堂200万高清半球</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传感器类型：1/1.8英寸CMOS；</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像素：200万；</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最大分辨率：1920×1080；</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最低照度：0.01Lux(彩色模式);0.001Lux(黑白模式);0Lux(补光灯开启)；</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最大补光距离：50m（红外）；</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镜头类型：手动变焦；</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镜头焦距：2.8mm~12mm；</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视频压缩标准：H.265；H.264；H.264B；MJPEG（仅辅码流支持）；</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智能编码：H.264：支持H.265：支持；</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宽动态：支持；</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报警事件：无SD卡；SD卡空间不足；SD卡出错；网络断开；IP冲突；非法访问；动态检测；视频遮挡；音频异常侦测；虚焦侦测；外部报警；安全异常；</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接入标准：ONVIF（Profile S/Profile T）；CGI；GB/T28181；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最大Micro SD卡：256GB；</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音频输入：1路（RCA头）；</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音频输出：1路（RCA头）；</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报警输入：1路（湿节点,支持直流3V~5V电位,5mA电流）；</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报警输出：1路（湿节点,支持直流最大12V电位,0.3A电流）；</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供电方式：DC12V/POE；</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防护等级：IP67</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53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200万电梯专用数字摄像机（含镜头）</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支持电瓶车入梯检测算法，可实现电瓶车入梯行为的检测及报警</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内置ToF传感器，可对画面中人为手、雨伞等恶意遮挡相机行为进行报警</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产品包含1路楼层信号光电传感器</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采用高性能200万像素1/2.8英寸CMOS图像传感器，低照度效果好，图像清晰度高</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最大可输出200万( 1920 × 1080 )@25/30fps</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支持H.265编码，压缩比高，实现超低码流传输</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内置高效白光和红外补光灯，最大红外监控距离20米</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支持走廊模式，宽动态，3D降噪，强光抑制，背光补偿，数字水印，适用不同监控环境</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支持ROI，SMART H.264/H.265，灵活编码，适用不同带宽和存储环境</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支持报警1进1出（报警输出为干式报警，支持常开/常闭），最大支持256G Micro SD卡，内置MIC</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支持DC12V供电方式</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枪机壁装支架</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壁装支架/白/铝合金/尺寸70×97.1×173.4mm；</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234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球机壁装支架</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壁装支架/白色/铝合金/尺寸306.3×97.3×182.6mm</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13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电梯监控专用无线网桥</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业务端口：1 * WAN口： 100 Mbps （PoE IN）3 * LAN 口 ：100 Mbps；</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电源模块接口：PoE：24 V（RJ-45）DC :12 V；</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无线标准：IEEE802.11 b/g/n；</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推荐视频路数：3路200 W像素4 M码流IPC3路400 W像素4 M码流IPC；</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空口速率：300 Mbps；</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工作频率：2.4 GHz - 2.484GHz；</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工作温度：-20 ℃ -- 55 ℃</w:t>
            </w:r>
            <w:r>
              <w:rPr>
                <w:rFonts w:hint="eastAsia" w:ascii="宋体" w:hAnsi="宋体" w:cs="宋体"/>
                <w:color w:val="000000"/>
                <w:kern w:val="0"/>
                <w:sz w:val="20"/>
                <w:szCs w:val="20"/>
                <w:lang w:bidi="ar"/>
              </w:rPr>
              <w:br w:type="textWrapping"/>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2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无线网桥电源</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DC12V7A</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2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电源适配器</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AC24V/5A</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13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摄像机开关电源</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DC12V/2A</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288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中间设备</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围墙上立杆</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60-80cm</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根</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123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摄像机立杆</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（3.5米）订制</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根</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69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摄像机立杆基础</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600*500*700 mm</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192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19U壁挂标准机柜</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19U</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4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PDU排插</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PDU排插</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36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室外不锈钢设备箱（防水型</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800*600*300</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20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室外不锈钢设备箱（防水型）</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600*500*200</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12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21</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8口接入层交换机（千兆）</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交换容量20Gbps，转发率15Mpps，8个千兆电, 2个千兆SFP ; MAC 8K，智能共享缓存架构，支持四级拨码开关（标准、VLAN隔离、流量控制、端口聚合），支持端口防雷9KV，自然散热无风扇设计；负20~60℃宽温设计；功率≤5.9W；100V-240V</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16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24口接入层交换机（千兆）</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交换容量56Gbps，转发率39Mpps，24个千兆电, 2个千兆SFP ; MAC 16K，智能共享缓存架构，支持端口防雷9KV，支持3级拨码开关（标准交换、网络克隆、汇聚上联三种工作模式），自然散热无风扇设计；负20~60℃宽温设计；功率≤18W；100V-240V AC；</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21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24口光纤配线架</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含熔接盘（导轨式）（SC)（不含适配器）</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21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理线器</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1</w:t>
            </w:r>
            <w:r>
              <w:rPr>
                <w:rFonts w:hint="eastAsia" w:ascii="宋体" w:hAnsi="宋体" w:cs="宋体"/>
                <w:color w:val="000000"/>
                <w:kern w:val="0"/>
                <w:sz w:val="20"/>
                <w:szCs w:val="20"/>
                <w:lang w:bidi="ar"/>
              </w:rPr>
              <w:t>U</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36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8芯终端盒</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（满配）</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36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尾纤（1.5米，含保护套）</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1.5米-单模-SC/UPC</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条</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432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光纤熔接</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采用热缩管保护直熔方式</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432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光纤耦合器LC</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单口，LC/UPC-LC/UPC</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432 </w:t>
            </w:r>
          </w:p>
        </w:tc>
      </w:tr>
      <w:tr>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29</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单芯跳纤（3米）</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单模，缆径2.0/3.0,类型为G.652D,LC/UPC-SC/UPC</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条</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36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中心设备</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46寸高清液晶监视器</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产品尺寸：46英寸</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2、双边拼缝：3.5mm</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3、分辨率：1920*1080</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4、亮度：500cd/m2</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5、输入接口：VGA(D-Sub)*1、CVBS(BNC)*2、DVI-D*1、HDMI*1、RS232(RJ45)*1、USB（升级和多媒体）*1</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6、输出接口：CVBS(BNC)*2、RS232(RJ45)*1</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18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32</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46寸拼接屏支架</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46寸模块化支架、底座</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18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拼接屏控制器</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12进12出,用于图像信号的接入、处理、显示及控制功能，信号源用于给系统提供可显示的信号，包括电脑、视频、网络等</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套</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2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34</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12路高清解码器</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1：采用嵌入式架构，专用Linux系统；</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2：具12路HDMI视频输出接口；支持4K输出；</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3：支持96路1080P解码输出；单屏支持不小于16画面分割显示；</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4：设备支持：2个HDMI，2个DVI，2个VGA输入接口；支持外接电脑桌面解码输出</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5：设备支持解码，拼接，开窗，漫游；</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6：支持H.265、H.264的解码格式；</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2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网络键盘</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1：支持控制数字矩阵、多路解码器的矩阵切换和前端通道的云台控制；</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2：支持视频上墙控制；</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3：支持连接键盘鼠标操作；</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4：7寸1024*600高清液晶屏；</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5：支持1080p/720p/4CIF等多种分辨率的网络视频直接在液晶屏预览。</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24盘位磁盘阵列</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主处理器：64位高性能多核处理器；</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操作系统：嵌入式LINUX操作系统；</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控制器：单控；</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高速缓存：标配8GB，可扩展至64GB；</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视频直存（私有协议）：320路（800Mbps）接入，320路（800Mbps） 存储，320路（800Mbps） 转发，32路（64Mbps）网络回放；</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硬盘接口：24个，SATA，单盘容量支持1~18TB，支持热插拔，支持CMR，支持企业盘，（硬盘型号参考配套产品）</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4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37</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16路智能网络视频分析管理设备</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1、2U机箱，单电源，8盘位，最大可满配16TB硬盘，支持硬盘热插拔，支持RAID0/1/5/6/10/50/60，支持全局热备盘；</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2、4路HDMI，1路VGA，HDMI1+VGA1同源输出，支持1个4K显示输出；</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3、4个10/100/1000Mbps自适应以太网口；</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4、支持128路H.264/H.265混合接入，网络带宽400Mbps接入、320Mbps存储、96Mbps转发；</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5、支持20个1080P解码显示输出，支持Smart H.265;H.265;Smart H.264;H.264混合解码；</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6、支持最大选配8类算法，支持展示所有安装的算法及版本，展示算法状态，可对已安装的算法进行手动更新；</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7、设备内置4颗高性能GPU，每颗GPU最多可虚拟成4个智能引擎，每个智能引擎支持单独运行一类算法；</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单GPU支持4路1080P或4路400万分辨率，可最多再配置3种算法混合运行；</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8、在算法能力范围内，支持单通道多智能；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9、后智能分析支持实时模式和分时轮巡模式切换，在分时轮巡模式下，依据算法能力不同，可配置分时视频分析和轮巡视频分析，单个轮巡任务最大支持64路，轮巡间隔可配置30-3600秒；</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10、支持联动录像，抓图，日志，蜂鸣，邮件，预置点，本地报警输出，IPC报警输出，门禁，语音播报，声光报警联动。</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2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企业级硬盘</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企业级4T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96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39</w:t>
            </w:r>
          </w:p>
        </w:tc>
        <w:tc>
          <w:tcPr>
            <w:tcW w:w="13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机架式核心交换机(6槽位)</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机箱</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2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40</w:t>
            </w:r>
          </w:p>
        </w:tc>
        <w:tc>
          <w:tcPr>
            <w:tcW w:w="13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主控交换模块-AS类</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2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41</w:t>
            </w:r>
          </w:p>
        </w:tc>
        <w:tc>
          <w:tcPr>
            <w:tcW w:w="13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650W AC电源</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2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42</w:t>
            </w:r>
          </w:p>
        </w:tc>
        <w:tc>
          <w:tcPr>
            <w:tcW w:w="13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48端口千兆以太网光接口模块(SFP+,LC)(SC)</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2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43</w:t>
            </w:r>
          </w:p>
        </w:tc>
        <w:tc>
          <w:tcPr>
            <w:tcW w:w="13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48端口千兆以太网电接口模块(RJ45)(SC)</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2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24口光口汇聚层交换机（万兆）</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交换容量：4.4Tbps 包转发率：135Mbps；24端口千兆光8复用千兆电+4端口万兆光，以太网交换机（1个CLI控制口，24个千/百兆SFP光口8个复用千兆电口，4个万/千兆SFP+光口，标配AC220V电源，风扇散热，1U高端，标准19英寸机架式安装）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2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45</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光模块</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SFP+ 万兆模块(1310nm,10km,LC)</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74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46</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物联网管理设备</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CPU：Intel Xeon 2颗（单颗 10 核心及以上）</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RAM：64G</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ROM：总容量 RAID 前不少于 6TB SAS 硬盘（配 RAID 1）</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RAID卡：存储控制器 (RAID) - 可插拔卡（12Gbit/s 以上）</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I/O：千兆网口（至少具备RJ45电口*2）、万兆spf光口（至少具备光口*2）、USB 3.0*2、视频输出</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双电源</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3质保+上门服务</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拓展性需求：需预留至少 8 条内存插槽，6 条 PCIE 插槽，至少支持双 CPU</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标准 2U 机架式服务器</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47</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智能物联综合管理平台</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200"/>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智能物联综合管理平台基础包，包括系统管理、视频管理、报警管理、门禁管理、可视对讲、车辆卡口、设备运维、停车管理8大业务系统。模块和授权单独分开报价。其中;</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1、系统管理;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支持基础资源（组织、设备、人、卡、车等信息）管理，提供事件中心、数据存储、电子地图、日志记录等基础功能;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支持平台运维，提供服务部署维护功能、支持模块化升级部署、系统资源使用情况监控等运维相关功能；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支持级联、分布式、集群，实现系统核心能力提升；</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支持双机热备，提升系统灾备能力，保障系统的可靠性；</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支持mysql数据库、云数据库，统一云、标准云、智微云，满足图片、视频、结构化数据的按需求存储；</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支持标准开放平台，提供rest ful 等多维度接口，显示数据互联互通；</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支持光栅、矢量、3D 三种类型，不同厂家的地图；</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支持自定义定制，如：皮肤切换，设备校时，表单自定义；</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支持按照用户配置的权限过滤展示组织设备树、部门人员树、数据查询；</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2、视频管理;</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支持实时视频、录像回放、录像下载、电视墙、雷球联动，热成像;</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支持与车载单兵等移动设备的对接，提供车载单兵设备GPS信息接收服务;</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支持手机移动客户端进行实时视频监控，音频播放，本地截图，本地录像，云台控制，远程视频回放;</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3、报警管理;</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支持报警主机接入及布撤防；</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4、门禁管理;</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支持门禁设备管理;</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支持门禁控制，包括：门通道控制、门组分配、首卡开门、多卡开门、多门互锁、反潜回、开门计划、远程验证、常开常闭;</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支持门禁控制授权及复核，支持门禁管理任务查询；</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支持门禁系统集群，分布式方式提升接入能力;</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5、可视对讲;</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支持设备管理、权限分组、呼叫分组、监控权限分组、信息发布分组;</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支持卡片、人脸等授权及复核；</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支持呼叫通话、信息发布、开门记录查询;</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支持同时最大100路对讲;</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6、园区卡口;</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支持道路监控、过车记录、布控记录、违章信息、区间测试;</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支持布控报警及相关记录信息查询；</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7、设备运维;</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资源监控模块：最大支持对十万点位运维，支持对前端点位、物联设备、动环主机、服务器、服务进行统一纳管监控运，绘制服务拓扑;</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报警管理模块：最大支持存储一年报警数据，支持对所纳管资源配置报警策略，并将产生的报警消息进行统一汇聚和展示，支持对报警进行确认处理，联动工单，推送报警消息、短信及邮件;</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自动化巡检模块：支持对前端视频点位的视频质量及录像巡检、服务器及服务的资源占用巡检、网络环境巡检;</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可视化报表模块：支持故障工单统计和报警统计;</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运维工具箱模块：提供巡检平台，支持上传可执行文件生成巡检记录和手动执行记录;</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8、停车管理;</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支持出入口管理、场区管理、地图管理、收费规则管理、用户布控设置、场内超速报警；</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支持配套云睿实现在线支付和无人值守；</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单台系统支持出入口设备最大50进50出；</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48</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门禁管理系统_通道数量</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性能参数：；</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单台支持门禁设备最大数量：1000；</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最多20个集群支持门禁设备最大数量：2万；</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功能参数：；</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1、门禁权限设置，并支持进行权限的快速下发；</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2、门禁相关记录查询，显示过人记录、考勤记录、设备状态记录等；</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3、支持门禁报警，联动视频、抓图、录像、上墙、短信、邮件、广播等功能；</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30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49</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智能物联综合管理平台（标准版管理设备）</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内存：配置2条16GB DDR4 2666 REG内存； 配置4根内存插槽,最大可扩展至256B内存，支持Non ECC UDIMM/ECC UDIMM/RDIMM。</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硬盘：配置2块2T 3.5吋 6GbSATA热插拔硬盘； 最大支持4块3.5吋/2.5吋SSD/SAS/SATA硬盘。</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机械盘需写明转速、接口、传输速率：7200转，SATA接口，6Gb/s</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RAID控制器：LSI SAS3008 SAS卡/无缓存</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50</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客流管理系统_客流人数统计</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1、支持区域管理和区域卡片展示；</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2、支持实时、历史进出客流、累计客流、客流占比的统计与导出；</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3、支持门禁设备在场人员、过人记录统计与导出；</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4、支持区域客流冷热分布图及排名展示；</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5、支持区域离岗检测、区域人数上限/下限检测、计划人数不符检测及报警联动；</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6、支持移动端展示区域客流分布分析；</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51</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视频通道授权模块</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性能参数：；</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1、视频子系统最大支持10万路视频通道接入；</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2、视频级联管理支持管理5个上级、99个下级；</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3、实时视频最大支持64画面分割，录像回放支持36路画面；</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4、最大电视墙上墙路数200路；</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5、最大同时录像下载任务个数5个；</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功能参数：；</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1、支持实时预览，云台控制、录像回放、视频上墙等基础功能；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2、支持flv/hls/rtmp协议拉流，提供给第三方调用；</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3、支持mac采集设备，能够将前端设备采集到的mac信息在客户端上展示；</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4、支持视频云存储直存节点，满足用户对视频云存储多种部署方式的要求；</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20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52</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视频监控域名+SSL证书</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视频监控域名+SSL证书</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十年</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53</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系统调试</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系统调试</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 </w:t>
            </w:r>
          </w:p>
        </w:tc>
      </w:tr>
      <w:tr>
        <w:tblPrEx>
          <w:tblCellMar>
            <w:top w:w="0" w:type="dxa"/>
            <w:left w:w="108" w:type="dxa"/>
            <w:bottom w:w="0" w:type="dxa"/>
            <w:right w:w="108" w:type="dxa"/>
          </w:tblCellMar>
        </w:tblPrEx>
        <w:trPr>
          <w:trHeight w:val="23" w:hRule="atLeast"/>
          <w:jc w:val="center"/>
        </w:trPr>
        <w:tc>
          <w:tcPr>
            <w:tcW w:w="767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b/>
                <w:bCs/>
                <w:color w:val="000000"/>
                <w:sz w:val="24"/>
              </w:rPr>
            </w:pPr>
            <w:r>
              <w:rPr>
                <w:rFonts w:hint="eastAsia" w:ascii="宋体" w:hAnsi="宋体" w:cs="宋体"/>
                <w:b/>
                <w:bCs/>
                <w:color w:val="000000"/>
                <w:kern w:val="0"/>
                <w:sz w:val="24"/>
                <w:lang w:bidi="ar"/>
              </w:rPr>
              <w:t>三、门禁系统</w:t>
            </w: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前端读卡设备</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b/>
                <w:bCs/>
                <w:color w:val="000000"/>
                <w:sz w:val="20"/>
                <w:szCs w:val="20"/>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人脸识别终端</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1.便携式安装可立柱，可上墙；2. 采用非接触式测温模块，1米内快速测人体温度筛查高烧人员，检测精度达到0.5℃；，支持屏幕上显示测量温度，对超出温度阈值人员即时告警，并予以记录； 支持体温人员数据上报相关部门，保留接口； 设备支持工作模式，人脸识别门禁+体温检测； 精致时尚外观、工业质感设计； 200万高清极致画质，清晰捕捉每一个细节特征； 采用深度学习智能人脸识别技术，99.99%金融支付级精准识别，实现秒级开门，无感通行； 支持离线30000张人脸底库 1.5米远距离人脸识别，无缝接入浙住通，实现人房数据上报</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30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分体式四门控制器</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支持IC卡、CPU卡、指纹、手机卡、二代身份证（具体以所接读头为准）；</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支持刷卡、PC远程开门/关门、公共密码、胁迫密码、多卡、卡+密码、多群组多卡；</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支持供电电压220V；</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可接入4个读卡器；</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有效卡容量≥100000张；</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事件记录容量≥100000条；</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支持开门延时时间1s</w:t>
            </w:r>
            <w:r>
              <w:rPr>
                <w:rFonts w:ascii="微软雅黑" w:hAnsi="微软雅黑" w:eastAsia="微软雅黑" w:cs="微软雅黑"/>
                <w:color w:val="000000"/>
                <w:kern w:val="0"/>
                <w:sz w:val="20"/>
                <w:szCs w:val="20"/>
                <w:lang w:bidi="ar"/>
              </w:rPr>
              <w:t>〜</w:t>
            </w:r>
            <w:r>
              <w:rPr>
                <w:rFonts w:hint="eastAsia" w:ascii="宋体" w:hAnsi="宋体" w:cs="宋体"/>
                <w:color w:val="000000"/>
                <w:kern w:val="0"/>
                <w:sz w:val="20"/>
                <w:szCs w:val="20"/>
                <w:lang w:bidi="ar"/>
              </w:rPr>
              <w:t>254s；</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数据保存时间≥10年；</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工作电压DC12V±15%；</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工作温度-25℃~65℃；</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工作湿度≤95%，不凝露（常温下）；</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通讯方式应满足TCP/IP通讯；</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与读卡器通讯方式：RS485/韦根；</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功耗：10W；</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12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单门磁力锁</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240KG</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11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双门磁力锁</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240KG</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15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磁力锁支架</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L型支架</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把</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26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开门按钮（触摸款）</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开门按钮（触摸款）</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3mm玻璃钢化材质开门按钮</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20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锁电源</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12VDC/5A</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12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门禁电源</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12VDC/10A</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12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速通摆闸-单机芯</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主处理器：高性能嵌入式处理器；</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产品类型：摆闸；</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驱动电机：直流无刷电机；</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状态指示灯：蓝色常亮-工作状态，红色频闪-异常状态，绿色常亮-授权成功，绿色频闪-允许通行；</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语音提示：支持；</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外壳材料：SUS304；</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开门模式：刷卡；</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MCBF：≥500万次；</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读卡距离：0cm～5cm；</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通道宽度：不锈钢：600mm~1100mm亚克力：600mm~1100mm；</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开关门速度：≥0.5s；</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红外对射对数：12对；</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摆臂材料：不锈钢；</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防暴等级：玻璃面板：IK06,不锈钢：IK08；</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防尘防水等级：IPX4；</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工作温度：-25℃~+70℃；</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工作湿度：5%RH~90%RH（无凝结）</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套</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10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速通摆闸-双机芯</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主处理器：高性能嵌入式处理器；</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产品类型：摆闸；</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驱动电机：直流无刷电机；</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状态指示灯：蓝色常亮-工作状态，红色频闪-异常状态，绿色常亮-授权成功，绿色频闪-允许通行；</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语音提示：支持；</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外壳材料：SUS304；</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开门模式：刷卡；</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MCBF：≥500万次；</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读卡距离：0cm～5cm；</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通道宽度：不锈钢：600mm~1100mm亚克力：600mm~1100mm；</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开关门速度：≥0.5s；</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红外对射对数：12对；</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摆臂材料：不锈钢；</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防暴等级：玻璃面板：IK06,不锈钢：IK08；</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防尘防水等级：IPX4；</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工作温度：-25℃~+70℃；</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工作湿度：5%RH~90%RH（无凝结）</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套</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5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中心设备</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b/>
                <w:bCs/>
                <w:color w:val="000000"/>
                <w:sz w:val="20"/>
                <w:szCs w:val="20"/>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门禁管理软件</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门禁管理软件</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套</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卡片发行器</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主处理器：高性能嵌入式处理器；</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产品款式：发卡器；</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发卡类型：支持Mifare卡（IC卡）的发卡;支持CPU卡的发卡；支持ID卡的发卡；支持身份证（序列号）的发卡；</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供电方式：DC 5V 0.5A</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软件狗（一卡通专用）</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开通软件管理权限</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通讯卡（四路RS485通讯卡）</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四路RS485通讯卡</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块</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6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CPU智能卡</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正常银行卡大小</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张</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CPU智能卡授权费</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双面彩印</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张</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调试卡</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调试卡</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张</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5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管理设备</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I5/8G内存/集成显卡/硬盘500G</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4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21</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防雨罩</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bdr w:val="single" w:color="000000" w:sz="4" w:space="0"/>
                <w:lang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2390" cy="324485"/>
                  <wp:effectExtent l="0" t="0" r="0" b="0"/>
                  <wp:wrapNone/>
                  <wp:docPr id="185" name="Text_Box_333"/>
                  <wp:cNvGraphicFramePr/>
                  <a:graphic xmlns:a="http://schemas.openxmlformats.org/drawingml/2006/main">
                    <a:graphicData uri="http://schemas.openxmlformats.org/drawingml/2006/picture">
                      <pic:pic xmlns:pic="http://schemas.openxmlformats.org/drawingml/2006/picture">
                        <pic:nvPicPr>
                          <pic:cNvPr id="185" name="Text_Box_333"/>
                          <pic:cNvPicPr/>
                        </pic:nvPicPr>
                        <pic:blipFill>
                          <a:blip r:embed="rId26"/>
                          <a:stretch>
                            <a:fillRect/>
                          </a:stretch>
                        </pic:blipFill>
                        <pic:spPr>
                          <a:xfrm>
                            <a:off x="0" y="0"/>
                            <a:ext cx="72390" cy="324485"/>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72390" cy="394970"/>
                  <wp:effectExtent l="0" t="0" r="0" b="0"/>
                  <wp:wrapNone/>
                  <wp:docPr id="182" name="Text_Box_331"/>
                  <wp:cNvGraphicFramePr/>
                  <a:graphic xmlns:a="http://schemas.openxmlformats.org/drawingml/2006/main">
                    <a:graphicData uri="http://schemas.openxmlformats.org/drawingml/2006/picture">
                      <pic:pic xmlns:pic="http://schemas.openxmlformats.org/drawingml/2006/picture">
                        <pic:nvPicPr>
                          <pic:cNvPr id="182" name="Text_Box_331"/>
                          <pic:cNvPicPr/>
                        </pic:nvPicPr>
                        <pic:blipFill>
                          <a:blip r:embed="rId27"/>
                          <a:stretch>
                            <a:fillRect/>
                          </a:stretch>
                        </pic:blipFill>
                        <pic:spPr>
                          <a:xfrm>
                            <a:off x="0" y="0"/>
                            <a:ext cx="72390" cy="3949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2390" cy="324485"/>
                  <wp:effectExtent l="0" t="0" r="0" b="0"/>
                  <wp:wrapNone/>
                  <wp:docPr id="187" name="Text_Box_334"/>
                  <wp:cNvGraphicFramePr/>
                  <a:graphic xmlns:a="http://schemas.openxmlformats.org/drawingml/2006/main">
                    <a:graphicData uri="http://schemas.openxmlformats.org/drawingml/2006/picture">
                      <pic:pic xmlns:pic="http://schemas.openxmlformats.org/drawingml/2006/picture">
                        <pic:nvPicPr>
                          <pic:cNvPr id="187" name="Text_Box_334"/>
                          <pic:cNvPicPr/>
                        </pic:nvPicPr>
                        <pic:blipFill>
                          <a:blip r:embed="rId26"/>
                          <a:stretch>
                            <a:fillRect/>
                          </a:stretch>
                        </pic:blipFill>
                        <pic:spPr>
                          <a:xfrm>
                            <a:off x="0" y="0"/>
                            <a:ext cx="72390" cy="324485"/>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72390" cy="318770"/>
                  <wp:effectExtent l="0" t="0" r="0" b="0"/>
                  <wp:wrapNone/>
                  <wp:docPr id="189" name="Text_Box_333_SpCnt_1"/>
                  <wp:cNvGraphicFramePr/>
                  <a:graphic xmlns:a="http://schemas.openxmlformats.org/drawingml/2006/main">
                    <a:graphicData uri="http://schemas.openxmlformats.org/drawingml/2006/picture">
                      <pic:pic xmlns:pic="http://schemas.openxmlformats.org/drawingml/2006/picture">
                        <pic:nvPicPr>
                          <pic:cNvPr id="189" name="Text_Box_333_SpCnt_1"/>
                          <pic:cNvPicPr/>
                        </pic:nvPicPr>
                        <pic:blipFill>
                          <a:blip r:embed="rId28"/>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72390" cy="318770"/>
                  <wp:effectExtent l="0" t="0" r="0" b="0"/>
                  <wp:wrapNone/>
                  <wp:docPr id="186" name="Text_Box_334_SpCnt_1"/>
                  <wp:cNvGraphicFramePr/>
                  <a:graphic xmlns:a="http://schemas.openxmlformats.org/drawingml/2006/main">
                    <a:graphicData uri="http://schemas.openxmlformats.org/drawingml/2006/picture">
                      <pic:pic xmlns:pic="http://schemas.openxmlformats.org/drawingml/2006/picture">
                        <pic:nvPicPr>
                          <pic:cNvPr id="186" name="Text_Box_334_SpCnt_1"/>
                          <pic:cNvPicPr/>
                        </pic:nvPicPr>
                        <pic:blipFill>
                          <a:blip r:embed="rId28"/>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72390" cy="318770"/>
                  <wp:effectExtent l="0" t="0" r="0" b="0"/>
                  <wp:wrapNone/>
                  <wp:docPr id="181" name="Text_Box_331_SpCnt_1"/>
                  <wp:cNvGraphicFramePr/>
                  <a:graphic xmlns:a="http://schemas.openxmlformats.org/drawingml/2006/main">
                    <a:graphicData uri="http://schemas.openxmlformats.org/drawingml/2006/picture">
                      <pic:pic xmlns:pic="http://schemas.openxmlformats.org/drawingml/2006/picture">
                        <pic:nvPicPr>
                          <pic:cNvPr id="181" name="Text_Box_331_SpCnt_1"/>
                          <pic:cNvPicPr/>
                        </pic:nvPicPr>
                        <pic:blipFill>
                          <a:blip r:embed="rId28"/>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72390" cy="318770"/>
                  <wp:effectExtent l="0" t="0" r="0" b="0"/>
                  <wp:wrapNone/>
                  <wp:docPr id="179" name="Text_Box_334_SpCnt_2"/>
                  <wp:cNvGraphicFramePr/>
                  <a:graphic xmlns:a="http://schemas.openxmlformats.org/drawingml/2006/main">
                    <a:graphicData uri="http://schemas.openxmlformats.org/drawingml/2006/picture">
                      <pic:pic xmlns:pic="http://schemas.openxmlformats.org/drawingml/2006/picture">
                        <pic:nvPicPr>
                          <pic:cNvPr id="179" name="Text_Box_334_SpCnt_2"/>
                          <pic:cNvPicPr/>
                        </pic:nvPicPr>
                        <pic:blipFill>
                          <a:blip r:embed="rId28"/>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72390" cy="318770"/>
                  <wp:effectExtent l="0" t="0" r="0" b="0"/>
                  <wp:wrapNone/>
                  <wp:docPr id="183" name="Text_Box_333_SpCnt_2"/>
                  <wp:cNvGraphicFramePr/>
                  <a:graphic xmlns:a="http://schemas.openxmlformats.org/drawingml/2006/main">
                    <a:graphicData uri="http://schemas.openxmlformats.org/drawingml/2006/picture">
                      <pic:pic xmlns:pic="http://schemas.openxmlformats.org/drawingml/2006/picture">
                        <pic:nvPicPr>
                          <pic:cNvPr id="183" name="Text_Box_333_SpCnt_2"/>
                          <pic:cNvPicPr/>
                        </pic:nvPicPr>
                        <pic:blipFill>
                          <a:blip r:embed="rId28"/>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72390" cy="318770"/>
                  <wp:effectExtent l="0" t="0" r="0" b="0"/>
                  <wp:wrapNone/>
                  <wp:docPr id="184" name="Text_Box_331_SpCnt_2"/>
                  <wp:cNvGraphicFramePr/>
                  <a:graphic xmlns:a="http://schemas.openxmlformats.org/drawingml/2006/main">
                    <a:graphicData uri="http://schemas.openxmlformats.org/drawingml/2006/picture">
                      <pic:pic xmlns:pic="http://schemas.openxmlformats.org/drawingml/2006/picture">
                        <pic:nvPicPr>
                          <pic:cNvPr id="184" name="Text_Box_331_SpCnt_2"/>
                          <pic:cNvPicPr/>
                        </pic:nvPicPr>
                        <pic:blipFill>
                          <a:blip r:embed="rId29"/>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72390" cy="318770"/>
                  <wp:effectExtent l="0" t="0" r="0" b="0"/>
                  <wp:wrapNone/>
                  <wp:docPr id="188" name="Text_Box_334_SpCnt_3"/>
                  <wp:cNvGraphicFramePr/>
                  <a:graphic xmlns:a="http://schemas.openxmlformats.org/drawingml/2006/main">
                    <a:graphicData uri="http://schemas.openxmlformats.org/drawingml/2006/picture">
                      <pic:pic xmlns:pic="http://schemas.openxmlformats.org/drawingml/2006/picture">
                        <pic:nvPicPr>
                          <pic:cNvPr id="188" name="Text_Box_334_SpCnt_3"/>
                          <pic:cNvPicPr/>
                        </pic:nvPicPr>
                        <pic:blipFill>
                          <a:blip r:embed="rId29"/>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72390" cy="318770"/>
                  <wp:effectExtent l="0" t="0" r="0" b="0"/>
                  <wp:wrapNone/>
                  <wp:docPr id="180" name="Text_Box_333_SpCnt_3"/>
                  <wp:cNvGraphicFramePr/>
                  <a:graphic xmlns:a="http://schemas.openxmlformats.org/drawingml/2006/main">
                    <a:graphicData uri="http://schemas.openxmlformats.org/drawingml/2006/picture">
                      <pic:pic xmlns:pic="http://schemas.openxmlformats.org/drawingml/2006/picture">
                        <pic:nvPicPr>
                          <pic:cNvPr id="180" name="Text_Box_333_SpCnt_3"/>
                          <pic:cNvPicPr/>
                        </pic:nvPicPr>
                        <pic:blipFill>
                          <a:blip r:embed="rId29"/>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72390" cy="318770"/>
                  <wp:effectExtent l="0" t="0" r="0" b="0"/>
                  <wp:wrapNone/>
                  <wp:docPr id="190" name="Text_Box_331_SpCnt_3"/>
                  <wp:cNvGraphicFramePr/>
                  <a:graphic xmlns:a="http://schemas.openxmlformats.org/drawingml/2006/main">
                    <a:graphicData uri="http://schemas.openxmlformats.org/drawingml/2006/picture">
                      <pic:pic xmlns:pic="http://schemas.openxmlformats.org/drawingml/2006/picture">
                        <pic:nvPicPr>
                          <pic:cNvPr id="190" name="Text_Box_331_SpCnt_3"/>
                          <pic:cNvPicPr/>
                        </pic:nvPicPr>
                        <pic:blipFill>
                          <a:blip r:embed="rId28"/>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72390" cy="433070"/>
                  <wp:effectExtent l="0" t="0" r="0" b="0"/>
                  <wp:wrapNone/>
                  <wp:docPr id="191" name="Text_Box_334_SpCnt_4"/>
                  <wp:cNvGraphicFramePr/>
                  <a:graphic xmlns:a="http://schemas.openxmlformats.org/drawingml/2006/main">
                    <a:graphicData uri="http://schemas.openxmlformats.org/drawingml/2006/picture">
                      <pic:pic xmlns:pic="http://schemas.openxmlformats.org/drawingml/2006/picture">
                        <pic:nvPicPr>
                          <pic:cNvPr id="191" name="Text_Box_334_SpCnt_4"/>
                          <pic:cNvPicPr/>
                        </pic:nvPicPr>
                        <pic:blipFill>
                          <a:blip r:embed="rId30"/>
                          <a:stretch>
                            <a:fillRect/>
                          </a:stretch>
                        </pic:blipFill>
                        <pic:spPr>
                          <a:xfrm>
                            <a:off x="0" y="0"/>
                            <a:ext cx="72390" cy="4330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72390" cy="433070"/>
                  <wp:effectExtent l="0" t="0" r="0" b="0"/>
                  <wp:wrapNone/>
                  <wp:docPr id="192" name="Text_Box_333_SpCnt_4"/>
                  <wp:cNvGraphicFramePr/>
                  <a:graphic xmlns:a="http://schemas.openxmlformats.org/drawingml/2006/main">
                    <a:graphicData uri="http://schemas.openxmlformats.org/drawingml/2006/picture">
                      <pic:pic xmlns:pic="http://schemas.openxmlformats.org/drawingml/2006/picture">
                        <pic:nvPicPr>
                          <pic:cNvPr id="192" name="Text_Box_333_SpCnt_4"/>
                          <pic:cNvPicPr/>
                        </pic:nvPicPr>
                        <pic:blipFill>
                          <a:blip r:embed="rId30"/>
                          <a:stretch>
                            <a:fillRect/>
                          </a:stretch>
                        </pic:blipFill>
                        <pic:spPr>
                          <a:xfrm>
                            <a:off x="0" y="0"/>
                            <a:ext cx="72390" cy="4330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72390" cy="433070"/>
                  <wp:effectExtent l="0" t="0" r="0" b="0"/>
                  <wp:wrapNone/>
                  <wp:docPr id="222" name="Text_Box_331_SpCnt_4"/>
                  <wp:cNvGraphicFramePr/>
                  <a:graphic xmlns:a="http://schemas.openxmlformats.org/drawingml/2006/main">
                    <a:graphicData uri="http://schemas.openxmlformats.org/drawingml/2006/picture">
                      <pic:pic xmlns:pic="http://schemas.openxmlformats.org/drawingml/2006/picture">
                        <pic:nvPicPr>
                          <pic:cNvPr id="222" name="Text_Box_331_SpCnt_4"/>
                          <pic:cNvPicPr/>
                        </pic:nvPicPr>
                        <pic:blipFill>
                          <a:blip r:embed="rId30"/>
                          <a:stretch>
                            <a:fillRect/>
                          </a:stretch>
                        </pic:blipFill>
                        <pic:spPr>
                          <a:xfrm>
                            <a:off x="0" y="0"/>
                            <a:ext cx="72390" cy="4330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72390" cy="356870"/>
                  <wp:effectExtent l="0" t="0" r="0" b="0"/>
                  <wp:wrapNone/>
                  <wp:docPr id="203" name="Text_Box_334_SpCnt_5"/>
                  <wp:cNvGraphicFramePr/>
                  <a:graphic xmlns:a="http://schemas.openxmlformats.org/drawingml/2006/main">
                    <a:graphicData uri="http://schemas.openxmlformats.org/drawingml/2006/picture">
                      <pic:pic xmlns:pic="http://schemas.openxmlformats.org/drawingml/2006/picture">
                        <pic:nvPicPr>
                          <pic:cNvPr id="203" name="Text_Box_334_SpCnt_5"/>
                          <pic:cNvPicPr/>
                        </pic:nvPicPr>
                        <pic:blipFill>
                          <a:blip r:embed="rId31"/>
                          <a:stretch>
                            <a:fillRect/>
                          </a:stretch>
                        </pic:blipFill>
                        <pic:spPr>
                          <a:xfrm>
                            <a:off x="0" y="0"/>
                            <a:ext cx="72390" cy="3568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72390" cy="356870"/>
                  <wp:effectExtent l="0" t="0" r="0" b="0"/>
                  <wp:wrapNone/>
                  <wp:docPr id="195" name="Text_Box_333_SpCnt_5"/>
                  <wp:cNvGraphicFramePr/>
                  <a:graphic xmlns:a="http://schemas.openxmlformats.org/drawingml/2006/main">
                    <a:graphicData uri="http://schemas.openxmlformats.org/drawingml/2006/picture">
                      <pic:pic xmlns:pic="http://schemas.openxmlformats.org/drawingml/2006/picture">
                        <pic:nvPicPr>
                          <pic:cNvPr id="195" name="Text_Box_333_SpCnt_5"/>
                          <pic:cNvPicPr/>
                        </pic:nvPicPr>
                        <pic:blipFill>
                          <a:blip r:embed="rId32"/>
                          <a:stretch>
                            <a:fillRect/>
                          </a:stretch>
                        </pic:blipFill>
                        <pic:spPr>
                          <a:xfrm>
                            <a:off x="0" y="0"/>
                            <a:ext cx="72390" cy="3568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72390" cy="433070"/>
                  <wp:effectExtent l="0" t="0" r="0" b="0"/>
                  <wp:wrapNone/>
                  <wp:docPr id="219" name="Text_Box_334_SpCnt_6"/>
                  <wp:cNvGraphicFramePr/>
                  <a:graphic xmlns:a="http://schemas.openxmlformats.org/drawingml/2006/main">
                    <a:graphicData uri="http://schemas.openxmlformats.org/drawingml/2006/picture">
                      <pic:pic xmlns:pic="http://schemas.openxmlformats.org/drawingml/2006/picture">
                        <pic:nvPicPr>
                          <pic:cNvPr id="219" name="Text_Box_334_SpCnt_6"/>
                          <pic:cNvPicPr/>
                        </pic:nvPicPr>
                        <pic:blipFill>
                          <a:blip r:embed="rId30"/>
                          <a:stretch>
                            <a:fillRect/>
                          </a:stretch>
                        </pic:blipFill>
                        <pic:spPr>
                          <a:xfrm>
                            <a:off x="0" y="0"/>
                            <a:ext cx="72390" cy="4330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72390" cy="433070"/>
                  <wp:effectExtent l="0" t="0" r="0" b="0"/>
                  <wp:wrapNone/>
                  <wp:docPr id="193" name="Text_Box_333_SpCnt_6"/>
                  <wp:cNvGraphicFramePr/>
                  <a:graphic xmlns:a="http://schemas.openxmlformats.org/drawingml/2006/main">
                    <a:graphicData uri="http://schemas.openxmlformats.org/drawingml/2006/picture">
                      <pic:pic xmlns:pic="http://schemas.openxmlformats.org/drawingml/2006/picture">
                        <pic:nvPicPr>
                          <pic:cNvPr id="193" name="Text_Box_333_SpCnt_6"/>
                          <pic:cNvPicPr/>
                        </pic:nvPicPr>
                        <pic:blipFill>
                          <a:blip r:embed="rId30"/>
                          <a:stretch>
                            <a:fillRect/>
                          </a:stretch>
                        </pic:blipFill>
                        <pic:spPr>
                          <a:xfrm>
                            <a:off x="0" y="0"/>
                            <a:ext cx="72390" cy="4330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72390" cy="433070"/>
                  <wp:effectExtent l="0" t="0" r="0" b="0"/>
                  <wp:wrapNone/>
                  <wp:docPr id="214" name="Text_Box_331_SpCnt_5"/>
                  <wp:cNvGraphicFramePr/>
                  <a:graphic xmlns:a="http://schemas.openxmlformats.org/drawingml/2006/main">
                    <a:graphicData uri="http://schemas.openxmlformats.org/drawingml/2006/picture">
                      <pic:pic xmlns:pic="http://schemas.openxmlformats.org/drawingml/2006/picture">
                        <pic:nvPicPr>
                          <pic:cNvPr id="214" name="Text_Box_331_SpCnt_5"/>
                          <pic:cNvPicPr/>
                        </pic:nvPicPr>
                        <pic:blipFill>
                          <a:blip r:embed="rId30"/>
                          <a:stretch>
                            <a:fillRect/>
                          </a:stretch>
                        </pic:blipFill>
                        <pic:spPr>
                          <a:xfrm>
                            <a:off x="0" y="0"/>
                            <a:ext cx="72390" cy="4330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72390" cy="356870"/>
                  <wp:effectExtent l="0" t="0" r="0" b="0"/>
                  <wp:wrapNone/>
                  <wp:docPr id="215" name="Text_Box_334_SpCnt_7"/>
                  <wp:cNvGraphicFramePr/>
                  <a:graphic xmlns:a="http://schemas.openxmlformats.org/drawingml/2006/main">
                    <a:graphicData uri="http://schemas.openxmlformats.org/drawingml/2006/picture">
                      <pic:pic xmlns:pic="http://schemas.openxmlformats.org/drawingml/2006/picture">
                        <pic:nvPicPr>
                          <pic:cNvPr id="215" name="Text_Box_334_SpCnt_7"/>
                          <pic:cNvPicPr/>
                        </pic:nvPicPr>
                        <pic:blipFill>
                          <a:blip r:embed="rId32"/>
                          <a:stretch>
                            <a:fillRect/>
                          </a:stretch>
                        </pic:blipFill>
                        <pic:spPr>
                          <a:xfrm>
                            <a:off x="0" y="0"/>
                            <a:ext cx="72390" cy="3568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72390" cy="356870"/>
                  <wp:effectExtent l="0" t="0" r="0" b="0"/>
                  <wp:wrapNone/>
                  <wp:docPr id="220" name="Text_Box_333_SpCnt_7"/>
                  <wp:cNvGraphicFramePr/>
                  <a:graphic xmlns:a="http://schemas.openxmlformats.org/drawingml/2006/main">
                    <a:graphicData uri="http://schemas.openxmlformats.org/drawingml/2006/picture">
                      <pic:pic xmlns:pic="http://schemas.openxmlformats.org/drawingml/2006/picture">
                        <pic:nvPicPr>
                          <pic:cNvPr id="220" name="Text_Box_333_SpCnt_7"/>
                          <pic:cNvPicPr/>
                        </pic:nvPicPr>
                        <pic:blipFill>
                          <a:blip r:embed="rId32"/>
                          <a:stretch>
                            <a:fillRect/>
                          </a:stretch>
                        </pic:blipFill>
                        <pic:spPr>
                          <a:xfrm>
                            <a:off x="0" y="0"/>
                            <a:ext cx="72390" cy="3568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72390" cy="318770"/>
                  <wp:effectExtent l="0" t="0" r="0" b="0"/>
                  <wp:wrapNone/>
                  <wp:docPr id="221" name="Text_Box_334_SpCnt_8"/>
                  <wp:cNvGraphicFramePr/>
                  <a:graphic xmlns:a="http://schemas.openxmlformats.org/drawingml/2006/main">
                    <a:graphicData uri="http://schemas.openxmlformats.org/drawingml/2006/picture">
                      <pic:pic xmlns:pic="http://schemas.openxmlformats.org/drawingml/2006/picture">
                        <pic:nvPicPr>
                          <pic:cNvPr id="221" name="Text_Box_334_SpCnt_8"/>
                          <pic:cNvPicPr/>
                        </pic:nvPicPr>
                        <pic:blipFill>
                          <a:blip r:embed="rId28"/>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72390" cy="318770"/>
                  <wp:effectExtent l="0" t="0" r="0" b="0"/>
                  <wp:wrapNone/>
                  <wp:docPr id="194" name="Text_Box_333_SpCnt_8"/>
                  <wp:cNvGraphicFramePr/>
                  <a:graphic xmlns:a="http://schemas.openxmlformats.org/drawingml/2006/main">
                    <a:graphicData uri="http://schemas.openxmlformats.org/drawingml/2006/picture">
                      <pic:pic xmlns:pic="http://schemas.openxmlformats.org/drawingml/2006/picture">
                        <pic:nvPicPr>
                          <pic:cNvPr id="194" name="Text_Box_333_SpCnt_8"/>
                          <pic:cNvPicPr/>
                        </pic:nvPicPr>
                        <pic:blipFill>
                          <a:blip r:embed="rId28"/>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72390" cy="318770"/>
                  <wp:effectExtent l="0" t="0" r="0" b="0"/>
                  <wp:wrapNone/>
                  <wp:docPr id="211" name="Text_Box_331_SpCnt_6"/>
                  <wp:cNvGraphicFramePr/>
                  <a:graphic xmlns:a="http://schemas.openxmlformats.org/drawingml/2006/main">
                    <a:graphicData uri="http://schemas.openxmlformats.org/drawingml/2006/picture">
                      <pic:pic xmlns:pic="http://schemas.openxmlformats.org/drawingml/2006/picture">
                        <pic:nvPicPr>
                          <pic:cNvPr id="211" name="Text_Box_331_SpCnt_6"/>
                          <pic:cNvPicPr/>
                        </pic:nvPicPr>
                        <pic:blipFill>
                          <a:blip r:embed="rId29"/>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72390" cy="318770"/>
                  <wp:effectExtent l="0" t="0" r="0" b="0"/>
                  <wp:wrapNone/>
                  <wp:docPr id="217" name="Text_Box_334_SpCnt_9"/>
                  <wp:cNvGraphicFramePr/>
                  <a:graphic xmlns:a="http://schemas.openxmlformats.org/drawingml/2006/main">
                    <a:graphicData uri="http://schemas.openxmlformats.org/drawingml/2006/picture">
                      <pic:pic xmlns:pic="http://schemas.openxmlformats.org/drawingml/2006/picture">
                        <pic:nvPicPr>
                          <pic:cNvPr id="217" name="Text_Box_334_SpCnt_9"/>
                          <pic:cNvPicPr/>
                        </pic:nvPicPr>
                        <pic:blipFill>
                          <a:blip r:embed="rId29"/>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72390" cy="318770"/>
                  <wp:effectExtent l="0" t="0" r="0" b="0"/>
                  <wp:wrapNone/>
                  <wp:docPr id="208" name="Text_Box_333_SpCnt_9"/>
                  <wp:cNvGraphicFramePr/>
                  <a:graphic xmlns:a="http://schemas.openxmlformats.org/drawingml/2006/main">
                    <a:graphicData uri="http://schemas.openxmlformats.org/drawingml/2006/picture">
                      <pic:pic xmlns:pic="http://schemas.openxmlformats.org/drawingml/2006/picture">
                        <pic:nvPicPr>
                          <pic:cNvPr id="208" name="Text_Box_333_SpCnt_9"/>
                          <pic:cNvPicPr/>
                        </pic:nvPicPr>
                        <pic:blipFill>
                          <a:blip r:embed="rId29"/>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72390" cy="318770"/>
                  <wp:effectExtent l="0" t="0" r="0" b="0"/>
                  <wp:wrapNone/>
                  <wp:docPr id="196" name="Text_Box_331_SpCnt_7"/>
                  <wp:cNvGraphicFramePr/>
                  <a:graphic xmlns:a="http://schemas.openxmlformats.org/drawingml/2006/main">
                    <a:graphicData uri="http://schemas.openxmlformats.org/drawingml/2006/picture">
                      <pic:pic xmlns:pic="http://schemas.openxmlformats.org/drawingml/2006/picture">
                        <pic:nvPicPr>
                          <pic:cNvPr id="196" name="Text_Box_331_SpCnt_7"/>
                          <pic:cNvPicPr/>
                        </pic:nvPicPr>
                        <pic:blipFill>
                          <a:blip r:embed="rId28"/>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689984" behindDoc="0" locked="0" layoutInCell="1" allowOverlap="1">
                  <wp:simplePos x="0" y="0"/>
                  <wp:positionH relativeFrom="column">
                    <wp:posOffset>0</wp:posOffset>
                  </wp:positionH>
                  <wp:positionV relativeFrom="paragraph">
                    <wp:posOffset>0</wp:posOffset>
                  </wp:positionV>
                  <wp:extent cx="72390" cy="433070"/>
                  <wp:effectExtent l="0" t="0" r="0" b="0"/>
                  <wp:wrapNone/>
                  <wp:docPr id="210" name="Text_Box_334_SpCnt_10"/>
                  <wp:cNvGraphicFramePr/>
                  <a:graphic xmlns:a="http://schemas.openxmlformats.org/drawingml/2006/main">
                    <a:graphicData uri="http://schemas.openxmlformats.org/drawingml/2006/picture">
                      <pic:pic xmlns:pic="http://schemas.openxmlformats.org/drawingml/2006/picture">
                        <pic:nvPicPr>
                          <pic:cNvPr id="210" name="Text_Box_334_SpCnt_10"/>
                          <pic:cNvPicPr/>
                        </pic:nvPicPr>
                        <pic:blipFill>
                          <a:blip r:embed="rId30"/>
                          <a:stretch>
                            <a:fillRect/>
                          </a:stretch>
                        </pic:blipFill>
                        <pic:spPr>
                          <a:xfrm>
                            <a:off x="0" y="0"/>
                            <a:ext cx="72390" cy="4330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72390" cy="433070"/>
                  <wp:effectExtent l="0" t="0" r="0" b="0"/>
                  <wp:wrapNone/>
                  <wp:docPr id="213" name="Text_Box_333_SpCnt_10"/>
                  <wp:cNvGraphicFramePr/>
                  <a:graphic xmlns:a="http://schemas.openxmlformats.org/drawingml/2006/main">
                    <a:graphicData uri="http://schemas.openxmlformats.org/drawingml/2006/picture">
                      <pic:pic xmlns:pic="http://schemas.openxmlformats.org/drawingml/2006/picture">
                        <pic:nvPicPr>
                          <pic:cNvPr id="213" name="Text_Box_333_SpCnt_10"/>
                          <pic:cNvPicPr/>
                        </pic:nvPicPr>
                        <pic:blipFill>
                          <a:blip r:embed="rId30"/>
                          <a:stretch>
                            <a:fillRect/>
                          </a:stretch>
                        </pic:blipFill>
                        <pic:spPr>
                          <a:xfrm>
                            <a:off x="0" y="0"/>
                            <a:ext cx="72390" cy="4330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72390" cy="433070"/>
                  <wp:effectExtent l="0" t="0" r="0" b="0"/>
                  <wp:wrapNone/>
                  <wp:docPr id="209" name="Text_Box_331_SpCnt_8"/>
                  <wp:cNvGraphicFramePr/>
                  <a:graphic xmlns:a="http://schemas.openxmlformats.org/drawingml/2006/main">
                    <a:graphicData uri="http://schemas.openxmlformats.org/drawingml/2006/picture">
                      <pic:pic xmlns:pic="http://schemas.openxmlformats.org/drawingml/2006/picture">
                        <pic:nvPicPr>
                          <pic:cNvPr id="209" name="Text_Box_331_SpCnt_8"/>
                          <pic:cNvPicPr/>
                        </pic:nvPicPr>
                        <pic:blipFill>
                          <a:blip r:embed="rId30"/>
                          <a:stretch>
                            <a:fillRect/>
                          </a:stretch>
                        </pic:blipFill>
                        <pic:spPr>
                          <a:xfrm>
                            <a:off x="0" y="0"/>
                            <a:ext cx="72390" cy="4330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72390" cy="356870"/>
                  <wp:effectExtent l="0" t="0" r="0" b="0"/>
                  <wp:wrapNone/>
                  <wp:docPr id="197" name="Text_Box_334_SpCnt_11"/>
                  <wp:cNvGraphicFramePr/>
                  <a:graphic xmlns:a="http://schemas.openxmlformats.org/drawingml/2006/main">
                    <a:graphicData uri="http://schemas.openxmlformats.org/drawingml/2006/picture">
                      <pic:pic xmlns:pic="http://schemas.openxmlformats.org/drawingml/2006/picture">
                        <pic:nvPicPr>
                          <pic:cNvPr id="197" name="Text_Box_334_SpCnt_11"/>
                          <pic:cNvPicPr/>
                        </pic:nvPicPr>
                        <pic:blipFill>
                          <a:blip r:embed="rId31"/>
                          <a:stretch>
                            <a:fillRect/>
                          </a:stretch>
                        </pic:blipFill>
                        <pic:spPr>
                          <a:xfrm>
                            <a:off x="0" y="0"/>
                            <a:ext cx="72390" cy="3568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72390" cy="356870"/>
                  <wp:effectExtent l="0" t="0" r="0" b="0"/>
                  <wp:wrapNone/>
                  <wp:docPr id="212" name="Text_Box_333_SpCnt_11"/>
                  <wp:cNvGraphicFramePr/>
                  <a:graphic xmlns:a="http://schemas.openxmlformats.org/drawingml/2006/main">
                    <a:graphicData uri="http://schemas.openxmlformats.org/drawingml/2006/picture">
                      <pic:pic xmlns:pic="http://schemas.openxmlformats.org/drawingml/2006/picture">
                        <pic:nvPicPr>
                          <pic:cNvPr id="212" name="Text_Box_333_SpCnt_11"/>
                          <pic:cNvPicPr/>
                        </pic:nvPicPr>
                        <pic:blipFill>
                          <a:blip r:embed="rId32"/>
                          <a:stretch>
                            <a:fillRect/>
                          </a:stretch>
                        </pic:blipFill>
                        <pic:spPr>
                          <a:xfrm>
                            <a:off x="0" y="0"/>
                            <a:ext cx="72390" cy="3568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72390" cy="433070"/>
                  <wp:effectExtent l="0" t="0" r="0" b="0"/>
                  <wp:wrapNone/>
                  <wp:docPr id="216" name="Text_Box_334_SpCnt_12"/>
                  <wp:cNvGraphicFramePr/>
                  <a:graphic xmlns:a="http://schemas.openxmlformats.org/drawingml/2006/main">
                    <a:graphicData uri="http://schemas.openxmlformats.org/drawingml/2006/picture">
                      <pic:pic xmlns:pic="http://schemas.openxmlformats.org/drawingml/2006/picture">
                        <pic:nvPicPr>
                          <pic:cNvPr id="216" name="Text_Box_334_SpCnt_12"/>
                          <pic:cNvPicPr/>
                        </pic:nvPicPr>
                        <pic:blipFill>
                          <a:blip r:embed="rId30"/>
                          <a:stretch>
                            <a:fillRect/>
                          </a:stretch>
                        </pic:blipFill>
                        <pic:spPr>
                          <a:xfrm>
                            <a:off x="0" y="0"/>
                            <a:ext cx="72390" cy="4330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696128" behindDoc="0" locked="0" layoutInCell="1" allowOverlap="1">
                  <wp:simplePos x="0" y="0"/>
                  <wp:positionH relativeFrom="column">
                    <wp:posOffset>0</wp:posOffset>
                  </wp:positionH>
                  <wp:positionV relativeFrom="paragraph">
                    <wp:posOffset>0</wp:posOffset>
                  </wp:positionV>
                  <wp:extent cx="72390" cy="433070"/>
                  <wp:effectExtent l="0" t="0" r="0" b="0"/>
                  <wp:wrapNone/>
                  <wp:docPr id="218" name="Text_Box_333_SpCnt_12"/>
                  <wp:cNvGraphicFramePr/>
                  <a:graphic xmlns:a="http://schemas.openxmlformats.org/drawingml/2006/main">
                    <a:graphicData uri="http://schemas.openxmlformats.org/drawingml/2006/picture">
                      <pic:pic xmlns:pic="http://schemas.openxmlformats.org/drawingml/2006/picture">
                        <pic:nvPicPr>
                          <pic:cNvPr id="218" name="Text_Box_333_SpCnt_12"/>
                          <pic:cNvPicPr/>
                        </pic:nvPicPr>
                        <pic:blipFill>
                          <a:blip r:embed="rId30"/>
                          <a:stretch>
                            <a:fillRect/>
                          </a:stretch>
                        </pic:blipFill>
                        <pic:spPr>
                          <a:xfrm>
                            <a:off x="0" y="0"/>
                            <a:ext cx="72390" cy="4330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697152" behindDoc="0" locked="0" layoutInCell="1" allowOverlap="1">
                  <wp:simplePos x="0" y="0"/>
                  <wp:positionH relativeFrom="column">
                    <wp:posOffset>0</wp:posOffset>
                  </wp:positionH>
                  <wp:positionV relativeFrom="paragraph">
                    <wp:posOffset>0</wp:posOffset>
                  </wp:positionV>
                  <wp:extent cx="72390" cy="433070"/>
                  <wp:effectExtent l="0" t="0" r="0" b="0"/>
                  <wp:wrapNone/>
                  <wp:docPr id="205" name="Text_Box_331_SpCnt_9"/>
                  <wp:cNvGraphicFramePr/>
                  <a:graphic xmlns:a="http://schemas.openxmlformats.org/drawingml/2006/main">
                    <a:graphicData uri="http://schemas.openxmlformats.org/drawingml/2006/picture">
                      <pic:pic xmlns:pic="http://schemas.openxmlformats.org/drawingml/2006/picture">
                        <pic:nvPicPr>
                          <pic:cNvPr id="205" name="Text_Box_331_SpCnt_9"/>
                          <pic:cNvPicPr/>
                        </pic:nvPicPr>
                        <pic:blipFill>
                          <a:blip r:embed="rId30"/>
                          <a:stretch>
                            <a:fillRect/>
                          </a:stretch>
                        </pic:blipFill>
                        <pic:spPr>
                          <a:xfrm>
                            <a:off x="0" y="0"/>
                            <a:ext cx="72390" cy="4330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698176" behindDoc="0" locked="0" layoutInCell="1" allowOverlap="1">
                  <wp:simplePos x="0" y="0"/>
                  <wp:positionH relativeFrom="column">
                    <wp:posOffset>0</wp:posOffset>
                  </wp:positionH>
                  <wp:positionV relativeFrom="paragraph">
                    <wp:posOffset>0</wp:posOffset>
                  </wp:positionV>
                  <wp:extent cx="72390" cy="356870"/>
                  <wp:effectExtent l="0" t="0" r="0" b="0"/>
                  <wp:wrapNone/>
                  <wp:docPr id="198" name="Text_Box_334_SpCnt_13"/>
                  <wp:cNvGraphicFramePr/>
                  <a:graphic xmlns:a="http://schemas.openxmlformats.org/drawingml/2006/main">
                    <a:graphicData uri="http://schemas.openxmlformats.org/drawingml/2006/picture">
                      <pic:pic xmlns:pic="http://schemas.openxmlformats.org/drawingml/2006/picture">
                        <pic:nvPicPr>
                          <pic:cNvPr id="198" name="Text_Box_334_SpCnt_13"/>
                          <pic:cNvPicPr/>
                        </pic:nvPicPr>
                        <pic:blipFill>
                          <a:blip r:embed="rId32"/>
                          <a:stretch>
                            <a:fillRect/>
                          </a:stretch>
                        </pic:blipFill>
                        <pic:spPr>
                          <a:xfrm>
                            <a:off x="0" y="0"/>
                            <a:ext cx="72390" cy="3568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72390" cy="356870"/>
                  <wp:effectExtent l="0" t="0" r="0" b="0"/>
                  <wp:wrapNone/>
                  <wp:docPr id="199" name="Text_Box_333_SpCnt_13"/>
                  <wp:cNvGraphicFramePr/>
                  <a:graphic xmlns:a="http://schemas.openxmlformats.org/drawingml/2006/main">
                    <a:graphicData uri="http://schemas.openxmlformats.org/drawingml/2006/picture">
                      <pic:pic xmlns:pic="http://schemas.openxmlformats.org/drawingml/2006/picture">
                        <pic:nvPicPr>
                          <pic:cNvPr id="199" name="Text_Box_333_SpCnt_13"/>
                          <pic:cNvPicPr/>
                        </pic:nvPicPr>
                        <pic:blipFill>
                          <a:blip r:embed="rId32"/>
                          <a:stretch>
                            <a:fillRect/>
                          </a:stretch>
                        </pic:blipFill>
                        <pic:spPr>
                          <a:xfrm>
                            <a:off x="0" y="0"/>
                            <a:ext cx="72390" cy="3568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72390" cy="318770"/>
                  <wp:effectExtent l="0" t="0" r="0" b="0"/>
                  <wp:wrapNone/>
                  <wp:docPr id="200" name="Text_Box_334_SpCnt_14"/>
                  <wp:cNvGraphicFramePr/>
                  <a:graphic xmlns:a="http://schemas.openxmlformats.org/drawingml/2006/main">
                    <a:graphicData uri="http://schemas.openxmlformats.org/drawingml/2006/picture">
                      <pic:pic xmlns:pic="http://schemas.openxmlformats.org/drawingml/2006/picture">
                        <pic:nvPicPr>
                          <pic:cNvPr id="200" name="Text_Box_334_SpCnt_14"/>
                          <pic:cNvPicPr/>
                        </pic:nvPicPr>
                        <pic:blipFill>
                          <a:blip r:embed="rId28"/>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01248" behindDoc="0" locked="0" layoutInCell="1" allowOverlap="1">
                  <wp:simplePos x="0" y="0"/>
                  <wp:positionH relativeFrom="column">
                    <wp:posOffset>0</wp:posOffset>
                  </wp:positionH>
                  <wp:positionV relativeFrom="paragraph">
                    <wp:posOffset>0</wp:posOffset>
                  </wp:positionV>
                  <wp:extent cx="72390" cy="318770"/>
                  <wp:effectExtent l="0" t="0" r="0" b="0"/>
                  <wp:wrapNone/>
                  <wp:docPr id="204" name="Text_Box_333_SpCnt_14"/>
                  <wp:cNvGraphicFramePr/>
                  <a:graphic xmlns:a="http://schemas.openxmlformats.org/drawingml/2006/main">
                    <a:graphicData uri="http://schemas.openxmlformats.org/drawingml/2006/picture">
                      <pic:pic xmlns:pic="http://schemas.openxmlformats.org/drawingml/2006/picture">
                        <pic:nvPicPr>
                          <pic:cNvPr id="204" name="Text_Box_333_SpCnt_14"/>
                          <pic:cNvPicPr/>
                        </pic:nvPicPr>
                        <pic:blipFill>
                          <a:blip r:embed="rId28"/>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02272" behindDoc="0" locked="0" layoutInCell="1" allowOverlap="1">
                  <wp:simplePos x="0" y="0"/>
                  <wp:positionH relativeFrom="column">
                    <wp:posOffset>0</wp:posOffset>
                  </wp:positionH>
                  <wp:positionV relativeFrom="paragraph">
                    <wp:posOffset>0</wp:posOffset>
                  </wp:positionV>
                  <wp:extent cx="72390" cy="318770"/>
                  <wp:effectExtent l="0" t="0" r="0" b="0"/>
                  <wp:wrapNone/>
                  <wp:docPr id="202" name="Text_Box_331_SpCnt_10"/>
                  <wp:cNvGraphicFramePr/>
                  <a:graphic xmlns:a="http://schemas.openxmlformats.org/drawingml/2006/main">
                    <a:graphicData uri="http://schemas.openxmlformats.org/drawingml/2006/picture">
                      <pic:pic xmlns:pic="http://schemas.openxmlformats.org/drawingml/2006/picture">
                        <pic:nvPicPr>
                          <pic:cNvPr id="202" name="Text_Box_331_SpCnt_10"/>
                          <pic:cNvPicPr/>
                        </pic:nvPicPr>
                        <pic:blipFill>
                          <a:blip r:embed="rId29"/>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03296" behindDoc="0" locked="0" layoutInCell="1" allowOverlap="1">
                  <wp:simplePos x="0" y="0"/>
                  <wp:positionH relativeFrom="column">
                    <wp:posOffset>0</wp:posOffset>
                  </wp:positionH>
                  <wp:positionV relativeFrom="paragraph">
                    <wp:posOffset>0</wp:posOffset>
                  </wp:positionV>
                  <wp:extent cx="72390" cy="318770"/>
                  <wp:effectExtent l="0" t="0" r="0" b="0"/>
                  <wp:wrapNone/>
                  <wp:docPr id="201" name="Text_Box_334_SpCnt_15"/>
                  <wp:cNvGraphicFramePr/>
                  <a:graphic xmlns:a="http://schemas.openxmlformats.org/drawingml/2006/main">
                    <a:graphicData uri="http://schemas.openxmlformats.org/drawingml/2006/picture">
                      <pic:pic xmlns:pic="http://schemas.openxmlformats.org/drawingml/2006/picture">
                        <pic:nvPicPr>
                          <pic:cNvPr id="201" name="Text_Box_334_SpCnt_15"/>
                          <pic:cNvPicPr/>
                        </pic:nvPicPr>
                        <pic:blipFill>
                          <a:blip r:embed="rId29"/>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04320" behindDoc="0" locked="0" layoutInCell="1" allowOverlap="1">
                  <wp:simplePos x="0" y="0"/>
                  <wp:positionH relativeFrom="column">
                    <wp:posOffset>0</wp:posOffset>
                  </wp:positionH>
                  <wp:positionV relativeFrom="paragraph">
                    <wp:posOffset>0</wp:posOffset>
                  </wp:positionV>
                  <wp:extent cx="72390" cy="318770"/>
                  <wp:effectExtent l="0" t="0" r="0" b="0"/>
                  <wp:wrapNone/>
                  <wp:docPr id="206" name="Text_Box_333_SpCnt_15"/>
                  <wp:cNvGraphicFramePr/>
                  <a:graphic xmlns:a="http://schemas.openxmlformats.org/drawingml/2006/main">
                    <a:graphicData uri="http://schemas.openxmlformats.org/drawingml/2006/picture">
                      <pic:pic xmlns:pic="http://schemas.openxmlformats.org/drawingml/2006/picture">
                        <pic:nvPicPr>
                          <pic:cNvPr id="206" name="Text_Box_333_SpCnt_15"/>
                          <pic:cNvPicPr/>
                        </pic:nvPicPr>
                        <pic:blipFill>
                          <a:blip r:embed="rId29"/>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05344" behindDoc="0" locked="0" layoutInCell="1" allowOverlap="1">
                  <wp:simplePos x="0" y="0"/>
                  <wp:positionH relativeFrom="column">
                    <wp:posOffset>0</wp:posOffset>
                  </wp:positionH>
                  <wp:positionV relativeFrom="paragraph">
                    <wp:posOffset>0</wp:posOffset>
                  </wp:positionV>
                  <wp:extent cx="72390" cy="318770"/>
                  <wp:effectExtent l="0" t="0" r="0" b="0"/>
                  <wp:wrapNone/>
                  <wp:docPr id="207" name="Text_Box_331_SpCnt_11"/>
                  <wp:cNvGraphicFramePr/>
                  <a:graphic xmlns:a="http://schemas.openxmlformats.org/drawingml/2006/main">
                    <a:graphicData uri="http://schemas.openxmlformats.org/drawingml/2006/picture">
                      <pic:pic xmlns:pic="http://schemas.openxmlformats.org/drawingml/2006/picture">
                        <pic:nvPicPr>
                          <pic:cNvPr id="207" name="Text_Box_331_SpCnt_11"/>
                          <pic:cNvPicPr/>
                        </pic:nvPicPr>
                        <pic:blipFill>
                          <a:blip r:embed="rId28"/>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06368" behindDoc="0" locked="0" layoutInCell="1" allowOverlap="1">
                  <wp:simplePos x="0" y="0"/>
                  <wp:positionH relativeFrom="column">
                    <wp:posOffset>0</wp:posOffset>
                  </wp:positionH>
                  <wp:positionV relativeFrom="paragraph">
                    <wp:posOffset>0</wp:posOffset>
                  </wp:positionV>
                  <wp:extent cx="72390" cy="433070"/>
                  <wp:effectExtent l="0" t="0" r="0" b="0"/>
                  <wp:wrapNone/>
                  <wp:docPr id="228" name="Text_Box_334_SpCnt_16"/>
                  <wp:cNvGraphicFramePr/>
                  <a:graphic xmlns:a="http://schemas.openxmlformats.org/drawingml/2006/main">
                    <a:graphicData uri="http://schemas.openxmlformats.org/drawingml/2006/picture">
                      <pic:pic xmlns:pic="http://schemas.openxmlformats.org/drawingml/2006/picture">
                        <pic:nvPicPr>
                          <pic:cNvPr id="228" name="Text_Box_334_SpCnt_16"/>
                          <pic:cNvPicPr/>
                        </pic:nvPicPr>
                        <pic:blipFill>
                          <a:blip r:embed="rId30"/>
                          <a:stretch>
                            <a:fillRect/>
                          </a:stretch>
                        </pic:blipFill>
                        <pic:spPr>
                          <a:xfrm>
                            <a:off x="0" y="0"/>
                            <a:ext cx="72390" cy="4330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07392" behindDoc="0" locked="0" layoutInCell="1" allowOverlap="1">
                  <wp:simplePos x="0" y="0"/>
                  <wp:positionH relativeFrom="column">
                    <wp:posOffset>0</wp:posOffset>
                  </wp:positionH>
                  <wp:positionV relativeFrom="paragraph">
                    <wp:posOffset>0</wp:posOffset>
                  </wp:positionV>
                  <wp:extent cx="72390" cy="433070"/>
                  <wp:effectExtent l="0" t="0" r="0" b="0"/>
                  <wp:wrapNone/>
                  <wp:docPr id="229" name="Text_Box_333_SpCnt_16"/>
                  <wp:cNvGraphicFramePr/>
                  <a:graphic xmlns:a="http://schemas.openxmlformats.org/drawingml/2006/main">
                    <a:graphicData uri="http://schemas.openxmlformats.org/drawingml/2006/picture">
                      <pic:pic xmlns:pic="http://schemas.openxmlformats.org/drawingml/2006/picture">
                        <pic:nvPicPr>
                          <pic:cNvPr id="229" name="Text_Box_333_SpCnt_16"/>
                          <pic:cNvPicPr/>
                        </pic:nvPicPr>
                        <pic:blipFill>
                          <a:blip r:embed="rId30"/>
                          <a:stretch>
                            <a:fillRect/>
                          </a:stretch>
                        </pic:blipFill>
                        <pic:spPr>
                          <a:xfrm>
                            <a:off x="0" y="0"/>
                            <a:ext cx="72390" cy="4330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08416" behindDoc="0" locked="0" layoutInCell="1" allowOverlap="1">
                  <wp:simplePos x="0" y="0"/>
                  <wp:positionH relativeFrom="column">
                    <wp:posOffset>0</wp:posOffset>
                  </wp:positionH>
                  <wp:positionV relativeFrom="paragraph">
                    <wp:posOffset>0</wp:posOffset>
                  </wp:positionV>
                  <wp:extent cx="72390" cy="433070"/>
                  <wp:effectExtent l="0" t="0" r="0" b="0"/>
                  <wp:wrapNone/>
                  <wp:docPr id="230" name="Text_Box_331_SpCnt_12"/>
                  <wp:cNvGraphicFramePr/>
                  <a:graphic xmlns:a="http://schemas.openxmlformats.org/drawingml/2006/main">
                    <a:graphicData uri="http://schemas.openxmlformats.org/drawingml/2006/picture">
                      <pic:pic xmlns:pic="http://schemas.openxmlformats.org/drawingml/2006/picture">
                        <pic:nvPicPr>
                          <pic:cNvPr id="230" name="Text_Box_331_SpCnt_12"/>
                          <pic:cNvPicPr/>
                        </pic:nvPicPr>
                        <pic:blipFill>
                          <a:blip r:embed="rId30"/>
                          <a:stretch>
                            <a:fillRect/>
                          </a:stretch>
                        </pic:blipFill>
                        <pic:spPr>
                          <a:xfrm>
                            <a:off x="0" y="0"/>
                            <a:ext cx="72390" cy="4330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72390" cy="356870"/>
                  <wp:effectExtent l="0" t="0" r="0" b="0"/>
                  <wp:wrapNone/>
                  <wp:docPr id="223" name="Text_Box_334_SpCnt_17"/>
                  <wp:cNvGraphicFramePr/>
                  <a:graphic xmlns:a="http://schemas.openxmlformats.org/drawingml/2006/main">
                    <a:graphicData uri="http://schemas.openxmlformats.org/drawingml/2006/picture">
                      <pic:pic xmlns:pic="http://schemas.openxmlformats.org/drawingml/2006/picture">
                        <pic:nvPicPr>
                          <pic:cNvPr id="223" name="Text_Box_334_SpCnt_17"/>
                          <pic:cNvPicPr/>
                        </pic:nvPicPr>
                        <pic:blipFill>
                          <a:blip r:embed="rId31"/>
                          <a:stretch>
                            <a:fillRect/>
                          </a:stretch>
                        </pic:blipFill>
                        <pic:spPr>
                          <a:xfrm>
                            <a:off x="0" y="0"/>
                            <a:ext cx="72390" cy="3568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72390" cy="356870"/>
                  <wp:effectExtent l="0" t="0" r="0" b="0"/>
                  <wp:wrapNone/>
                  <wp:docPr id="227" name="Text_Box_333_SpCnt_17"/>
                  <wp:cNvGraphicFramePr/>
                  <a:graphic xmlns:a="http://schemas.openxmlformats.org/drawingml/2006/main">
                    <a:graphicData uri="http://schemas.openxmlformats.org/drawingml/2006/picture">
                      <pic:pic xmlns:pic="http://schemas.openxmlformats.org/drawingml/2006/picture">
                        <pic:nvPicPr>
                          <pic:cNvPr id="227" name="Text_Box_333_SpCnt_17"/>
                          <pic:cNvPicPr/>
                        </pic:nvPicPr>
                        <pic:blipFill>
                          <a:blip r:embed="rId32"/>
                          <a:stretch>
                            <a:fillRect/>
                          </a:stretch>
                        </pic:blipFill>
                        <pic:spPr>
                          <a:xfrm>
                            <a:off x="0" y="0"/>
                            <a:ext cx="72390" cy="3568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11488" behindDoc="0" locked="0" layoutInCell="1" allowOverlap="1">
                  <wp:simplePos x="0" y="0"/>
                  <wp:positionH relativeFrom="column">
                    <wp:posOffset>0</wp:posOffset>
                  </wp:positionH>
                  <wp:positionV relativeFrom="paragraph">
                    <wp:posOffset>0</wp:posOffset>
                  </wp:positionV>
                  <wp:extent cx="72390" cy="433070"/>
                  <wp:effectExtent l="0" t="0" r="0" b="0"/>
                  <wp:wrapNone/>
                  <wp:docPr id="232" name="Text_Box_334_SpCnt_18"/>
                  <wp:cNvGraphicFramePr/>
                  <a:graphic xmlns:a="http://schemas.openxmlformats.org/drawingml/2006/main">
                    <a:graphicData uri="http://schemas.openxmlformats.org/drawingml/2006/picture">
                      <pic:pic xmlns:pic="http://schemas.openxmlformats.org/drawingml/2006/picture">
                        <pic:nvPicPr>
                          <pic:cNvPr id="232" name="Text_Box_334_SpCnt_18"/>
                          <pic:cNvPicPr/>
                        </pic:nvPicPr>
                        <pic:blipFill>
                          <a:blip r:embed="rId30"/>
                          <a:stretch>
                            <a:fillRect/>
                          </a:stretch>
                        </pic:blipFill>
                        <pic:spPr>
                          <a:xfrm>
                            <a:off x="0" y="0"/>
                            <a:ext cx="72390" cy="4330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12512" behindDoc="0" locked="0" layoutInCell="1" allowOverlap="1">
                  <wp:simplePos x="0" y="0"/>
                  <wp:positionH relativeFrom="column">
                    <wp:posOffset>0</wp:posOffset>
                  </wp:positionH>
                  <wp:positionV relativeFrom="paragraph">
                    <wp:posOffset>0</wp:posOffset>
                  </wp:positionV>
                  <wp:extent cx="72390" cy="433070"/>
                  <wp:effectExtent l="0" t="0" r="0" b="0"/>
                  <wp:wrapNone/>
                  <wp:docPr id="231" name="Text_Box_333_SpCnt_18"/>
                  <wp:cNvGraphicFramePr/>
                  <a:graphic xmlns:a="http://schemas.openxmlformats.org/drawingml/2006/main">
                    <a:graphicData uri="http://schemas.openxmlformats.org/drawingml/2006/picture">
                      <pic:pic xmlns:pic="http://schemas.openxmlformats.org/drawingml/2006/picture">
                        <pic:nvPicPr>
                          <pic:cNvPr id="231" name="Text_Box_333_SpCnt_18"/>
                          <pic:cNvPicPr/>
                        </pic:nvPicPr>
                        <pic:blipFill>
                          <a:blip r:embed="rId30"/>
                          <a:stretch>
                            <a:fillRect/>
                          </a:stretch>
                        </pic:blipFill>
                        <pic:spPr>
                          <a:xfrm>
                            <a:off x="0" y="0"/>
                            <a:ext cx="72390" cy="4330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13536" behindDoc="0" locked="0" layoutInCell="1" allowOverlap="1">
                  <wp:simplePos x="0" y="0"/>
                  <wp:positionH relativeFrom="column">
                    <wp:posOffset>0</wp:posOffset>
                  </wp:positionH>
                  <wp:positionV relativeFrom="paragraph">
                    <wp:posOffset>0</wp:posOffset>
                  </wp:positionV>
                  <wp:extent cx="72390" cy="433070"/>
                  <wp:effectExtent l="0" t="0" r="0" b="0"/>
                  <wp:wrapNone/>
                  <wp:docPr id="233" name="Text_Box_331_SpCnt_13"/>
                  <wp:cNvGraphicFramePr/>
                  <a:graphic xmlns:a="http://schemas.openxmlformats.org/drawingml/2006/main">
                    <a:graphicData uri="http://schemas.openxmlformats.org/drawingml/2006/picture">
                      <pic:pic xmlns:pic="http://schemas.openxmlformats.org/drawingml/2006/picture">
                        <pic:nvPicPr>
                          <pic:cNvPr id="233" name="Text_Box_331_SpCnt_13"/>
                          <pic:cNvPicPr/>
                        </pic:nvPicPr>
                        <pic:blipFill>
                          <a:blip r:embed="rId30"/>
                          <a:stretch>
                            <a:fillRect/>
                          </a:stretch>
                        </pic:blipFill>
                        <pic:spPr>
                          <a:xfrm>
                            <a:off x="0" y="0"/>
                            <a:ext cx="72390" cy="4330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14560" behindDoc="0" locked="0" layoutInCell="1" allowOverlap="1">
                  <wp:simplePos x="0" y="0"/>
                  <wp:positionH relativeFrom="column">
                    <wp:posOffset>0</wp:posOffset>
                  </wp:positionH>
                  <wp:positionV relativeFrom="paragraph">
                    <wp:posOffset>0</wp:posOffset>
                  </wp:positionV>
                  <wp:extent cx="72390" cy="356870"/>
                  <wp:effectExtent l="0" t="0" r="0" b="0"/>
                  <wp:wrapNone/>
                  <wp:docPr id="234" name="Text_Box_334_SpCnt_19"/>
                  <wp:cNvGraphicFramePr/>
                  <a:graphic xmlns:a="http://schemas.openxmlformats.org/drawingml/2006/main">
                    <a:graphicData uri="http://schemas.openxmlformats.org/drawingml/2006/picture">
                      <pic:pic xmlns:pic="http://schemas.openxmlformats.org/drawingml/2006/picture">
                        <pic:nvPicPr>
                          <pic:cNvPr id="234" name="Text_Box_334_SpCnt_19"/>
                          <pic:cNvPicPr/>
                        </pic:nvPicPr>
                        <pic:blipFill>
                          <a:blip r:embed="rId32"/>
                          <a:stretch>
                            <a:fillRect/>
                          </a:stretch>
                        </pic:blipFill>
                        <pic:spPr>
                          <a:xfrm>
                            <a:off x="0" y="0"/>
                            <a:ext cx="72390" cy="3568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15584" behindDoc="0" locked="0" layoutInCell="1" allowOverlap="1">
                  <wp:simplePos x="0" y="0"/>
                  <wp:positionH relativeFrom="column">
                    <wp:posOffset>0</wp:posOffset>
                  </wp:positionH>
                  <wp:positionV relativeFrom="paragraph">
                    <wp:posOffset>0</wp:posOffset>
                  </wp:positionV>
                  <wp:extent cx="72390" cy="356870"/>
                  <wp:effectExtent l="0" t="0" r="0" b="0"/>
                  <wp:wrapNone/>
                  <wp:docPr id="235" name="Text_Box_333_SpCnt_19"/>
                  <wp:cNvGraphicFramePr/>
                  <a:graphic xmlns:a="http://schemas.openxmlformats.org/drawingml/2006/main">
                    <a:graphicData uri="http://schemas.openxmlformats.org/drawingml/2006/picture">
                      <pic:pic xmlns:pic="http://schemas.openxmlformats.org/drawingml/2006/picture">
                        <pic:nvPicPr>
                          <pic:cNvPr id="235" name="Text_Box_333_SpCnt_19"/>
                          <pic:cNvPicPr/>
                        </pic:nvPicPr>
                        <pic:blipFill>
                          <a:blip r:embed="rId32"/>
                          <a:stretch>
                            <a:fillRect/>
                          </a:stretch>
                        </pic:blipFill>
                        <pic:spPr>
                          <a:xfrm>
                            <a:off x="0" y="0"/>
                            <a:ext cx="72390" cy="3568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16608" behindDoc="0" locked="0" layoutInCell="1" allowOverlap="1">
                  <wp:simplePos x="0" y="0"/>
                  <wp:positionH relativeFrom="column">
                    <wp:posOffset>0</wp:posOffset>
                  </wp:positionH>
                  <wp:positionV relativeFrom="paragraph">
                    <wp:posOffset>0</wp:posOffset>
                  </wp:positionV>
                  <wp:extent cx="72390" cy="318770"/>
                  <wp:effectExtent l="0" t="0" r="0" b="0"/>
                  <wp:wrapNone/>
                  <wp:docPr id="236" name="Text_Box_334_SpCnt_20"/>
                  <wp:cNvGraphicFramePr/>
                  <a:graphic xmlns:a="http://schemas.openxmlformats.org/drawingml/2006/main">
                    <a:graphicData uri="http://schemas.openxmlformats.org/drawingml/2006/picture">
                      <pic:pic xmlns:pic="http://schemas.openxmlformats.org/drawingml/2006/picture">
                        <pic:nvPicPr>
                          <pic:cNvPr id="236" name="Text_Box_334_SpCnt_20"/>
                          <pic:cNvPicPr/>
                        </pic:nvPicPr>
                        <pic:blipFill>
                          <a:blip r:embed="rId28"/>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17632" behindDoc="0" locked="0" layoutInCell="1" allowOverlap="1">
                  <wp:simplePos x="0" y="0"/>
                  <wp:positionH relativeFrom="column">
                    <wp:posOffset>0</wp:posOffset>
                  </wp:positionH>
                  <wp:positionV relativeFrom="paragraph">
                    <wp:posOffset>0</wp:posOffset>
                  </wp:positionV>
                  <wp:extent cx="72390" cy="318770"/>
                  <wp:effectExtent l="0" t="0" r="0" b="0"/>
                  <wp:wrapNone/>
                  <wp:docPr id="224" name="Text_Box_333_SpCnt_20"/>
                  <wp:cNvGraphicFramePr/>
                  <a:graphic xmlns:a="http://schemas.openxmlformats.org/drawingml/2006/main">
                    <a:graphicData uri="http://schemas.openxmlformats.org/drawingml/2006/picture">
                      <pic:pic xmlns:pic="http://schemas.openxmlformats.org/drawingml/2006/picture">
                        <pic:nvPicPr>
                          <pic:cNvPr id="224" name="Text_Box_333_SpCnt_20"/>
                          <pic:cNvPicPr/>
                        </pic:nvPicPr>
                        <pic:blipFill>
                          <a:blip r:embed="rId28"/>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18656" behindDoc="0" locked="0" layoutInCell="1" allowOverlap="1">
                  <wp:simplePos x="0" y="0"/>
                  <wp:positionH relativeFrom="column">
                    <wp:posOffset>0</wp:posOffset>
                  </wp:positionH>
                  <wp:positionV relativeFrom="paragraph">
                    <wp:posOffset>0</wp:posOffset>
                  </wp:positionV>
                  <wp:extent cx="72390" cy="318770"/>
                  <wp:effectExtent l="0" t="0" r="0" b="0"/>
                  <wp:wrapNone/>
                  <wp:docPr id="225" name="Text_Box_331_SpCnt_14"/>
                  <wp:cNvGraphicFramePr/>
                  <a:graphic xmlns:a="http://schemas.openxmlformats.org/drawingml/2006/main">
                    <a:graphicData uri="http://schemas.openxmlformats.org/drawingml/2006/picture">
                      <pic:pic xmlns:pic="http://schemas.openxmlformats.org/drawingml/2006/picture">
                        <pic:nvPicPr>
                          <pic:cNvPr id="225" name="Text_Box_331_SpCnt_14"/>
                          <pic:cNvPicPr/>
                        </pic:nvPicPr>
                        <pic:blipFill>
                          <a:blip r:embed="rId29"/>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19680" behindDoc="0" locked="0" layoutInCell="1" allowOverlap="1">
                  <wp:simplePos x="0" y="0"/>
                  <wp:positionH relativeFrom="column">
                    <wp:posOffset>0</wp:posOffset>
                  </wp:positionH>
                  <wp:positionV relativeFrom="paragraph">
                    <wp:posOffset>0</wp:posOffset>
                  </wp:positionV>
                  <wp:extent cx="72390" cy="318770"/>
                  <wp:effectExtent l="0" t="0" r="0" b="0"/>
                  <wp:wrapNone/>
                  <wp:docPr id="226" name="Text_Box_334_SpCnt_21"/>
                  <wp:cNvGraphicFramePr/>
                  <a:graphic xmlns:a="http://schemas.openxmlformats.org/drawingml/2006/main">
                    <a:graphicData uri="http://schemas.openxmlformats.org/drawingml/2006/picture">
                      <pic:pic xmlns:pic="http://schemas.openxmlformats.org/drawingml/2006/picture">
                        <pic:nvPicPr>
                          <pic:cNvPr id="226" name="Text_Box_334_SpCnt_21"/>
                          <pic:cNvPicPr/>
                        </pic:nvPicPr>
                        <pic:blipFill>
                          <a:blip r:embed="rId29"/>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20704" behindDoc="0" locked="0" layoutInCell="1" allowOverlap="1">
                  <wp:simplePos x="0" y="0"/>
                  <wp:positionH relativeFrom="column">
                    <wp:posOffset>0</wp:posOffset>
                  </wp:positionH>
                  <wp:positionV relativeFrom="paragraph">
                    <wp:posOffset>0</wp:posOffset>
                  </wp:positionV>
                  <wp:extent cx="72390" cy="433070"/>
                  <wp:effectExtent l="0" t="0" r="0" b="0"/>
                  <wp:wrapNone/>
                  <wp:docPr id="121" name="Text_Box_334_SpCnt_22"/>
                  <wp:cNvGraphicFramePr/>
                  <a:graphic xmlns:a="http://schemas.openxmlformats.org/drawingml/2006/main">
                    <a:graphicData uri="http://schemas.openxmlformats.org/drawingml/2006/picture">
                      <pic:pic xmlns:pic="http://schemas.openxmlformats.org/drawingml/2006/picture">
                        <pic:nvPicPr>
                          <pic:cNvPr id="121" name="Text_Box_334_SpCnt_22"/>
                          <pic:cNvPicPr/>
                        </pic:nvPicPr>
                        <pic:blipFill>
                          <a:blip r:embed="rId30"/>
                          <a:stretch>
                            <a:fillRect/>
                          </a:stretch>
                        </pic:blipFill>
                        <pic:spPr>
                          <a:xfrm>
                            <a:off x="0" y="0"/>
                            <a:ext cx="72390" cy="4330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21728" behindDoc="0" locked="0" layoutInCell="1" allowOverlap="1">
                  <wp:simplePos x="0" y="0"/>
                  <wp:positionH relativeFrom="column">
                    <wp:posOffset>0</wp:posOffset>
                  </wp:positionH>
                  <wp:positionV relativeFrom="paragraph">
                    <wp:posOffset>0</wp:posOffset>
                  </wp:positionV>
                  <wp:extent cx="72390" cy="318770"/>
                  <wp:effectExtent l="0" t="0" r="0" b="0"/>
                  <wp:wrapNone/>
                  <wp:docPr id="122" name="Text_Box_333_SpCnt_21"/>
                  <wp:cNvGraphicFramePr/>
                  <a:graphic xmlns:a="http://schemas.openxmlformats.org/drawingml/2006/main">
                    <a:graphicData uri="http://schemas.openxmlformats.org/drawingml/2006/picture">
                      <pic:pic xmlns:pic="http://schemas.openxmlformats.org/drawingml/2006/picture">
                        <pic:nvPicPr>
                          <pic:cNvPr id="122" name="Text_Box_333_SpCnt_21"/>
                          <pic:cNvPicPr/>
                        </pic:nvPicPr>
                        <pic:blipFill>
                          <a:blip r:embed="rId29"/>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22752" behindDoc="0" locked="0" layoutInCell="1" allowOverlap="1">
                  <wp:simplePos x="0" y="0"/>
                  <wp:positionH relativeFrom="column">
                    <wp:posOffset>0</wp:posOffset>
                  </wp:positionH>
                  <wp:positionV relativeFrom="paragraph">
                    <wp:posOffset>0</wp:posOffset>
                  </wp:positionV>
                  <wp:extent cx="72390" cy="433070"/>
                  <wp:effectExtent l="0" t="0" r="0" b="0"/>
                  <wp:wrapNone/>
                  <wp:docPr id="123" name="Text_Box_333_SpCnt_22"/>
                  <wp:cNvGraphicFramePr/>
                  <a:graphic xmlns:a="http://schemas.openxmlformats.org/drawingml/2006/main">
                    <a:graphicData uri="http://schemas.openxmlformats.org/drawingml/2006/picture">
                      <pic:pic xmlns:pic="http://schemas.openxmlformats.org/drawingml/2006/picture">
                        <pic:nvPicPr>
                          <pic:cNvPr id="123" name="Text_Box_333_SpCnt_22"/>
                          <pic:cNvPicPr/>
                        </pic:nvPicPr>
                        <pic:blipFill>
                          <a:blip r:embed="rId30"/>
                          <a:stretch>
                            <a:fillRect/>
                          </a:stretch>
                        </pic:blipFill>
                        <pic:spPr>
                          <a:xfrm>
                            <a:off x="0" y="0"/>
                            <a:ext cx="72390" cy="4330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23776" behindDoc="0" locked="0" layoutInCell="1" allowOverlap="1">
                  <wp:simplePos x="0" y="0"/>
                  <wp:positionH relativeFrom="column">
                    <wp:posOffset>0</wp:posOffset>
                  </wp:positionH>
                  <wp:positionV relativeFrom="paragraph">
                    <wp:posOffset>0</wp:posOffset>
                  </wp:positionV>
                  <wp:extent cx="72390" cy="433070"/>
                  <wp:effectExtent l="0" t="0" r="0" b="0"/>
                  <wp:wrapNone/>
                  <wp:docPr id="124" name="Text_Box_331_SpCnt_15"/>
                  <wp:cNvGraphicFramePr/>
                  <a:graphic xmlns:a="http://schemas.openxmlformats.org/drawingml/2006/main">
                    <a:graphicData uri="http://schemas.openxmlformats.org/drawingml/2006/picture">
                      <pic:pic xmlns:pic="http://schemas.openxmlformats.org/drawingml/2006/picture">
                        <pic:nvPicPr>
                          <pic:cNvPr id="124" name="Text_Box_331_SpCnt_15"/>
                          <pic:cNvPicPr/>
                        </pic:nvPicPr>
                        <pic:blipFill>
                          <a:blip r:embed="rId30"/>
                          <a:stretch>
                            <a:fillRect/>
                          </a:stretch>
                        </pic:blipFill>
                        <pic:spPr>
                          <a:xfrm>
                            <a:off x="0" y="0"/>
                            <a:ext cx="72390" cy="4330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24800" behindDoc="0" locked="0" layoutInCell="1" allowOverlap="1">
                  <wp:simplePos x="0" y="0"/>
                  <wp:positionH relativeFrom="column">
                    <wp:posOffset>0</wp:posOffset>
                  </wp:positionH>
                  <wp:positionV relativeFrom="paragraph">
                    <wp:posOffset>0</wp:posOffset>
                  </wp:positionV>
                  <wp:extent cx="72390" cy="356870"/>
                  <wp:effectExtent l="0" t="0" r="0" b="0"/>
                  <wp:wrapNone/>
                  <wp:docPr id="125" name="Text_Box_334_SpCnt_23"/>
                  <wp:cNvGraphicFramePr/>
                  <a:graphic xmlns:a="http://schemas.openxmlformats.org/drawingml/2006/main">
                    <a:graphicData uri="http://schemas.openxmlformats.org/drawingml/2006/picture">
                      <pic:pic xmlns:pic="http://schemas.openxmlformats.org/drawingml/2006/picture">
                        <pic:nvPicPr>
                          <pic:cNvPr id="125" name="Text_Box_334_SpCnt_23"/>
                          <pic:cNvPicPr/>
                        </pic:nvPicPr>
                        <pic:blipFill>
                          <a:blip r:embed="rId31"/>
                          <a:stretch>
                            <a:fillRect/>
                          </a:stretch>
                        </pic:blipFill>
                        <pic:spPr>
                          <a:xfrm>
                            <a:off x="0" y="0"/>
                            <a:ext cx="72390" cy="3568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25824" behindDoc="0" locked="0" layoutInCell="1" allowOverlap="1">
                  <wp:simplePos x="0" y="0"/>
                  <wp:positionH relativeFrom="column">
                    <wp:posOffset>0</wp:posOffset>
                  </wp:positionH>
                  <wp:positionV relativeFrom="paragraph">
                    <wp:posOffset>0</wp:posOffset>
                  </wp:positionV>
                  <wp:extent cx="72390" cy="356870"/>
                  <wp:effectExtent l="0" t="0" r="0" b="0"/>
                  <wp:wrapNone/>
                  <wp:docPr id="126" name="Text_Box_333_SpCnt_23"/>
                  <wp:cNvGraphicFramePr/>
                  <a:graphic xmlns:a="http://schemas.openxmlformats.org/drawingml/2006/main">
                    <a:graphicData uri="http://schemas.openxmlformats.org/drawingml/2006/picture">
                      <pic:pic xmlns:pic="http://schemas.openxmlformats.org/drawingml/2006/picture">
                        <pic:nvPicPr>
                          <pic:cNvPr id="126" name="Text_Box_333_SpCnt_23"/>
                          <pic:cNvPicPr/>
                        </pic:nvPicPr>
                        <pic:blipFill>
                          <a:blip r:embed="rId32"/>
                          <a:stretch>
                            <a:fillRect/>
                          </a:stretch>
                        </pic:blipFill>
                        <pic:spPr>
                          <a:xfrm>
                            <a:off x="0" y="0"/>
                            <a:ext cx="72390" cy="3568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26848" behindDoc="0" locked="0" layoutInCell="1" allowOverlap="1">
                  <wp:simplePos x="0" y="0"/>
                  <wp:positionH relativeFrom="column">
                    <wp:posOffset>0</wp:posOffset>
                  </wp:positionH>
                  <wp:positionV relativeFrom="paragraph">
                    <wp:posOffset>0</wp:posOffset>
                  </wp:positionV>
                  <wp:extent cx="72390" cy="433070"/>
                  <wp:effectExtent l="0" t="0" r="0" b="0"/>
                  <wp:wrapNone/>
                  <wp:docPr id="131" name="Text_Box_334_SpCnt_24"/>
                  <wp:cNvGraphicFramePr/>
                  <a:graphic xmlns:a="http://schemas.openxmlformats.org/drawingml/2006/main">
                    <a:graphicData uri="http://schemas.openxmlformats.org/drawingml/2006/picture">
                      <pic:pic xmlns:pic="http://schemas.openxmlformats.org/drawingml/2006/picture">
                        <pic:nvPicPr>
                          <pic:cNvPr id="131" name="Text_Box_334_SpCnt_24"/>
                          <pic:cNvPicPr/>
                        </pic:nvPicPr>
                        <pic:blipFill>
                          <a:blip r:embed="rId30"/>
                          <a:stretch>
                            <a:fillRect/>
                          </a:stretch>
                        </pic:blipFill>
                        <pic:spPr>
                          <a:xfrm>
                            <a:off x="0" y="0"/>
                            <a:ext cx="72390" cy="4330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72390" cy="433070"/>
                  <wp:effectExtent l="0" t="0" r="0" b="0"/>
                  <wp:wrapNone/>
                  <wp:docPr id="137" name="Text_Box_333_SpCnt_24"/>
                  <wp:cNvGraphicFramePr/>
                  <a:graphic xmlns:a="http://schemas.openxmlformats.org/drawingml/2006/main">
                    <a:graphicData uri="http://schemas.openxmlformats.org/drawingml/2006/picture">
                      <pic:pic xmlns:pic="http://schemas.openxmlformats.org/drawingml/2006/picture">
                        <pic:nvPicPr>
                          <pic:cNvPr id="137" name="Text_Box_333_SpCnt_24"/>
                          <pic:cNvPicPr/>
                        </pic:nvPicPr>
                        <pic:blipFill>
                          <a:blip r:embed="rId33"/>
                          <a:stretch>
                            <a:fillRect/>
                          </a:stretch>
                        </pic:blipFill>
                        <pic:spPr>
                          <a:xfrm>
                            <a:off x="0" y="0"/>
                            <a:ext cx="72390" cy="4330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28896" behindDoc="0" locked="0" layoutInCell="1" allowOverlap="1">
                  <wp:simplePos x="0" y="0"/>
                  <wp:positionH relativeFrom="column">
                    <wp:posOffset>0</wp:posOffset>
                  </wp:positionH>
                  <wp:positionV relativeFrom="paragraph">
                    <wp:posOffset>0</wp:posOffset>
                  </wp:positionV>
                  <wp:extent cx="72390" cy="433070"/>
                  <wp:effectExtent l="0" t="0" r="0" b="0"/>
                  <wp:wrapNone/>
                  <wp:docPr id="139" name="Text_Box_331_SpCnt_16"/>
                  <wp:cNvGraphicFramePr/>
                  <a:graphic xmlns:a="http://schemas.openxmlformats.org/drawingml/2006/main">
                    <a:graphicData uri="http://schemas.openxmlformats.org/drawingml/2006/picture">
                      <pic:pic xmlns:pic="http://schemas.openxmlformats.org/drawingml/2006/picture">
                        <pic:nvPicPr>
                          <pic:cNvPr id="139" name="Text_Box_331_SpCnt_16"/>
                          <pic:cNvPicPr/>
                        </pic:nvPicPr>
                        <pic:blipFill>
                          <a:blip r:embed="rId33"/>
                          <a:stretch>
                            <a:fillRect/>
                          </a:stretch>
                        </pic:blipFill>
                        <pic:spPr>
                          <a:xfrm>
                            <a:off x="0" y="0"/>
                            <a:ext cx="72390" cy="4330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29920" behindDoc="0" locked="0" layoutInCell="1" allowOverlap="1">
                  <wp:simplePos x="0" y="0"/>
                  <wp:positionH relativeFrom="column">
                    <wp:posOffset>0</wp:posOffset>
                  </wp:positionH>
                  <wp:positionV relativeFrom="paragraph">
                    <wp:posOffset>0</wp:posOffset>
                  </wp:positionV>
                  <wp:extent cx="72390" cy="356870"/>
                  <wp:effectExtent l="0" t="0" r="0" b="0"/>
                  <wp:wrapNone/>
                  <wp:docPr id="141" name="Text_Box_334_SpCnt_25"/>
                  <wp:cNvGraphicFramePr/>
                  <a:graphic xmlns:a="http://schemas.openxmlformats.org/drawingml/2006/main">
                    <a:graphicData uri="http://schemas.openxmlformats.org/drawingml/2006/picture">
                      <pic:pic xmlns:pic="http://schemas.openxmlformats.org/drawingml/2006/picture">
                        <pic:nvPicPr>
                          <pic:cNvPr id="141" name="Text_Box_334_SpCnt_25"/>
                          <pic:cNvPicPr/>
                        </pic:nvPicPr>
                        <pic:blipFill>
                          <a:blip r:embed="rId34"/>
                          <a:stretch>
                            <a:fillRect/>
                          </a:stretch>
                        </pic:blipFill>
                        <pic:spPr>
                          <a:xfrm>
                            <a:off x="0" y="0"/>
                            <a:ext cx="72390" cy="3568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30944" behindDoc="0" locked="0" layoutInCell="1" allowOverlap="1">
                  <wp:simplePos x="0" y="0"/>
                  <wp:positionH relativeFrom="column">
                    <wp:posOffset>0</wp:posOffset>
                  </wp:positionH>
                  <wp:positionV relativeFrom="paragraph">
                    <wp:posOffset>0</wp:posOffset>
                  </wp:positionV>
                  <wp:extent cx="72390" cy="356870"/>
                  <wp:effectExtent l="0" t="0" r="0" b="0"/>
                  <wp:wrapNone/>
                  <wp:docPr id="136" name="Text_Box_333_SpCnt_25"/>
                  <wp:cNvGraphicFramePr/>
                  <a:graphic xmlns:a="http://schemas.openxmlformats.org/drawingml/2006/main">
                    <a:graphicData uri="http://schemas.openxmlformats.org/drawingml/2006/picture">
                      <pic:pic xmlns:pic="http://schemas.openxmlformats.org/drawingml/2006/picture">
                        <pic:nvPicPr>
                          <pic:cNvPr id="136" name="Text_Box_333_SpCnt_25"/>
                          <pic:cNvPicPr/>
                        </pic:nvPicPr>
                        <pic:blipFill>
                          <a:blip r:embed="rId34"/>
                          <a:stretch>
                            <a:fillRect/>
                          </a:stretch>
                        </pic:blipFill>
                        <pic:spPr>
                          <a:xfrm>
                            <a:off x="0" y="0"/>
                            <a:ext cx="72390" cy="3568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31968" behindDoc="0" locked="0" layoutInCell="1" allowOverlap="1">
                  <wp:simplePos x="0" y="0"/>
                  <wp:positionH relativeFrom="column">
                    <wp:posOffset>0</wp:posOffset>
                  </wp:positionH>
                  <wp:positionV relativeFrom="paragraph">
                    <wp:posOffset>0</wp:posOffset>
                  </wp:positionV>
                  <wp:extent cx="72390" cy="472440"/>
                  <wp:effectExtent l="0" t="0" r="0" b="0"/>
                  <wp:wrapNone/>
                  <wp:docPr id="132" name="Text_Box_334_SpCnt_26"/>
                  <wp:cNvGraphicFramePr/>
                  <a:graphic xmlns:a="http://schemas.openxmlformats.org/drawingml/2006/main">
                    <a:graphicData uri="http://schemas.openxmlformats.org/drawingml/2006/picture">
                      <pic:pic xmlns:pic="http://schemas.openxmlformats.org/drawingml/2006/picture">
                        <pic:nvPicPr>
                          <pic:cNvPr id="132" name="Text_Box_334_SpCnt_26"/>
                          <pic:cNvPicPr/>
                        </pic:nvPicPr>
                        <pic:blipFill>
                          <a:blip r:embed="rId35"/>
                          <a:stretch>
                            <a:fillRect/>
                          </a:stretch>
                        </pic:blipFill>
                        <pic:spPr>
                          <a:xfrm>
                            <a:off x="0" y="0"/>
                            <a:ext cx="72390" cy="47244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32992" behindDoc="0" locked="0" layoutInCell="1" allowOverlap="1">
                  <wp:simplePos x="0" y="0"/>
                  <wp:positionH relativeFrom="column">
                    <wp:posOffset>0</wp:posOffset>
                  </wp:positionH>
                  <wp:positionV relativeFrom="paragraph">
                    <wp:posOffset>0</wp:posOffset>
                  </wp:positionV>
                  <wp:extent cx="72390" cy="472440"/>
                  <wp:effectExtent l="0" t="0" r="0" b="0"/>
                  <wp:wrapNone/>
                  <wp:docPr id="133" name="Text_Box_333_SpCnt_26"/>
                  <wp:cNvGraphicFramePr/>
                  <a:graphic xmlns:a="http://schemas.openxmlformats.org/drawingml/2006/main">
                    <a:graphicData uri="http://schemas.openxmlformats.org/drawingml/2006/picture">
                      <pic:pic xmlns:pic="http://schemas.openxmlformats.org/drawingml/2006/picture">
                        <pic:nvPicPr>
                          <pic:cNvPr id="133" name="Text_Box_333_SpCnt_26"/>
                          <pic:cNvPicPr/>
                        </pic:nvPicPr>
                        <pic:blipFill>
                          <a:blip r:embed="rId35"/>
                          <a:stretch>
                            <a:fillRect/>
                          </a:stretch>
                        </pic:blipFill>
                        <pic:spPr>
                          <a:xfrm>
                            <a:off x="0" y="0"/>
                            <a:ext cx="72390" cy="47244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34016" behindDoc="0" locked="0" layoutInCell="1" allowOverlap="1">
                  <wp:simplePos x="0" y="0"/>
                  <wp:positionH relativeFrom="column">
                    <wp:posOffset>0</wp:posOffset>
                  </wp:positionH>
                  <wp:positionV relativeFrom="paragraph">
                    <wp:posOffset>0</wp:posOffset>
                  </wp:positionV>
                  <wp:extent cx="72390" cy="472440"/>
                  <wp:effectExtent l="0" t="0" r="0" b="0"/>
                  <wp:wrapNone/>
                  <wp:docPr id="138" name="Text_Box_331_SpCnt_17"/>
                  <wp:cNvGraphicFramePr/>
                  <a:graphic xmlns:a="http://schemas.openxmlformats.org/drawingml/2006/main">
                    <a:graphicData uri="http://schemas.openxmlformats.org/drawingml/2006/picture">
                      <pic:pic xmlns:pic="http://schemas.openxmlformats.org/drawingml/2006/picture">
                        <pic:nvPicPr>
                          <pic:cNvPr id="138" name="Text_Box_331_SpCnt_17"/>
                          <pic:cNvPicPr/>
                        </pic:nvPicPr>
                        <pic:blipFill>
                          <a:blip r:embed="rId35"/>
                          <a:stretch>
                            <a:fillRect/>
                          </a:stretch>
                        </pic:blipFill>
                        <pic:spPr>
                          <a:xfrm>
                            <a:off x="0" y="0"/>
                            <a:ext cx="72390" cy="47244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35040" behindDoc="0" locked="0" layoutInCell="1" allowOverlap="1">
                  <wp:simplePos x="0" y="0"/>
                  <wp:positionH relativeFrom="column">
                    <wp:posOffset>0</wp:posOffset>
                  </wp:positionH>
                  <wp:positionV relativeFrom="paragraph">
                    <wp:posOffset>0</wp:posOffset>
                  </wp:positionV>
                  <wp:extent cx="72390" cy="472440"/>
                  <wp:effectExtent l="0" t="0" r="0" b="0"/>
                  <wp:wrapNone/>
                  <wp:docPr id="130" name="Text_Box_334_SpCnt_27"/>
                  <wp:cNvGraphicFramePr/>
                  <a:graphic xmlns:a="http://schemas.openxmlformats.org/drawingml/2006/main">
                    <a:graphicData uri="http://schemas.openxmlformats.org/drawingml/2006/picture">
                      <pic:pic xmlns:pic="http://schemas.openxmlformats.org/drawingml/2006/picture">
                        <pic:nvPicPr>
                          <pic:cNvPr id="130" name="Text_Box_334_SpCnt_27"/>
                          <pic:cNvPicPr/>
                        </pic:nvPicPr>
                        <pic:blipFill>
                          <a:blip r:embed="rId35"/>
                          <a:stretch>
                            <a:fillRect/>
                          </a:stretch>
                        </pic:blipFill>
                        <pic:spPr>
                          <a:xfrm>
                            <a:off x="0" y="0"/>
                            <a:ext cx="72390" cy="47244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36064" behindDoc="0" locked="0" layoutInCell="1" allowOverlap="1">
                  <wp:simplePos x="0" y="0"/>
                  <wp:positionH relativeFrom="column">
                    <wp:posOffset>0</wp:posOffset>
                  </wp:positionH>
                  <wp:positionV relativeFrom="paragraph">
                    <wp:posOffset>0</wp:posOffset>
                  </wp:positionV>
                  <wp:extent cx="72390" cy="472440"/>
                  <wp:effectExtent l="0" t="0" r="0" b="0"/>
                  <wp:wrapNone/>
                  <wp:docPr id="142" name="Text_Box_333_SpCnt_27"/>
                  <wp:cNvGraphicFramePr/>
                  <a:graphic xmlns:a="http://schemas.openxmlformats.org/drawingml/2006/main">
                    <a:graphicData uri="http://schemas.openxmlformats.org/drawingml/2006/picture">
                      <pic:pic xmlns:pic="http://schemas.openxmlformats.org/drawingml/2006/picture">
                        <pic:nvPicPr>
                          <pic:cNvPr id="142" name="Text_Box_333_SpCnt_27"/>
                          <pic:cNvPicPr/>
                        </pic:nvPicPr>
                        <pic:blipFill>
                          <a:blip r:embed="rId35"/>
                          <a:stretch>
                            <a:fillRect/>
                          </a:stretch>
                        </pic:blipFill>
                        <pic:spPr>
                          <a:xfrm>
                            <a:off x="0" y="0"/>
                            <a:ext cx="72390" cy="47244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37088" behindDoc="0" locked="0" layoutInCell="1" allowOverlap="1">
                  <wp:simplePos x="0" y="0"/>
                  <wp:positionH relativeFrom="column">
                    <wp:posOffset>0</wp:posOffset>
                  </wp:positionH>
                  <wp:positionV relativeFrom="paragraph">
                    <wp:posOffset>0</wp:posOffset>
                  </wp:positionV>
                  <wp:extent cx="72390" cy="472440"/>
                  <wp:effectExtent l="0" t="0" r="0" b="0"/>
                  <wp:wrapNone/>
                  <wp:docPr id="127" name="Text_Box_331_SpCnt_18"/>
                  <wp:cNvGraphicFramePr/>
                  <a:graphic xmlns:a="http://schemas.openxmlformats.org/drawingml/2006/main">
                    <a:graphicData uri="http://schemas.openxmlformats.org/drawingml/2006/picture">
                      <pic:pic xmlns:pic="http://schemas.openxmlformats.org/drawingml/2006/picture">
                        <pic:nvPicPr>
                          <pic:cNvPr id="127" name="Text_Box_331_SpCnt_18"/>
                          <pic:cNvPicPr/>
                        </pic:nvPicPr>
                        <pic:blipFill>
                          <a:blip r:embed="rId35"/>
                          <a:stretch>
                            <a:fillRect/>
                          </a:stretch>
                        </pic:blipFill>
                        <pic:spPr>
                          <a:xfrm>
                            <a:off x="0" y="0"/>
                            <a:ext cx="72390" cy="47244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38112" behindDoc="0" locked="0" layoutInCell="1" allowOverlap="1">
                  <wp:simplePos x="0" y="0"/>
                  <wp:positionH relativeFrom="column">
                    <wp:posOffset>0</wp:posOffset>
                  </wp:positionH>
                  <wp:positionV relativeFrom="paragraph">
                    <wp:posOffset>0</wp:posOffset>
                  </wp:positionV>
                  <wp:extent cx="72390" cy="318770"/>
                  <wp:effectExtent l="0" t="0" r="0" b="0"/>
                  <wp:wrapNone/>
                  <wp:docPr id="128" name="Text_Box_334_SpCnt_28"/>
                  <wp:cNvGraphicFramePr/>
                  <a:graphic xmlns:a="http://schemas.openxmlformats.org/drawingml/2006/main">
                    <a:graphicData uri="http://schemas.openxmlformats.org/drawingml/2006/picture">
                      <pic:pic xmlns:pic="http://schemas.openxmlformats.org/drawingml/2006/picture">
                        <pic:nvPicPr>
                          <pic:cNvPr id="128" name="Text_Box_334_SpCnt_28"/>
                          <pic:cNvPicPr/>
                        </pic:nvPicPr>
                        <pic:blipFill>
                          <a:blip r:embed="rId28"/>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39136" behindDoc="0" locked="0" layoutInCell="1" allowOverlap="1">
                  <wp:simplePos x="0" y="0"/>
                  <wp:positionH relativeFrom="column">
                    <wp:posOffset>0</wp:posOffset>
                  </wp:positionH>
                  <wp:positionV relativeFrom="paragraph">
                    <wp:posOffset>0</wp:posOffset>
                  </wp:positionV>
                  <wp:extent cx="72390" cy="318770"/>
                  <wp:effectExtent l="0" t="0" r="0" b="0"/>
                  <wp:wrapNone/>
                  <wp:docPr id="134" name="Text_Box_333_SpCnt_28"/>
                  <wp:cNvGraphicFramePr/>
                  <a:graphic xmlns:a="http://schemas.openxmlformats.org/drawingml/2006/main">
                    <a:graphicData uri="http://schemas.openxmlformats.org/drawingml/2006/picture">
                      <pic:pic xmlns:pic="http://schemas.openxmlformats.org/drawingml/2006/picture">
                        <pic:nvPicPr>
                          <pic:cNvPr id="134" name="Text_Box_333_SpCnt_28"/>
                          <pic:cNvPicPr/>
                        </pic:nvPicPr>
                        <pic:blipFill>
                          <a:blip r:embed="rId28"/>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40160" behindDoc="0" locked="0" layoutInCell="1" allowOverlap="1">
                  <wp:simplePos x="0" y="0"/>
                  <wp:positionH relativeFrom="column">
                    <wp:posOffset>0</wp:posOffset>
                  </wp:positionH>
                  <wp:positionV relativeFrom="paragraph">
                    <wp:posOffset>0</wp:posOffset>
                  </wp:positionV>
                  <wp:extent cx="72390" cy="318770"/>
                  <wp:effectExtent l="0" t="0" r="0" b="0"/>
                  <wp:wrapNone/>
                  <wp:docPr id="140" name="Text_Box_331_SpCnt_19"/>
                  <wp:cNvGraphicFramePr/>
                  <a:graphic xmlns:a="http://schemas.openxmlformats.org/drawingml/2006/main">
                    <a:graphicData uri="http://schemas.openxmlformats.org/drawingml/2006/picture">
                      <pic:pic xmlns:pic="http://schemas.openxmlformats.org/drawingml/2006/picture">
                        <pic:nvPicPr>
                          <pic:cNvPr id="140" name="Text_Box_331_SpCnt_19"/>
                          <pic:cNvPicPr/>
                        </pic:nvPicPr>
                        <pic:blipFill>
                          <a:blip r:embed="rId28"/>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41184" behindDoc="0" locked="0" layoutInCell="1" allowOverlap="1">
                  <wp:simplePos x="0" y="0"/>
                  <wp:positionH relativeFrom="column">
                    <wp:posOffset>0</wp:posOffset>
                  </wp:positionH>
                  <wp:positionV relativeFrom="paragraph">
                    <wp:posOffset>0</wp:posOffset>
                  </wp:positionV>
                  <wp:extent cx="72390" cy="318770"/>
                  <wp:effectExtent l="0" t="0" r="0" b="0"/>
                  <wp:wrapNone/>
                  <wp:docPr id="129" name="Text_Box_334_SpCnt_29"/>
                  <wp:cNvGraphicFramePr/>
                  <a:graphic xmlns:a="http://schemas.openxmlformats.org/drawingml/2006/main">
                    <a:graphicData uri="http://schemas.openxmlformats.org/drawingml/2006/picture">
                      <pic:pic xmlns:pic="http://schemas.openxmlformats.org/drawingml/2006/picture">
                        <pic:nvPicPr>
                          <pic:cNvPr id="129" name="Text_Box_334_SpCnt_29"/>
                          <pic:cNvPicPr/>
                        </pic:nvPicPr>
                        <pic:blipFill>
                          <a:blip r:embed="rId28"/>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42208" behindDoc="0" locked="0" layoutInCell="1" allowOverlap="1">
                  <wp:simplePos x="0" y="0"/>
                  <wp:positionH relativeFrom="column">
                    <wp:posOffset>0</wp:posOffset>
                  </wp:positionH>
                  <wp:positionV relativeFrom="paragraph">
                    <wp:posOffset>0</wp:posOffset>
                  </wp:positionV>
                  <wp:extent cx="72390" cy="318770"/>
                  <wp:effectExtent l="0" t="0" r="0" b="0"/>
                  <wp:wrapNone/>
                  <wp:docPr id="135" name="Text_Box_333_SpCnt_29"/>
                  <wp:cNvGraphicFramePr/>
                  <a:graphic xmlns:a="http://schemas.openxmlformats.org/drawingml/2006/main">
                    <a:graphicData uri="http://schemas.openxmlformats.org/drawingml/2006/picture">
                      <pic:pic xmlns:pic="http://schemas.openxmlformats.org/drawingml/2006/picture">
                        <pic:nvPicPr>
                          <pic:cNvPr id="135" name="Text_Box_333_SpCnt_29"/>
                          <pic:cNvPicPr/>
                        </pic:nvPicPr>
                        <pic:blipFill>
                          <a:blip r:embed="rId28"/>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43232" behindDoc="0" locked="0" layoutInCell="1" allowOverlap="1">
                  <wp:simplePos x="0" y="0"/>
                  <wp:positionH relativeFrom="column">
                    <wp:posOffset>0</wp:posOffset>
                  </wp:positionH>
                  <wp:positionV relativeFrom="paragraph">
                    <wp:posOffset>0</wp:posOffset>
                  </wp:positionV>
                  <wp:extent cx="72390" cy="318770"/>
                  <wp:effectExtent l="0" t="0" r="0" b="0"/>
                  <wp:wrapNone/>
                  <wp:docPr id="172" name="Text_Box_331_SpCnt_20"/>
                  <wp:cNvGraphicFramePr/>
                  <a:graphic xmlns:a="http://schemas.openxmlformats.org/drawingml/2006/main">
                    <a:graphicData uri="http://schemas.openxmlformats.org/drawingml/2006/picture">
                      <pic:pic xmlns:pic="http://schemas.openxmlformats.org/drawingml/2006/picture">
                        <pic:nvPicPr>
                          <pic:cNvPr id="172" name="Text_Box_331_SpCnt_20"/>
                          <pic:cNvPicPr/>
                        </pic:nvPicPr>
                        <pic:blipFill>
                          <a:blip r:embed="rId28"/>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44256" behindDoc="0" locked="0" layoutInCell="1" allowOverlap="1">
                  <wp:simplePos x="0" y="0"/>
                  <wp:positionH relativeFrom="column">
                    <wp:posOffset>0</wp:posOffset>
                  </wp:positionH>
                  <wp:positionV relativeFrom="paragraph">
                    <wp:posOffset>0</wp:posOffset>
                  </wp:positionV>
                  <wp:extent cx="72390" cy="318770"/>
                  <wp:effectExtent l="0" t="0" r="0" b="0"/>
                  <wp:wrapNone/>
                  <wp:docPr id="157" name="Text_Box_334_SpCnt_30"/>
                  <wp:cNvGraphicFramePr/>
                  <a:graphic xmlns:a="http://schemas.openxmlformats.org/drawingml/2006/main">
                    <a:graphicData uri="http://schemas.openxmlformats.org/drawingml/2006/picture">
                      <pic:pic xmlns:pic="http://schemas.openxmlformats.org/drawingml/2006/picture">
                        <pic:nvPicPr>
                          <pic:cNvPr id="157" name="Text_Box_334_SpCnt_30"/>
                          <pic:cNvPicPr/>
                        </pic:nvPicPr>
                        <pic:blipFill>
                          <a:blip r:embed="rId28"/>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45280" behindDoc="0" locked="0" layoutInCell="1" allowOverlap="1">
                  <wp:simplePos x="0" y="0"/>
                  <wp:positionH relativeFrom="column">
                    <wp:posOffset>0</wp:posOffset>
                  </wp:positionH>
                  <wp:positionV relativeFrom="paragraph">
                    <wp:posOffset>0</wp:posOffset>
                  </wp:positionV>
                  <wp:extent cx="72390" cy="318770"/>
                  <wp:effectExtent l="0" t="0" r="0" b="0"/>
                  <wp:wrapNone/>
                  <wp:docPr id="162" name="Text_Box_333_SpCnt_30"/>
                  <wp:cNvGraphicFramePr/>
                  <a:graphic xmlns:a="http://schemas.openxmlformats.org/drawingml/2006/main">
                    <a:graphicData uri="http://schemas.openxmlformats.org/drawingml/2006/picture">
                      <pic:pic xmlns:pic="http://schemas.openxmlformats.org/drawingml/2006/picture">
                        <pic:nvPicPr>
                          <pic:cNvPr id="162" name="Text_Box_333_SpCnt_30"/>
                          <pic:cNvPicPr/>
                        </pic:nvPicPr>
                        <pic:blipFill>
                          <a:blip r:embed="rId28"/>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46304" behindDoc="0" locked="0" layoutInCell="1" allowOverlap="1">
                  <wp:simplePos x="0" y="0"/>
                  <wp:positionH relativeFrom="column">
                    <wp:posOffset>0</wp:posOffset>
                  </wp:positionH>
                  <wp:positionV relativeFrom="paragraph">
                    <wp:posOffset>0</wp:posOffset>
                  </wp:positionV>
                  <wp:extent cx="72390" cy="318770"/>
                  <wp:effectExtent l="0" t="0" r="0" b="0"/>
                  <wp:wrapNone/>
                  <wp:docPr id="165" name="Text_Box_331_SpCnt_21"/>
                  <wp:cNvGraphicFramePr/>
                  <a:graphic xmlns:a="http://schemas.openxmlformats.org/drawingml/2006/main">
                    <a:graphicData uri="http://schemas.openxmlformats.org/drawingml/2006/picture">
                      <pic:pic xmlns:pic="http://schemas.openxmlformats.org/drawingml/2006/picture">
                        <pic:nvPicPr>
                          <pic:cNvPr id="165" name="Text_Box_331_SpCnt_21"/>
                          <pic:cNvPicPr/>
                        </pic:nvPicPr>
                        <pic:blipFill>
                          <a:blip r:embed="rId28"/>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47328" behindDoc="0" locked="0" layoutInCell="1" allowOverlap="1">
                  <wp:simplePos x="0" y="0"/>
                  <wp:positionH relativeFrom="column">
                    <wp:posOffset>0</wp:posOffset>
                  </wp:positionH>
                  <wp:positionV relativeFrom="paragraph">
                    <wp:posOffset>0</wp:posOffset>
                  </wp:positionV>
                  <wp:extent cx="72390" cy="318770"/>
                  <wp:effectExtent l="0" t="0" r="0" b="0"/>
                  <wp:wrapNone/>
                  <wp:docPr id="163" name="Text_Box_334_SpCnt_31"/>
                  <wp:cNvGraphicFramePr/>
                  <a:graphic xmlns:a="http://schemas.openxmlformats.org/drawingml/2006/main">
                    <a:graphicData uri="http://schemas.openxmlformats.org/drawingml/2006/picture">
                      <pic:pic xmlns:pic="http://schemas.openxmlformats.org/drawingml/2006/picture">
                        <pic:nvPicPr>
                          <pic:cNvPr id="163" name="Text_Box_334_SpCnt_31"/>
                          <pic:cNvPicPr/>
                        </pic:nvPicPr>
                        <pic:blipFill>
                          <a:blip r:embed="rId28"/>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48352" behindDoc="0" locked="0" layoutInCell="1" allowOverlap="1">
                  <wp:simplePos x="0" y="0"/>
                  <wp:positionH relativeFrom="column">
                    <wp:posOffset>0</wp:posOffset>
                  </wp:positionH>
                  <wp:positionV relativeFrom="paragraph">
                    <wp:posOffset>0</wp:posOffset>
                  </wp:positionV>
                  <wp:extent cx="72390" cy="318770"/>
                  <wp:effectExtent l="0" t="0" r="0" b="0"/>
                  <wp:wrapNone/>
                  <wp:docPr id="166" name="Text_Box_333_SpCnt_31"/>
                  <wp:cNvGraphicFramePr/>
                  <a:graphic xmlns:a="http://schemas.openxmlformats.org/drawingml/2006/main">
                    <a:graphicData uri="http://schemas.openxmlformats.org/drawingml/2006/picture">
                      <pic:pic xmlns:pic="http://schemas.openxmlformats.org/drawingml/2006/picture">
                        <pic:nvPicPr>
                          <pic:cNvPr id="166" name="Text_Box_333_SpCnt_31"/>
                          <pic:cNvPicPr/>
                        </pic:nvPicPr>
                        <pic:blipFill>
                          <a:blip r:embed="rId28"/>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49376" behindDoc="0" locked="0" layoutInCell="1" allowOverlap="1">
                  <wp:simplePos x="0" y="0"/>
                  <wp:positionH relativeFrom="column">
                    <wp:posOffset>0</wp:posOffset>
                  </wp:positionH>
                  <wp:positionV relativeFrom="paragraph">
                    <wp:posOffset>0</wp:posOffset>
                  </wp:positionV>
                  <wp:extent cx="72390" cy="318770"/>
                  <wp:effectExtent l="0" t="0" r="0" b="0"/>
                  <wp:wrapNone/>
                  <wp:docPr id="173" name="Text_Box_331_SpCnt_22"/>
                  <wp:cNvGraphicFramePr/>
                  <a:graphic xmlns:a="http://schemas.openxmlformats.org/drawingml/2006/main">
                    <a:graphicData uri="http://schemas.openxmlformats.org/drawingml/2006/picture">
                      <pic:pic xmlns:pic="http://schemas.openxmlformats.org/drawingml/2006/picture">
                        <pic:nvPicPr>
                          <pic:cNvPr id="173" name="Text_Box_331_SpCnt_22"/>
                          <pic:cNvPicPr/>
                        </pic:nvPicPr>
                        <pic:blipFill>
                          <a:blip r:embed="rId28"/>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50400" behindDoc="0" locked="0" layoutInCell="1" allowOverlap="1">
                  <wp:simplePos x="0" y="0"/>
                  <wp:positionH relativeFrom="column">
                    <wp:posOffset>0</wp:posOffset>
                  </wp:positionH>
                  <wp:positionV relativeFrom="paragraph">
                    <wp:posOffset>0</wp:posOffset>
                  </wp:positionV>
                  <wp:extent cx="72390" cy="318770"/>
                  <wp:effectExtent l="0" t="0" r="0" b="0"/>
                  <wp:wrapNone/>
                  <wp:docPr id="160" name="Text_Box_334_SpCnt_32"/>
                  <wp:cNvGraphicFramePr/>
                  <a:graphic xmlns:a="http://schemas.openxmlformats.org/drawingml/2006/main">
                    <a:graphicData uri="http://schemas.openxmlformats.org/drawingml/2006/picture">
                      <pic:pic xmlns:pic="http://schemas.openxmlformats.org/drawingml/2006/picture">
                        <pic:nvPicPr>
                          <pic:cNvPr id="160" name="Text_Box_334_SpCnt_32"/>
                          <pic:cNvPicPr/>
                        </pic:nvPicPr>
                        <pic:blipFill>
                          <a:blip r:embed="rId28"/>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51424" behindDoc="0" locked="0" layoutInCell="1" allowOverlap="1">
                  <wp:simplePos x="0" y="0"/>
                  <wp:positionH relativeFrom="column">
                    <wp:posOffset>0</wp:posOffset>
                  </wp:positionH>
                  <wp:positionV relativeFrom="paragraph">
                    <wp:posOffset>0</wp:posOffset>
                  </wp:positionV>
                  <wp:extent cx="72390" cy="318770"/>
                  <wp:effectExtent l="0" t="0" r="0" b="0"/>
                  <wp:wrapNone/>
                  <wp:docPr id="159" name="Text_Box_333_SpCnt_32"/>
                  <wp:cNvGraphicFramePr/>
                  <a:graphic xmlns:a="http://schemas.openxmlformats.org/drawingml/2006/main">
                    <a:graphicData uri="http://schemas.openxmlformats.org/drawingml/2006/picture">
                      <pic:pic xmlns:pic="http://schemas.openxmlformats.org/drawingml/2006/picture">
                        <pic:nvPicPr>
                          <pic:cNvPr id="159" name="Text_Box_333_SpCnt_32"/>
                          <pic:cNvPicPr/>
                        </pic:nvPicPr>
                        <pic:blipFill>
                          <a:blip r:embed="rId28"/>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52448" behindDoc="0" locked="0" layoutInCell="1" allowOverlap="1">
                  <wp:simplePos x="0" y="0"/>
                  <wp:positionH relativeFrom="column">
                    <wp:posOffset>0</wp:posOffset>
                  </wp:positionH>
                  <wp:positionV relativeFrom="paragraph">
                    <wp:posOffset>0</wp:posOffset>
                  </wp:positionV>
                  <wp:extent cx="72390" cy="318770"/>
                  <wp:effectExtent l="0" t="0" r="0" b="0"/>
                  <wp:wrapNone/>
                  <wp:docPr id="145" name="Text_Box_333_SpCnt_33"/>
                  <wp:cNvGraphicFramePr/>
                  <a:graphic xmlns:a="http://schemas.openxmlformats.org/drawingml/2006/main">
                    <a:graphicData uri="http://schemas.openxmlformats.org/drawingml/2006/picture">
                      <pic:pic xmlns:pic="http://schemas.openxmlformats.org/drawingml/2006/picture">
                        <pic:nvPicPr>
                          <pic:cNvPr id="145" name="Text_Box_333_SpCnt_33"/>
                          <pic:cNvPicPr/>
                        </pic:nvPicPr>
                        <pic:blipFill>
                          <a:blip r:embed="rId28"/>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53472" behindDoc="0" locked="0" layoutInCell="1" allowOverlap="1">
                  <wp:simplePos x="0" y="0"/>
                  <wp:positionH relativeFrom="column">
                    <wp:posOffset>0</wp:posOffset>
                  </wp:positionH>
                  <wp:positionV relativeFrom="paragraph">
                    <wp:posOffset>0</wp:posOffset>
                  </wp:positionV>
                  <wp:extent cx="72390" cy="318770"/>
                  <wp:effectExtent l="0" t="0" r="0" b="0"/>
                  <wp:wrapNone/>
                  <wp:docPr id="174" name="Text_Box_331_SpCnt_23"/>
                  <wp:cNvGraphicFramePr/>
                  <a:graphic xmlns:a="http://schemas.openxmlformats.org/drawingml/2006/main">
                    <a:graphicData uri="http://schemas.openxmlformats.org/drawingml/2006/picture">
                      <pic:pic xmlns:pic="http://schemas.openxmlformats.org/drawingml/2006/picture">
                        <pic:nvPicPr>
                          <pic:cNvPr id="174" name="Text_Box_331_SpCnt_23"/>
                          <pic:cNvPicPr/>
                        </pic:nvPicPr>
                        <pic:blipFill>
                          <a:blip r:embed="rId28"/>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54496" behindDoc="0" locked="0" layoutInCell="1" allowOverlap="1">
                  <wp:simplePos x="0" y="0"/>
                  <wp:positionH relativeFrom="column">
                    <wp:posOffset>0</wp:posOffset>
                  </wp:positionH>
                  <wp:positionV relativeFrom="paragraph">
                    <wp:posOffset>0</wp:posOffset>
                  </wp:positionV>
                  <wp:extent cx="72390" cy="318770"/>
                  <wp:effectExtent l="0" t="0" r="0" b="0"/>
                  <wp:wrapNone/>
                  <wp:docPr id="143" name="Text_Box_331_SpCnt_24"/>
                  <wp:cNvGraphicFramePr/>
                  <a:graphic xmlns:a="http://schemas.openxmlformats.org/drawingml/2006/main">
                    <a:graphicData uri="http://schemas.openxmlformats.org/drawingml/2006/picture">
                      <pic:pic xmlns:pic="http://schemas.openxmlformats.org/drawingml/2006/picture">
                        <pic:nvPicPr>
                          <pic:cNvPr id="143" name="Text_Box_331_SpCnt_24"/>
                          <pic:cNvPicPr/>
                        </pic:nvPicPr>
                        <pic:blipFill>
                          <a:blip r:embed="rId28"/>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55520" behindDoc="0" locked="0" layoutInCell="1" allowOverlap="1">
                  <wp:simplePos x="0" y="0"/>
                  <wp:positionH relativeFrom="column">
                    <wp:posOffset>0</wp:posOffset>
                  </wp:positionH>
                  <wp:positionV relativeFrom="paragraph">
                    <wp:posOffset>0</wp:posOffset>
                  </wp:positionV>
                  <wp:extent cx="72390" cy="318770"/>
                  <wp:effectExtent l="0" t="0" r="0" b="0"/>
                  <wp:wrapNone/>
                  <wp:docPr id="164" name="Text_Box_334_SpCnt_33"/>
                  <wp:cNvGraphicFramePr/>
                  <a:graphic xmlns:a="http://schemas.openxmlformats.org/drawingml/2006/main">
                    <a:graphicData uri="http://schemas.openxmlformats.org/drawingml/2006/picture">
                      <pic:pic xmlns:pic="http://schemas.openxmlformats.org/drawingml/2006/picture">
                        <pic:nvPicPr>
                          <pic:cNvPr id="164" name="Text_Box_334_SpCnt_33"/>
                          <pic:cNvPicPr/>
                        </pic:nvPicPr>
                        <pic:blipFill>
                          <a:blip r:embed="rId28"/>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56544" behindDoc="0" locked="0" layoutInCell="1" allowOverlap="1">
                  <wp:simplePos x="0" y="0"/>
                  <wp:positionH relativeFrom="column">
                    <wp:posOffset>0</wp:posOffset>
                  </wp:positionH>
                  <wp:positionV relativeFrom="paragraph">
                    <wp:posOffset>0</wp:posOffset>
                  </wp:positionV>
                  <wp:extent cx="72390" cy="318770"/>
                  <wp:effectExtent l="0" t="0" r="0" b="0"/>
                  <wp:wrapNone/>
                  <wp:docPr id="144" name="Text_Box_333_SpCnt_34"/>
                  <wp:cNvGraphicFramePr/>
                  <a:graphic xmlns:a="http://schemas.openxmlformats.org/drawingml/2006/main">
                    <a:graphicData uri="http://schemas.openxmlformats.org/drawingml/2006/picture">
                      <pic:pic xmlns:pic="http://schemas.openxmlformats.org/drawingml/2006/picture">
                        <pic:nvPicPr>
                          <pic:cNvPr id="144" name="Text_Box_333_SpCnt_34"/>
                          <pic:cNvPicPr/>
                        </pic:nvPicPr>
                        <pic:blipFill>
                          <a:blip r:embed="rId28"/>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57568" behindDoc="0" locked="0" layoutInCell="1" allowOverlap="1">
                  <wp:simplePos x="0" y="0"/>
                  <wp:positionH relativeFrom="column">
                    <wp:posOffset>0</wp:posOffset>
                  </wp:positionH>
                  <wp:positionV relativeFrom="paragraph">
                    <wp:posOffset>0</wp:posOffset>
                  </wp:positionV>
                  <wp:extent cx="72390" cy="318770"/>
                  <wp:effectExtent l="0" t="0" r="0" b="0"/>
                  <wp:wrapNone/>
                  <wp:docPr id="150" name="Text_Box_331_SpCnt_25"/>
                  <wp:cNvGraphicFramePr/>
                  <a:graphic xmlns:a="http://schemas.openxmlformats.org/drawingml/2006/main">
                    <a:graphicData uri="http://schemas.openxmlformats.org/drawingml/2006/picture">
                      <pic:pic xmlns:pic="http://schemas.openxmlformats.org/drawingml/2006/picture">
                        <pic:nvPicPr>
                          <pic:cNvPr id="150" name="Text_Box_331_SpCnt_25"/>
                          <pic:cNvPicPr/>
                        </pic:nvPicPr>
                        <pic:blipFill>
                          <a:blip r:embed="rId28"/>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58592" behindDoc="0" locked="0" layoutInCell="1" allowOverlap="1">
                  <wp:simplePos x="0" y="0"/>
                  <wp:positionH relativeFrom="column">
                    <wp:posOffset>0</wp:posOffset>
                  </wp:positionH>
                  <wp:positionV relativeFrom="paragraph">
                    <wp:posOffset>0</wp:posOffset>
                  </wp:positionV>
                  <wp:extent cx="72390" cy="318770"/>
                  <wp:effectExtent l="0" t="0" r="0" b="0"/>
                  <wp:wrapNone/>
                  <wp:docPr id="146" name="Text_Box_334_SpCnt_34"/>
                  <wp:cNvGraphicFramePr/>
                  <a:graphic xmlns:a="http://schemas.openxmlformats.org/drawingml/2006/main">
                    <a:graphicData uri="http://schemas.openxmlformats.org/drawingml/2006/picture">
                      <pic:pic xmlns:pic="http://schemas.openxmlformats.org/drawingml/2006/picture">
                        <pic:nvPicPr>
                          <pic:cNvPr id="146" name="Text_Box_334_SpCnt_34"/>
                          <pic:cNvPicPr/>
                        </pic:nvPicPr>
                        <pic:blipFill>
                          <a:blip r:embed="rId28"/>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59616" behindDoc="0" locked="0" layoutInCell="1" allowOverlap="1">
                  <wp:simplePos x="0" y="0"/>
                  <wp:positionH relativeFrom="column">
                    <wp:posOffset>0</wp:posOffset>
                  </wp:positionH>
                  <wp:positionV relativeFrom="paragraph">
                    <wp:posOffset>0</wp:posOffset>
                  </wp:positionV>
                  <wp:extent cx="72390" cy="318770"/>
                  <wp:effectExtent l="0" t="0" r="0" b="0"/>
                  <wp:wrapNone/>
                  <wp:docPr id="147" name="Text_Box_333_SpCnt_35"/>
                  <wp:cNvGraphicFramePr/>
                  <a:graphic xmlns:a="http://schemas.openxmlformats.org/drawingml/2006/main">
                    <a:graphicData uri="http://schemas.openxmlformats.org/drawingml/2006/picture">
                      <pic:pic xmlns:pic="http://schemas.openxmlformats.org/drawingml/2006/picture">
                        <pic:nvPicPr>
                          <pic:cNvPr id="147" name="Text_Box_333_SpCnt_35"/>
                          <pic:cNvPicPr/>
                        </pic:nvPicPr>
                        <pic:blipFill>
                          <a:blip r:embed="rId28"/>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60640" behindDoc="0" locked="0" layoutInCell="1" allowOverlap="1">
                  <wp:simplePos x="0" y="0"/>
                  <wp:positionH relativeFrom="column">
                    <wp:posOffset>0</wp:posOffset>
                  </wp:positionH>
                  <wp:positionV relativeFrom="paragraph">
                    <wp:posOffset>0</wp:posOffset>
                  </wp:positionV>
                  <wp:extent cx="72390" cy="318770"/>
                  <wp:effectExtent l="0" t="0" r="0" b="0"/>
                  <wp:wrapNone/>
                  <wp:docPr id="168" name="Text_Box_331_SpCnt_26"/>
                  <wp:cNvGraphicFramePr/>
                  <a:graphic xmlns:a="http://schemas.openxmlformats.org/drawingml/2006/main">
                    <a:graphicData uri="http://schemas.openxmlformats.org/drawingml/2006/picture">
                      <pic:pic xmlns:pic="http://schemas.openxmlformats.org/drawingml/2006/picture">
                        <pic:nvPicPr>
                          <pic:cNvPr id="168" name="Text_Box_331_SpCnt_26"/>
                          <pic:cNvPicPr/>
                        </pic:nvPicPr>
                        <pic:blipFill>
                          <a:blip r:embed="rId28"/>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61664" behindDoc="0" locked="0" layoutInCell="1" allowOverlap="1">
                  <wp:simplePos x="0" y="0"/>
                  <wp:positionH relativeFrom="column">
                    <wp:posOffset>0</wp:posOffset>
                  </wp:positionH>
                  <wp:positionV relativeFrom="paragraph">
                    <wp:posOffset>0</wp:posOffset>
                  </wp:positionV>
                  <wp:extent cx="72390" cy="318770"/>
                  <wp:effectExtent l="0" t="0" r="0" b="0"/>
                  <wp:wrapNone/>
                  <wp:docPr id="148" name="Text_Box_334_SpCnt_35"/>
                  <wp:cNvGraphicFramePr/>
                  <a:graphic xmlns:a="http://schemas.openxmlformats.org/drawingml/2006/main">
                    <a:graphicData uri="http://schemas.openxmlformats.org/drawingml/2006/picture">
                      <pic:pic xmlns:pic="http://schemas.openxmlformats.org/drawingml/2006/picture">
                        <pic:nvPicPr>
                          <pic:cNvPr id="148" name="Text_Box_334_SpCnt_35"/>
                          <pic:cNvPicPr/>
                        </pic:nvPicPr>
                        <pic:blipFill>
                          <a:blip r:embed="rId28"/>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62688" behindDoc="0" locked="0" layoutInCell="1" allowOverlap="1">
                  <wp:simplePos x="0" y="0"/>
                  <wp:positionH relativeFrom="column">
                    <wp:posOffset>0</wp:posOffset>
                  </wp:positionH>
                  <wp:positionV relativeFrom="paragraph">
                    <wp:posOffset>0</wp:posOffset>
                  </wp:positionV>
                  <wp:extent cx="72390" cy="318770"/>
                  <wp:effectExtent l="0" t="0" r="0" b="0"/>
                  <wp:wrapNone/>
                  <wp:docPr id="158" name="Text_Box_333_SpCnt_36"/>
                  <wp:cNvGraphicFramePr/>
                  <a:graphic xmlns:a="http://schemas.openxmlformats.org/drawingml/2006/main">
                    <a:graphicData uri="http://schemas.openxmlformats.org/drawingml/2006/picture">
                      <pic:pic xmlns:pic="http://schemas.openxmlformats.org/drawingml/2006/picture">
                        <pic:nvPicPr>
                          <pic:cNvPr id="158" name="Text_Box_333_SpCnt_36"/>
                          <pic:cNvPicPr/>
                        </pic:nvPicPr>
                        <pic:blipFill>
                          <a:blip r:embed="rId28"/>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63712" behindDoc="0" locked="0" layoutInCell="1" allowOverlap="1">
                  <wp:simplePos x="0" y="0"/>
                  <wp:positionH relativeFrom="column">
                    <wp:posOffset>0</wp:posOffset>
                  </wp:positionH>
                  <wp:positionV relativeFrom="paragraph">
                    <wp:posOffset>0</wp:posOffset>
                  </wp:positionV>
                  <wp:extent cx="72390" cy="318770"/>
                  <wp:effectExtent l="0" t="0" r="0" b="0"/>
                  <wp:wrapNone/>
                  <wp:docPr id="155" name="Text_Box_331_SpCnt_27"/>
                  <wp:cNvGraphicFramePr/>
                  <a:graphic xmlns:a="http://schemas.openxmlformats.org/drawingml/2006/main">
                    <a:graphicData uri="http://schemas.openxmlformats.org/drawingml/2006/picture">
                      <pic:pic xmlns:pic="http://schemas.openxmlformats.org/drawingml/2006/picture">
                        <pic:nvPicPr>
                          <pic:cNvPr id="155" name="Text_Box_331_SpCnt_27"/>
                          <pic:cNvPicPr/>
                        </pic:nvPicPr>
                        <pic:blipFill>
                          <a:blip r:embed="rId28"/>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64736" behindDoc="0" locked="0" layoutInCell="1" allowOverlap="1">
                  <wp:simplePos x="0" y="0"/>
                  <wp:positionH relativeFrom="column">
                    <wp:posOffset>0</wp:posOffset>
                  </wp:positionH>
                  <wp:positionV relativeFrom="paragraph">
                    <wp:posOffset>0</wp:posOffset>
                  </wp:positionV>
                  <wp:extent cx="72390" cy="318770"/>
                  <wp:effectExtent l="0" t="0" r="0" b="0"/>
                  <wp:wrapNone/>
                  <wp:docPr id="149" name="Text_Box_334_SpCnt_36"/>
                  <wp:cNvGraphicFramePr/>
                  <a:graphic xmlns:a="http://schemas.openxmlformats.org/drawingml/2006/main">
                    <a:graphicData uri="http://schemas.openxmlformats.org/drawingml/2006/picture">
                      <pic:pic xmlns:pic="http://schemas.openxmlformats.org/drawingml/2006/picture">
                        <pic:nvPicPr>
                          <pic:cNvPr id="149" name="Text_Box_334_SpCnt_36"/>
                          <pic:cNvPicPr/>
                        </pic:nvPicPr>
                        <pic:blipFill>
                          <a:blip r:embed="rId28"/>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65760" behindDoc="0" locked="0" layoutInCell="1" allowOverlap="1">
                  <wp:simplePos x="0" y="0"/>
                  <wp:positionH relativeFrom="column">
                    <wp:posOffset>0</wp:posOffset>
                  </wp:positionH>
                  <wp:positionV relativeFrom="paragraph">
                    <wp:posOffset>0</wp:posOffset>
                  </wp:positionV>
                  <wp:extent cx="72390" cy="318770"/>
                  <wp:effectExtent l="0" t="0" r="0" b="0"/>
                  <wp:wrapNone/>
                  <wp:docPr id="151" name="Text_Box_333_SpCnt_37"/>
                  <wp:cNvGraphicFramePr/>
                  <a:graphic xmlns:a="http://schemas.openxmlformats.org/drawingml/2006/main">
                    <a:graphicData uri="http://schemas.openxmlformats.org/drawingml/2006/picture">
                      <pic:pic xmlns:pic="http://schemas.openxmlformats.org/drawingml/2006/picture">
                        <pic:nvPicPr>
                          <pic:cNvPr id="151" name="Text_Box_333_SpCnt_37"/>
                          <pic:cNvPicPr/>
                        </pic:nvPicPr>
                        <pic:blipFill>
                          <a:blip r:embed="rId28"/>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66784" behindDoc="0" locked="0" layoutInCell="1" allowOverlap="1">
                  <wp:simplePos x="0" y="0"/>
                  <wp:positionH relativeFrom="column">
                    <wp:posOffset>0</wp:posOffset>
                  </wp:positionH>
                  <wp:positionV relativeFrom="paragraph">
                    <wp:posOffset>0</wp:posOffset>
                  </wp:positionV>
                  <wp:extent cx="72390" cy="318770"/>
                  <wp:effectExtent l="0" t="0" r="0" b="0"/>
                  <wp:wrapNone/>
                  <wp:docPr id="161" name="Text_Box_331_SpCnt_28"/>
                  <wp:cNvGraphicFramePr/>
                  <a:graphic xmlns:a="http://schemas.openxmlformats.org/drawingml/2006/main">
                    <a:graphicData uri="http://schemas.openxmlformats.org/drawingml/2006/picture">
                      <pic:pic xmlns:pic="http://schemas.openxmlformats.org/drawingml/2006/picture">
                        <pic:nvPicPr>
                          <pic:cNvPr id="161" name="Text_Box_331_SpCnt_28"/>
                          <pic:cNvPicPr/>
                        </pic:nvPicPr>
                        <pic:blipFill>
                          <a:blip r:embed="rId28"/>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67808" behindDoc="0" locked="0" layoutInCell="1" allowOverlap="1">
                  <wp:simplePos x="0" y="0"/>
                  <wp:positionH relativeFrom="column">
                    <wp:posOffset>0</wp:posOffset>
                  </wp:positionH>
                  <wp:positionV relativeFrom="paragraph">
                    <wp:posOffset>0</wp:posOffset>
                  </wp:positionV>
                  <wp:extent cx="72390" cy="318770"/>
                  <wp:effectExtent l="0" t="0" r="0" b="0"/>
                  <wp:wrapNone/>
                  <wp:docPr id="152" name="Text_Box_331_SpCnt_29"/>
                  <wp:cNvGraphicFramePr/>
                  <a:graphic xmlns:a="http://schemas.openxmlformats.org/drawingml/2006/main">
                    <a:graphicData uri="http://schemas.openxmlformats.org/drawingml/2006/picture">
                      <pic:pic xmlns:pic="http://schemas.openxmlformats.org/drawingml/2006/picture">
                        <pic:nvPicPr>
                          <pic:cNvPr id="152" name="Text_Box_331_SpCnt_29"/>
                          <pic:cNvPicPr/>
                        </pic:nvPicPr>
                        <pic:blipFill>
                          <a:blip r:embed="rId28"/>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72390" cy="318770"/>
                  <wp:effectExtent l="0" t="0" r="0" b="0"/>
                  <wp:wrapNone/>
                  <wp:docPr id="167" name="Text_Box_334_SpCnt_37"/>
                  <wp:cNvGraphicFramePr/>
                  <a:graphic xmlns:a="http://schemas.openxmlformats.org/drawingml/2006/main">
                    <a:graphicData uri="http://schemas.openxmlformats.org/drawingml/2006/picture">
                      <pic:pic xmlns:pic="http://schemas.openxmlformats.org/drawingml/2006/picture">
                        <pic:nvPicPr>
                          <pic:cNvPr id="167" name="Text_Box_334_SpCnt_37"/>
                          <pic:cNvPicPr/>
                        </pic:nvPicPr>
                        <pic:blipFill>
                          <a:blip r:embed="rId28"/>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69856" behindDoc="0" locked="0" layoutInCell="1" allowOverlap="1">
                  <wp:simplePos x="0" y="0"/>
                  <wp:positionH relativeFrom="column">
                    <wp:posOffset>0</wp:posOffset>
                  </wp:positionH>
                  <wp:positionV relativeFrom="paragraph">
                    <wp:posOffset>0</wp:posOffset>
                  </wp:positionV>
                  <wp:extent cx="72390" cy="318770"/>
                  <wp:effectExtent l="0" t="0" r="0" b="0"/>
                  <wp:wrapNone/>
                  <wp:docPr id="169" name="Text_Box_334_SpCnt_38"/>
                  <wp:cNvGraphicFramePr/>
                  <a:graphic xmlns:a="http://schemas.openxmlformats.org/drawingml/2006/main">
                    <a:graphicData uri="http://schemas.openxmlformats.org/drawingml/2006/picture">
                      <pic:pic xmlns:pic="http://schemas.openxmlformats.org/drawingml/2006/picture">
                        <pic:nvPicPr>
                          <pic:cNvPr id="169" name="Text_Box_334_SpCnt_38"/>
                          <pic:cNvPicPr/>
                        </pic:nvPicPr>
                        <pic:blipFill>
                          <a:blip r:embed="rId28"/>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70880" behindDoc="0" locked="0" layoutInCell="1" allowOverlap="1">
                  <wp:simplePos x="0" y="0"/>
                  <wp:positionH relativeFrom="column">
                    <wp:posOffset>0</wp:posOffset>
                  </wp:positionH>
                  <wp:positionV relativeFrom="paragraph">
                    <wp:posOffset>0</wp:posOffset>
                  </wp:positionV>
                  <wp:extent cx="72390" cy="318770"/>
                  <wp:effectExtent l="0" t="0" r="0" b="0"/>
                  <wp:wrapNone/>
                  <wp:docPr id="170" name="Text_Box_333_SpCnt_38"/>
                  <wp:cNvGraphicFramePr/>
                  <a:graphic xmlns:a="http://schemas.openxmlformats.org/drawingml/2006/main">
                    <a:graphicData uri="http://schemas.openxmlformats.org/drawingml/2006/picture">
                      <pic:pic xmlns:pic="http://schemas.openxmlformats.org/drawingml/2006/picture">
                        <pic:nvPicPr>
                          <pic:cNvPr id="170" name="Text_Box_333_SpCnt_38"/>
                          <pic:cNvPicPr/>
                        </pic:nvPicPr>
                        <pic:blipFill>
                          <a:blip r:embed="rId28"/>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71904" behindDoc="0" locked="0" layoutInCell="1" allowOverlap="1">
                  <wp:simplePos x="0" y="0"/>
                  <wp:positionH relativeFrom="column">
                    <wp:posOffset>0</wp:posOffset>
                  </wp:positionH>
                  <wp:positionV relativeFrom="paragraph">
                    <wp:posOffset>0</wp:posOffset>
                  </wp:positionV>
                  <wp:extent cx="72390" cy="318770"/>
                  <wp:effectExtent l="0" t="0" r="0" b="0"/>
                  <wp:wrapNone/>
                  <wp:docPr id="171" name="Text_Box_331_SpCnt_30"/>
                  <wp:cNvGraphicFramePr/>
                  <a:graphic xmlns:a="http://schemas.openxmlformats.org/drawingml/2006/main">
                    <a:graphicData uri="http://schemas.openxmlformats.org/drawingml/2006/picture">
                      <pic:pic xmlns:pic="http://schemas.openxmlformats.org/drawingml/2006/picture">
                        <pic:nvPicPr>
                          <pic:cNvPr id="171" name="Text_Box_331_SpCnt_30"/>
                          <pic:cNvPicPr/>
                        </pic:nvPicPr>
                        <pic:blipFill>
                          <a:blip r:embed="rId28"/>
                          <a:stretch>
                            <a:fillRect/>
                          </a:stretch>
                        </pic:blipFill>
                        <pic:spPr>
                          <a:xfrm>
                            <a:off x="0" y="0"/>
                            <a:ext cx="72390" cy="3187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72928" behindDoc="0" locked="0" layoutInCell="1" allowOverlap="1">
                  <wp:simplePos x="0" y="0"/>
                  <wp:positionH relativeFrom="column">
                    <wp:posOffset>0</wp:posOffset>
                  </wp:positionH>
                  <wp:positionV relativeFrom="paragraph">
                    <wp:posOffset>0</wp:posOffset>
                  </wp:positionV>
                  <wp:extent cx="72390" cy="394970"/>
                  <wp:effectExtent l="0" t="0" r="0" b="0"/>
                  <wp:wrapNone/>
                  <wp:docPr id="153" name="Text_Box_334_SpCnt_39"/>
                  <wp:cNvGraphicFramePr/>
                  <a:graphic xmlns:a="http://schemas.openxmlformats.org/drawingml/2006/main">
                    <a:graphicData uri="http://schemas.openxmlformats.org/drawingml/2006/picture">
                      <pic:pic xmlns:pic="http://schemas.openxmlformats.org/drawingml/2006/picture">
                        <pic:nvPicPr>
                          <pic:cNvPr id="153" name="Text_Box_334_SpCnt_39"/>
                          <pic:cNvPicPr/>
                        </pic:nvPicPr>
                        <pic:blipFill>
                          <a:blip r:embed="rId27"/>
                          <a:stretch>
                            <a:fillRect/>
                          </a:stretch>
                        </pic:blipFill>
                        <pic:spPr>
                          <a:xfrm>
                            <a:off x="0" y="0"/>
                            <a:ext cx="72390" cy="3949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73952" behindDoc="0" locked="0" layoutInCell="1" allowOverlap="1">
                  <wp:simplePos x="0" y="0"/>
                  <wp:positionH relativeFrom="column">
                    <wp:posOffset>0</wp:posOffset>
                  </wp:positionH>
                  <wp:positionV relativeFrom="paragraph">
                    <wp:posOffset>0</wp:posOffset>
                  </wp:positionV>
                  <wp:extent cx="72390" cy="394970"/>
                  <wp:effectExtent l="0" t="0" r="0" b="0"/>
                  <wp:wrapNone/>
                  <wp:docPr id="154" name="Text_Box_333_SpCnt_39"/>
                  <wp:cNvGraphicFramePr/>
                  <a:graphic xmlns:a="http://schemas.openxmlformats.org/drawingml/2006/main">
                    <a:graphicData uri="http://schemas.openxmlformats.org/drawingml/2006/picture">
                      <pic:pic xmlns:pic="http://schemas.openxmlformats.org/drawingml/2006/picture">
                        <pic:nvPicPr>
                          <pic:cNvPr id="154" name="Text_Box_333_SpCnt_39"/>
                          <pic:cNvPicPr/>
                        </pic:nvPicPr>
                        <pic:blipFill>
                          <a:blip r:embed="rId27"/>
                          <a:stretch>
                            <a:fillRect/>
                          </a:stretch>
                        </pic:blipFill>
                        <pic:spPr>
                          <a:xfrm>
                            <a:off x="0" y="0"/>
                            <a:ext cx="72390" cy="3949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74976" behindDoc="0" locked="0" layoutInCell="1" allowOverlap="1">
                  <wp:simplePos x="0" y="0"/>
                  <wp:positionH relativeFrom="column">
                    <wp:posOffset>0</wp:posOffset>
                  </wp:positionH>
                  <wp:positionV relativeFrom="paragraph">
                    <wp:posOffset>0</wp:posOffset>
                  </wp:positionV>
                  <wp:extent cx="72390" cy="324485"/>
                  <wp:effectExtent l="0" t="0" r="0" b="0"/>
                  <wp:wrapNone/>
                  <wp:docPr id="156" name="Text_Box_333_SpCnt_40"/>
                  <wp:cNvGraphicFramePr/>
                  <a:graphic xmlns:a="http://schemas.openxmlformats.org/drawingml/2006/main">
                    <a:graphicData uri="http://schemas.openxmlformats.org/drawingml/2006/picture">
                      <pic:pic xmlns:pic="http://schemas.openxmlformats.org/drawingml/2006/picture">
                        <pic:nvPicPr>
                          <pic:cNvPr id="156" name="Text_Box_333_SpCnt_40"/>
                          <pic:cNvPicPr/>
                        </pic:nvPicPr>
                        <pic:blipFill>
                          <a:blip r:embed="rId26"/>
                          <a:stretch>
                            <a:fillRect/>
                          </a:stretch>
                        </pic:blipFill>
                        <pic:spPr>
                          <a:xfrm>
                            <a:off x="0" y="0"/>
                            <a:ext cx="72390" cy="324485"/>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76000" behindDoc="0" locked="0" layoutInCell="1" allowOverlap="1">
                  <wp:simplePos x="0" y="0"/>
                  <wp:positionH relativeFrom="column">
                    <wp:posOffset>0</wp:posOffset>
                  </wp:positionH>
                  <wp:positionV relativeFrom="paragraph">
                    <wp:posOffset>0</wp:posOffset>
                  </wp:positionV>
                  <wp:extent cx="72390" cy="394970"/>
                  <wp:effectExtent l="0" t="0" r="0" b="0"/>
                  <wp:wrapNone/>
                  <wp:docPr id="176" name="Text_Box_331_SpCnt_31"/>
                  <wp:cNvGraphicFramePr/>
                  <a:graphic xmlns:a="http://schemas.openxmlformats.org/drawingml/2006/main">
                    <a:graphicData uri="http://schemas.openxmlformats.org/drawingml/2006/picture">
                      <pic:pic xmlns:pic="http://schemas.openxmlformats.org/drawingml/2006/picture">
                        <pic:nvPicPr>
                          <pic:cNvPr id="176" name="Text_Box_331_SpCnt_31"/>
                          <pic:cNvPicPr/>
                        </pic:nvPicPr>
                        <pic:blipFill>
                          <a:blip r:embed="rId27"/>
                          <a:stretch>
                            <a:fillRect/>
                          </a:stretch>
                        </pic:blipFill>
                        <pic:spPr>
                          <a:xfrm>
                            <a:off x="0" y="0"/>
                            <a:ext cx="72390" cy="3949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77024" behindDoc="0" locked="0" layoutInCell="1" allowOverlap="1">
                  <wp:simplePos x="0" y="0"/>
                  <wp:positionH relativeFrom="column">
                    <wp:posOffset>0</wp:posOffset>
                  </wp:positionH>
                  <wp:positionV relativeFrom="paragraph">
                    <wp:posOffset>0</wp:posOffset>
                  </wp:positionV>
                  <wp:extent cx="72390" cy="394970"/>
                  <wp:effectExtent l="0" t="0" r="0" b="0"/>
                  <wp:wrapNone/>
                  <wp:docPr id="175" name="Text_Box_334_SpCnt_40"/>
                  <wp:cNvGraphicFramePr/>
                  <a:graphic xmlns:a="http://schemas.openxmlformats.org/drawingml/2006/main">
                    <a:graphicData uri="http://schemas.openxmlformats.org/drawingml/2006/picture">
                      <pic:pic xmlns:pic="http://schemas.openxmlformats.org/drawingml/2006/picture">
                        <pic:nvPicPr>
                          <pic:cNvPr id="175" name="Text_Box_334_SpCnt_40"/>
                          <pic:cNvPicPr/>
                        </pic:nvPicPr>
                        <pic:blipFill>
                          <a:blip r:embed="rId27"/>
                          <a:stretch>
                            <a:fillRect/>
                          </a:stretch>
                        </pic:blipFill>
                        <pic:spPr>
                          <a:xfrm>
                            <a:off x="0" y="0"/>
                            <a:ext cx="72390" cy="394970"/>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78048" behindDoc="0" locked="0" layoutInCell="1" allowOverlap="1">
                  <wp:simplePos x="0" y="0"/>
                  <wp:positionH relativeFrom="column">
                    <wp:posOffset>0</wp:posOffset>
                  </wp:positionH>
                  <wp:positionV relativeFrom="paragraph">
                    <wp:posOffset>0</wp:posOffset>
                  </wp:positionV>
                  <wp:extent cx="72390" cy="324485"/>
                  <wp:effectExtent l="0" t="0" r="0" b="0"/>
                  <wp:wrapNone/>
                  <wp:docPr id="177" name="Text_Box_334_SpCnt_41"/>
                  <wp:cNvGraphicFramePr/>
                  <a:graphic xmlns:a="http://schemas.openxmlformats.org/drawingml/2006/main">
                    <a:graphicData uri="http://schemas.openxmlformats.org/drawingml/2006/picture">
                      <pic:pic xmlns:pic="http://schemas.openxmlformats.org/drawingml/2006/picture">
                        <pic:nvPicPr>
                          <pic:cNvPr id="177" name="Text_Box_334_SpCnt_41"/>
                          <pic:cNvPicPr/>
                        </pic:nvPicPr>
                        <pic:blipFill>
                          <a:blip r:embed="rId26"/>
                          <a:stretch>
                            <a:fillRect/>
                          </a:stretch>
                        </pic:blipFill>
                        <pic:spPr>
                          <a:xfrm>
                            <a:off x="0" y="0"/>
                            <a:ext cx="72390" cy="324485"/>
                          </a:xfrm>
                          <a:prstGeom prst="rect">
                            <a:avLst/>
                          </a:prstGeom>
                          <a:noFill/>
                          <a:ln>
                            <a:noFill/>
                          </a:ln>
                        </pic:spPr>
                      </pic:pic>
                    </a:graphicData>
                  </a:graphic>
                </wp:anchor>
              </w:drawing>
            </w:r>
            <w:r>
              <w:rPr>
                <w:rFonts w:hint="eastAsia" w:ascii="宋体" w:hAnsi="宋体" w:cs="宋体"/>
                <w:color w:val="000000"/>
                <w:kern w:val="0"/>
                <w:sz w:val="20"/>
                <w:szCs w:val="20"/>
                <w:bdr w:val="single" w:color="000000" w:sz="4" w:space="0"/>
                <w:lang w:bidi="ar"/>
              </w:rPr>
              <w:drawing>
                <wp:anchor distT="0" distB="0" distL="114300" distR="114300" simplePos="0" relativeHeight="251779072" behindDoc="0" locked="0" layoutInCell="1" allowOverlap="1">
                  <wp:simplePos x="0" y="0"/>
                  <wp:positionH relativeFrom="column">
                    <wp:posOffset>0</wp:posOffset>
                  </wp:positionH>
                  <wp:positionV relativeFrom="paragraph">
                    <wp:posOffset>0</wp:posOffset>
                  </wp:positionV>
                  <wp:extent cx="72390" cy="394970"/>
                  <wp:effectExtent l="0" t="0" r="0" b="0"/>
                  <wp:wrapNone/>
                  <wp:docPr id="178" name="Text_Box_333_SpCnt_41"/>
                  <wp:cNvGraphicFramePr/>
                  <a:graphic xmlns:a="http://schemas.openxmlformats.org/drawingml/2006/main">
                    <a:graphicData uri="http://schemas.openxmlformats.org/drawingml/2006/picture">
                      <pic:pic xmlns:pic="http://schemas.openxmlformats.org/drawingml/2006/picture">
                        <pic:nvPicPr>
                          <pic:cNvPr id="178" name="Text_Box_333_SpCnt_41"/>
                          <pic:cNvPicPr/>
                        </pic:nvPicPr>
                        <pic:blipFill>
                          <a:blip r:embed="rId27"/>
                          <a:stretch>
                            <a:fillRect/>
                          </a:stretch>
                        </pic:blipFill>
                        <pic:spPr>
                          <a:xfrm>
                            <a:off x="0" y="0"/>
                            <a:ext cx="72390" cy="394970"/>
                          </a:xfrm>
                          <a:prstGeom prst="rect">
                            <a:avLst/>
                          </a:prstGeom>
                          <a:noFill/>
                          <a:ln>
                            <a:noFill/>
                          </a:ln>
                        </pic:spPr>
                      </pic:pic>
                    </a:graphicData>
                  </a:graphic>
                </wp:anchor>
              </w:drawing>
            </w:r>
            <w:r>
              <w:rPr>
                <w:rFonts w:hint="eastAsia" w:ascii="宋体" w:hAnsi="宋体" w:cs="宋体"/>
                <w:color w:val="000000"/>
                <w:kern w:val="0"/>
                <w:sz w:val="20"/>
                <w:szCs w:val="20"/>
                <w:lang w:bidi="ar"/>
              </w:rPr>
              <w:t>不锈钢</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6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打印设备</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墨仓式打印机</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最大打印幅面：A4</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墨盒类型：一体式墨盒</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打印速度：经济模式：32ppm，默认模式：15ppm</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最高分辨率：1440×720dpi</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网络打印：Wi-Fi+无线直连，支持手机打印，邮件打印，远程打印</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接口类型：USB2.0</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 </w:t>
            </w:r>
          </w:p>
        </w:tc>
      </w:tr>
      <w:tr>
        <w:tblPrEx>
          <w:tblCellMar>
            <w:top w:w="0" w:type="dxa"/>
            <w:left w:w="108" w:type="dxa"/>
            <w:bottom w:w="0" w:type="dxa"/>
            <w:right w:w="108" w:type="dxa"/>
          </w:tblCellMar>
        </w:tblPrEx>
        <w:trPr>
          <w:trHeight w:val="23" w:hRule="atLeast"/>
          <w:jc w:val="center"/>
        </w:trPr>
        <w:tc>
          <w:tcPr>
            <w:tcW w:w="871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b/>
                <w:bCs/>
                <w:color w:val="000000"/>
                <w:sz w:val="24"/>
              </w:rPr>
            </w:pPr>
            <w:r>
              <w:rPr>
                <w:rFonts w:hint="eastAsia" w:ascii="宋体" w:hAnsi="宋体" w:cs="宋体"/>
                <w:b/>
                <w:bCs/>
                <w:color w:val="000000"/>
                <w:kern w:val="0"/>
                <w:sz w:val="24"/>
                <w:lang w:bidi="ar"/>
              </w:rPr>
              <w:t>四、机房UPS系统</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UPS电池及主机</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b/>
                <w:bCs/>
                <w:color w:val="000000"/>
                <w:sz w:val="20"/>
                <w:szCs w:val="20"/>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UPS电源15KVA</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15KVA</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套</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2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UPS电源30KVA</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30KVA</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套</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2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UPS电池</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DC12V，100AH</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节</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96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电池箱</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C-16</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2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电池箱</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C-32</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2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UPS承重架</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UPS承重架</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4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主电源系统</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b/>
                <w:bCs/>
                <w:color w:val="000000"/>
                <w:sz w:val="20"/>
                <w:szCs w:val="20"/>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操作台</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四个工位2400mm*600mm</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套</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安防机柜</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600*1200*2000（42U）</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3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机柜托板</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固定托板</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30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配电柜AT</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配电柜AT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套</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4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机房UPS配电箱</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800*600*200</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套</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4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楼栋首层UPS配电箱</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楼栋首层UPS配电箱</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套</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2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桥架100*100</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100*100</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320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桥架100*50</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100*50</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30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铁构件</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定制-国标</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kg</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180 </w:t>
            </w:r>
          </w:p>
        </w:tc>
      </w:tr>
      <w:tr>
        <w:tblPrEx>
          <w:tblCellMar>
            <w:top w:w="0" w:type="dxa"/>
            <w:left w:w="108" w:type="dxa"/>
            <w:bottom w:w="0" w:type="dxa"/>
            <w:right w:w="108" w:type="dxa"/>
          </w:tblCellMar>
        </w:tblPrEx>
        <w:trPr>
          <w:trHeight w:val="23" w:hRule="atLeast"/>
          <w:jc w:val="center"/>
        </w:trPr>
        <w:tc>
          <w:tcPr>
            <w:tcW w:w="767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b/>
                <w:bCs/>
                <w:color w:val="000000"/>
                <w:sz w:val="24"/>
              </w:rPr>
            </w:pPr>
            <w:r>
              <w:rPr>
                <w:rFonts w:hint="eastAsia" w:ascii="宋体" w:hAnsi="宋体" w:cs="宋体"/>
                <w:b/>
                <w:bCs/>
                <w:color w:val="000000"/>
                <w:kern w:val="0"/>
                <w:sz w:val="24"/>
                <w:lang w:bidi="ar"/>
              </w:rPr>
              <w:t>五、综合布线系统</w:t>
            </w: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工作区子系统</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b/>
                <w:bCs/>
                <w:color w:val="000000"/>
                <w:sz w:val="20"/>
                <w:szCs w:val="20"/>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单口面板</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86mm*86mm</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26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双口面板</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86mm*86mm</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39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数据模块(超五类)</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超五类</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104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管理间子系统</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b/>
                <w:bCs/>
                <w:color w:val="000000"/>
                <w:sz w:val="20"/>
                <w:szCs w:val="20"/>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24口网络配线架(超五类)</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超五类24口网络配线架</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7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110配线架</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100对110电话配线架</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5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110跳线架安装板</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110跳线架安装板</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5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超五类非屏蔽跳线(3米)</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超五类非屏蔽跳线(3米)</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条</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63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RJ45-RJ110语音跳线(2米)</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0.5TIE-RJ45/110P2-2 GY</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条</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41 </w:t>
            </w:r>
          </w:p>
        </w:tc>
      </w:tr>
      <w:tr>
        <w:tblPrEx>
          <w:tblCellMar>
            <w:top w:w="0" w:type="dxa"/>
            <w:left w:w="108" w:type="dxa"/>
            <w:bottom w:w="0" w:type="dxa"/>
            <w:right w:w="108" w:type="dxa"/>
          </w:tblCellMar>
        </w:tblPrEx>
        <w:trPr>
          <w:trHeight w:val="23" w:hRule="atLeast"/>
          <w:jc w:val="center"/>
        </w:trPr>
        <w:tc>
          <w:tcPr>
            <w:tcW w:w="767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b/>
                <w:bCs/>
                <w:color w:val="000000"/>
                <w:sz w:val="24"/>
              </w:rPr>
            </w:pPr>
            <w:r>
              <w:rPr>
                <w:rFonts w:hint="eastAsia" w:ascii="宋体" w:hAnsi="宋体" w:cs="宋体"/>
                <w:b/>
                <w:bCs/>
                <w:color w:val="000000"/>
                <w:kern w:val="0"/>
                <w:sz w:val="24"/>
                <w:lang w:bidi="ar"/>
              </w:rPr>
              <w:t>七、室外管网</w:t>
            </w: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室外管网</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PE管</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PE100</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米</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3578.00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PE管</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PE80</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米</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876.00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PE管</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PE50</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米</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1200.00 </w:t>
            </w:r>
          </w:p>
        </w:tc>
      </w:tr>
      <w:tr>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PE管</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PE32</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米</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3200.00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镀锌钢管</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SC100</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米</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85.00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镀锌钢管</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SC50</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米</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222.00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镀锌钢管</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SC32</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88.00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PVC管</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PVC32</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米</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240.00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PVC管</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PVC25</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米</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4194.00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包封</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包封</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m3</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120.00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弱电井（小）（含井盖）</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600*600</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座</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120.00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人工土方开挖</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人工土方开挖</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m3</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1100.64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人工土方回填</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人工土方回填</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m3</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1100.64 </w:t>
            </w:r>
          </w:p>
        </w:tc>
      </w:tr>
      <w:tr>
        <w:tblPrEx>
          <w:tblCellMar>
            <w:top w:w="0" w:type="dxa"/>
            <w:left w:w="108" w:type="dxa"/>
            <w:bottom w:w="0" w:type="dxa"/>
            <w:right w:w="108" w:type="dxa"/>
          </w:tblCellMar>
        </w:tblPrEx>
        <w:trPr>
          <w:trHeight w:val="23" w:hRule="atLeast"/>
          <w:jc w:val="center"/>
        </w:trPr>
        <w:tc>
          <w:tcPr>
            <w:tcW w:w="767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b/>
                <w:bCs/>
                <w:color w:val="000000"/>
                <w:sz w:val="24"/>
              </w:rPr>
            </w:pPr>
            <w:r>
              <w:rPr>
                <w:rFonts w:hint="eastAsia" w:ascii="宋体" w:hAnsi="宋体" w:cs="宋体"/>
                <w:b/>
                <w:bCs/>
                <w:color w:val="000000"/>
                <w:kern w:val="0"/>
                <w:sz w:val="24"/>
                <w:lang w:bidi="ar"/>
              </w:rPr>
              <w:t>六、办公网</w:t>
            </w: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中间设备</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b/>
                <w:bCs/>
                <w:color w:val="000000"/>
                <w:sz w:val="20"/>
                <w:szCs w:val="20"/>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48口接入千兆交换机</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48千兆电+4千兆SFP；交换容量336Gbps，转发率144Mpps，VLAN：4K(数量非ID)、MAC：16K、支持STP/RSTP/MSTP, Smart Link， RRPP环网；支持IRF2虚拟化≥9台；支持三层功能IPv4/IPv6静态路由、RIP/RIPng，OSPFV1/V2/V3；支持端口镜像、支持双向ACL/QoS、支持端口安全和认证，支持DPCP Server，支持DLDP、VCT、支持云平台互联功能</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2.00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24光口千兆核心交换机</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交换容量598Gbps，转发率222Mpps，24个千兆SFP光口 （其中8个combo千兆电口） * 4万兆SFP+端口 *1扩展槽（支持最大8万兆，支持MACSEC硬件加密）；1个mini USB + 1USB;  VLAN：4K(数量非ID) ， MAC：32K，支持QinQ，灵活QinQ，支持虚拟化IRF2≥9台，支持LACP/STP/RSTP/MSTP/Smart Link/RRPP；DHCP Server 、DHCP Relay SECURITY；支持静态路由、RIPv1/v2，RIPng、OSPFv1/v2，OSPFv3、BGP4，BGP4+ for IPv6、等价路由，策略路由、VRRP/VRRPv3，支持IPv6；支持组播IGMP Snooping v1/v2/v3、支持N:4端口镜像、支持双向ACL\QoS、支持安全防护功能、支持VCT、DLDP、LLDP、Loopback-detection；支持绿色节能、支持模块化可插拔双电源、双风扇，支持云平台交换机连接管理功能，可直接通过外网云平台进行管理查看设备状态，简便客户运维工作</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3.00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中心设备</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b/>
                <w:bCs/>
                <w:color w:val="000000"/>
                <w:sz w:val="20"/>
                <w:szCs w:val="20"/>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3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机架式核心交换机(3槽位)</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总装机箱</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套</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1.00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13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主控处理单元</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块</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1.00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13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650W交流电源模块(黑色)</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块</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2.00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13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48端口千兆以太网光接口模块(SFP+,LC)(SC)</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套</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1.00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c>
          <w:tcPr>
            <w:tcW w:w="13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8端口万兆以太网光接口(SFP+,LC)</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1.00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3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48端口千兆以太网电接口模块(RJ45)(SC)</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套</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1.00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万兆光模块</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SFP+ 万兆模块(1310nm,10km,LC)</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10.00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上网行为管理网关</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多核架构设计（非X86架构），双核CPU； 4GE/SFP（Combo）+10GE（电）（其中8GE电支持POE+，功率≥125W），并实配1对Bypass接口；吞吐量：2.5Gbps，内存：2GB，自带500GB硬盘；支持路由模式、透明（网桥）模式、混合模式；支持应用协议识别，支持URL过滤，URL的模糊匹配，可广泛识别恶意网站、违法网站；用户行为审计；支持QOS限速、负载均衡、攻击防护、数据挖掘分析，广告营销平台自定义等；并具有智能选路和精细化动作识别功能；支持防私接路由；支持微信/短信/WEB Portal认证功能; 支持IPSec-vpn隧道1024个</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1.00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路由器</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2WAN (1Combo)</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+4LAN，随设备自带挂耳，AP管理数，AC模式（300）适用宽带300M，整机尺寸'440*225*44，最多4个WAN口，应用行为管理、多策略防火墙功能，绿洲管理云平台，推荐带机量250-300</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1.00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防火墙</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7GE+2Bypass+2Combo+1 管理口；1 硬盘扩展；带机</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量 600；单电源，自带 100 条 SSL VPN、自带电源</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1.00 </w:t>
            </w:r>
          </w:p>
        </w:tc>
      </w:tr>
      <w:tr>
        <w:tblPrEx>
          <w:tblCellMar>
            <w:top w:w="0" w:type="dxa"/>
            <w:left w:w="108" w:type="dxa"/>
            <w:bottom w:w="0" w:type="dxa"/>
            <w:right w:w="108" w:type="dxa"/>
          </w:tblCellMar>
        </w:tblPrEx>
        <w:trPr>
          <w:trHeight w:val="23" w:hRule="atLeast"/>
          <w:jc w:val="center"/>
        </w:trPr>
        <w:tc>
          <w:tcPr>
            <w:tcW w:w="767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b/>
                <w:bCs/>
                <w:color w:val="000000"/>
                <w:sz w:val="24"/>
              </w:rPr>
            </w:pPr>
            <w:r>
              <w:rPr>
                <w:rFonts w:hint="eastAsia" w:ascii="宋体" w:hAnsi="宋体" w:cs="宋体"/>
                <w:b/>
                <w:bCs/>
                <w:color w:val="000000"/>
                <w:kern w:val="0"/>
                <w:sz w:val="24"/>
                <w:lang w:bidi="ar"/>
              </w:rPr>
              <w:t>七、综合管线系统</w:t>
            </w: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线缆</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b/>
                <w:bCs/>
                <w:color w:val="000000"/>
                <w:sz w:val="24"/>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4"/>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4"/>
              </w:rPr>
            </w:pP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超五类非屏蔽网线</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UTP-CAT5e</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米</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11020.00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线缆</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RVV-2*1.0mm²</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米</w:t>
            </w:r>
          </w:p>
        </w:tc>
        <w:tc>
          <w:tcPr>
            <w:tcW w:w="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11940.00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线缆</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RVV-2*1.5mm²</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米</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1870.00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线缆</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RVV-4*1.0mm²</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米</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200.00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线缆</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RVV-6*1.0mm²</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米</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200.00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线缆</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RVV-3*2.5mm²</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米</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9659.00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线缆</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RVV-3*4.0mm²</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米</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500.00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线缆</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RVV-3*6.0mm²</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米</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300.00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线缆</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RVVSP-2*1.0mm²</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米</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3896.00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11</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线缆</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YJV-3*2.5mm²</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米</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500.00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线缆</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YJV-3*6mm²</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米</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300.00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13</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线缆</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BV-2.5mm²</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米</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800.00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地感线圈</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BV1.0</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米</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300.00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线缆</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HDMI线缆（15M）</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根</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18.00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光纤</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17</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4芯单模光纤</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4芯-单模-铝带铠装，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米</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11030.00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12芯单模光纤</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12芯-单模-铝带铠装，</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米</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6000.00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管材</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PVC管(含管件）</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PVC20</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米</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534.00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21</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PVC管(含管件）</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PVC25</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米</w:t>
            </w:r>
          </w:p>
        </w:tc>
        <w:tc>
          <w:tcPr>
            <w:tcW w:w="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812.00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金属软管</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DN20</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米</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300.00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23</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金属软管</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DN25</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米</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200.00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剪力墙底盒剔槽</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剪力墙底盒剔槽</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米</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800.00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25</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砖墙底盒剔槽</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砖墙底盒剔槽</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米</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300.00 </w:t>
            </w:r>
          </w:p>
        </w:tc>
      </w:tr>
      <w:tr>
        <w:tblPrEx>
          <w:tblCellMar>
            <w:top w:w="0" w:type="dxa"/>
            <w:left w:w="108" w:type="dxa"/>
            <w:bottom w:w="0" w:type="dxa"/>
            <w:right w:w="108" w:type="dxa"/>
          </w:tblCellMar>
        </w:tblPrEx>
        <w:trPr>
          <w:trHeight w:val="23" w:hRule="atLeast"/>
          <w:jc w:val="center"/>
        </w:trPr>
        <w:tc>
          <w:tcPr>
            <w:tcW w:w="76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b/>
                <w:bCs/>
                <w:color w:val="000000"/>
                <w:kern w:val="0"/>
                <w:sz w:val="24"/>
                <w:lang w:bidi="ar"/>
              </w:rPr>
              <w:t>八、智能垃圾箱</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0"/>
                <w:szCs w:val="20"/>
                <w:lang w:bidi="ar"/>
              </w:rPr>
              <w:t>1</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2"/>
                <w:szCs w:val="22"/>
                <w:lang w:bidi="ar"/>
              </w:rPr>
              <w:t>四分类智能垃圾桶960（包含两年4G网络）</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2"/>
                <w:szCs w:val="22"/>
                <w:lang w:bidi="ar"/>
              </w:rPr>
              <w:t>基础版投口防盗 设备投口采用整体封闭式挡板，用户完成身份验证向投口投递垃圾后，投口在几秒后自动关闭，可有效防止有人恶意盗窃桶内垃圾。</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防漏电地埋线 配置防漏电地埋线，有效防止漏电的发生，避免造成人员或财务上的损失。</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满桶率提示 设备内设有红外探测满载探头，红外探测技术相比于常规使用的超声波探测技术，准确度更高，可有效避免满桶率误报现象。</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满桶警示灯 设备装有预警警示灯，分别对应各个投口，当某个箱体内部垃圾桶满载，相应警示灯亮起。</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整体防水功能 产品结构设计紧凑、接缝处连接紧密，内部面板连接处经过特殊工艺折成一定的弧度，有效避免了雨水渗进箱体内部，进一步保护内部电器件的安全运行。</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智能换气功能模块 箱体背部装有换气风扇模块，能够迅速的将内部的空气排出，防止厨余垃圾分解产生的易燃气体聚集，避免发生爆炸。</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投口防夹手 投口设计防夹手装置，当用户将手部靠近投口时，投口自动停止关闭，有效避免投口关闭时夹伤手部，安全又便捷。</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投口照明 投口上方设计投递照明灯，投递垃圾时，用户能更清晰地看到垃圾投口，将垃圾准确投入内桶。</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开门指示灯 投口挡板下方设计开门指示灯，随着挡板向内旋转，用户能更清晰地看到垃圾投口，方便投递。</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灭烟盒 产品采用外挂式灭烟盒，根据不同场所的需要，可选择性的安装，烟灰盒内桶采用优质镀锌板，表面过光油，防止生锈，制作工艺采用模具一次卷压成型工艺，为防止划伤，所有沿口皆做翻边处理，单个容量≥1.0L。</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温度探测功能模块（箱体内） 箱体内设有温度感应模块，温度即时通讯检测，并当温度大于70°时通过手机APP推送或打开短信自动发送功能，可提前预知箱体内是否存在火源，大大提高了公共设施的安全性能。</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防积水斜顶 设备顶部巧妙设计防积水斜顶，有效防止顶部积水或积雪等。</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数字化称重模块（非模拟）-960 箱体内配置智能称重模块，对每次投递的垃圾智能化称重，并采用数字信号进行信息处理，及时反馈给服务器，并根据系统设置的兑换规则，给予用户返还相应的积分，精准度更高，耐用度更强。</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7寸电子相册 配置7寸电子相册，可播放多种格式的视频或图片，用来宣传垃圾分类。</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2"/>
                <w:szCs w:val="22"/>
                <w:lang w:bidi="ar"/>
              </w:rPr>
              <w:t>组</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 xml:space="preserve">11 </w:t>
            </w:r>
          </w:p>
        </w:tc>
      </w:tr>
      <w:tr>
        <w:tblPrEx>
          <w:tblCellMar>
            <w:top w:w="0" w:type="dxa"/>
            <w:left w:w="108" w:type="dxa"/>
            <w:bottom w:w="0" w:type="dxa"/>
            <w:right w:w="108" w:type="dxa"/>
          </w:tblCellMar>
        </w:tblPrEx>
        <w:trPr>
          <w:trHeight w:val="23"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0"/>
                <w:szCs w:val="20"/>
                <w:lang w:bidi="ar"/>
              </w:rPr>
              <w:t>2</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2"/>
                <w:szCs w:val="22"/>
                <w:lang w:bidi="ar"/>
              </w:rPr>
              <w:t>物业平台对接</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2"/>
                <w:szCs w:val="22"/>
                <w:lang w:bidi="ar"/>
              </w:rPr>
              <w:t>物业平台对接</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2"/>
                <w:szCs w:val="22"/>
                <w:lang w:bidi="ar"/>
              </w:rPr>
              <w:t>项目</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 xml:space="preserve">1 </w:t>
            </w:r>
          </w:p>
        </w:tc>
      </w:tr>
      <w:tr>
        <w:tblPrEx>
          <w:tblCellMar>
            <w:top w:w="0" w:type="dxa"/>
            <w:left w:w="108" w:type="dxa"/>
            <w:bottom w:w="0" w:type="dxa"/>
            <w:right w:w="108" w:type="dxa"/>
          </w:tblCellMar>
        </w:tblPrEx>
        <w:trPr>
          <w:trHeight w:val="23" w:hRule="atLeast"/>
          <w:jc w:val="center"/>
        </w:trPr>
        <w:tc>
          <w:tcPr>
            <w:tcW w:w="767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000000"/>
                <w:kern w:val="0"/>
                <w:sz w:val="20"/>
                <w:szCs w:val="20"/>
                <w:lang w:bidi="ar"/>
              </w:rPr>
            </w:pPr>
            <w:r>
              <w:rPr>
                <w:rFonts w:hint="eastAsia" w:ascii="宋体" w:hAnsi="宋体" w:cs="宋体"/>
                <w:b/>
                <w:bCs/>
                <w:color w:val="000000"/>
                <w:sz w:val="24"/>
                <w:lang w:bidi="ar"/>
              </w:rPr>
              <w:t>九</w:t>
            </w:r>
            <w:r>
              <w:rPr>
                <w:rFonts w:ascii="宋体" w:hAnsi="宋体" w:cs="宋体"/>
                <w:b/>
                <w:bCs/>
                <w:color w:val="000000"/>
                <w:sz w:val="24"/>
                <w:lang w:bidi="ar"/>
              </w:rPr>
              <w:t>、图书馆</w:t>
            </w:r>
          </w:p>
        </w:tc>
        <w:tc>
          <w:tcPr>
            <w:tcW w:w="52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p>
        </w:tc>
      </w:tr>
      <w:tr>
        <w:tblPrEx>
          <w:tblCellMar>
            <w:top w:w="0" w:type="dxa"/>
            <w:left w:w="108" w:type="dxa"/>
            <w:bottom w:w="0" w:type="dxa"/>
            <w:right w:w="108" w:type="dxa"/>
          </w:tblCellMar>
        </w:tblPrEx>
        <w:trPr>
          <w:trHeight w:val="23" w:hRule="atLeast"/>
          <w:jc w:val="center"/>
        </w:trPr>
        <w:tc>
          <w:tcPr>
            <w:tcW w:w="4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p>
        </w:tc>
        <w:tc>
          <w:tcPr>
            <w:tcW w:w="137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2"/>
                <w:szCs w:val="22"/>
                <w:lang w:bidi="ar"/>
              </w:rPr>
            </w:pPr>
            <w:r>
              <w:rPr>
                <w:rFonts w:hint="eastAsia" w:ascii="宋体" w:hAnsi="宋体" w:cs="宋体"/>
                <w:b/>
                <w:bCs/>
                <w:color w:val="000000"/>
                <w:kern w:val="0"/>
                <w:sz w:val="22"/>
                <w:szCs w:val="22"/>
                <w:lang w:bidi="ar"/>
              </w:rPr>
              <w:t>借阅设备</w:t>
            </w:r>
          </w:p>
        </w:tc>
        <w:tc>
          <w:tcPr>
            <w:tcW w:w="585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2"/>
                <w:szCs w:val="22"/>
                <w:lang w:bidi="ar"/>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2"/>
                <w:szCs w:val="22"/>
                <w:lang w:bidi="ar"/>
              </w:rPr>
            </w:pPr>
          </w:p>
        </w:tc>
        <w:tc>
          <w:tcPr>
            <w:tcW w:w="5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p>
        </w:tc>
      </w:tr>
      <w:tr>
        <w:tblPrEx>
          <w:tblCellMar>
            <w:top w:w="0" w:type="dxa"/>
            <w:left w:w="108" w:type="dxa"/>
            <w:bottom w:w="0" w:type="dxa"/>
            <w:right w:w="108" w:type="dxa"/>
          </w:tblCellMar>
        </w:tblPrEx>
        <w:trPr>
          <w:trHeight w:val="23" w:hRule="atLeast"/>
          <w:jc w:val="center"/>
        </w:trPr>
        <w:tc>
          <w:tcPr>
            <w:tcW w:w="4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13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图书后台管理系统</w:t>
            </w:r>
          </w:p>
        </w:tc>
        <w:tc>
          <w:tcPr>
            <w:tcW w:w="585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1.要求软件功能模块包括采访、编目、典藏、流通、期刊、系统管理、OPAC等。</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2.要求支持个人工作菜单的功能，可设置个人常用功能模块作为个人菜单，登录系统可快速进入工作菜单。</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3.系统应完全支持UNICODE，能够实现多语种编目，可提供多语种编目案例截图，包含英文、日文、韩文、维吾尔文等语种。要求提供功能截图。</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4.要求各功能模块均具有相应的输出清单、统计报表、库维护、日志查询，支持菜单检索功能，检索后可直接打开指定菜单界面；支持修改系统字体和主题风格。</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5.具备网上读者证审核功能；办证支持身份证查重和身份证黑名单设置。</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6.支持设置馆藏地点默认流通类型、分类号默认馆藏地点；支持限定操作员可处理的馆藏地点和读者类型。</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7.系统具有人脸识别系统，可通过加装摄像头，进行人脸识别借还图书和办理读者证。提供同类有效的人脸识别系统的软件著作权认证，提供认证复印件。</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8.★为自助借还设备提供接口。可提供标准 SIP2 协议接入自助借还设备；也可以提供标准 WebService 接口接入自助借还设备。提供同类有效的 SIP2接口的软件著作权认证，提供认证复印件。</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套</w:t>
            </w:r>
          </w:p>
        </w:tc>
        <w:tc>
          <w:tcPr>
            <w:tcW w:w="5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 xml:space="preserve">1 </w:t>
            </w:r>
          </w:p>
        </w:tc>
      </w:tr>
      <w:tr>
        <w:tblPrEx>
          <w:tblCellMar>
            <w:top w:w="0" w:type="dxa"/>
            <w:left w:w="108" w:type="dxa"/>
            <w:bottom w:w="0" w:type="dxa"/>
            <w:right w:w="108" w:type="dxa"/>
          </w:tblCellMar>
        </w:tblPrEx>
        <w:trPr>
          <w:trHeight w:val="23" w:hRule="atLeast"/>
          <w:jc w:val="center"/>
        </w:trPr>
        <w:tc>
          <w:tcPr>
            <w:tcW w:w="4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13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管理设备</w:t>
            </w:r>
          </w:p>
        </w:tc>
        <w:tc>
          <w:tcPr>
            <w:tcW w:w="585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1.处理器：4核4线程以上配置</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2.内存：8G（含）以上运行内存</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3.硬盘容量：1T（含）以上</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台</w:t>
            </w:r>
          </w:p>
        </w:tc>
        <w:tc>
          <w:tcPr>
            <w:tcW w:w="5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 xml:space="preserve">1 </w:t>
            </w:r>
          </w:p>
        </w:tc>
      </w:tr>
      <w:tr>
        <w:tblPrEx>
          <w:tblCellMar>
            <w:top w:w="0" w:type="dxa"/>
            <w:left w:w="108" w:type="dxa"/>
            <w:bottom w:w="0" w:type="dxa"/>
            <w:right w:w="108" w:type="dxa"/>
          </w:tblCellMar>
        </w:tblPrEx>
        <w:trPr>
          <w:trHeight w:val="23" w:hRule="atLeast"/>
          <w:jc w:val="center"/>
        </w:trPr>
        <w:tc>
          <w:tcPr>
            <w:tcW w:w="4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w:t>
            </w:r>
          </w:p>
        </w:tc>
        <w:tc>
          <w:tcPr>
            <w:tcW w:w="13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图书采编工作</w:t>
            </w:r>
          </w:p>
        </w:tc>
        <w:tc>
          <w:tcPr>
            <w:tcW w:w="585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1.免费提供标准MARC 格式的采访数据和编目数据。能为所购买的书籍提供完整的MARC 数据，要求所提供的数据必须与采购人使用的图书集成管理系统兼容。</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2.按采购人要求，提供条码、书标等耗材，加盖馆藏章、粘贴书标、粘贴加固透明胶、馆藏条形码及粘贴图书芯片并录入数据，编制机读目录。加工完毕图书由各书库管理人员清点数目，确定与统计数目符合后上架。具体工序以采购人实际要求为准。</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本次</w:t>
            </w:r>
          </w:p>
        </w:tc>
        <w:tc>
          <w:tcPr>
            <w:tcW w:w="5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 xml:space="preserve">5000 </w:t>
            </w:r>
          </w:p>
        </w:tc>
      </w:tr>
      <w:tr>
        <w:tblPrEx>
          <w:tblCellMar>
            <w:top w:w="0" w:type="dxa"/>
            <w:left w:w="108" w:type="dxa"/>
            <w:bottom w:w="0" w:type="dxa"/>
            <w:right w:w="108" w:type="dxa"/>
          </w:tblCellMar>
        </w:tblPrEx>
        <w:trPr>
          <w:trHeight w:val="23" w:hRule="atLeast"/>
          <w:jc w:val="center"/>
        </w:trPr>
        <w:tc>
          <w:tcPr>
            <w:tcW w:w="4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w:t>
            </w:r>
          </w:p>
        </w:tc>
        <w:tc>
          <w:tcPr>
            <w:tcW w:w="13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RFID图书芯片加工</w:t>
            </w:r>
          </w:p>
        </w:tc>
        <w:tc>
          <w:tcPr>
            <w:tcW w:w="585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技术要求</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1.有效使用寿命：≥10 年</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2.有效使用次数 ：≥10万次</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3.工作频率：13.56MHz</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4.工作环境温度范围：-32℃～78℃</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5.基材材质：PET</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6.天线制程方式：铝蚀刻</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7.符合标准：ISO/IEC15693</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 xml:space="preserve">8.芯片内存：1024 bits </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9.工作模式：无源</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10.芯片防静电(ESD)性能：±2 kV</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11.尺寸：长*宽50*50mm（±0.5mm）</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12.标签面纸采用铜版纸</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13.标签底纸采用离型纸</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14.★在高低温环境中使用功能正常、读取标签性能稳定（-32℃～78℃），外观无变形损坏，符合相关标准技术条件值中规范要求。标签需通过国家《GB/T2423.1》、《GB/T2423.2》相关标准试验检测，提供中国合格评定国家认可委员会（CNAS）认证机构出具的检测报告。提供检测报告复印件。</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15.★在受静电放电抗扰度干扰时，不影响其读写性能或性能在暂时丧失或降低后，能自行恢复。标签需通过国家《GB/T 17626.2-2018》静电放电抗扰度试验相关标准试验检测。提供中国合格评定国家认可委员会（CNAS）认证机构出具的检测报告。提供检测报告复印件。</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功能要求</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1.标签中有存储器，存储在其中的资料可重复读、写。</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2.标签可以非接触式地读取和写入，加快文献流通的处理速度。</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3.标签具有一定的抗冲突性，能保证多个标签地同时可靠识别。</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4.标签具有较高的安全性，防止存储在其中的信息被随意读取或改写。</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5.标签为无源标签，具有不可改写的唯一序列号（UID）。</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6.用户可自定义数据格式和内容，具有良好的扩展性。</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7.图书用标签采用EAS 或AFI位作为防盗的安全标志方法。</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8.标签固有频率误差频率小于或等于±300K Hz范围。</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9.★相关的RFID阅读产品设备，可在非常短的时间内读取存储在标签中的资料（实际工作环境，若以标签容量1024bits为标准计算，每种工序中标签的读取速度都能达到0.1s之内）。提供第三方检测机构出具的功能检测报告复印件。</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本次</w:t>
            </w:r>
          </w:p>
        </w:tc>
        <w:tc>
          <w:tcPr>
            <w:tcW w:w="5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 xml:space="preserve">5000 </w:t>
            </w:r>
          </w:p>
        </w:tc>
      </w:tr>
      <w:tr>
        <w:tblPrEx>
          <w:tblCellMar>
            <w:top w:w="0" w:type="dxa"/>
            <w:left w:w="108" w:type="dxa"/>
            <w:bottom w:w="0" w:type="dxa"/>
            <w:right w:w="108" w:type="dxa"/>
          </w:tblCellMar>
        </w:tblPrEx>
        <w:trPr>
          <w:trHeight w:val="23" w:hRule="atLeast"/>
          <w:jc w:val="center"/>
        </w:trPr>
        <w:tc>
          <w:tcPr>
            <w:tcW w:w="4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w:t>
            </w:r>
          </w:p>
        </w:tc>
        <w:tc>
          <w:tcPr>
            <w:tcW w:w="13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RFID馆员工作站</w:t>
            </w:r>
          </w:p>
        </w:tc>
        <w:tc>
          <w:tcPr>
            <w:tcW w:w="585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技术参数：</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1.工作频率：13.56MHz</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2.通讯接口：USB口</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3.识读距离：≤30cm</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4.外观尺寸≤410*300*15mm(长*宽*高)</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5.工作环境温度范围：-32℃～78℃</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6.核心RFID读写器与RFID天线须为同一品牌。</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7.★为保障设备性能稳定性，设备的核心模块读写器须与设备为同一品牌，具备该读写器获得CCC认证。（提供读写器以及馆员工作站终端CCC认证证书复印件）</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8.★支持图书标签的转换、读取,标签转换工作量统计，提供软件测试报告，通过《GB/T25000.51-2016 系统与软件工程系统与软件质量要求和评价》检测 ，提供权威机构的第三方检测报告。（提供检测报告复印件）</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功能参数：</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1.系统通过中间件应用服务器系统与图书馆的图书管理系统进行对接，协调工作。</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2.可对RFID标签非接触式地进行阅读，有读取RFID图书标签、编写图书标签、改写图书标签的能力。需具备读写器软件调试能力。</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3.可对条形码进行识别转换后将条码号写入RFID标签，转换效率高。</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4.满足兼容各类标准的RFID标签，采用EAS和AFI安全标志位，并保证读写速度。</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可对图书馆现有的借书证进行阅读，如支持：各种IC卡、条码卡、RFID卡、二代身份证、三代社保卡（支持长三角区域社会保障卡居民服务一卡通）等有效证件。</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套</w:t>
            </w:r>
          </w:p>
        </w:tc>
        <w:tc>
          <w:tcPr>
            <w:tcW w:w="5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 xml:space="preserve">1 </w:t>
            </w:r>
          </w:p>
        </w:tc>
      </w:tr>
      <w:tr>
        <w:tblPrEx>
          <w:tblCellMar>
            <w:top w:w="0" w:type="dxa"/>
            <w:left w:w="108" w:type="dxa"/>
            <w:bottom w:w="0" w:type="dxa"/>
            <w:right w:w="108" w:type="dxa"/>
          </w:tblCellMar>
        </w:tblPrEx>
        <w:trPr>
          <w:trHeight w:val="23" w:hRule="atLeast"/>
          <w:jc w:val="center"/>
        </w:trPr>
        <w:tc>
          <w:tcPr>
            <w:tcW w:w="4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6</w:t>
            </w:r>
          </w:p>
        </w:tc>
        <w:tc>
          <w:tcPr>
            <w:tcW w:w="13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RFID自助借还机</w:t>
            </w:r>
          </w:p>
        </w:tc>
        <w:tc>
          <w:tcPr>
            <w:tcW w:w="585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技术要求：</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1.触摸显示：≥22英寸触摸屏，中英文界面</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2.工作频率：13.56MHz</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3.供电要求：AC 220V，50Hz</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4.外观尺寸：长≤750 mm ，宽≤720 mm，高≤1700 mm</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5.工作环境温度范围：-32℃～78℃</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6.★为保障设备性能稳定性，设备的核心模块读写器须与设备为同一品牌，具备该读写器获得CCC认证。提供读写器以及自助借还终端CCC认证证书复印件。</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7.★读卡器通过GB/T 18239-2000《集成电路（IC)卡读写机通用规范》、GB 4943.1-2011《信息技术设备安全第1部分:通用技术要求》、GB/T2423.1-2008《电工电子产品环境试验第2部分:试验方法试验A:低温)、GB/T2423.2-2008《电工电子产品环境试验第2部分:试验方法试验B:高温、GB/T2423.3-2016《电工电子产品环境试验第2部分:试验方法试验Cab:恒定湿热试验》检测相关标准要求。提供权威机构的第三方检测报告。（提供检测报告复印件）</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功能要求：</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1.系统通过中间件应用服务器系统与图书馆的图书管理系统进行对接，协调工作。必须保证与图书馆现用的图书管理系统无缝连接。</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2.支持图书馆使用的RFID读者证、二代身份证、三代社保卡（支持长三角区域社会保障卡居民服务一卡通）以及图书馆现有和其他指定的读者证等功能。与支付宝信用分绑定，扫动态二维码授权登陆自助借还系统。</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3.软件系统提供读者证识别、借书、还书、查询、续借功能。系统可以设定为仅有借书、或仅有还书功能。</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4.系统支持同时8本以上借还书，支持读者查询，续借。</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为保证售后服务的便利，根据客户的需求所投设备模块化设计。要求支持触摸显示屏与设备主体分体式构造，满足市面主流显示屏尺寸中（17英寸、19英寸、22英寸）两种触摸屏尺寸设计；要求支持触摸屏、智能刷卡、人脸识别、二维码扫描一体机设计。工作人员可自行根据馆方需要进行灵活拆分，作为不同场景使用。</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台</w:t>
            </w:r>
          </w:p>
        </w:tc>
        <w:tc>
          <w:tcPr>
            <w:tcW w:w="5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r>
      <w:tr>
        <w:tblPrEx>
          <w:tblCellMar>
            <w:top w:w="0" w:type="dxa"/>
            <w:left w:w="108" w:type="dxa"/>
            <w:bottom w:w="0" w:type="dxa"/>
            <w:right w:w="108" w:type="dxa"/>
          </w:tblCellMar>
        </w:tblPrEx>
        <w:trPr>
          <w:trHeight w:val="23" w:hRule="atLeast"/>
          <w:jc w:val="center"/>
        </w:trPr>
        <w:tc>
          <w:tcPr>
            <w:tcW w:w="4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7</w:t>
            </w:r>
          </w:p>
        </w:tc>
        <w:tc>
          <w:tcPr>
            <w:tcW w:w="13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RFID安全门禁单通道</w:t>
            </w:r>
          </w:p>
        </w:tc>
        <w:tc>
          <w:tcPr>
            <w:tcW w:w="585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技术参数</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1.供电要求：AC 220V，50Hz</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2.额定功率：≤20W</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3.外观尺寸≤1060*695*1682mm(长*宽*高)</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4.工作环境温度范围：-32℃～78℃</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5.工作频率：13.56MHz</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6.阅读范围半径：0~0.6M 为有效阅读范围（竖直方向）</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7.通信接口：RJ45网络接口</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8.门间距： 满足消防通道要求，并大于通道闸机的间距</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9.样式：采用透明亚克力结构，整体大气时尚</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10.★在高低温环境中使用功能正常、读取标签性能稳定（-32℃～78℃），外观无变形损坏，符合相关标准技术条件值中规范要求。整机需符合国家《GB/T2423.1》、《GB/T2423.2》相关环境标准，提供中国合格评定国家认可委员会（CNAS）认证机构出具的检测报告。提供检测报告复印件。</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11.★产品电磁辐射符合国家相关要求，8小时连续暴露辐射安全≤4u W/cm2，不会对其他设备的正常使用造成影响。提供第三方检测机构出具的检测报告复印件。</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12.核心RFID读写器与RFID天线需为同一品牌，提供RFID读写器软件的软件著作权登记证书复印件。</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功能要求</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1.符合ADA相关标准要求，可以很方便地集成到图书馆的家具设施和图书馆业务实施环境中。</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2.可以非接触式的快速识别粘贴在流通文献上的RFID标签。</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3.多通道安全门具备单通道独立报警和提示功能。</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4.可以对图书馆内的印刷品、视听出版物、CD及DVD等流通文献进行安全扫描操作，不能损坏粘贴在流通文献中的磁性介质。</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5.设备系统具有高侦测性能，无误报。</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6.具有音频和视觉报警信号，且信号源可设置，报警音量可调控。</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套</w:t>
            </w:r>
          </w:p>
        </w:tc>
        <w:tc>
          <w:tcPr>
            <w:tcW w:w="5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 xml:space="preserve">3 </w:t>
            </w:r>
          </w:p>
        </w:tc>
      </w:tr>
      <w:tr>
        <w:tblPrEx>
          <w:tblCellMar>
            <w:top w:w="0" w:type="dxa"/>
            <w:left w:w="108" w:type="dxa"/>
            <w:bottom w:w="0" w:type="dxa"/>
            <w:right w:w="108" w:type="dxa"/>
          </w:tblCellMar>
        </w:tblPrEx>
        <w:trPr>
          <w:trHeight w:val="23" w:hRule="atLeast"/>
          <w:jc w:val="center"/>
        </w:trPr>
        <w:tc>
          <w:tcPr>
            <w:tcW w:w="4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p>
        </w:tc>
        <w:tc>
          <w:tcPr>
            <w:tcW w:w="137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2"/>
                <w:szCs w:val="22"/>
                <w:lang w:bidi="ar"/>
              </w:rPr>
            </w:pPr>
            <w:r>
              <w:rPr>
                <w:rFonts w:hint="eastAsia" w:ascii="宋体" w:hAnsi="宋体" w:cs="宋体"/>
                <w:b/>
                <w:bCs/>
                <w:color w:val="000000"/>
                <w:kern w:val="0"/>
                <w:sz w:val="22"/>
                <w:szCs w:val="22"/>
                <w:lang w:bidi="ar"/>
              </w:rPr>
              <w:t>有声阅读设备</w:t>
            </w:r>
          </w:p>
        </w:tc>
        <w:tc>
          <w:tcPr>
            <w:tcW w:w="585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2"/>
                <w:szCs w:val="22"/>
                <w:lang w:bidi="ar"/>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2"/>
                <w:szCs w:val="22"/>
                <w:lang w:bidi="ar"/>
              </w:rPr>
            </w:pPr>
          </w:p>
        </w:tc>
        <w:tc>
          <w:tcPr>
            <w:tcW w:w="5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lang w:bidi="ar"/>
              </w:rPr>
            </w:pPr>
          </w:p>
        </w:tc>
      </w:tr>
      <w:tr>
        <w:tblPrEx>
          <w:tblCellMar>
            <w:top w:w="0" w:type="dxa"/>
            <w:left w:w="108" w:type="dxa"/>
            <w:bottom w:w="0" w:type="dxa"/>
            <w:right w:w="108" w:type="dxa"/>
          </w:tblCellMar>
        </w:tblPrEx>
        <w:trPr>
          <w:trHeight w:val="23" w:hRule="atLeast"/>
          <w:jc w:val="center"/>
        </w:trPr>
        <w:tc>
          <w:tcPr>
            <w:tcW w:w="4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13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台式有声听读机</w:t>
            </w:r>
          </w:p>
        </w:tc>
        <w:tc>
          <w:tcPr>
            <w:tcW w:w="585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含主机、耳机、电源适配器、使用说明书、合格证</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屏幕：10.1寸，十点触摸，分辨率1280*800</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网络：802.11b/g/n/ac 2.4G/5G 2T2R</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按键：音量+，音量-，静音，电源</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接口：Micro USB接口，DC电源接口 电源：12V/1.5A</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尺寸（长×宽×高）：248mm×90mm×220mm</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整机重量：约1.1kg</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台</w:t>
            </w:r>
          </w:p>
        </w:tc>
        <w:tc>
          <w:tcPr>
            <w:tcW w:w="5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 xml:space="preserve">4 </w:t>
            </w:r>
          </w:p>
        </w:tc>
      </w:tr>
    </w:tbl>
    <w:p>
      <w:r>
        <w:rPr>
          <w:rFonts w:hint="eastAsia"/>
        </w:rPr>
        <w:br w:type="page"/>
      </w:r>
    </w:p>
    <w:p>
      <w:pPr>
        <w:pStyle w:val="24"/>
        <w:ind w:firstLine="482"/>
        <w:outlineLvl w:val="2"/>
        <w:rPr>
          <w:rFonts w:cs="宋体"/>
          <w:b/>
          <w:lang w:bidi="ar"/>
        </w:rPr>
      </w:pPr>
      <w:r>
        <w:rPr>
          <w:rFonts w:hint="eastAsia" w:cs="宋体"/>
          <w:b/>
          <w:lang w:bidi="ar"/>
        </w:rPr>
        <w:t>2.软件产品清单</w:t>
      </w:r>
    </w:p>
    <w:tbl>
      <w:tblPr>
        <w:tblStyle w:val="6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0"/>
        <w:gridCol w:w="372"/>
        <w:gridCol w:w="504"/>
        <w:gridCol w:w="1536"/>
        <w:gridCol w:w="4223"/>
        <w:gridCol w:w="581"/>
        <w:gridCol w:w="532"/>
        <w:gridCol w:w="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626" w:type="pct"/>
            <w:gridSpan w:val="4"/>
            <w:shd w:val="clear" w:color="auto" w:fill="auto"/>
            <w:noWrap/>
            <w:vAlign w:val="center"/>
          </w:tcPr>
          <w:p>
            <w:pPr>
              <w:widowControl/>
              <w:jc w:val="center"/>
              <w:textAlignment w:val="center"/>
              <w:rPr>
                <w:rFonts w:ascii="微软雅黑" w:hAnsi="微软雅黑" w:eastAsia="微软雅黑" w:cs="微软雅黑"/>
                <w:b/>
                <w:bCs/>
                <w:sz w:val="22"/>
                <w:szCs w:val="22"/>
              </w:rPr>
            </w:pPr>
            <w:r>
              <w:rPr>
                <w:rFonts w:hint="eastAsia" w:ascii="微软雅黑" w:hAnsi="微软雅黑" w:eastAsia="微软雅黑" w:cs="微软雅黑"/>
                <w:b/>
                <w:bCs/>
                <w:kern w:val="0"/>
                <w:sz w:val="22"/>
                <w:szCs w:val="22"/>
                <w:lang w:bidi="ar"/>
              </w:rPr>
              <w:t>建设内容</w:t>
            </w:r>
          </w:p>
        </w:tc>
        <w:tc>
          <w:tcPr>
            <w:tcW w:w="2486" w:type="pct"/>
            <w:shd w:val="clear" w:color="auto" w:fill="auto"/>
            <w:noWrap/>
            <w:vAlign w:val="center"/>
          </w:tcPr>
          <w:p>
            <w:pPr>
              <w:widowControl/>
              <w:jc w:val="center"/>
              <w:textAlignment w:val="center"/>
              <w:rPr>
                <w:rFonts w:ascii="微软雅黑" w:hAnsi="微软雅黑" w:eastAsia="微软雅黑" w:cs="微软雅黑"/>
                <w:b/>
                <w:bCs/>
                <w:sz w:val="22"/>
                <w:szCs w:val="22"/>
              </w:rPr>
            </w:pPr>
            <w:r>
              <w:rPr>
                <w:rFonts w:hint="eastAsia" w:ascii="微软雅黑" w:hAnsi="微软雅黑" w:eastAsia="微软雅黑" w:cs="微软雅黑"/>
                <w:b/>
                <w:bCs/>
                <w:kern w:val="0"/>
                <w:sz w:val="22"/>
                <w:szCs w:val="22"/>
                <w:lang w:bidi="ar"/>
              </w:rPr>
              <w:t>功能要求</w:t>
            </w:r>
          </w:p>
        </w:tc>
        <w:tc>
          <w:tcPr>
            <w:tcW w:w="342"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单位</w:t>
            </w:r>
          </w:p>
        </w:tc>
        <w:tc>
          <w:tcPr>
            <w:tcW w:w="313"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数量</w:t>
            </w:r>
          </w:p>
        </w:tc>
        <w:tc>
          <w:tcPr>
            <w:tcW w:w="233" w:type="pct"/>
            <w:shd w:val="clear" w:color="auto" w:fill="auto"/>
            <w:noWrap/>
            <w:vAlign w:val="center"/>
          </w:tcPr>
          <w:p>
            <w:pPr>
              <w:widowControl/>
              <w:jc w:val="center"/>
              <w:textAlignment w:val="center"/>
              <w:rPr>
                <w:rFonts w:ascii="微软雅黑" w:hAnsi="微软雅黑" w:eastAsia="微软雅黑" w:cs="微软雅黑"/>
                <w:b/>
                <w:bCs/>
                <w:sz w:val="22"/>
                <w:szCs w:val="22"/>
              </w:rPr>
            </w:pPr>
            <w:r>
              <w:rPr>
                <w:rFonts w:hint="eastAsia" w:ascii="微软雅黑" w:hAnsi="微软雅黑" w:eastAsia="微软雅黑" w:cs="微软雅黑"/>
                <w:b/>
                <w:bCs/>
                <w:kern w:val="0"/>
                <w:sz w:val="22"/>
                <w:szCs w:val="22"/>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06" w:type="pct"/>
            <w:shd w:val="clear" w:color="auto" w:fill="auto"/>
            <w:noWrap/>
            <w:vAlign w:val="center"/>
          </w:tcPr>
          <w:p>
            <w:pPr>
              <w:widowControl/>
              <w:jc w:val="center"/>
              <w:textAlignment w:val="center"/>
              <w:rPr>
                <w:rFonts w:ascii="微软雅黑" w:hAnsi="微软雅黑" w:eastAsia="微软雅黑" w:cs="微软雅黑"/>
                <w:b/>
                <w:bCs/>
                <w:sz w:val="22"/>
                <w:szCs w:val="22"/>
              </w:rPr>
            </w:pPr>
            <w:r>
              <w:rPr>
                <w:rFonts w:hint="eastAsia" w:ascii="微软雅黑" w:hAnsi="微软雅黑" w:eastAsia="微软雅黑" w:cs="微软雅黑"/>
                <w:b/>
                <w:bCs/>
                <w:kern w:val="0"/>
                <w:sz w:val="22"/>
                <w:szCs w:val="22"/>
                <w:lang w:bidi="ar"/>
              </w:rPr>
              <w:t>系统</w:t>
            </w:r>
          </w:p>
        </w:tc>
        <w:tc>
          <w:tcPr>
            <w:tcW w:w="219" w:type="pct"/>
            <w:shd w:val="clear" w:color="auto" w:fill="auto"/>
            <w:noWrap/>
            <w:vAlign w:val="center"/>
          </w:tcPr>
          <w:p>
            <w:pPr>
              <w:widowControl/>
              <w:jc w:val="center"/>
              <w:textAlignment w:val="center"/>
              <w:rPr>
                <w:rFonts w:ascii="微软雅黑" w:hAnsi="微软雅黑" w:eastAsia="微软雅黑" w:cs="微软雅黑"/>
                <w:b/>
                <w:bCs/>
                <w:sz w:val="22"/>
                <w:szCs w:val="22"/>
              </w:rPr>
            </w:pPr>
            <w:r>
              <w:rPr>
                <w:rFonts w:hint="eastAsia" w:ascii="微软雅黑" w:hAnsi="微软雅黑" w:eastAsia="微软雅黑" w:cs="微软雅黑"/>
                <w:b/>
                <w:bCs/>
                <w:kern w:val="0"/>
                <w:sz w:val="22"/>
                <w:szCs w:val="22"/>
                <w:lang w:bidi="ar"/>
              </w:rPr>
              <w:t>序号</w:t>
            </w:r>
          </w:p>
        </w:tc>
        <w:tc>
          <w:tcPr>
            <w:tcW w:w="297" w:type="pct"/>
            <w:shd w:val="clear" w:color="auto" w:fill="auto"/>
            <w:noWrap/>
            <w:vAlign w:val="center"/>
          </w:tcPr>
          <w:p>
            <w:pPr>
              <w:widowControl/>
              <w:jc w:val="center"/>
              <w:textAlignment w:val="center"/>
              <w:rPr>
                <w:rFonts w:ascii="微软雅黑" w:hAnsi="微软雅黑" w:eastAsia="微软雅黑" w:cs="微软雅黑"/>
                <w:b/>
                <w:bCs/>
                <w:sz w:val="20"/>
                <w:szCs w:val="20"/>
              </w:rPr>
            </w:pPr>
            <w:r>
              <w:rPr>
                <w:rFonts w:hint="eastAsia" w:ascii="微软雅黑" w:hAnsi="微软雅黑" w:eastAsia="微软雅黑" w:cs="微软雅黑"/>
                <w:b/>
                <w:bCs/>
                <w:kern w:val="0"/>
                <w:sz w:val="20"/>
                <w:szCs w:val="20"/>
                <w:lang w:bidi="ar"/>
              </w:rPr>
              <w:t>功能模块</w:t>
            </w:r>
          </w:p>
        </w:tc>
        <w:tc>
          <w:tcPr>
            <w:tcW w:w="903" w:type="pct"/>
            <w:shd w:val="clear" w:color="auto" w:fill="auto"/>
            <w:noWrap/>
            <w:vAlign w:val="center"/>
          </w:tcPr>
          <w:p>
            <w:pPr>
              <w:widowControl/>
              <w:jc w:val="center"/>
              <w:textAlignment w:val="center"/>
              <w:rPr>
                <w:rFonts w:ascii="微软雅黑" w:hAnsi="微软雅黑" w:eastAsia="微软雅黑" w:cs="微软雅黑"/>
                <w:b/>
                <w:bCs/>
                <w:sz w:val="20"/>
                <w:szCs w:val="20"/>
              </w:rPr>
            </w:pPr>
            <w:r>
              <w:rPr>
                <w:rFonts w:hint="eastAsia" w:ascii="微软雅黑" w:hAnsi="微软雅黑" w:eastAsia="微软雅黑" w:cs="微软雅黑"/>
                <w:b/>
                <w:bCs/>
                <w:kern w:val="0"/>
                <w:sz w:val="20"/>
                <w:szCs w:val="20"/>
                <w:lang w:bidi="ar"/>
              </w:rPr>
              <w:t>二级功能</w:t>
            </w:r>
          </w:p>
        </w:tc>
        <w:tc>
          <w:tcPr>
            <w:tcW w:w="2486" w:type="pct"/>
            <w:tcBorders>
              <w:tl2br w:val="single" w:color="000000" w:sz="4" w:space="0"/>
            </w:tcBorders>
            <w:shd w:val="clear" w:color="auto" w:fill="auto"/>
            <w:noWrap/>
            <w:vAlign w:val="center"/>
          </w:tcPr>
          <w:p>
            <w:pPr>
              <w:jc w:val="center"/>
              <w:rPr>
                <w:rFonts w:ascii="微软雅黑" w:hAnsi="微软雅黑" w:eastAsia="微软雅黑" w:cs="微软雅黑"/>
                <w:b/>
                <w:bCs/>
                <w:sz w:val="20"/>
                <w:szCs w:val="20"/>
              </w:rPr>
            </w:pPr>
          </w:p>
        </w:tc>
        <w:tc>
          <w:tcPr>
            <w:tcW w:w="342" w:type="pct"/>
            <w:shd w:val="clear" w:color="auto" w:fill="auto"/>
            <w:noWrap/>
            <w:vAlign w:val="bottom"/>
          </w:tcPr>
          <w:p>
            <w:pPr>
              <w:rPr>
                <w:rFonts w:ascii="等线" w:hAnsi="等线" w:eastAsia="等线" w:cs="等线"/>
                <w:sz w:val="22"/>
                <w:szCs w:val="22"/>
              </w:rPr>
            </w:pPr>
          </w:p>
        </w:tc>
        <w:tc>
          <w:tcPr>
            <w:tcW w:w="313" w:type="pct"/>
            <w:shd w:val="clear" w:color="auto" w:fill="auto"/>
            <w:noWrap/>
            <w:vAlign w:val="bottom"/>
          </w:tcPr>
          <w:p>
            <w:pPr>
              <w:rPr>
                <w:rFonts w:ascii="等线" w:hAnsi="等线" w:eastAsia="等线" w:cs="等线"/>
                <w:sz w:val="22"/>
                <w:szCs w:val="22"/>
              </w:rPr>
            </w:pPr>
          </w:p>
        </w:tc>
        <w:tc>
          <w:tcPr>
            <w:tcW w:w="233" w:type="pct"/>
            <w:tcBorders>
              <w:tl2br w:val="single" w:color="000000" w:sz="4" w:space="0"/>
            </w:tcBorders>
            <w:shd w:val="clear" w:color="auto" w:fill="auto"/>
            <w:noWrap/>
            <w:vAlign w:val="bottom"/>
          </w:tcPr>
          <w:p>
            <w:pPr>
              <w:rPr>
                <w:rFonts w:ascii="微软雅黑" w:hAnsi="微软雅黑" w:eastAsia="微软雅黑" w:cs="微软雅黑"/>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206" w:type="pct"/>
            <w:vMerge w:val="restart"/>
            <w:shd w:val="clear" w:color="auto" w:fill="auto"/>
            <w:noWrap/>
            <w:vAlign w:val="center"/>
          </w:tcPr>
          <w:p>
            <w:pPr>
              <w:jc w:val="center"/>
              <w:rPr>
                <w:rFonts w:ascii="微软雅黑" w:hAnsi="微软雅黑" w:eastAsia="微软雅黑" w:cs="微软雅黑"/>
                <w:sz w:val="22"/>
                <w:szCs w:val="22"/>
              </w:rPr>
            </w:pPr>
            <w:r>
              <w:rPr>
                <w:rFonts w:hint="eastAsia" w:ascii="微软雅黑" w:hAnsi="微软雅黑" w:eastAsia="微软雅黑" w:cs="微软雅黑"/>
                <w:sz w:val="22"/>
                <w:szCs w:val="22"/>
              </w:rPr>
              <w:t>数字底座</w:t>
            </w: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1</w:t>
            </w:r>
          </w:p>
        </w:tc>
        <w:tc>
          <w:tcPr>
            <w:tcW w:w="297" w:type="pct"/>
            <w:vMerge w:val="restart"/>
            <w:shd w:val="clear" w:color="auto" w:fill="auto"/>
            <w:vAlign w:val="center"/>
          </w:tcPr>
          <w:p>
            <w:pPr>
              <w:jc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三端服务入口</w:t>
            </w:r>
          </w:p>
        </w:tc>
        <w:tc>
          <w:tcPr>
            <w:tcW w:w="90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管理端后台</w:t>
            </w:r>
          </w:p>
        </w:tc>
        <w:tc>
          <w:tcPr>
            <w:tcW w:w="2486" w:type="pct"/>
            <w:shd w:val="clear" w:color="auto" w:fill="auto"/>
            <w:vAlign w:val="center"/>
          </w:tcPr>
          <w:p>
            <w:pPr>
              <w:widowControl/>
              <w:jc w:val="left"/>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余杭区已建立区级统一治理端应用程序，包括移动端和PC端，社区侧个性化治理应用接入上架至区级统一治理端。</w:t>
            </w:r>
            <w:r>
              <w:rPr>
                <w:rFonts w:hint="eastAsia" w:ascii="微软雅黑" w:hAnsi="微软雅黑" w:eastAsia="微软雅黑" w:cs="微软雅黑"/>
                <w:kern w:val="0"/>
                <w:sz w:val="20"/>
                <w:szCs w:val="20"/>
                <w:lang w:bidi="ar"/>
              </w:rPr>
              <w:br w:type="textWrapping"/>
            </w:r>
            <w:r>
              <w:rPr>
                <w:rFonts w:hint="eastAsia" w:ascii="微软雅黑" w:hAnsi="微软雅黑" w:eastAsia="微软雅黑" w:cs="微软雅黑"/>
                <w:kern w:val="0"/>
                <w:sz w:val="20"/>
                <w:szCs w:val="20"/>
                <w:lang w:bidi="ar"/>
              </w:rPr>
              <w:t>单社区开发的个性化指标通过接口方式上架区级治理端后台的指标库，后期大屏展示可拖拉拽展示在驾驶舱</w:t>
            </w:r>
          </w:p>
        </w:tc>
        <w:tc>
          <w:tcPr>
            <w:tcW w:w="342" w:type="pct"/>
            <w:vMerge w:val="restart"/>
            <w:shd w:val="clear" w:color="auto" w:fill="auto"/>
            <w:noWrap/>
            <w:vAlign w:val="center"/>
          </w:tcPr>
          <w:p>
            <w:pPr>
              <w:rPr>
                <w:rFonts w:ascii="微软雅黑" w:hAnsi="微软雅黑" w:eastAsia="微软雅黑" w:cs="微软雅黑"/>
                <w:sz w:val="22"/>
                <w:szCs w:val="22"/>
              </w:rPr>
            </w:pPr>
            <w:r>
              <w:rPr>
                <w:rFonts w:hint="eastAsia" w:ascii="微软雅黑" w:hAnsi="微软雅黑" w:eastAsia="微软雅黑" w:cs="微软雅黑"/>
                <w:sz w:val="22"/>
                <w:szCs w:val="22"/>
              </w:rPr>
              <w:t>套</w:t>
            </w:r>
          </w:p>
        </w:tc>
        <w:tc>
          <w:tcPr>
            <w:tcW w:w="313" w:type="pct"/>
            <w:vMerge w:val="restart"/>
            <w:shd w:val="clear" w:color="auto" w:fill="auto"/>
            <w:noWrap/>
            <w:vAlign w:val="center"/>
          </w:tcPr>
          <w:p>
            <w:pPr>
              <w:jc w:val="center"/>
              <w:rPr>
                <w:rFonts w:ascii="微软雅黑" w:hAnsi="微软雅黑" w:eastAsia="微软雅黑" w:cs="微软雅黑"/>
                <w:sz w:val="22"/>
                <w:szCs w:val="22"/>
              </w:rPr>
            </w:pPr>
            <w:r>
              <w:rPr>
                <w:rFonts w:hint="eastAsia" w:ascii="微软雅黑" w:hAnsi="微软雅黑" w:eastAsia="微软雅黑" w:cs="微软雅黑"/>
                <w:sz w:val="22"/>
                <w:szCs w:val="22"/>
              </w:rPr>
              <w:t>1</w:t>
            </w:r>
          </w:p>
        </w:tc>
        <w:tc>
          <w:tcPr>
            <w:tcW w:w="233" w:type="pct"/>
            <w:vMerge w:val="restar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2</w:t>
            </w:r>
          </w:p>
        </w:tc>
        <w:tc>
          <w:tcPr>
            <w:tcW w:w="297" w:type="pct"/>
            <w:vMerge w:val="continue"/>
            <w:shd w:val="clear" w:color="auto" w:fill="auto"/>
            <w:vAlign w:val="center"/>
          </w:tcPr>
          <w:p>
            <w:pPr>
              <w:jc w:val="center"/>
              <w:rPr>
                <w:rFonts w:ascii="微软雅黑" w:hAnsi="微软雅黑" w:eastAsia="微软雅黑" w:cs="微软雅黑"/>
                <w:sz w:val="22"/>
                <w:szCs w:val="22"/>
              </w:rPr>
            </w:pPr>
          </w:p>
        </w:tc>
        <w:tc>
          <w:tcPr>
            <w:tcW w:w="90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服务端：居民服务小程序</w:t>
            </w:r>
          </w:p>
        </w:tc>
        <w:tc>
          <w:tcPr>
            <w:tcW w:w="2486" w:type="pct"/>
            <w:shd w:val="clear" w:color="auto" w:fill="auto"/>
            <w:vAlign w:val="center"/>
          </w:tcPr>
          <w:p>
            <w:pPr>
              <w:widowControl/>
              <w:jc w:val="left"/>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1、在浙里办同步上架（开发），建设和庭未来社区应用服务。2、基于“浙里办”为统一入口同步建设“余杭未来社区”小程序，打造未来社区居民的应用统一入口。</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vMerge w:val="continue"/>
            <w:shd w:val="clear" w:color="auto" w:fill="auto"/>
            <w:vAlign w:val="center"/>
          </w:tcPr>
          <w:p>
            <w:pPr>
              <w:jc w:val="center"/>
              <w:rPr>
                <w:rFonts w:ascii="微软雅黑" w:hAnsi="微软雅黑" w:eastAsia="微软雅黑" w:cs="微软雅黑"/>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3</w:t>
            </w:r>
          </w:p>
        </w:tc>
        <w:tc>
          <w:tcPr>
            <w:tcW w:w="297" w:type="pct"/>
            <w:vMerge w:val="continue"/>
            <w:shd w:val="clear" w:color="auto" w:fill="auto"/>
            <w:vAlign w:val="center"/>
          </w:tcPr>
          <w:p>
            <w:pPr>
              <w:jc w:val="center"/>
              <w:rPr>
                <w:rFonts w:ascii="微软雅黑" w:hAnsi="微软雅黑" w:eastAsia="微软雅黑" w:cs="微软雅黑"/>
                <w:sz w:val="22"/>
                <w:szCs w:val="22"/>
              </w:rPr>
            </w:pPr>
          </w:p>
        </w:tc>
        <w:tc>
          <w:tcPr>
            <w:tcW w:w="90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运营端：运营管理系统（pc端和运营移动端 ）</w:t>
            </w:r>
          </w:p>
        </w:tc>
        <w:tc>
          <w:tcPr>
            <w:tcW w:w="2486" w:type="pct"/>
            <w:shd w:val="clear" w:color="auto" w:fill="auto"/>
            <w:vAlign w:val="center"/>
          </w:tcPr>
          <w:p>
            <w:pPr>
              <w:widowControl/>
              <w:jc w:val="left"/>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pc端：建设区级全域平运营PC端，开通社区专有的面向社区运营方、物业公司的助手工具，包含PC端管理后台，接入新增应用的工作台。移动端：建设区级全域平运营移动端，开通社区专有的面向社区运营方、物业公司、服务商的助手工具，包含移动管理后台，接入新增应用的工作台。</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vMerge w:val="continue"/>
            <w:shd w:val="clear" w:color="auto" w:fill="auto"/>
            <w:vAlign w:val="center"/>
          </w:tcPr>
          <w:p>
            <w:pPr>
              <w:jc w:val="center"/>
              <w:rPr>
                <w:rFonts w:ascii="微软雅黑" w:hAnsi="微软雅黑" w:eastAsia="微软雅黑" w:cs="微软雅黑"/>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7"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4</w:t>
            </w:r>
          </w:p>
        </w:tc>
        <w:tc>
          <w:tcPr>
            <w:tcW w:w="297" w:type="pct"/>
            <w:vMerge w:val="restar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底座平台</w:t>
            </w:r>
          </w:p>
        </w:tc>
        <w:tc>
          <w:tcPr>
            <w:tcW w:w="903"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数据仓</w:t>
            </w:r>
          </w:p>
        </w:tc>
        <w:tc>
          <w:tcPr>
            <w:tcW w:w="2486" w:type="pct"/>
            <w:shd w:val="clear" w:color="auto" w:fill="auto"/>
            <w:vAlign w:val="center"/>
          </w:tcPr>
          <w:p>
            <w:pPr>
              <w:widowControl/>
              <w:jc w:val="left"/>
              <w:textAlignment w:val="center"/>
              <w:rPr>
                <w:rFonts w:ascii="微软雅黑" w:hAnsi="微软雅黑" w:eastAsia="微软雅黑" w:cs="微软雅黑"/>
                <w:kern w:val="0"/>
                <w:sz w:val="22"/>
                <w:szCs w:val="22"/>
                <w:lang w:bidi="ar"/>
              </w:rPr>
            </w:pPr>
            <w:r>
              <w:rPr>
                <w:rFonts w:hint="eastAsia" w:ascii="微软雅黑" w:hAnsi="微软雅黑" w:eastAsia="微软雅黑" w:cs="微软雅黑"/>
                <w:kern w:val="0"/>
                <w:sz w:val="22"/>
                <w:szCs w:val="22"/>
                <w:lang w:bidi="ar"/>
              </w:rPr>
              <w:t>主要解决社区数据的“存”“通”“用”。未来社区数据仓具备社区空间人、车、房、物等资产数据和动态记录数据存储及管理功能，可实现社区数据汇聚，包括物联感知数据、社区自组织各主体数源及市场服务等数据，同时在数据安全与隐私保护基础上</w:t>
            </w:r>
          </w:p>
          <w:p>
            <w:pPr>
              <w:widowControl/>
              <w:jc w:val="lef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功能模块涵盖：社区基础信息数据库、社区感知信息数据库、社区综合信息数据库、场景应用数据、治理服务数据等。与省级、区级平台贯通形成未来社区人口主题库、房屋主题库、层事件库和社区场景库</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vMerge w:val="restar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自主开发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5</w:t>
            </w:r>
          </w:p>
        </w:tc>
        <w:tc>
          <w:tcPr>
            <w:tcW w:w="297" w:type="pct"/>
            <w:vMerge w:val="continue"/>
            <w:shd w:val="clear" w:color="auto" w:fill="auto"/>
            <w:noWrap/>
            <w:vAlign w:val="center"/>
          </w:tcPr>
          <w:p>
            <w:pPr>
              <w:jc w:val="center"/>
              <w:rPr>
                <w:rFonts w:ascii="微软雅黑" w:hAnsi="微软雅黑" w:eastAsia="微软雅黑" w:cs="微软雅黑"/>
                <w:sz w:val="22"/>
                <w:szCs w:val="22"/>
              </w:rPr>
            </w:pPr>
          </w:p>
        </w:tc>
        <w:tc>
          <w:tcPr>
            <w:tcW w:w="903"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社区设备接入</w:t>
            </w:r>
          </w:p>
        </w:tc>
        <w:tc>
          <w:tcPr>
            <w:tcW w:w="2486" w:type="pct"/>
            <w:shd w:val="clear" w:color="auto" w:fill="auto"/>
            <w:noWrap/>
            <w:vAlign w:val="center"/>
          </w:tcPr>
          <w:p>
            <w:pPr>
              <w:widowControl/>
              <w:jc w:val="lef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提供社区安防、消防不同网络设备接入方案，支持海量设备连接上未来社区数字化平台，设备与云端通过物联网平台进行稳定可靠地双向通信，支持设备数据解析、在线调试、固件升级、远程维护、实时监控、分组管理、设备删除等功能，支持与省级、区级各级平台数据打通的能力</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vMerge w:val="continue"/>
            <w:shd w:val="clear" w:color="auto" w:fill="auto"/>
            <w:noWrap/>
            <w:vAlign w:val="center"/>
          </w:tcPr>
          <w:p>
            <w:pPr>
              <w:jc w:val="center"/>
              <w:rPr>
                <w:rFonts w:ascii="微软雅黑" w:hAnsi="微软雅黑" w:eastAsia="微软雅黑" w:cs="微软雅黑"/>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6</w:t>
            </w:r>
          </w:p>
        </w:tc>
        <w:tc>
          <w:tcPr>
            <w:tcW w:w="297" w:type="pct"/>
            <w:vMerge w:val="restart"/>
            <w:shd w:val="clear" w:color="auto" w:fill="auto"/>
            <w:noWrap/>
            <w:vAlign w:val="center"/>
          </w:tcPr>
          <w:p>
            <w:pPr>
              <w:jc w:val="center"/>
              <w:rPr>
                <w:rFonts w:ascii="微软雅黑" w:hAnsi="微软雅黑" w:eastAsia="微软雅黑" w:cs="微软雅黑"/>
                <w:sz w:val="22"/>
                <w:szCs w:val="22"/>
              </w:rPr>
            </w:pPr>
            <w:r>
              <w:rPr>
                <w:rFonts w:hint="eastAsia" w:ascii="微软雅黑" w:hAnsi="微软雅黑" w:eastAsia="微软雅黑" w:cs="微软雅黑"/>
                <w:sz w:val="22"/>
                <w:szCs w:val="22"/>
              </w:rPr>
              <w:t>区级省级对接开发</w:t>
            </w:r>
          </w:p>
        </w:tc>
        <w:tc>
          <w:tcPr>
            <w:tcW w:w="903"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与区级平台对接开发</w:t>
            </w:r>
          </w:p>
        </w:tc>
        <w:tc>
          <w:tcPr>
            <w:tcW w:w="2486" w:type="pct"/>
            <w:shd w:val="clear" w:color="auto" w:fill="auto"/>
            <w:vAlign w:val="center"/>
          </w:tcPr>
          <w:p>
            <w:pPr>
              <w:widowControl/>
              <w:jc w:val="lef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主要对接内容：运营数据、基础数据、物联数据，重点有人房数据、房屋数据、客流、视频流、门禁通行数据、设备编目等1100多条字段</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vMerge w:val="continue"/>
            <w:shd w:val="clear" w:color="auto" w:fill="auto"/>
            <w:noWrap/>
            <w:vAlign w:val="center"/>
          </w:tcPr>
          <w:p>
            <w:pPr>
              <w:jc w:val="center"/>
              <w:rPr>
                <w:rFonts w:ascii="微软雅黑" w:hAnsi="微软雅黑" w:eastAsia="微软雅黑" w:cs="微软雅黑"/>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7</w:t>
            </w:r>
          </w:p>
        </w:tc>
        <w:tc>
          <w:tcPr>
            <w:tcW w:w="297" w:type="pct"/>
            <w:vMerge w:val="continue"/>
            <w:shd w:val="clear" w:color="auto" w:fill="auto"/>
            <w:noWrap/>
            <w:vAlign w:val="center"/>
          </w:tcPr>
          <w:p>
            <w:pPr>
              <w:jc w:val="center"/>
              <w:rPr>
                <w:rFonts w:ascii="微软雅黑" w:hAnsi="微软雅黑" w:eastAsia="微软雅黑" w:cs="微软雅黑"/>
                <w:sz w:val="22"/>
                <w:szCs w:val="22"/>
              </w:rPr>
            </w:pPr>
          </w:p>
        </w:tc>
        <w:tc>
          <w:tcPr>
            <w:tcW w:w="903"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与省级平台对接开发</w:t>
            </w:r>
          </w:p>
        </w:tc>
        <w:tc>
          <w:tcPr>
            <w:tcW w:w="2486" w:type="pct"/>
            <w:shd w:val="clear" w:color="auto" w:fill="auto"/>
            <w:noWrap/>
            <w:vAlign w:val="center"/>
          </w:tcPr>
          <w:p>
            <w:pPr>
              <w:widowControl/>
              <w:jc w:val="lef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主要贯通内容包含三大模块：运营数据、基础数据、物联数据，重点有人房数据、房屋数据、客流、视频流、门禁通行数据、设备编目等1100多条字段</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vMerge w:val="continue"/>
            <w:shd w:val="clear" w:color="auto" w:fill="auto"/>
            <w:noWrap/>
            <w:vAlign w:val="center"/>
          </w:tcPr>
          <w:p>
            <w:pPr>
              <w:jc w:val="center"/>
              <w:rPr>
                <w:rFonts w:ascii="微软雅黑" w:hAnsi="微软雅黑" w:eastAsia="微软雅黑" w:cs="微软雅黑"/>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trPr>
        <w:tc>
          <w:tcPr>
            <w:tcW w:w="206" w:type="pct"/>
            <w:vMerge w:val="restar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居民端</w:t>
            </w: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1</w:t>
            </w:r>
          </w:p>
        </w:tc>
        <w:tc>
          <w:tcPr>
            <w:tcW w:w="297" w:type="pct"/>
            <w:vMerge w:val="restart"/>
            <w:shd w:val="clear" w:color="auto" w:fill="auto"/>
            <w:noWrap/>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未来邻里</w:t>
            </w:r>
          </w:p>
        </w:tc>
        <w:tc>
          <w:tcPr>
            <w:tcW w:w="903" w:type="pct"/>
            <w:shd w:val="clear" w:color="auto" w:fill="auto"/>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浙系列、邻系列</w:t>
            </w:r>
            <w:r>
              <w:rPr>
                <w:rFonts w:hint="eastAsia" w:ascii="微软雅黑" w:hAnsi="微软雅黑" w:eastAsia="微软雅黑" w:cs="微软雅黑"/>
                <w:kern w:val="0"/>
                <w:sz w:val="22"/>
                <w:szCs w:val="22"/>
                <w:lang w:bidi="ar"/>
              </w:rPr>
              <w:br w:type="textWrapping"/>
            </w:r>
            <w:r>
              <w:rPr>
                <w:rFonts w:hint="eastAsia" w:ascii="微软雅黑" w:hAnsi="微软雅黑" w:eastAsia="微软雅黑" w:cs="微软雅黑"/>
                <w:kern w:val="0"/>
                <w:sz w:val="22"/>
                <w:szCs w:val="22"/>
                <w:lang w:bidi="ar"/>
              </w:rPr>
              <w:t>政府/第三方对接</w:t>
            </w:r>
          </w:p>
        </w:tc>
        <w:tc>
          <w:tcPr>
            <w:tcW w:w="2486" w:type="pct"/>
            <w:shd w:val="clear" w:color="auto" w:fill="auto"/>
            <w:noWrap/>
            <w:vAlign w:val="center"/>
          </w:tcPr>
          <w:p>
            <w:pPr>
              <w:widowControl/>
              <w:jc w:val="lef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接入省统建的数字社会应用（文e家、余杭文旅）</w:t>
            </w:r>
          </w:p>
        </w:tc>
        <w:tc>
          <w:tcPr>
            <w:tcW w:w="342" w:type="pct"/>
            <w:vMerge w:val="restar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套</w:t>
            </w:r>
          </w:p>
        </w:tc>
        <w:tc>
          <w:tcPr>
            <w:tcW w:w="313" w:type="pct"/>
            <w:vMerge w:val="restar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1</w:t>
            </w: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2</w:t>
            </w:r>
          </w:p>
        </w:tc>
        <w:tc>
          <w:tcPr>
            <w:tcW w:w="297" w:type="pct"/>
            <w:vMerge w:val="continue"/>
            <w:shd w:val="clear" w:color="auto" w:fill="auto"/>
            <w:noWrap/>
            <w:vAlign w:val="center"/>
          </w:tcPr>
          <w:p>
            <w:pPr>
              <w:jc w:val="center"/>
              <w:rPr>
                <w:rFonts w:ascii="微软雅黑" w:hAnsi="微软雅黑" w:eastAsia="微软雅黑" w:cs="微软雅黑"/>
                <w:sz w:val="20"/>
                <w:szCs w:val="20"/>
              </w:rPr>
            </w:pPr>
          </w:p>
        </w:tc>
        <w:tc>
          <w:tcPr>
            <w:tcW w:w="903" w:type="pct"/>
            <w:shd w:val="clear" w:color="auto" w:fill="auto"/>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居民动态</w:t>
            </w:r>
          </w:p>
        </w:tc>
        <w:tc>
          <w:tcPr>
            <w:tcW w:w="2486" w:type="pct"/>
            <w:shd w:val="clear" w:color="auto" w:fill="auto"/>
            <w:vAlign w:val="center"/>
          </w:tcPr>
          <w:p>
            <w:pPr>
              <w:widowControl/>
              <w:jc w:val="lef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数据接口对接：</w:t>
            </w:r>
            <w:r>
              <w:rPr>
                <w:rFonts w:hint="eastAsia" w:ascii="微软雅黑" w:hAnsi="微软雅黑" w:eastAsia="微软雅黑" w:cs="微软雅黑"/>
                <w:kern w:val="0"/>
                <w:sz w:val="22"/>
                <w:szCs w:val="22"/>
                <w:lang w:bidi="ar"/>
              </w:rPr>
              <w:br w:type="textWrapping"/>
            </w:r>
            <w:r>
              <w:rPr>
                <w:rFonts w:hint="eastAsia" w:ascii="微软雅黑" w:hAnsi="微软雅黑" w:eastAsia="微软雅黑" w:cs="微软雅黑"/>
                <w:kern w:val="0"/>
                <w:sz w:val="22"/>
                <w:szCs w:val="22"/>
                <w:lang w:bidi="ar"/>
              </w:rPr>
              <w:t>1、用户可以看到其他用户发布的动态列表。</w:t>
            </w:r>
            <w:r>
              <w:rPr>
                <w:rFonts w:hint="eastAsia" w:ascii="微软雅黑" w:hAnsi="微软雅黑" w:eastAsia="微软雅黑" w:cs="微软雅黑"/>
                <w:kern w:val="0"/>
                <w:sz w:val="22"/>
                <w:szCs w:val="22"/>
                <w:lang w:bidi="ar"/>
              </w:rPr>
              <w:br w:type="textWrapping"/>
            </w:r>
            <w:r>
              <w:rPr>
                <w:rFonts w:hint="eastAsia" w:ascii="微软雅黑" w:hAnsi="微软雅黑" w:eastAsia="微软雅黑" w:cs="微软雅黑"/>
                <w:kern w:val="0"/>
                <w:sz w:val="22"/>
                <w:szCs w:val="22"/>
                <w:lang w:bidi="ar"/>
              </w:rPr>
              <w:t>2、通过动态列表可以查看到已关注圈子相关的的动态更新信息 。</w:t>
            </w:r>
            <w:r>
              <w:rPr>
                <w:rFonts w:hint="eastAsia" w:ascii="微软雅黑" w:hAnsi="微软雅黑" w:eastAsia="微软雅黑" w:cs="微软雅黑"/>
                <w:kern w:val="0"/>
                <w:sz w:val="22"/>
                <w:szCs w:val="22"/>
                <w:lang w:bidi="ar"/>
              </w:rPr>
              <w:br w:type="textWrapping"/>
            </w:r>
            <w:r>
              <w:rPr>
                <w:rFonts w:hint="eastAsia" w:ascii="微软雅黑" w:hAnsi="微软雅黑" w:eastAsia="微软雅黑" w:cs="微软雅黑"/>
                <w:kern w:val="0"/>
                <w:sz w:val="22"/>
                <w:szCs w:val="22"/>
                <w:lang w:bidi="ar"/>
              </w:rPr>
              <w:t>3、用户可以发布自己的动态信息，支持图文、话题。</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3</w:t>
            </w:r>
          </w:p>
        </w:tc>
        <w:tc>
          <w:tcPr>
            <w:tcW w:w="297" w:type="pct"/>
            <w:vMerge w:val="continue"/>
            <w:shd w:val="clear" w:color="auto" w:fill="auto"/>
            <w:noWrap/>
            <w:vAlign w:val="center"/>
          </w:tcPr>
          <w:p>
            <w:pPr>
              <w:jc w:val="center"/>
              <w:rPr>
                <w:rFonts w:ascii="微软雅黑" w:hAnsi="微软雅黑" w:eastAsia="微软雅黑" w:cs="微软雅黑"/>
                <w:sz w:val="20"/>
                <w:szCs w:val="20"/>
              </w:rPr>
            </w:pPr>
          </w:p>
        </w:tc>
        <w:tc>
          <w:tcPr>
            <w:tcW w:w="903" w:type="pct"/>
            <w:shd w:val="clear" w:color="auto" w:fill="auto"/>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社群圈子</w:t>
            </w:r>
          </w:p>
        </w:tc>
        <w:tc>
          <w:tcPr>
            <w:tcW w:w="2486" w:type="pct"/>
            <w:shd w:val="clear" w:color="auto" w:fill="auto"/>
            <w:vAlign w:val="center"/>
          </w:tcPr>
          <w:p>
            <w:pPr>
              <w:widowControl/>
              <w:jc w:val="lef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数据接口对接：</w:t>
            </w:r>
            <w:r>
              <w:rPr>
                <w:rFonts w:hint="eastAsia" w:ascii="微软雅黑" w:hAnsi="微软雅黑" w:eastAsia="微软雅黑" w:cs="微软雅黑"/>
                <w:kern w:val="0"/>
                <w:sz w:val="22"/>
                <w:szCs w:val="22"/>
                <w:lang w:bidi="ar"/>
              </w:rPr>
              <w:br w:type="textWrapping"/>
            </w:r>
            <w:r>
              <w:rPr>
                <w:rFonts w:hint="eastAsia" w:ascii="微软雅黑" w:hAnsi="微软雅黑" w:eastAsia="微软雅黑" w:cs="微软雅黑"/>
                <w:kern w:val="0"/>
                <w:sz w:val="22"/>
                <w:szCs w:val="22"/>
                <w:lang w:bidi="ar"/>
              </w:rPr>
              <w:t>1、用户可以根据自己的喜好选择加入的圈子。</w:t>
            </w:r>
            <w:r>
              <w:rPr>
                <w:rFonts w:hint="eastAsia" w:ascii="微软雅黑" w:hAnsi="微软雅黑" w:eastAsia="微软雅黑" w:cs="微软雅黑"/>
                <w:kern w:val="0"/>
                <w:sz w:val="22"/>
                <w:szCs w:val="22"/>
                <w:lang w:bidi="ar"/>
              </w:rPr>
              <w:br w:type="textWrapping"/>
            </w:r>
            <w:r>
              <w:rPr>
                <w:rFonts w:hint="eastAsia" w:ascii="微软雅黑" w:hAnsi="微软雅黑" w:eastAsia="微软雅黑" w:cs="微软雅黑"/>
                <w:kern w:val="0"/>
                <w:sz w:val="22"/>
                <w:szCs w:val="22"/>
                <w:lang w:bidi="ar"/>
              </w:rPr>
              <w:t>2、用户可以主动选择创建一个属于自己的圈子 。</w:t>
            </w:r>
            <w:r>
              <w:rPr>
                <w:rFonts w:hint="eastAsia" w:ascii="微软雅黑" w:hAnsi="微软雅黑" w:eastAsia="微软雅黑" w:cs="微软雅黑"/>
                <w:kern w:val="0"/>
                <w:sz w:val="22"/>
                <w:szCs w:val="22"/>
                <w:lang w:bidi="ar"/>
              </w:rPr>
              <w:br w:type="textWrapping"/>
            </w:r>
            <w:r>
              <w:rPr>
                <w:rFonts w:hint="eastAsia" w:ascii="微软雅黑" w:hAnsi="微软雅黑" w:eastAsia="微软雅黑" w:cs="微软雅黑"/>
                <w:kern w:val="0"/>
                <w:sz w:val="22"/>
                <w:szCs w:val="22"/>
                <w:lang w:bidi="ar"/>
              </w:rPr>
              <w:t>3、在圈子中用户可发布图文信息，其他用户可在下面留言互动。</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4</w:t>
            </w:r>
          </w:p>
        </w:tc>
        <w:tc>
          <w:tcPr>
            <w:tcW w:w="297" w:type="pct"/>
            <w:vMerge w:val="continue"/>
            <w:shd w:val="clear" w:color="auto" w:fill="auto"/>
            <w:noWrap/>
            <w:vAlign w:val="center"/>
          </w:tcPr>
          <w:p>
            <w:pPr>
              <w:jc w:val="center"/>
              <w:rPr>
                <w:rFonts w:ascii="微软雅黑" w:hAnsi="微软雅黑" w:eastAsia="微软雅黑" w:cs="微软雅黑"/>
                <w:sz w:val="20"/>
                <w:szCs w:val="20"/>
              </w:rPr>
            </w:pPr>
          </w:p>
        </w:tc>
        <w:tc>
          <w:tcPr>
            <w:tcW w:w="90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最美余杭</w:t>
            </w:r>
          </w:p>
        </w:tc>
        <w:tc>
          <w:tcPr>
            <w:tcW w:w="2486" w:type="pct"/>
            <w:shd w:val="clear" w:color="auto" w:fill="auto"/>
            <w:vAlign w:val="center"/>
          </w:tcPr>
          <w:p>
            <w:pPr>
              <w:widowControl/>
              <w:jc w:val="left"/>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社区的运营管理方可通过管理后台创建活动，并面向社区居民进行发布。居民通过各个应用端浏览查看活动，并可以利用居民认证身份进行活动报名、现场签到参与活动。同时管理方可对活动现场情况的图片及文字记录，整理为活动回顾的内容向社区居民发布，沉淀邻里活动的精彩瞬间，也有利于社区邻里文化的形成</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5</w:t>
            </w:r>
          </w:p>
        </w:tc>
        <w:tc>
          <w:tcPr>
            <w:tcW w:w="297" w:type="pct"/>
            <w:vMerge w:val="continue"/>
            <w:shd w:val="clear" w:color="auto" w:fill="auto"/>
            <w:noWrap/>
            <w:vAlign w:val="center"/>
          </w:tcPr>
          <w:p>
            <w:pPr>
              <w:jc w:val="center"/>
              <w:rPr>
                <w:rFonts w:ascii="微软雅黑" w:hAnsi="微软雅黑" w:eastAsia="微软雅黑" w:cs="微软雅黑"/>
                <w:sz w:val="20"/>
                <w:szCs w:val="20"/>
              </w:rPr>
            </w:pPr>
          </w:p>
        </w:tc>
        <w:tc>
          <w:tcPr>
            <w:tcW w:w="90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社区介绍</w:t>
            </w:r>
          </w:p>
        </w:tc>
        <w:tc>
          <w:tcPr>
            <w:tcW w:w="2486" w:type="pct"/>
            <w:shd w:val="clear" w:color="auto" w:fill="auto"/>
            <w:vAlign w:val="center"/>
          </w:tcPr>
          <w:p>
            <w:pPr>
              <w:widowControl/>
              <w:jc w:val="left"/>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社区信息介绍</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6</w:t>
            </w:r>
          </w:p>
        </w:tc>
        <w:tc>
          <w:tcPr>
            <w:tcW w:w="297" w:type="pct"/>
            <w:vMerge w:val="continue"/>
            <w:shd w:val="clear" w:color="auto" w:fill="auto"/>
            <w:noWrap/>
            <w:vAlign w:val="center"/>
          </w:tcPr>
          <w:p>
            <w:pPr>
              <w:jc w:val="center"/>
              <w:rPr>
                <w:rFonts w:ascii="微软雅黑" w:hAnsi="微软雅黑" w:eastAsia="微软雅黑" w:cs="微软雅黑"/>
                <w:sz w:val="20"/>
                <w:szCs w:val="20"/>
              </w:rPr>
            </w:pPr>
          </w:p>
        </w:tc>
        <w:tc>
          <w:tcPr>
            <w:tcW w:w="90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服务设施</w:t>
            </w:r>
          </w:p>
        </w:tc>
        <w:tc>
          <w:tcPr>
            <w:tcW w:w="2486" w:type="pct"/>
            <w:shd w:val="clear" w:color="auto" w:fill="auto"/>
            <w:vAlign w:val="center"/>
          </w:tcPr>
          <w:p>
            <w:pPr>
              <w:widowControl/>
              <w:jc w:val="left"/>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服务设施介绍、服务设施导览</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7</w:t>
            </w:r>
          </w:p>
        </w:tc>
        <w:tc>
          <w:tcPr>
            <w:tcW w:w="297" w:type="pct"/>
            <w:vMerge w:val="continue"/>
            <w:shd w:val="clear" w:color="auto" w:fill="auto"/>
            <w:noWrap/>
            <w:vAlign w:val="center"/>
          </w:tcPr>
          <w:p>
            <w:pPr>
              <w:jc w:val="center"/>
              <w:rPr>
                <w:rFonts w:ascii="微软雅黑" w:hAnsi="微软雅黑" w:eastAsia="微软雅黑" w:cs="微软雅黑"/>
                <w:sz w:val="20"/>
                <w:szCs w:val="20"/>
              </w:rPr>
            </w:pPr>
          </w:p>
        </w:tc>
        <w:tc>
          <w:tcPr>
            <w:tcW w:w="90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社区常用电话</w:t>
            </w:r>
          </w:p>
        </w:tc>
        <w:tc>
          <w:tcPr>
            <w:tcW w:w="2486" w:type="pct"/>
            <w:shd w:val="clear" w:color="auto" w:fill="auto"/>
            <w:vAlign w:val="center"/>
          </w:tcPr>
          <w:p>
            <w:pPr>
              <w:widowControl/>
              <w:jc w:val="left"/>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查看社区常用电话、直拨电话</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8</w:t>
            </w:r>
          </w:p>
        </w:tc>
        <w:tc>
          <w:tcPr>
            <w:tcW w:w="297" w:type="pct"/>
            <w:vMerge w:val="continue"/>
            <w:shd w:val="clear" w:color="auto" w:fill="auto"/>
            <w:noWrap/>
            <w:vAlign w:val="center"/>
          </w:tcPr>
          <w:p>
            <w:pPr>
              <w:jc w:val="center"/>
              <w:rPr>
                <w:rFonts w:ascii="微软雅黑" w:hAnsi="微软雅黑" w:eastAsia="微软雅黑" w:cs="微软雅黑"/>
                <w:sz w:val="20"/>
                <w:szCs w:val="20"/>
              </w:rPr>
            </w:pPr>
          </w:p>
        </w:tc>
        <w:tc>
          <w:tcPr>
            <w:tcW w:w="90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社区达人</w:t>
            </w:r>
          </w:p>
        </w:tc>
        <w:tc>
          <w:tcPr>
            <w:tcW w:w="2486" w:type="pct"/>
            <w:shd w:val="clear" w:color="auto" w:fill="auto"/>
            <w:vAlign w:val="center"/>
          </w:tcPr>
          <w:p>
            <w:pPr>
              <w:widowControl/>
              <w:jc w:val="left"/>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社区居民可通过在线方式发起达人工作室的开设申请，由社区运营管理方对申请人进行审核确认，通过后即可完成达人工作室的开设，并面向社区居民进行展示。达人工作室的用户可在线发布工作室的各项内容，并与社区居民形成在线互动。</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9</w:t>
            </w:r>
          </w:p>
        </w:tc>
        <w:tc>
          <w:tcPr>
            <w:tcW w:w="297" w:type="pct"/>
            <w:vMerge w:val="continue"/>
            <w:shd w:val="clear" w:color="auto" w:fill="auto"/>
            <w:noWrap/>
            <w:vAlign w:val="center"/>
          </w:tcPr>
          <w:p>
            <w:pPr>
              <w:jc w:val="center"/>
              <w:rPr>
                <w:rFonts w:ascii="微软雅黑" w:hAnsi="微软雅黑" w:eastAsia="微软雅黑" w:cs="微软雅黑"/>
                <w:sz w:val="20"/>
                <w:szCs w:val="20"/>
              </w:rPr>
            </w:pPr>
          </w:p>
        </w:tc>
        <w:tc>
          <w:tcPr>
            <w:tcW w:w="90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社区积分商城</w:t>
            </w:r>
          </w:p>
        </w:tc>
        <w:tc>
          <w:tcPr>
            <w:tcW w:w="2486" w:type="pct"/>
            <w:shd w:val="clear" w:color="auto" w:fill="auto"/>
            <w:vAlign w:val="center"/>
          </w:tcPr>
          <w:p>
            <w:pPr>
              <w:widowControl/>
              <w:jc w:val="left"/>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含在线购物、订单评价</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10</w:t>
            </w:r>
          </w:p>
        </w:tc>
        <w:tc>
          <w:tcPr>
            <w:tcW w:w="297" w:type="pct"/>
            <w:vMerge w:val="continue"/>
            <w:shd w:val="clear" w:color="auto" w:fill="auto"/>
            <w:noWrap/>
            <w:vAlign w:val="center"/>
          </w:tcPr>
          <w:p>
            <w:pPr>
              <w:jc w:val="center"/>
              <w:rPr>
                <w:rFonts w:ascii="微软雅黑" w:hAnsi="微软雅黑" w:eastAsia="微软雅黑" w:cs="微软雅黑"/>
                <w:sz w:val="20"/>
                <w:szCs w:val="20"/>
              </w:rPr>
            </w:pPr>
          </w:p>
        </w:tc>
        <w:tc>
          <w:tcPr>
            <w:tcW w:w="90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空间预约（邻里空间）</w:t>
            </w:r>
          </w:p>
        </w:tc>
        <w:tc>
          <w:tcPr>
            <w:tcW w:w="2486" w:type="pct"/>
            <w:shd w:val="clear" w:color="auto" w:fill="auto"/>
            <w:vAlign w:val="center"/>
          </w:tcPr>
          <w:p>
            <w:pPr>
              <w:widowControl/>
              <w:jc w:val="left"/>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数据接口对接：</w:t>
            </w:r>
            <w:r>
              <w:rPr>
                <w:rFonts w:hint="eastAsia" w:ascii="微软雅黑" w:hAnsi="微软雅黑" w:eastAsia="微软雅黑" w:cs="微软雅黑"/>
                <w:kern w:val="0"/>
                <w:sz w:val="20"/>
                <w:szCs w:val="20"/>
                <w:lang w:bidi="ar"/>
              </w:rPr>
              <w:br w:type="textWrapping"/>
            </w:r>
            <w:r>
              <w:rPr>
                <w:rFonts w:hint="eastAsia" w:ascii="微软雅黑" w:hAnsi="微软雅黑" w:eastAsia="微软雅黑" w:cs="微软雅黑"/>
                <w:kern w:val="0"/>
                <w:sz w:val="20"/>
                <w:szCs w:val="20"/>
                <w:lang w:bidi="ar"/>
              </w:rPr>
              <w:t>居民可查看可预约的空间情况，包括空间名称、用途、地点、开放时间、容纳人数、预约价格等信息，并提交自己的预约信息。同时，居民用户端可查看预约信息并签到。</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11</w:t>
            </w:r>
          </w:p>
        </w:tc>
        <w:tc>
          <w:tcPr>
            <w:tcW w:w="297" w:type="pct"/>
            <w:vMerge w:val="continue"/>
            <w:shd w:val="clear" w:color="auto" w:fill="auto"/>
            <w:noWrap/>
            <w:vAlign w:val="center"/>
          </w:tcPr>
          <w:p>
            <w:pPr>
              <w:jc w:val="center"/>
              <w:rPr>
                <w:rFonts w:ascii="微软雅黑" w:hAnsi="微软雅黑" w:eastAsia="微软雅黑" w:cs="微软雅黑"/>
                <w:sz w:val="20"/>
                <w:szCs w:val="20"/>
              </w:rPr>
            </w:pPr>
          </w:p>
        </w:tc>
        <w:tc>
          <w:tcPr>
            <w:tcW w:w="90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邻里公约</w:t>
            </w:r>
          </w:p>
        </w:tc>
        <w:tc>
          <w:tcPr>
            <w:tcW w:w="2486" w:type="pct"/>
            <w:shd w:val="clear" w:color="auto" w:fill="auto"/>
            <w:vAlign w:val="center"/>
          </w:tcPr>
          <w:p>
            <w:pPr>
              <w:widowControl/>
              <w:jc w:val="left"/>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查看邻里公约、公约签署、公约内容管理</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12</w:t>
            </w:r>
          </w:p>
        </w:tc>
        <w:tc>
          <w:tcPr>
            <w:tcW w:w="297" w:type="pct"/>
            <w:vMerge w:val="restart"/>
            <w:shd w:val="clear" w:color="auto" w:fill="auto"/>
            <w:noWrap/>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未来教育</w:t>
            </w:r>
          </w:p>
        </w:tc>
        <w:tc>
          <w:tcPr>
            <w:tcW w:w="903" w:type="pct"/>
            <w:shd w:val="clear" w:color="auto" w:fill="auto"/>
            <w:noWrap/>
            <w:vAlign w:val="center"/>
          </w:tcPr>
          <w:p>
            <w:pPr>
              <w:widowControl/>
              <w:jc w:val="center"/>
              <w:textAlignment w:val="top"/>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浙里善育</w:t>
            </w:r>
          </w:p>
        </w:tc>
        <w:tc>
          <w:tcPr>
            <w:tcW w:w="2486" w:type="pct"/>
            <w:shd w:val="clear" w:color="auto" w:fill="auto"/>
            <w:noWrap/>
            <w:vAlign w:val="center"/>
          </w:tcPr>
          <w:p>
            <w:pPr>
              <w:widowControl/>
              <w:jc w:val="left"/>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接入省统建的数字社区应用浙里善育</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13</w:t>
            </w:r>
          </w:p>
        </w:tc>
        <w:tc>
          <w:tcPr>
            <w:tcW w:w="297" w:type="pct"/>
            <w:vMerge w:val="continue"/>
            <w:shd w:val="clear" w:color="auto" w:fill="auto"/>
            <w:noWrap/>
            <w:vAlign w:val="center"/>
          </w:tcPr>
          <w:p>
            <w:pPr>
              <w:jc w:val="center"/>
              <w:rPr>
                <w:rFonts w:ascii="微软雅黑" w:hAnsi="微软雅黑" w:eastAsia="微软雅黑" w:cs="微软雅黑"/>
                <w:sz w:val="20"/>
                <w:szCs w:val="20"/>
              </w:rPr>
            </w:pPr>
          </w:p>
        </w:tc>
        <w:tc>
          <w:tcPr>
            <w:tcW w:w="903" w:type="pct"/>
            <w:shd w:val="clear" w:color="auto" w:fill="auto"/>
            <w:noWrap/>
            <w:vAlign w:val="center"/>
          </w:tcPr>
          <w:p>
            <w:pPr>
              <w:widowControl/>
              <w:jc w:val="center"/>
              <w:textAlignment w:val="top"/>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浙学通</w:t>
            </w:r>
          </w:p>
        </w:tc>
        <w:tc>
          <w:tcPr>
            <w:tcW w:w="2486" w:type="pct"/>
            <w:shd w:val="clear" w:color="auto" w:fill="auto"/>
            <w:noWrap/>
            <w:vAlign w:val="center"/>
          </w:tcPr>
          <w:p>
            <w:pPr>
              <w:widowControl/>
              <w:jc w:val="left"/>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居民可在移动端进入学在浙江。</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14</w:t>
            </w:r>
          </w:p>
        </w:tc>
        <w:tc>
          <w:tcPr>
            <w:tcW w:w="297" w:type="pct"/>
            <w:vMerge w:val="continue"/>
            <w:shd w:val="clear" w:color="auto" w:fill="auto"/>
            <w:noWrap/>
            <w:vAlign w:val="center"/>
          </w:tcPr>
          <w:p>
            <w:pPr>
              <w:jc w:val="center"/>
              <w:rPr>
                <w:rFonts w:ascii="微软雅黑" w:hAnsi="微软雅黑" w:eastAsia="微软雅黑" w:cs="微软雅黑"/>
                <w:sz w:val="20"/>
                <w:szCs w:val="20"/>
              </w:rPr>
            </w:pPr>
          </w:p>
        </w:tc>
        <w:tc>
          <w:tcPr>
            <w:tcW w:w="90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幼儿透明托管室(服务端)</w:t>
            </w:r>
          </w:p>
        </w:tc>
        <w:tc>
          <w:tcPr>
            <w:tcW w:w="2486" w:type="pct"/>
            <w:shd w:val="clear" w:color="auto" w:fill="auto"/>
            <w:vAlign w:val="center"/>
          </w:tcPr>
          <w:p>
            <w:pPr>
              <w:widowControl/>
              <w:jc w:val="left"/>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提供托管理预约功能，面向家长申请托管室在线查看等功能</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15</w:t>
            </w:r>
          </w:p>
        </w:tc>
        <w:tc>
          <w:tcPr>
            <w:tcW w:w="297" w:type="pct"/>
            <w:vMerge w:val="continue"/>
            <w:shd w:val="clear" w:color="auto" w:fill="auto"/>
            <w:noWrap/>
            <w:vAlign w:val="center"/>
          </w:tcPr>
          <w:p>
            <w:pPr>
              <w:jc w:val="center"/>
              <w:rPr>
                <w:rFonts w:ascii="微软雅黑" w:hAnsi="微软雅黑" w:eastAsia="微软雅黑" w:cs="微软雅黑"/>
                <w:sz w:val="20"/>
                <w:szCs w:val="20"/>
              </w:rPr>
            </w:pPr>
          </w:p>
        </w:tc>
        <w:tc>
          <w:tcPr>
            <w:tcW w:w="90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透明托管室预约</w:t>
            </w:r>
          </w:p>
        </w:tc>
        <w:tc>
          <w:tcPr>
            <w:tcW w:w="2486" w:type="pct"/>
            <w:shd w:val="clear" w:color="auto" w:fill="auto"/>
            <w:vAlign w:val="center"/>
          </w:tcPr>
          <w:p>
            <w:pPr>
              <w:widowControl/>
              <w:jc w:val="left"/>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面向社区家长，通过实名认证的家长可申请预约透明托管室，并开通远程的视频监控查看。</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16</w:t>
            </w:r>
          </w:p>
        </w:tc>
        <w:tc>
          <w:tcPr>
            <w:tcW w:w="297" w:type="pct"/>
            <w:vMerge w:val="continue"/>
            <w:shd w:val="clear" w:color="auto" w:fill="auto"/>
            <w:noWrap/>
            <w:vAlign w:val="center"/>
          </w:tcPr>
          <w:p>
            <w:pPr>
              <w:jc w:val="center"/>
              <w:rPr>
                <w:rFonts w:ascii="微软雅黑" w:hAnsi="微软雅黑" w:eastAsia="微软雅黑" w:cs="微软雅黑"/>
                <w:sz w:val="20"/>
                <w:szCs w:val="20"/>
              </w:rPr>
            </w:pPr>
          </w:p>
        </w:tc>
        <w:tc>
          <w:tcPr>
            <w:tcW w:w="90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托管中心介绍及展示</w:t>
            </w:r>
          </w:p>
        </w:tc>
        <w:tc>
          <w:tcPr>
            <w:tcW w:w="2486" w:type="pct"/>
            <w:shd w:val="clear" w:color="auto" w:fill="auto"/>
            <w:vAlign w:val="center"/>
          </w:tcPr>
          <w:p>
            <w:pPr>
              <w:widowControl/>
              <w:jc w:val="left"/>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展示服务简介、中心简介、托管员信息等，并可设置预约申请的功能。</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17</w:t>
            </w:r>
          </w:p>
        </w:tc>
        <w:tc>
          <w:tcPr>
            <w:tcW w:w="297" w:type="pct"/>
            <w:vMerge w:val="continue"/>
            <w:shd w:val="clear" w:color="auto" w:fill="auto"/>
            <w:noWrap/>
            <w:vAlign w:val="center"/>
          </w:tcPr>
          <w:p>
            <w:pPr>
              <w:jc w:val="center"/>
              <w:rPr>
                <w:rFonts w:ascii="微软雅黑" w:hAnsi="微软雅黑" w:eastAsia="微软雅黑" w:cs="微软雅黑"/>
                <w:sz w:val="20"/>
                <w:szCs w:val="20"/>
              </w:rPr>
            </w:pPr>
          </w:p>
        </w:tc>
        <w:tc>
          <w:tcPr>
            <w:tcW w:w="90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托育一件事</w:t>
            </w:r>
          </w:p>
        </w:tc>
        <w:tc>
          <w:tcPr>
            <w:tcW w:w="2486" w:type="pct"/>
            <w:shd w:val="clear" w:color="auto" w:fill="auto"/>
            <w:vAlign w:val="center"/>
          </w:tcPr>
          <w:p>
            <w:pPr>
              <w:widowControl/>
              <w:jc w:val="left"/>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对接托育一件事业务系统，实现各个居民应用业务系统与浙里办的用户体系之间的关联及业务联动</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18</w:t>
            </w:r>
          </w:p>
        </w:tc>
        <w:tc>
          <w:tcPr>
            <w:tcW w:w="297" w:type="pct"/>
            <w:vMerge w:val="continue"/>
            <w:shd w:val="clear" w:color="auto" w:fill="auto"/>
            <w:noWrap/>
            <w:vAlign w:val="center"/>
          </w:tcPr>
          <w:p>
            <w:pPr>
              <w:jc w:val="center"/>
              <w:rPr>
                <w:rFonts w:ascii="微软雅黑" w:hAnsi="微软雅黑" w:eastAsia="微软雅黑" w:cs="微软雅黑"/>
                <w:sz w:val="20"/>
                <w:szCs w:val="20"/>
              </w:rPr>
            </w:pPr>
          </w:p>
        </w:tc>
        <w:tc>
          <w:tcPr>
            <w:tcW w:w="903" w:type="pct"/>
            <w:shd w:val="clear" w:color="auto" w:fill="auto"/>
            <w:noWrap/>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社区知识共享</w:t>
            </w:r>
          </w:p>
        </w:tc>
        <w:tc>
          <w:tcPr>
            <w:tcW w:w="2486" w:type="pct"/>
            <w:shd w:val="clear" w:color="auto" w:fill="auto"/>
            <w:noWrap/>
            <w:vAlign w:val="center"/>
          </w:tcPr>
          <w:p>
            <w:pPr>
              <w:widowControl/>
              <w:jc w:val="left"/>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根据玉鸟社区现有资源打造学堂空间，定义开展相关活动，满足不同年龄段的教学需求</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19</w:t>
            </w:r>
          </w:p>
        </w:tc>
        <w:tc>
          <w:tcPr>
            <w:tcW w:w="297" w:type="pct"/>
            <w:vMerge w:val="restar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未来健康</w:t>
            </w:r>
          </w:p>
        </w:tc>
        <w:tc>
          <w:tcPr>
            <w:tcW w:w="90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浙里康养</w:t>
            </w:r>
          </w:p>
        </w:tc>
        <w:tc>
          <w:tcPr>
            <w:tcW w:w="2486" w:type="pct"/>
            <w:shd w:val="clear" w:color="auto" w:fill="auto"/>
            <w:vAlign w:val="center"/>
          </w:tcPr>
          <w:p>
            <w:pPr>
              <w:widowControl/>
              <w:jc w:val="left"/>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接入省统建的数字社区应用浙里康养</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20</w:t>
            </w:r>
          </w:p>
        </w:tc>
        <w:tc>
          <w:tcPr>
            <w:tcW w:w="297" w:type="pct"/>
            <w:vMerge w:val="continue"/>
            <w:shd w:val="clear" w:color="auto" w:fill="auto"/>
            <w:vAlign w:val="center"/>
          </w:tcPr>
          <w:p>
            <w:pPr>
              <w:jc w:val="center"/>
              <w:rPr>
                <w:rFonts w:ascii="微软雅黑" w:hAnsi="微软雅黑" w:eastAsia="微软雅黑" w:cs="微软雅黑"/>
                <w:sz w:val="20"/>
                <w:szCs w:val="20"/>
              </w:rPr>
            </w:pPr>
          </w:p>
        </w:tc>
        <w:tc>
          <w:tcPr>
            <w:tcW w:w="90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助老资源</w:t>
            </w:r>
          </w:p>
        </w:tc>
        <w:tc>
          <w:tcPr>
            <w:tcW w:w="2486" w:type="pct"/>
            <w:shd w:val="clear" w:color="auto" w:fill="auto"/>
            <w:vAlign w:val="center"/>
          </w:tcPr>
          <w:p>
            <w:pPr>
              <w:widowControl/>
              <w:jc w:val="left"/>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针对养老服务中心的医疗器械设备，居民可线上进行器械设备的查看，也可线上完成预定</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21</w:t>
            </w:r>
          </w:p>
        </w:tc>
        <w:tc>
          <w:tcPr>
            <w:tcW w:w="297" w:type="pct"/>
            <w:vMerge w:val="continue"/>
            <w:shd w:val="clear" w:color="auto" w:fill="auto"/>
            <w:vAlign w:val="center"/>
          </w:tcPr>
          <w:p>
            <w:pPr>
              <w:jc w:val="center"/>
              <w:rPr>
                <w:rFonts w:ascii="微软雅黑" w:hAnsi="微软雅黑" w:eastAsia="微软雅黑" w:cs="微软雅黑"/>
                <w:sz w:val="20"/>
                <w:szCs w:val="20"/>
              </w:rPr>
            </w:pPr>
          </w:p>
        </w:tc>
        <w:tc>
          <w:tcPr>
            <w:tcW w:w="90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助老资源清单</w:t>
            </w:r>
          </w:p>
        </w:tc>
        <w:tc>
          <w:tcPr>
            <w:tcW w:w="2486" w:type="pct"/>
            <w:shd w:val="clear" w:color="auto" w:fill="auto"/>
            <w:vAlign w:val="center"/>
          </w:tcPr>
          <w:p>
            <w:pPr>
              <w:widowControl/>
              <w:jc w:val="left"/>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针对养老中心的器械，可在平台配置线下需要借用的助老物品；线上查询借用订单来管理物品的借还情况</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22</w:t>
            </w:r>
          </w:p>
        </w:tc>
        <w:tc>
          <w:tcPr>
            <w:tcW w:w="297" w:type="pct"/>
            <w:vMerge w:val="continue"/>
            <w:shd w:val="clear" w:color="auto" w:fill="auto"/>
            <w:vAlign w:val="center"/>
          </w:tcPr>
          <w:p>
            <w:pPr>
              <w:jc w:val="center"/>
              <w:rPr>
                <w:rFonts w:ascii="微软雅黑" w:hAnsi="微软雅黑" w:eastAsia="微软雅黑" w:cs="微软雅黑"/>
                <w:sz w:val="20"/>
                <w:szCs w:val="20"/>
              </w:rPr>
            </w:pPr>
          </w:p>
        </w:tc>
        <w:tc>
          <w:tcPr>
            <w:tcW w:w="90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助老资源展示</w:t>
            </w:r>
          </w:p>
        </w:tc>
        <w:tc>
          <w:tcPr>
            <w:tcW w:w="2486" w:type="pct"/>
            <w:shd w:val="clear" w:color="auto" w:fill="auto"/>
            <w:vAlign w:val="center"/>
          </w:tcPr>
          <w:p>
            <w:pPr>
              <w:widowControl/>
              <w:jc w:val="left"/>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用户可在线借用需要的物品，通过线下核销物品借用凭证领取物品，通知支持线上查询历史借用记录。</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23</w:t>
            </w:r>
          </w:p>
        </w:tc>
        <w:tc>
          <w:tcPr>
            <w:tcW w:w="297" w:type="pct"/>
            <w:vMerge w:val="continue"/>
            <w:shd w:val="clear" w:color="auto" w:fill="auto"/>
            <w:vAlign w:val="center"/>
          </w:tcPr>
          <w:p>
            <w:pPr>
              <w:jc w:val="center"/>
              <w:rPr>
                <w:rFonts w:ascii="微软雅黑" w:hAnsi="微软雅黑" w:eastAsia="微软雅黑" w:cs="微软雅黑"/>
                <w:sz w:val="20"/>
                <w:szCs w:val="20"/>
              </w:rPr>
            </w:pPr>
          </w:p>
        </w:tc>
        <w:tc>
          <w:tcPr>
            <w:tcW w:w="90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助老资源线上预定</w:t>
            </w:r>
          </w:p>
        </w:tc>
        <w:tc>
          <w:tcPr>
            <w:tcW w:w="2486" w:type="pct"/>
            <w:shd w:val="clear" w:color="auto" w:fill="auto"/>
            <w:vAlign w:val="center"/>
          </w:tcPr>
          <w:p>
            <w:pPr>
              <w:widowControl/>
              <w:jc w:val="left"/>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线上可预定展示的助老资源</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24</w:t>
            </w:r>
          </w:p>
        </w:tc>
        <w:tc>
          <w:tcPr>
            <w:tcW w:w="297" w:type="pct"/>
            <w:vMerge w:val="continue"/>
            <w:shd w:val="clear" w:color="auto" w:fill="auto"/>
            <w:vAlign w:val="center"/>
          </w:tcPr>
          <w:p>
            <w:pPr>
              <w:jc w:val="center"/>
              <w:rPr>
                <w:rFonts w:ascii="微软雅黑" w:hAnsi="微软雅黑" w:eastAsia="微软雅黑" w:cs="微软雅黑"/>
                <w:sz w:val="20"/>
                <w:szCs w:val="20"/>
              </w:rPr>
            </w:pPr>
          </w:p>
        </w:tc>
        <w:tc>
          <w:tcPr>
            <w:tcW w:w="90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独居老人走访</w:t>
            </w:r>
          </w:p>
        </w:tc>
        <w:tc>
          <w:tcPr>
            <w:tcW w:w="2486" w:type="pct"/>
            <w:shd w:val="clear" w:color="auto" w:fill="auto"/>
            <w:vAlign w:val="center"/>
          </w:tcPr>
          <w:p>
            <w:pPr>
              <w:widowControl/>
              <w:jc w:val="left"/>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沿用頔塘社区优秀应用</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25</w:t>
            </w:r>
          </w:p>
        </w:tc>
        <w:tc>
          <w:tcPr>
            <w:tcW w:w="297" w:type="pct"/>
            <w:vMerge w:val="continue"/>
            <w:shd w:val="clear" w:color="auto" w:fill="auto"/>
            <w:vAlign w:val="center"/>
          </w:tcPr>
          <w:p>
            <w:pPr>
              <w:jc w:val="center"/>
              <w:rPr>
                <w:rFonts w:ascii="微软雅黑" w:hAnsi="微软雅黑" w:eastAsia="微软雅黑" w:cs="微软雅黑"/>
                <w:sz w:val="20"/>
                <w:szCs w:val="20"/>
              </w:rPr>
            </w:pPr>
          </w:p>
        </w:tc>
        <w:tc>
          <w:tcPr>
            <w:tcW w:w="90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健康档案/家庭医生</w:t>
            </w:r>
          </w:p>
        </w:tc>
        <w:tc>
          <w:tcPr>
            <w:tcW w:w="2486" w:type="pct"/>
            <w:shd w:val="clear" w:color="auto" w:fill="auto"/>
            <w:vAlign w:val="center"/>
          </w:tcPr>
          <w:p>
            <w:pPr>
              <w:widowControl/>
              <w:jc w:val="left"/>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对接社区卫生服务中心健康档案，经授权对接，提供居民健康数据，协助健全全生命周期电子健康档案系统；预留接口，对接健康宝、家庭医生线上线下服务、智能随访提醒等应用，赋能基本医疗、健康管理等服务</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26</w:t>
            </w:r>
          </w:p>
        </w:tc>
        <w:tc>
          <w:tcPr>
            <w:tcW w:w="297" w:type="pct"/>
            <w:vMerge w:val="restar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 xml:space="preserve">未来治理 </w:t>
            </w:r>
          </w:p>
        </w:tc>
        <w:tc>
          <w:tcPr>
            <w:tcW w:w="90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社区治理</w:t>
            </w:r>
          </w:p>
        </w:tc>
        <w:tc>
          <w:tcPr>
            <w:tcW w:w="2486" w:type="pct"/>
            <w:shd w:val="clear" w:color="auto" w:fill="auto"/>
            <w:vAlign w:val="center"/>
          </w:tcPr>
          <w:p>
            <w:pPr>
              <w:widowControl/>
              <w:jc w:val="left"/>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接入省统建的数字社区应用社区治理（浙里应、浙投票、邻里议、民呼我为、随手拍）</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27</w:t>
            </w:r>
          </w:p>
        </w:tc>
        <w:tc>
          <w:tcPr>
            <w:tcW w:w="297" w:type="pct"/>
            <w:vMerge w:val="continue"/>
            <w:shd w:val="clear" w:color="auto" w:fill="auto"/>
            <w:vAlign w:val="center"/>
          </w:tcPr>
          <w:p>
            <w:pPr>
              <w:jc w:val="center"/>
              <w:rPr>
                <w:rFonts w:ascii="微软雅黑" w:hAnsi="微软雅黑" w:eastAsia="微软雅黑" w:cs="微软雅黑"/>
                <w:sz w:val="20"/>
                <w:szCs w:val="20"/>
              </w:rPr>
            </w:pPr>
          </w:p>
        </w:tc>
        <w:tc>
          <w:tcPr>
            <w:tcW w:w="90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找个说法</w:t>
            </w:r>
          </w:p>
        </w:tc>
        <w:tc>
          <w:tcPr>
            <w:tcW w:w="2486" w:type="pct"/>
            <w:shd w:val="clear" w:color="auto" w:fill="auto"/>
            <w:vAlign w:val="center"/>
          </w:tcPr>
          <w:p>
            <w:pPr>
              <w:widowControl/>
              <w:jc w:val="left"/>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对接找个说法业务系统，实现各个居民应用业务系统与浙里办的用户体系之间的关联及业务联动</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28</w:t>
            </w:r>
          </w:p>
        </w:tc>
        <w:tc>
          <w:tcPr>
            <w:tcW w:w="297" w:type="pct"/>
            <w:vMerge w:val="continue"/>
            <w:shd w:val="clear" w:color="auto" w:fill="auto"/>
            <w:vAlign w:val="center"/>
          </w:tcPr>
          <w:p>
            <w:pPr>
              <w:jc w:val="center"/>
              <w:rPr>
                <w:rFonts w:ascii="微软雅黑" w:hAnsi="微软雅黑" w:eastAsia="微软雅黑" w:cs="微软雅黑"/>
                <w:sz w:val="20"/>
                <w:szCs w:val="20"/>
              </w:rPr>
            </w:pPr>
          </w:p>
        </w:tc>
        <w:tc>
          <w:tcPr>
            <w:tcW w:w="90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精益化数字管理平台</w:t>
            </w:r>
          </w:p>
        </w:tc>
        <w:tc>
          <w:tcPr>
            <w:tcW w:w="2486" w:type="pct"/>
            <w:shd w:val="clear" w:color="auto" w:fill="auto"/>
            <w:vAlign w:val="center"/>
          </w:tcPr>
          <w:p>
            <w:pPr>
              <w:widowControl/>
              <w:jc w:val="left"/>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1、横向对接“四平台”对接网格体系，推动居民上报事件由物业、业委会、网格、社区先行处置，按要求上报基层治理系统。社区巡查移动端问题上报、调度、确认等闭关处置、统一案件统计、分拨、预警</w:t>
            </w:r>
            <w:r>
              <w:rPr>
                <w:rFonts w:hint="eastAsia" w:ascii="微软雅黑" w:hAnsi="微软雅黑" w:eastAsia="微软雅黑" w:cs="微软雅黑"/>
                <w:kern w:val="0"/>
                <w:sz w:val="20"/>
                <w:szCs w:val="20"/>
                <w:lang w:bidi="ar"/>
              </w:rPr>
              <w:br w:type="textWrapping"/>
            </w:r>
            <w:r>
              <w:rPr>
                <w:rFonts w:hint="eastAsia" w:ascii="微软雅黑" w:hAnsi="微软雅黑" w:eastAsia="微软雅黑" w:cs="微软雅黑"/>
                <w:kern w:val="0"/>
                <w:sz w:val="20"/>
                <w:szCs w:val="20"/>
                <w:lang w:bidi="ar"/>
              </w:rPr>
              <w:t>2、预留对接“物业”平台</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29</w:t>
            </w:r>
          </w:p>
        </w:tc>
        <w:tc>
          <w:tcPr>
            <w:tcW w:w="297" w:type="pct"/>
            <w:vMerge w:val="continue"/>
            <w:shd w:val="clear" w:color="auto" w:fill="auto"/>
            <w:vAlign w:val="center"/>
          </w:tcPr>
          <w:p>
            <w:pPr>
              <w:jc w:val="center"/>
              <w:rPr>
                <w:rFonts w:ascii="微软雅黑" w:hAnsi="微软雅黑" w:eastAsia="微软雅黑" w:cs="微软雅黑"/>
                <w:sz w:val="20"/>
                <w:szCs w:val="20"/>
              </w:rPr>
            </w:pPr>
          </w:p>
        </w:tc>
        <w:tc>
          <w:tcPr>
            <w:tcW w:w="903" w:type="pct"/>
            <w:shd w:val="clear" w:color="auto" w:fill="auto"/>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我的社区</w:t>
            </w:r>
          </w:p>
        </w:tc>
        <w:tc>
          <w:tcPr>
            <w:tcW w:w="2486" w:type="pct"/>
            <w:shd w:val="clear" w:color="auto" w:fill="auto"/>
            <w:vAlign w:val="center"/>
          </w:tcPr>
          <w:p>
            <w:pPr>
              <w:widowControl/>
              <w:jc w:val="lef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数据接口对接：</w:t>
            </w:r>
            <w:r>
              <w:rPr>
                <w:rFonts w:hint="eastAsia" w:ascii="微软雅黑" w:hAnsi="微软雅黑" w:eastAsia="微软雅黑" w:cs="微软雅黑"/>
                <w:kern w:val="0"/>
                <w:sz w:val="22"/>
                <w:szCs w:val="22"/>
                <w:lang w:bidi="ar"/>
              </w:rPr>
              <w:br w:type="textWrapping"/>
            </w:r>
            <w:r>
              <w:rPr>
                <w:rFonts w:hint="eastAsia" w:ascii="微软雅黑" w:hAnsi="微软雅黑" w:eastAsia="微软雅黑" w:cs="微软雅黑"/>
                <w:kern w:val="0"/>
                <w:sz w:val="22"/>
                <w:szCs w:val="22"/>
                <w:lang w:bidi="ar"/>
              </w:rPr>
              <w:t>展示我的小区下的网格力量信息，展示我的社区下的网格力量信息。</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30</w:t>
            </w:r>
          </w:p>
        </w:tc>
        <w:tc>
          <w:tcPr>
            <w:tcW w:w="297" w:type="pct"/>
            <w:vMerge w:val="continue"/>
            <w:shd w:val="clear" w:color="auto" w:fill="auto"/>
            <w:vAlign w:val="center"/>
          </w:tcPr>
          <w:p>
            <w:pPr>
              <w:jc w:val="center"/>
              <w:rPr>
                <w:rFonts w:ascii="微软雅黑" w:hAnsi="微软雅黑" w:eastAsia="微软雅黑" w:cs="微软雅黑"/>
                <w:sz w:val="20"/>
                <w:szCs w:val="20"/>
              </w:rPr>
            </w:pPr>
          </w:p>
        </w:tc>
        <w:tc>
          <w:tcPr>
            <w:tcW w:w="903" w:type="pct"/>
            <w:shd w:val="clear" w:color="auto" w:fill="auto"/>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报事报修</w:t>
            </w:r>
          </w:p>
        </w:tc>
        <w:tc>
          <w:tcPr>
            <w:tcW w:w="2486" w:type="pct"/>
            <w:shd w:val="clear" w:color="auto" w:fill="auto"/>
            <w:vAlign w:val="center"/>
          </w:tcPr>
          <w:p>
            <w:pPr>
              <w:widowControl/>
              <w:jc w:val="lef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数据接口对接：</w:t>
            </w:r>
            <w:r>
              <w:rPr>
                <w:rFonts w:hint="eastAsia" w:ascii="微软雅黑" w:hAnsi="微软雅黑" w:eastAsia="微软雅黑" w:cs="微软雅黑"/>
                <w:kern w:val="0"/>
                <w:sz w:val="22"/>
                <w:szCs w:val="22"/>
                <w:lang w:bidi="ar"/>
              </w:rPr>
              <w:br w:type="textWrapping"/>
            </w:r>
            <w:r>
              <w:rPr>
                <w:rFonts w:hint="eastAsia" w:ascii="微软雅黑" w:hAnsi="微软雅黑" w:eastAsia="微软雅黑" w:cs="微软雅黑"/>
                <w:kern w:val="0"/>
                <w:sz w:val="22"/>
                <w:szCs w:val="22"/>
                <w:lang w:bidi="ar"/>
              </w:rPr>
              <w:t>通过上传图片、视频，输入文字等形式在线提交报事、报修、建议等事件信 息，用户可选择是否公开展示到事件大厅版块 。可支持物联感知事件、三方事件接入。</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31</w:t>
            </w:r>
          </w:p>
        </w:tc>
        <w:tc>
          <w:tcPr>
            <w:tcW w:w="297" w:type="pct"/>
            <w:vMerge w:val="continue"/>
            <w:shd w:val="clear" w:color="auto" w:fill="auto"/>
            <w:vAlign w:val="center"/>
          </w:tcPr>
          <w:p>
            <w:pPr>
              <w:jc w:val="center"/>
              <w:rPr>
                <w:rFonts w:ascii="微软雅黑" w:hAnsi="微软雅黑" w:eastAsia="微软雅黑" w:cs="微软雅黑"/>
                <w:sz w:val="20"/>
                <w:szCs w:val="20"/>
              </w:rPr>
            </w:pPr>
          </w:p>
        </w:tc>
        <w:tc>
          <w:tcPr>
            <w:tcW w:w="903" w:type="pct"/>
            <w:shd w:val="clear" w:color="auto" w:fill="auto"/>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共治力量</w:t>
            </w:r>
          </w:p>
        </w:tc>
        <w:tc>
          <w:tcPr>
            <w:tcW w:w="2486" w:type="pct"/>
            <w:shd w:val="clear" w:color="auto" w:fill="auto"/>
            <w:vAlign w:val="center"/>
          </w:tcPr>
          <w:p>
            <w:pPr>
              <w:widowControl/>
              <w:jc w:val="lef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数据接口对接：</w:t>
            </w:r>
            <w:r>
              <w:rPr>
                <w:rFonts w:hint="eastAsia" w:ascii="微软雅黑" w:hAnsi="微软雅黑" w:eastAsia="微软雅黑" w:cs="微软雅黑"/>
                <w:kern w:val="0"/>
                <w:sz w:val="22"/>
                <w:szCs w:val="22"/>
                <w:lang w:bidi="ar"/>
              </w:rPr>
              <w:br w:type="textWrapping"/>
            </w:r>
            <w:r>
              <w:rPr>
                <w:rFonts w:hint="eastAsia" w:ascii="微软雅黑" w:hAnsi="微软雅黑" w:eastAsia="微软雅黑" w:cs="微软雅黑"/>
                <w:kern w:val="0"/>
                <w:sz w:val="22"/>
                <w:szCs w:val="22"/>
                <w:lang w:bidi="ar"/>
              </w:rPr>
              <w:t>发动社区力量参与社区治理协同，与“报事报修”业务联动参与事件处置，同时社区可派发任务至共治力量，监督跟进执行结果。具备社区各类组织管理，可对业委会、网格、群团组织、党组织、物业、社工等组织的信息进行维护更新。</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32</w:t>
            </w:r>
          </w:p>
        </w:tc>
        <w:tc>
          <w:tcPr>
            <w:tcW w:w="297" w:type="pct"/>
            <w:vMerge w:val="continue"/>
            <w:shd w:val="clear" w:color="auto" w:fill="auto"/>
            <w:vAlign w:val="center"/>
          </w:tcPr>
          <w:p>
            <w:pPr>
              <w:jc w:val="center"/>
              <w:rPr>
                <w:rFonts w:ascii="微软雅黑" w:hAnsi="微软雅黑" w:eastAsia="微软雅黑" w:cs="微软雅黑"/>
                <w:sz w:val="20"/>
                <w:szCs w:val="20"/>
              </w:rPr>
            </w:pPr>
          </w:p>
        </w:tc>
        <w:tc>
          <w:tcPr>
            <w:tcW w:w="903" w:type="pct"/>
            <w:shd w:val="clear" w:color="auto" w:fill="auto"/>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民意征集</w:t>
            </w:r>
          </w:p>
        </w:tc>
        <w:tc>
          <w:tcPr>
            <w:tcW w:w="2486" w:type="pct"/>
            <w:shd w:val="clear" w:color="auto" w:fill="auto"/>
            <w:vAlign w:val="center"/>
          </w:tcPr>
          <w:p>
            <w:pPr>
              <w:widowControl/>
              <w:jc w:val="lef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数据接口对接：</w:t>
            </w:r>
            <w:r>
              <w:rPr>
                <w:rFonts w:hint="eastAsia" w:ascii="微软雅黑" w:hAnsi="微软雅黑" w:eastAsia="微软雅黑" w:cs="微软雅黑"/>
                <w:kern w:val="0"/>
                <w:sz w:val="22"/>
                <w:szCs w:val="22"/>
                <w:lang w:bidi="ar"/>
              </w:rPr>
              <w:br w:type="textWrapping"/>
            </w:r>
            <w:r>
              <w:rPr>
                <w:rFonts w:hint="eastAsia" w:ascii="微软雅黑" w:hAnsi="微软雅黑" w:eastAsia="微软雅黑" w:cs="微软雅黑"/>
                <w:kern w:val="0"/>
                <w:sz w:val="22"/>
                <w:szCs w:val="22"/>
                <w:lang w:bidi="ar"/>
              </w:rPr>
              <w:t>1）根据当前登录会员身份信息，显示该会员可参与互动的所有问卷信息 。</w:t>
            </w:r>
            <w:r>
              <w:rPr>
                <w:rFonts w:hint="eastAsia" w:ascii="微软雅黑" w:hAnsi="微软雅黑" w:eastAsia="微软雅黑" w:cs="微软雅黑"/>
                <w:kern w:val="0"/>
                <w:sz w:val="22"/>
                <w:szCs w:val="22"/>
                <w:lang w:bidi="ar"/>
              </w:rPr>
              <w:br w:type="textWrapping"/>
            </w:r>
            <w:r>
              <w:rPr>
                <w:rFonts w:hint="eastAsia" w:ascii="微软雅黑" w:hAnsi="微软雅黑" w:eastAsia="微软雅黑" w:cs="微软雅黑"/>
                <w:kern w:val="0"/>
                <w:sz w:val="22"/>
                <w:szCs w:val="22"/>
                <w:lang w:bidi="ar"/>
              </w:rPr>
              <w:t>2）支持在线参与问卷调查，按需填写想要反馈的信息内容。</w:t>
            </w:r>
            <w:r>
              <w:rPr>
                <w:rFonts w:hint="eastAsia" w:ascii="微软雅黑" w:hAnsi="微软雅黑" w:eastAsia="微软雅黑" w:cs="微软雅黑"/>
                <w:kern w:val="0"/>
                <w:sz w:val="22"/>
                <w:szCs w:val="22"/>
                <w:lang w:bidi="ar"/>
              </w:rPr>
              <w:br w:type="textWrapping"/>
            </w:r>
            <w:r>
              <w:rPr>
                <w:rFonts w:hint="eastAsia" w:ascii="微软雅黑" w:hAnsi="微软雅黑" w:eastAsia="微软雅黑" w:cs="微软雅黑"/>
                <w:kern w:val="0"/>
                <w:sz w:val="22"/>
                <w:szCs w:val="22"/>
                <w:lang w:bidi="ar"/>
              </w:rPr>
              <w:t>3）查看问卷最终的统计分析结果。</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33</w:t>
            </w:r>
          </w:p>
        </w:tc>
        <w:tc>
          <w:tcPr>
            <w:tcW w:w="297" w:type="pct"/>
            <w:vMerge w:val="continue"/>
            <w:shd w:val="clear" w:color="auto" w:fill="auto"/>
            <w:vAlign w:val="center"/>
          </w:tcPr>
          <w:p>
            <w:pPr>
              <w:jc w:val="center"/>
              <w:rPr>
                <w:rFonts w:ascii="微软雅黑" w:hAnsi="微软雅黑" w:eastAsia="微软雅黑" w:cs="微软雅黑"/>
                <w:sz w:val="20"/>
                <w:szCs w:val="20"/>
              </w:rPr>
            </w:pPr>
          </w:p>
        </w:tc>
        <w:tc>
          <w:tcPr>
            <w:tcW w:w="903" w:type="pct"/>
            <w:shd w:val="clear" w:color="auto" w:fill="auto"/>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党员风采</w:t>
            </w:r>
          </w:p>
        </w:tc>
        <w:tc>
          <w:tcPr>
            <w:tcW w:w="2486" w:type="pct"/>
            <w:shd w:val="clear" w:color="auto" w:fill="auto"/>
            <w:vAlign w:val="center"/>
          </w:tcPr>
          <w:p>
            <w:pPr>
              <w:widowControl/>
              <w:jc w:val="lef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数据接口对接：</w:t>
            </w:r>
            <w:r>
              <w:rPr>
                <w:rFonts w:hint="eastAsia" w:ascii="微软雅黑" w:hAnsi="微软雅黑" w:eastAsia="微软雅黑" w:cs="微软雅黑"/>
                <w:kern w:val="0"/>
                <w:sz w:val="22"/>
                <w:szCs w:val="22"/>
                <w:lang w:bidi="ar"/>
              </w:rPr>
              <w:br w:type="textWrapping"/>
            </w:r>
            <w:r>
              <w:rPr>
                <w:rFonts w:hint="eastAsia" w:ascii="微软雅黑" w:hAnsi="微软雅黑" w:eastAsia="微软雅黑" w:cs="微软雅黑"/>
                <w:kern w:val="0"/>
                <w:sz w:val="22"/>
                <w:szCs w:val="22"/>
                <w:lang w:bidi="ar"/>
              </w:rPr>
              <w:t>查看所在社区党员的风采信息，包括党员基础信息、先锋任务情况、先锋分、简介等信息。</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34</w:t>
            </w:r>
          </w:p>
        </w:tc>
        <w:tc>
          <w:tcPr>
            <w:tcW w:w="297" w:type="pct"/>
            <w:vMerge w:val="continue"/>
            <w:shd w:val="clear" w:color="auto" w:fill="auto"/>
            <w:vAlign w:val="center"/>
          </w:tcPr>
          <w:p>
            <w:pPr>
              <w:jc w:val="center"/>
              <w:rPr>
                <w:rFonts w:ascii="微软雅黑" w:hAnsi="微软雅黑" w:eastAsia="微软雅黑" w:cs="微软雅黑"/>
                <w:sz w:val="20"/>
                <w:szCs w:val="20"/>
              </w:rPr>
            </w:pPr>
          </w:p>
        </w:tc>
        <w:tc>
          <w:tcPr>
            <w:tcW w:w="903" w:type="pct"/>
            <w:shd w:val="clear" w:color="auto" w:fill="auto"/>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社区满意度</w:t>
            </w:r>
          </w:p>
        </w:tc>
        <w:tc>
          <w:tcPr>
            <w:tcW w:w="2486" w:type="pct"/>
            <w:shd w:val="clear" w:color="auto" w:fill="auto"/>
            <w:vAlign w:val="center"/>
          </w:tcPr>
          <w:p>
            <w:pPr>
              <w:widowControl/>
              <w:jc w:val="lef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数据接口对接：</w:t>
            </w:r>
            <w:r>
              <w:rPr>
                <w:rFonts w:hint="eastAsia" w:ascii="微软雅黑" w:hAnsi="微软雅黑" w:eastAsia="微软雅黑" w:cs="微软雅黑"/>
                <w:kern w:val="0"/>
                <w:sz w:val="22"/>
                <w:szCs w:val="22"/>
                <w:lang w:bidi="ar"/>
              </w:rPr>
              <w:br w:type="textWrapping"/>
            </w:r>
            <w:r>
              <w:rPr>
                <w:rFonts w:hint="eastAsia" w:ascii="微软雅黑" w:hAnsi="微软雅黑" w:eastAsia="微软雅黑" w:cs="微软雅黑"/>
                <w:kern w:val="0"/>
                <w:sz w:val="22"/>
                <w:szCs w:val="22"/>
                <w:lang w:bidi="ar"/>
              </w:rPr>
              <w:t>预置浙江省未来社区满意度调查问卷，通过浙里办统一认证体系确保问卷调查数据安全保密；社区可通过管理后台查看问卷调查结果 。</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35</w:t>
            </w:r>
          </w:p>
        </w:tc>
        <w:tc>
          <w:tcPr>
            <w:tcW w:w="297" w:type="pct"/>
            <w:vMerge w:val="continue"/>
            <w:shd w:val="clear" w:color="auto" w:fill="auto"/>
            <w:vAlign w:val="center"/>
          </w:tcPr>
          <w:p>
            <w:pPr>
              <w:jc w:val="center"/>
              <w:rPr>
                <w:rFonts w:ascii="微软雅黑" w:hAnsi="微软雅黑" w:eastAsia="微软雅黑" w:cs="微软雅黑"/>
                <w:sz w:val="20"/>
                <w:szCs w:val="20"/>
              </w:rPr>
            </w:pPr>
          </w:p>
        </w:tc>
        <w:tc>
          <w:tcPr>
            <w:tcW w:w="903" w:type="pct"/>
            <w:shd w:val="clear" w:color="auto" w:fill="auto"/>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信息公开</w:t>
            </w:r>
          </w:p>
        </w:tc>
        <w:tc>
          <w:tcPr>
            <w:tcW w:w="2486" w:type="pct"/>
            <w:shd w:val="clear" w:color="auto" w:fill="auto"/>
            <w:vAlign w:val="center"/>
          </w:tcPr>
          <w:p>
            <w:pPr>
              <w:widowControl/>
              <w:jc w:val="lef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接收通知公告、政策解读、难题公开等图文、视频信息，查看信息，可对感兴趣的信息进行点赞。</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36</w:t>
            </w:r>
          </w:p>
        </w:tc>
        <w:tc>
          <w:tcPr>
            <w:tcW w:w="297" w:type="pct"/>
            <w:vMerge w:val="continue"/>
            <w:shd w:val="clear" w:color="auto" w:fill="auto"/>
            <w:vAlign w:val="center"/>
          </w:tcPr>
          <w:p>
            <w:pPr>
              <w:jc w:val="center"/>
              <w:rPr>
                <w:rFonts w:ascii="微软雅黑" w:hAnsi="微软雅黑" w:eastAsia="微软雅黑" w:cs="微软雅黑"/>
                <w:sz w:val="20"/>
                <w:szCs w:val="20"/>
              </w:rPr>
            </w:pPr>
          </w:p>
        </w:tc>
        <w:tc>
          <w:tcPr>
            <w:tcW w:w="903" w:type="pct"/>
            <w:shd w:val="clear" w:color="auto" w:fill="auto"/>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业主投票</w:t>
            </w:r>
          </w:p>
        </w:tc>
        <w:tc>
          <w:tcPr>
            <w:tcW w:w="2486" w:type="pct"/>
            <w:shd w:val="clear" w:color="auto" w:fill="auto"/>
            <w:vAlign w:val="center"/>
          </w:tcPr>
          <w:p>
            <w:pPr>
              <w:widowControl/>
              <w:jc w:val="left"/>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数据接口对接：</w:t>
            </w:r>
            <w:r>
              <w:rPr>
                <w:rFonts w:hint="eastAsia" w:ascii="微软雅黑" w:hAnsi="微软雅黑" w:eastAsia="微软雅黑" w:cs="微软雅黑"/>
                <w:kern w:val="0"/>
                <w:sz w:val="22"/>
                <w:szCs w:val="22"/>
                <w:lang w:bidi="ar"/>
              </w:rPr>
              <w:br w:type="textWrapping"/>
            </w:r>
            <w:r>
              <w:rPr>
                <w:rFonts w:hint="eastAsia" w:ascii="微软雅黑" w:hAnsi="微软雅黑" w:eastAsia="微软雅黑" w:cs="微软雅黑"/>
                <w:kern w:val="0"/>
                <w:sz w:val="22"/>
                <w:szCs w:val="22"/>
                <w:lang w:bidi="ar"/>
              </w:rPr>
              <w:t>基于完整准确的人房基础数据，通过票权计算，在业委会选举、换届等需要全体业主决策场景下，进行合法合规投票决策。</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37</w:t>
            </w:r>
          </w:p>
        </w:tc>
        <w:tc>
          <w:tcPr>
            <w:tcW w:w="297" w:type="pct"/>
            <w:vMerge w:val="restar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未来服务</w:t>
            </w:r>
          </w:p>
        </w:tc>
        <w:tc>
          <w:tcPr>
            <w:tcW w:w="90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物品通行</w:t>
            </w:r>
          </w:p>
        </w:tc>
        <w:tc>
          <w:tcPr>
            <w:tcW w:w="2486" w:type="pct"/>
            <w:shd w:val="clear" w:color="auto" w:fill="auto"/>
            <w:vAlign w:val="center"/>
          </w:tcPr>
          <w:p>
            <w:pPr>
              <w:widowControl/>
              <w:jc w:val="left"/>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支持重大物品出门及物品放行服务，支持在线提交大件物品出门信息，生成二维码后用于门岗扫描确认信息后放行。</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38</w:t>
            </w:r>
          </w:p>
        </w:tc>
        <w:tc>
          <w:tcPr>
            <w:tcW w:w="297" w:type="pct"/>
            <w:vMerge w:val="continue"/>
            <w:shd w:val="clear" w:color="auto" w:fill="auto"/>
            <w:vAlign w:val="center"/>
          </w:tcPr>
          <w:p>
            <w:pPr>
              <w:jc w:val="center"/>
              <w:rPr>
                <w:rFonts w:ascii="微软雅黑" w:hAnsi="微软雅黑" w:eastAsia="微软雅黑" w:cs="微软雅黑"/>
                <w:sz w:val="20"/>
                <w:szCs w:val="20"/>
              </w:rPr>
            </w:pPr>
          </w:p>
        </w:tc>
        <w:tc>
          <w:tcPr>
            <w:tcW w:w="90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物品放行单申请</w:t>
            </w:r>
          </w:p>
        </w:tc>
        <w:tc>
          <w:tcPr>
            <w:tcW w:w="2486" w:type="pct"/>
            <w:shd w:val="clear" w:color="auto" w:fill="auto"/>
            <w:vAlign w:val="center"/>
          </w:tcPr>
          <w:p>
            <w:pPr>
              <w:widowControl/>
              <w:jc w:val="left"/>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民可在移动端登记大件物品信息，提交大件物品出门申请。申请提交成功后，产生二维码。</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39</w:t>
            </w:r>
          </w:p>
        </w:tc>
        <w:tc>
          <w:tcPr>
            <w:tcW w:w="297" w:type="pct"/>
            <w:vMerge w:val="continue"/>
            <w:shd w:val="clear" w:color="auto" w:fill="auto"/>
            <w:vAlign w:val="center"/>
          </w:tcPr>
          <w:p>
            <w:pPr>
              <w:jc w:val="center"/>
              <w:rPr>
                <w:rFonts w:ascii="微软雅黑" w:hAnsi="微软雅黑" w:eastAsia="微软雅黑" w:cs="微软雅黑"/>
                <w:sz w:val="20"/>
                <w:szCs w:val="20"/>
              </w:rPr>
            </w:pPr>
          </w:p>
        </w:tc>
        <w:tc>
          <w:tcPr>
            <w:tcW w:w="90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物品放行记录查询</w:t>
            </w:r>
          </w:p>
        </w:tc>
        <w:tc>
          <w:tcPr>
            <w:tcW w:w="2486" w:type="pct"/>
            <w:shd w:val="clear" w:color="auto" w:fill="auto"/>
            <w:vAlign w:val="center"/>
          </w:tcPr>
          <w:p>
            <w:pPr>
              <w:widowControl/>
              <w:jc w:val="left"/>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居民可在移动端查看大件物品放行记录及详情。</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40</w:t>
            </w:r>
          </w:p>
        </w:tc>
        <w:tc>
          <w:tcPr>
            <w:tcW w:w="297" w:type="pct"/>
            <w:vMerge w:val="continue"/>
            <w:shd w:val="clear" w:color="auto" w:fill="auto"/>
            <w:vAlign w:val="center"/>
          </w:tcPr>
          <w:p>
            <w:pPr>
              <w:jc w:val="center"/>
              <w:rPr>
                <w:rFonts w:ascii="微软雅黑" w:hAnsi="微软雅黑" w:eastAsia="微软雅黑" w:cs="微软雅黑"/>
                <w:sz w:val="20"/>
                <w:szCs w:val="20"/>
              </w:rPr>
            </w:pPr>
          </w:p>
        </w:tc>
        <w:tc>
          <w:tcPr>
            <w:tcW w:w="90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物品放行单详情展示</w:t>
            </w:r>
          </w:p>
        </w:tc>
        <w:tc>
          <w:tcPr>
            <w:tcW w:w="2486" w:type="pct"/>
            <w:shd w:val="clear" w:color="auto" w:fill="auto"/>
            <w:vAlign w:val="center"/>
          </w:tcPr>
          <w:p>
            <w:pPr>
              <w:widowControl/>
              <w:jc w:val="left"/>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居民可点开放行记录查看申请详情。</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41</w:t>
            </w:r>
          </w:p>
        </w:tc>
        <w:tc>
          <w:tcPr>
            <w:tcW w:w="297" w:type="pct"/>
            <w:vMerge w:val="continue"/>
            <w:shd w:val="clear" w:color="auto" w:fill="auto"/>
            <w:vAlign w:val="center"/>
          </w:tcPr>
          <w:p>
            <w:pPr>
              <w:jc w:val="center"/>
              <w:rPr>
                <w:rFonts w:ascii="微软雅黑" w:hAnsi="微软雅黑" w:eastAsia="微软雅黑" w:cs="微软雅黑"/>
                <w:sz w:val="20"/>
                <w:szCs w:val="20"/>
              </w:rPr>
            </w:pPr>
          </w:p>
        </w:tc>
        <w:tc>
          <w:tcPr>
            <w:tcW w:w="90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家政一键通</w:t>
            </w:r>
          </w:p>
        </w:tc>
        <w:tc>
          <w:tcPr>
            <w:tcW w:w="2486"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对接家政一键通业务系统，实现各个居民应用业务系统与浙里办的用户体系之间的关联及业务联动</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42</w:t>
            </w:r>
          </w:p>
        </w:tc>
        <w:tc>
          <w:tcPr>
            <w:tcW w:w="297" w:type="pct"/>
            <w:vMerge w:val="continue"/>
            <w:shd w:val="clear" w:color="auto" w:fill="auto"/>
            <w:vAlign w:val="center"/>
          </w:tcPr>
          <w:p>
            <w:pPr>
              <w:jc w:val="center"/>
              <w:rPr>
                <w:rFonts w:ascii="微软雅黑" w:hAnsi="微软雅黑" w:eastAsia="微软雅黑" w:cs="微软雅黑"/>
                <w:sz w:val="20"/>
                <w:szCs w:val="20"/>
              </w:rPr>
            </w:pPr>
          </w:p>
        </w:tc>
        <w:tc>
          <w:tcPr>
            <w:tcW w:w="90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声望系统</w:t>
            </w:r>
          </w:p>
        </w:tc>
        <w:tc>
          <w:tcPr>
            <w:tcW w:w="2486" w:type="pct"/>
            <w:shd w:val="clear" w:color="auto" w:fill="auto"/>
            <w:vAlign w:val="center"/>
          </w:tcPr>
          <w:p>
            <w:pPr>
              <w:widowControl/>
              <w:jc w:val="left"/>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数据接口对接：</w:t>
            </w:r>
            <w:r>
              <w:rPr>
                <w:rFonts w:hint="eastAsia" w:ascii="微软雅黑" w:hAnsi="微软雅黑" w:eastAsia="微软雅黑" w:cs="微软雅黑"/>
                <w:kern w:val="0"/>
                <w:sz w:val="20"/>
                <w:szCs w:val="20"/>
                <w:lang w:bidi="ar"/>
              </w:rPr>
              <w:br w:type="textWrapping"/>
            </w:r>
            <w:r>
              <w:rPr>
                <w:rFonts w:hint="eastAsia" w:ascii="微软雅黑" w:hAnsi="微软雅黑" w:eastAsia="微软雅黑" w:cs="微软雅黑"/>
                <w:kern w:val="0"/>
                <w:sz w:val="20"/>
                <w:szCs w:val="20"/>
                <w:lang w:bidi="ar"/>
              </w:rPr>
              <w:t>通过活动、签到、应用使用等方式，获取声望，建立社区声望排名。</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43</w:t>
            </w:r>
          </w:p>
        </w:tc>
        <w:tc>
          <w:tcPr>
            <w:tcW w:w="297" w:type="pct"/>
            <w:vMerge w:val="continue"/>
            <w:shd w:val="clear" w:color="auto" w:fill="auto"/>
            <w:vAlign w:val="center"/>
          </w:tcPr>
          <w:p>
            <w:pPr>
              <w:jc w:val="center"/>
              <w:rPr>
                <w:rFonts w:ascii="微软雅黑" w:hAnsi="微软雅黑" w:eastAsia="微软雅黑" w:cs="微软雅黑"/>
                <w:sz w:val="20"/>
                <w:szCs w:val="20"/>
              </w:rPr>
            </w:pPr>
          </w:p>
        </w:tc>
        <w:tc>
          <w:tcPr>
            <w:tcW w:w="90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生活地图</w:t>
            </w:r>
          </w:p>
        </w:tc>
        <w:tc>
          <w:tcPr>
            <w:tcW w:w="2486" w:type="pct"/>
            <w:shd w:val="clear" w:color="auto" w:fill="auto"/>
            <w:vAlign w:val="center"/>
          </w:tcPr>
          <w:p>
            <w:pPr>
              <w:widowControl/>
              <w:jc w:val="left"/>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数据接口对接：</w:t>
            </w:r>
            <w:r>
              <w:rPr>
                <w:rFonts w:hint="eastAsia" w:ascii="微软雅黑" w:hAnsi="微软雅黑" w:eastAsia="微软雅黑" w:cs="微软雅黑"/>
                <w:kern w:val="0"/>
                <w:sz w:val="20"/>
                <w:szCs w:val="20"/>
                <w:lang w:bidi="ar"/>
              </w:rPr>
              <w:br w:type="textWrapping"/>
            </w:r>
            <w:r>
              <w:rPr>
                <w:rFonts w:hint="eastAsia" w:ascii="微软雅黑" w:hAnsi="微软雅黑" w:eastAsia="微软雅黑" w:cs="微软雅黑"/>
                <w:kern w:val="0"/>
                <w:sz w:val="20"/>
                <w:szCs w:val="20"/>
                <w:lang w:bidi="ar"/>
              </w:rPr>
              <w:t>通过地图查看周边生活服务资源，如场馆、公共空间、公共设施、商家等点位，点击商家后可实现目的地的导航，也可以通过预约的方式，对公共场馆进行空间预约。</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44</w:t>
            </w:r>
          </w:p>
        </w:tc>
        <w:tc>
          <w:tcPr>
            <w:tcW w:w="297" w:type="pct"/>
            <w:vMerge w:val="continue"/>
            <w:shd w:val="clear" w:color="auto" w:fill="auto"/>
            <w:vAlign w:val="center"/>
          </w:tcPr>
          <w:p>
            <w:pPr>
              <w:jc w:val="center"/>
              <w:rPr>
                <w:rFonts w:ascii="微软雅黑" w:hAnsi="微软雅黑" w:eastAsia="微软雅黑" w:cs="微软雅黑"/>
                <w:sz w:val="20"/>
                <w:szCs w:val="20"/>
              </w:rPr>
            </w:pPr>
          </w:p>
        </w:tc>
        <w:tc>
          <w:tcPr>
            <w:tcW w:w="90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空间预约</w:t>
            </w:r>
          </w:p>
        </w:tc>
        <w:tc>
          <w:tcPr>
            <w:tcW w:w="2486" w:type="pct"/>
            <w:shd w:val="clear" w:color="auto" w:fill="auto"/>
            <w:vAlign w:val="center"/>
          </w:tcPr>
          <w:p>
            <w:pPr>
              <w:widowControl/>
              <w:jc w:val="left"/>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数据接口对接：</w:t>
            </w:r>
            <w:r>
              <w:rPr>
                <w:rFonts w:hint="eastAsia" w:ascii="微软雅黑" w:hAnsi="微软雅黑" w:eastAsia="微软雅黑" w:cs="微软雅黑"/>
                <w:kern w:val="0"/>
                <w:sz w:val="20"/>
                <w:szCs w:val="20"/>
                <w:lang w:bidi="ar"/>
              </w:rPr>
              <w:br w:type="textWrapping"/>
            </w:r>
            <w:r>
              <w:rPr>
                <w:rFonts w:hint="eastAsia" w:ascii="微软雅黑" w:hAnsi="微软雅黑" w:eastAsia="微软雅黑" w:cs="微软雅黑"/>
                <w:kern w:val="0"/>
                <w:sz w:val="20"/>
                <w:szCs w:val="20"/>
                <w:lang w:bidi="ar"/>
              </w:rPr>
              <w:t>居民可查看可预约的空间情况，包括空间名称、用途、地点、开放时间、容纳人数、预约价格等信息，并提交自己的预约信息。同时，居民用户端可查看预约信息并签到。</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45</w:t>
            </w:r>
          </w:p>
        </w:tc>
        <w:tc>
          <w:tcPr>
            <w:tcW w:w="297" w:type="pct"/>
            <w:vMerge w:val="continue"/>
            <w:shd w:val="clear" w:color="auto" w:fill="auto"/>
            <w:vAlign w:val="center"/>
          </w:tcPr>
          <w:p>
            <w:pPr>
              <w:jc w:val="center"/>
              <w:rPr>
                <w:rFonts w:ascii="微软雅黑" w:hAnsi="微软雅黑" w:eastAsia="微软雅黑" w:cs="微软雅黑"/>
                <w:sz w:val="20"/>
                <w:szCs w:val="20"/>
              </w:rPr>
            </w:pPr>
          </w:p>
        </w:tc>
        <w:tc>
          <w:tcPr>
            <w:tcW w:w="90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市集商家</w:t>
            </w:r>
          </w:p>
        </w:tc>
        <w:tc>
          <w:tcPr>
            <w:tcW w:w="2486" w:type="pct"/>
            <w:shd w:val="clear" w:color="auto" w:fill="auto"/>
            <w:vAlign w:val="center"/>
          </w:tcPr>
          <w:p>
            <w:pPr>
              <w:widowControl/>
              <w:jc w:val="left"/>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数据接口对接：</w:t>
            </w:r>
            <w:r>
              <w:rPr>
                <w:rFonts w:hint="eastAsia" w:ascii="微软雅黑" w:hAnsi="微软雅黑" w:eastAsia="微软雅黑" w:cs="微软雅黑"/>
                <w:kern w:val="0"/>
                <w:sz w:val="20"/>
                <w:szCs w:val="20"/>
                <w:lang w:bidi="ar"/>
              </w:rPr>
              <w:br w:type="textWrapping"/>
            </w:r>
            <w:r>
              <w:rPr>
                <w:rFonts w:hint="eastAsia" w:ascii="微软雅黑" w:hAnsi="微软雅黑" w:eastAsia="微软雅黑" w:cs="微软雅黑"/>
                <w:kern w:val="0"/>
                <w:sz w:val="20"/>
                <w:szCs w:val="20"/>
                <w:lang w:bidi="ar"/>
              </w:rPr>
              <w:t>用户通过市集功能在线查看推荐商家列表，查看商家详情或商品图文详情,用户可通过商家预留的联系方式取得联系。</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46</w:t>
            </w:r>
          </w:p>
        </w:tc>
        <w:tc>
          <w:tcPr>
            <w:tcW w:w="297" w:type="pct"/>
            <w:vMerge w:val="continue"/>
            <w:shd w:val="clear" w:color="auto" w:fill="auto"/>
            <w:vAlign w:val="center"/>
          </w:tcPr>
          <w:p>
            <w:pPr>
              <w:jc w:val="center"/>
              <w:rPr>
                <w:rFonts w:ascii="微软雅黑" w:hAnsi="微软雅黑" w:eastAsia="微软雅黑" w:cs="微软雅黑"/>
                <w:sz w:val="20"/>
                <w:szCs w:val="20"/>
              </w:rPr>
            </w:pPr>
          </w:p>
        </w:tc>
        <w:tc>
          <w:tcPr>
            <w:tcW w:w="90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阳光物业</w:t>
            </w:r>
          </w:p>
        </w:tc>
        <w:tc>
          <w:tcPr>
            <w:tcW w:w="2486" w:type="pct"/>
            <w:shd w:val="clear" w:color="auto" w:fill="auto"/>
            <w:vAlign w:val="center"/>
          </w:tcPr>
          <w:p>
            <w:pPr>
              <w:widowControl/>
              <w:jc w:val="left"/>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为用户提供社重要消息的获取通道，并对需要用户确认查看的消息，可通过签收机制，反馈给管理员知晓。为居民提供获取社区与自身相关的，居民有权知晓的六个社区公告信息。以列表的形式展示。内容包括社区、物业公告内容，以及对接市房管系统实现公告内容的打通；居民可选择某个公告标题，查看公告详情。重要的通知公告，可设置需居民点击按钮签收通知。</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47</w:t>
            </w:r>
          </w:p>
        </w:tc>
        <w:tc>
          <w:tcPr>
            <w:tcW w:w="297" w:type="pct"/>
            <w:vMerge w:val="continue"/>
            <w:shd w:val="clear" w:color="auto" w:fill="auto"/>
            <w:vAlign w:val="center"/>
          </w:tcPr>
          <w:p>
            <w:pPr>
              <w:jc w:val="center"/>
              <w:rPr>
                <w:rFonts w:ascii="微软雅黑" w:hAnsi="微软雅黑" w:eastAsia="微软雅黑" w:cs="微软雅黑"/>
                <w:sz w:val="20"/>
                <w:szCs w:val="20"/>
              </w:rPr>
            </w:pPr>
          </w:p>
        </w:tc>
        <w:tc>
          <w:tcPr>
            <w:tcW w:w="90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智能设备预警</w:t>
            </w:r>
          </w:p>
        </w:tc>
        <w:tc>
          <w:tcPr>
            <w:tcW w:w="2486" w:type="pct"/>
            <w:shd w:val="clear" w:color="auto" w:fill="auto"/>
            <w:vAlign w:val="center"/>
          </w:tcPr>
          <w:p>
            <w:pPr>
              <w:widowControl/>
              <w:jc w:val="left"/>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提供连接各类智能设备的预警模块，如消防、安防等设备状态发生问题，可第一时间收到预警消息</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48</w:t>
            </w:r>
          </w:p>
        </w:tc>
        <w:tc>
          <w:tcPr>
            <w:tcW w:w="297" w:type="pct"/>
            <w:vMerge w:val="continue"/>
            <w:shd w:val="clear" w:color="auto" w:fill="auto"/>
            <w:vAlign w:val="center"/>
          </w:tcPr>
          <w:p>
            <w:pPr>
              <w:jc w:val="center"/>
              <w:rPr>
                <w:rFonts w:ascii="微软雅黑" w:hAnsi="微软雅黑" w:eastAsia="微软雅黑" w:cs="微软雅黑"/>
                <w:sz w:val="20"/>
                <w:szCs w:val="20"/>
              </w:rPr>
            </w:pPr>
          </w:p>
        </w:tc>
        <w:tc>
          <w:tcPr>
            <w:tcW w:w="90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设备报警事件</w:t>
            </w:r>
          </w:p>
        </w:tc>
        <w:tc>
          <w:tcPr>
            <w:tcW w:w="2486" w:type="pct"/>
            <w:shd w:val="clear" w:color="auto" w:fill="auto"/>
            <w:vAlign w:val="center"/>
          </w:tcPr>
          <w:p>
            <w:pPr>
              <w:widowControl/>
              <w:jc w:val="left"/>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接收已有数字化系统的预警事件，形成列表</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49</w:t>
            </w:r>
          </w:p>
        </w:tc>
        <w:tc>
          <w:tcPr>
            <w:tcW w:w="297" w:type="pct"/>
            <w:vMerge w:val="continue"/>
            <w:shd w:val="clear" w:color="auto" w:fill="auto"/>
            <w:vAlign w:val="center"/>
          </w:tcPr>
          <w:p>
            <w:pPr>
              <w:jc w:val="center"/>
              <w:rPr>
                <w:rFonts w:ascii="微软雅黑" w:hAnsi="微软雅黑" w:eastAsia="微软雅黑" w:cs="微软雅黑"/>
                <w:sz w:val="20"/>
                <w:szCs w:val="20"/>
              </w:rPr>
            </w:pPr>
          </w:p>
        </w:tc>
        <w:tc>
          <w:tcPr>
            <w:tcW w:w="90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报警消息推送</w:t>
            </w:r>
          </w:p>
        </w:tc>
        <w:tc>
          <w:tcPr>
            <w:tcW w:w="2486" w:type="pct"/>
            <w:shd w:val="clear" w:color="auto" w:fill="auto"/>
            <w:vAlign w:val="center"/>
          </w:tcPr>
          <w:p>
            <w:pPr>
              <w:widowControl/>
              <w:jc w:val="left"/>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可以推送预警消息至指挥中心及驾驶舱</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50</w:t>
            </w:r>
          </w:p>
        </w:tc>
        <w:tc>
          <w:tcPr>
            <w:tcW w:w="297" w:type="pct"/>
            <w:vMerge w:val="continue"/>
            <w:shd w:val="clear" w:color="auto" w:fill="auto"/>
            <w:vAlign w:val="center"/>
          </w:tcPr>
          <w:p>
            <w:pPr>
              <w:jc w:val="center"/>
              <w:rPr>
                <w:rFonts w:ascii="微软雅黑" w:hAnsi="微软雅黑" w:eastAsia="微软雅黑" w:cs="微软雅黑"/>
                <w:sz w:val="20"/>
                <w:szCs w:val="20"/>
              </w:rPr>
            </w:pPr>
          </w:p>
        </w:tc>
        <w:tc>
          <w:tcPr>
            <w:tcW w:w="90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故障报修</w:t>
            </w:r>
          </w:p>
        </w:tc>
        <w:tc>
          <w:tcPr>
            <w:tcW w:w="2486" w:type="pct"/>
            <w:shd w:val="clear" w:color="auto" w:fill="auto"/>
            <w:vAlign w:val="center"/>
          </w:tcPr>
          <w:p>
            <w:pPr>
              <w:widowControl/>
              <w:jc w:val="left"/>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通过上传图片、视频，输入文字等形式在线提交报事、报修、建议等事件信 息，用户可选择是否公开展示到事件大厅版块 。可支持物联感知事件、三方事件接入</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51</w:t>
            </w:r>
          </w:p>
        </w:tc>
        <w:tc>
          <w:tcPr>
            <w:tcW w:w="297" w:type="pct"/>
            <w:vMerge w:val="continue"/>
            <w:shd w:val="clear" w:color="auto" w:fill="auto"/>
            <w:vAlign w:val="center"/>
          </w:tcPr>
          <w:p>
            <w:pPr>
              <w:jc w:val="center"/>
              <w:rPr>
                <w:rFonts w:ascii="微软雅黑" w:hAnsi="微软雅黑" w:eastAsia="微软雅黑" w:cs="微软雅黑"/>
                <w:sz w:val="20"/>
                <w:szCs w:val="20"/>
              </w:rPr>
            </w:pPr>
          </w:p>
        </w:tc>
        <w:tc>
          <w:tcPr>
            <w:tcW w:w="90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缴费服务</w:t>
            </w:r>
          </w:p>
        </w:tc>
        <w:tc>
          <w:tcPr>
            <w:tcW w:w="2486" w:type="pct"/>
            <w:shd w:val="clear" w:color="auto" w:fill="auto"/>
            <w:vAlign w:val="center"/>
          </w:tcPr>
          <w:p>
            <w:pPr>
              <w:widowControl/>
              <w:jc w:val="left"/>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支持社区物业缴费、停车包月等线上支付功能；提供物业在线热线服务</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52</w:t>
            </w:r>
          </w:p>
        </w:tc>
        <w:tc>
          <w:tcPr>
            <w:tcW w:w="297" w:type="pct"/>
            <w:vMerge w:val="restar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未来交通</w:t>
            </w:r>
          </w:p>
        </w:tc>
        <w:tc>
          <w:tcPr>
            <w:tcW w:w="90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浙住通</w:t>
            </w:r>
            <w:r>
              <w:rPr>
                <w:rFonts w:hint="eastAsia" w:ascii="微软雅黑" w:hAnsi="微软雅黑" w:eastAsia="微软雅黑" w:cs="微软雅黑"/>
                <w:kern w:val="0"/>
                <w:sz w:val="20"/>
                <w:szCs w:val="20"/>
                <w:lang w:bidi="ar"/>
              </w:rPr>
              <w:br w:type="textWrapping"/>
            </w:r>
            <w:r>
              <w:rPr>
                <w:rFonts w:hint="eastAsia" w:ascii="微软雅黑" w:hAnsi="微软雅黑" w:eastAsia="微软雅黑" w:cs="微软雅黑"/>
                <w:kern w:val="0"/>
                <w:sz w:val="20"/>
                <w:szCs w:val="20"/>
                <w:lang w:bidi="ar"/>
              </w:rPr>
              <w:t>政府</w:t>
            </w:r>
          </w:p>
        </w:tc>
        <w:tc>
          <w:tcPr>
            <w:tcW w:w="2486" w:type="pct"/>
            <w:shd w:val="clear" w:color="auto" w:fill="auto"/>
            <w:vAlign w:val="center"/>
          </w:tcPr>
          <w:p>
            <w:pPr>
              <w:widowControl/>
              <w:jc w:val="left"/>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接入省统建的数字社区应用智慧通行（浙住通）</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53</w:t>
            </w:r>
          </w:p>
        </w:tc>
        <w:tc>
          <w:tcPr>
            <w:tcW w:w="297" w:type="pct"/>
            <w:vMerge w:val="continue"/>
            <w:shd w:val="clear" w:color="auto" w:fill="auto"/>
            <w:vAlign w:val="center"/>
          </w:tcPr>
          <w:p>
            <w:pPr>
              <w:jc w:val="center"/>
              <w:rPr>
                <w:rFonts w:ascii="微软雅黑" w:hAnsi="微软雅黑" w:eastAsia="微软雅黑" w:cs="微软雅黑"/>
                <w:sz w:val="20"/>
                <w:szCs w:val="20"/>
              </w:rPr>
            </w:pPr>
          </w:p>
        </w:tc>
        <w:tc>
          <w:tcPr>
            <w:tcW w:w="90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车位查询</w:t>
            </w:r>
          </w:p>
        </w:tc>
        <w:tc>
          <w:tcPr>
            <w:tcW w:w="2486" w:type="pct"/>
            <w:shd w:val="clear" w:color="auto" w:fill="auto"/>
            <w:vAlign w:val="center"/>
          </w:tcPr>
          <w:p>
            <w:pPr>
              <w:widowControl/>
              <w:jc w:val="left"/>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停车场总车位数和地图展示、临停车位总数，移动端停车场总车位数、临停车位总数，支持六个社区对接车位地图。</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54</w:t>
            </w:r>
          </w:p>
        </w:tc>
        <w:tc>
          <w:tcPr>
            <w:tcW w:w="297" w:type="pct"/>
            <w:vMerge w:val="continue"/>
            <w:shd w:val="clear" w:color="auto" w:fill="auto"/>
            <w:vAlign w:val="center"/>
          </w:tcPr>
          <w:p>
            <w:pPr>
              <w:jc w:val="center"/>
              <w:rPr>
                <w:rFonts w:ascii="微软雅黑" w:hAnsi="微软雅黑" w:eastAsia="微软雅黑" w:cs="微软雅黑"/>
                <w:sz w:val="20"/>
                <w:szCs w:val="20"/>
              </w:rPr>
            </w:pPr>
          </w:p>
        </w:tc>
        <w:tc>
          <w:tcPr>
            <w:tcW w:w="90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车位余位</w:t>
            </w:r>
          </w:p>
        </w:tc>
        <w:tc>
          <w:tcPr>
            <w:tcW w:w="2486" w:type="pct"/>
            <w:shd w:val="clear" w:color="auto" w:fill="auto"/>
            <w:vAlign w:val="center"/>
          </w:tcPr>
          <w:p>
            <w:pPr>
              <w:widowControl/>
              <w:jc w:val="left"/>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通过社区接入已有数字化系统或者上报车位余位数量，显示车位余位。</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06" w:type="pct"/>
            <w:vMerge w:val="continue"/>
            <w:shd w:val="clear" w:color="auto" w:fill="auto"/>
            <w:noWrap/>
            <w:vAlign w:val="center"/>
          </w:tcPr>
          <w:p>
            <w:pPr>
              <w:jc w:val="center"/>
              <w:rPr>
                <w:rFonts w:ascii="微软雅黑" w:hAnsi="微软雅黑" w:eastAsia="微软雅黑" w:cs="微软雅黑"/>
                <w:sz w:val="22"/>
                <w:szCs w:val="22"/>
              </w:rPr>
            </w:pPr>
          </w:p>
        </w:tc>
        <w:tc>
          <w:tcPr>
            <w:tcW w:w="219" w:type="pct"/>
            <w:shd w:val="clear" w:color="auto" w:fill="auto"/>
            <w:noWrap/>
            <w:vAlign w:val="center"/>
          </w:tcPr>
          <w:p>
            <w:pPr>
              <w:widowControl/>
              <w:jc w:val="center"/>
              <w:textAlignment w:val="center"/>
              <w:rPr>
                <w:rFonts w:ascii="微软雅黑" w:hAnsi="微软雅黑" w:eastAsia="微软雅黑" w:cs="微软雅黑"/>
                <w:sz w:val="22"/>
                <w:szCs w:val="22"/>
              </w:rPr>
            </w:pPr>
            <w:r>
              <w:rPr>
                <w:rFonts w:hint="eastAsia" w:ascii="微软雅黑" w:hAnsi="微软雅黑" w:eastAsia="微软雅黑" w:cs="微软雅黑"/>
                <w:kern w:val="0"/>
                <w:sz w:val="22"/>
                <w:szCs w:val="22"/>
                <w:lang w:bidi="ar"/>
              </w:rPr>
              <w:t>55</w:t>
            </w:r>
          </w:p>
        </w:tc>
        <w:tc>
          <w:tcPr>
            <w:tcW w:w="297"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未来低碳</w:t>
            </w:r>
          </w:p>
        </w:tc>
        <w:tc>
          <w:tcPr>
            <w:tcW w:w="90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虎哥回收</w:t>
            </w:r>
          </w:p>
        </w:tc>
        <w:tc>
          <w:tcPr>
            <w:tcW w:w="2486" w:type="pct"/>
            <w:shd w:val="clear" w:color="auto" w:fill="auto"/>
            <w:vAlign w:val="center"/>
          </w:tcPr>
          <w:p>
            <w:pPr>
              <w:widowControl/>
              <w:jc w:val="left"/>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链接第三方开发应用，含废品回收、上门服务等</w:t>
            </w:r>
          </w:p>
        </w:tc>
        <w:tc>
          <w:tcPr>
            <w:tcW w:w="342" w:type="pct"/>
            <w:vMerge w:val="continue"/>
            <w:shd w:val="clear" w:color="auto" w:fill="auto"/>
            <w:noWrap/>
            <w:vAlign w:val="center"/>
          </w:tcPr>
          <w:p>
            <w:pPr>
              <w:jc w:val="center"/>
              <w:rPr>
                <w:rFonts w:ascii="微软雅黑" w:hAnsi="微软雅黑" w:eastAsia="微软雅黑" w:cs="微软雅黑"/>
                <w:sz w:val="22"/>
                <w:szCs w:val="22"/>
              </w:rPr>
            </w:pPr>
          </w:p>
        </w:tc>
        <w:tc>
          <w:tcPr>
            <w:tcW w:w="313" w:type="pct"/>
            <w:vMerge w:val="continue"/>
            <w:shd w:val="clear" w:color="auto" w:fill="auto"/>
            <w:noWrap/>
            <w:vAlign w:val="center"/>
          </w:tcPr>
          <w:p>
            <w:pPr>
              <w:jc w:val="center"/>
              <w:rPr>
                <w:rFonts w:ascii="微软雅黑" w:hAnsi="微软雅黑" w:eastAsia="微软雅黑" w:cs="微软雅黑"/>
                <w:sz w:val="22"/>
                <w:szCs w:val="22"/>
              </w:rPr>
            </w:pPr>
          </w:p>
        </w:tc>
        <w:tc>
          <w:tcPr>
            <w:tcW w:w="233" w:type="pct"/>
            <w:shd w:val="clear" w:color="auto" w:fill="auto"/>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区级对接</w:t>
            </w:r>
          </w:p>
        </w:tc>
      </w:tr>
    </w:tbl>
    <w:p>
      <w:r>
        <w:rPr>
          <w:rFonts w:hint="eastAsia"/>
        </w:rPr>
        <w:br w:type="page"/>
      </w:r>
    </w:p>
    <w:p>
      <w:pPr>
        <w:widowControl/>
        <w:adjustRightInd/>
        <w:jc w:val="left"/>
        <w:rPr>
          <w:rFonts w:ascii="宋体" w:hAnsi="宋体" w:cs="宋体"/>
          <w:b/>
          <w:kern w:val="0"/>
          <w:sz w:val="24"/>
          <w:lang w:bidi="ar"/>
        </w:rPr>
      </w:pPr>
    </w:p>
    <w:p>
      <w:pPr>
        <w:widowControl/>
        <w:adjustRightInd/>
        <w:jc w:val="left"/>
        <w:rPr>
          <w:rFonts w:ascii="宋体" w:hAnsi="宋体" w:cs="宋体"/>
          <w:b/>
          <w:kern w:val="0"/>
          <w:sz w:val="24"/>
          <w:lang w:bidi="ar"/>
        </w:rPr>
      </w:pPr>
    </w:p>
    <w:p>
      <w:pPr>
        <w:widowControl/>
        <w:adjustRightInd/>
        <w:jc w:val="left"/>
        <w:rPr>
          <w:rFonts w:ascii="宋体" w:hAnsi="宋体" w:cs="宋体"/>
          <w:b/>
          <w:kern w:val="0"/>
          <w:sz w:val="24"/>
          <w:lang w:bidi="ar"/>
        </w:rPr>
      </w:pPr>
    </w:p>
    <w:p>
      <w:pPr>
        <w:widowControl/>
        <w:adjustRightInd/>
        <w:jc w:val="left"/>
        <w:rPr>
          <w:rFonts w:ascii="宋体" w:hAnsi="宋体" w:cs="宋体"/>
          <w:b/>
          <w:kern w:val="0"/>
          <w:sz w:val="24"/>
          <w:lang w:bidi="ar"/>
        </w:rPr>
      </w:pPr>
      <w:r>
        <w:rPr>
          <w:rFonts w:hint="eastAsia" w:ascii="宋体" w:hAnsi="宋体" w:cs="宋体"/>
          <w:b/>
          <w:kern w:val="0"/>
          <w:sz w:val="24"/>
          <w:lang w:bidi="ar"/>
        </w:rPr>
        <w:t>三、供货要求：</w:t>
      </w:r>
    </w:p>
    <w:p>
      <w:pPr>
        <w:spacing w:line="600" w:lineRule="exact"/>
        <w:ind w:firstLine="480" w:firstLineChars="200"/>
        <w:rPr>
          <w:rFonts w:ascii="宋体" w:hAnsi="宋体" w:cs="宋体"/>
          <w:sz w:val="24"/>
        </w:rPr>
      </w:pPr>
      <w:r>
        <w:rPr>
          <w:rFonts w:hint="eastAsia" w:ascii="宋体" w:hAnsi="宋体" w:cs="宋体"/>
          <w:sz w:val="24"/>
        </w:rPr>
        <w:t>1、供方所供的货物必须为全新的，符合国家标准的合格产品；</w:t>
      </w:r>
    </w:p>
    <w:p>
      <w:pPr>
        <w:spacing w:line="600" w:lineRule="exact"/>
        <w:ind w:firstLine="480" w:firstLineChars="200"/>
        <w:rPr>
          <w:rFonts w:ascii="宋体" w:hAnsi="宋体" w:cs="宋体"/>
          <w:sz w:val="24"/>
        </w:rPr>
      </w:pPr>
      <w:r>
        <w:rPr>
          <w:rFonts w:hint="eastAsia" w:ascii="宋体" w:hAnsi="宋体" w:cs="宋体"/>
          <w:sz w:val="24"/>
        </w:rPr>
        <w:t>2、必所供货物不会侵犯任何第三方知识产权；</w:t>
      </w:r>
    </w:p>
    <w:p>
      <w:pPr>
        <w:spacing w:line="600" w:lineRule="exact"/>
        <w:ind w:firstLine="480" w:firstLineChars="200"/>
        <w:rPr>
          <w:rFonts w:ascii="宋体" w:hAnsi="宋体" w:cs="宋体"/>
          <w:sz w:val="24"/>
        </w:rPr>
      </w:pPr>
      <w:r>
        <w:rPr>
          <w:rFonts w:hint="eastAsia" w:ascii="宋体" w:hAnsi="宋体" w:cs="宋体"/>
          <w:sz w:val="24"/>
        </w:rPr>
        <w:t>3、送货地址：采购人指定地点。</w:t>
      </w:r>
    </w:p>
    <w:p>
      <w:pPr>
        <w:spacing w:line="600" w:lineRule="exact"/>
        <w:rPr>
          <w:rFonts w:ascii="宋体" w:hAnsi="宋体" w:cs="宋体"/>
          <w:b/>
          <w:bCs/>
          <w:sz w:val="24"/>
        </w:rPr>
      </w:pPr>
      <w:r>
        <w:rPr>
          <w:rFonts w:hint="eastAsia" w:ascii="宋体" w:hAnsi="宋体" w:cs="宋体"/>
          <w:b/>
          <w:bCs/>
          <w:sz w:val="24"/>
        </w:rPr>
        <w:t>四、售后服务要求：</w:t>
      </w:r>
    </w:p>
    <w:p>
      <w:pPr>
        <w:spacing w:line="600" w:lineRule="exact"/>
        <w:ind w:firstLine="480" w:firstLineChars="200"/>
        <w:rPr>
          <w:rFonts w:ascii="宋体" w:hAnsi="宋体" w:cs="宋体"/>
          <w:sz w:val="24"/>
        </w:rPr>
      </w:pPr>
      <w:r>
        <w:rPr>
          <w:rFonts w:ascii="仿宋_GB2312" w:hAnsi="仿宋" w:eastAsia="仿宋_GB2312" w:cs="仿宋_GB2312"/>
          <w:sz w:val="24"/>
          <w:szCs w:val="20"/>
        </w:rPr>
        <w:t>▲</w:t>
      </w:r>
      <w:r>
        <w:rPr>
          <w:rFonts w:hint="eastAsia" w:ascii="宋体" w:hAnsi="宋体" w:cs="宋体"/>
          <w:sz w:val="24"/>
        </w:rPr>
        <w:t>1、质保期要求：质保期不少于2年，超过质保期维修时只收取部件成本费。</w:t>
      </w:r>
    </w:p>
    <w:p>
      <w:pPr>
        <w:spacing w:line="600" w:lineRule="exact"/>
        <w:ind w:firstLine="480" w:firstLineChars="200"/>
        <w:rPr>
          <w:rFonts w:ascii="宋体" w:hAnsi="宋体" w:cs="宋体"/>
          <w:sz w:val="24"/>
        </w:rPr>
      </w:pPr>
      <w:r>
        <w:rPr>
          <w:rFonts w:ascii="仿宋_GB2312" w:hAnsi="仿宋" w:eastAsia="仿宋_GB2312" w:cs="仿宋_GB2312"/>
          <w:sz w:val="24"/>
          <w:szCs w:val="20"/>
        </w:rPr>
        <w:t>▲</w:t>
      </w:r>
      <w:r>
        <w:rPr>
          <w:rFonts w:hint="eastAsia" w:ascii="宋体" w:hAnsi="宋体" w:cs="宋体"/>
          <w:sz w:val="24"/>
        </w:rPr>
        <w:t>2、技术支持要求：质保期内出现问题，7×24小时的电话技术支持和5×12小时的免费上门现场技术服务；质保期内提供免费上门维护、对故障1小时内技术响应，2小时以内到现场；4小时以内解决问题。</w:t>
      </w:r>
    </w:p>
    <w:p>
      <w:pPr>
        <w:spacing w:line="600" w:lineRule="exact"/>
        <w:rPr>
          <w:rFonts w:ascii="宋体" w:hAnsi="宋体" w:cs="宋体"/>
          <w:b/>
          <w:bCs/>
          <w:sz w:val="24"/>
        </w:rPr>
      </w:pPr>
      <w:r>
        <w:rPr>
          <w:rFonts w:ascii="仿宋_GB2312" w:hAnsi="仿宋" w:eastAsia="仿宋_GB2312" w:cs="仿宋_GB2312"/>
          <w:sz w:val="24"/>
          <w:szCs w:val="20"/>
        </w:rPr>
        <w:t>▲</w:t>
      </w:r>
      <w:r>
        <w:rPr>
          <w:rFonts w:hint="eastAsia" w:ascii="宋体" w:hAnsi="宋体" w:cs="宋体"/>
          <w:b/>
          <w:bCs/>
          <w:sz w:val="24"/>
        </w:rPr>
        <w:t>五、合同履约期限：</w:t>
      </w:r>
    </w:p>
    <w:p>
      <w:pPr>
        <w:pStyle w:val="129"/>
        <w:spacing w:before="0" w:line="600" w:lineRule="exact"/>
        <w:ind w:firstLine="480"/>
        <w:outlineLvl w:val="2"/>
        <w:rPr>
          <w:rFonts w:ascii="宋体" w:hAnsi="宋体" w:cs="宋体"/>
          <w:szCs w:val="24"/>
          <w:lang w:val="zh-CN"/>
        </w:rPr>
      </w:pPr>
      <w:r>
        <w:rPr>
          <w:rFonts w:hint="eastAsia" w:ascii="宋体" w:hAnsi="宋体" w:cs="宋体"/>
          <w:szCs w:val="24"/>
          <w:lang w:val="zh-CN"/>
        </w:rPr>
        <w:t>合同签订之</w:t>
      </w:r>
      <w:r>
        <w:rPr>
          <w:rFonts w:hint="eastAsia" w:ascii="宋体" w:hAnsi="宋体" w:cs="宋体"/>
          <w:szCs w:val="24"/>
          <w:highlight w:val="none"/>
          <w:lang w:val="zh-CN"/>
        </w:rPr>
        <w:t>日起</w:t>
      </w:r>
      <w:r>
        <w:rPr>
          <w:rFonts w:hint="eastAsia" w:ascii="宋体" w:hAnsi="宋体" w:cs="宋体"/>
          <w:szCs w:val="24"/>
          <w:highlight w:val="none"/>
        </w:rPr>
        <w:t>30</w:t>
      </w:r>
      <w:r>
        <w:rPr>
          <w:rFonts w:hint="eastAsia" w:ascii="宋体" w:hAnsi="宋体" w:cs="宋体"/>
          <w:szCs w:val="24"/>
          <w:highlight w:val="none"/>
          <w:lang w:val="zh-CN"/>
        </w:rPr>
        <w:t>日历天内完成安</w:t>
      </w:r>
      <w:r>
        <w:rPr>
          <w:rFonts w:hint="eastAsia" w:ascii="宋体" w:hAnsi="宋体" w:cs="宋体"/>
          <w:szCs w:val="24"/>
          <w:lang w:val="zh-CN"/>
        </w:rPr>
        <w:t>装调试工作；</w:t>
      </w:r>
    </w:p>
    <w:p>
      <w:pPr>
        <w:pStyle w:val="129"/>
        <w:spacing w:before="0" w:line="600" w:lineRule="exact"/>
        <w:ind w:firstLine="0" w:firstLineChars="0"/>
        <w:outlineLvl w:val="2"/>
        <w:rPr>
          <w:rFonts w:ascii="宋体" w:hAnsi="宋体" w:cs="宋体"/>
          <w:b/>
          <w:bCs/>
        </w:rPr>
      </w:pPr>
      <w:r>
        <w:rPr>
          <w:rFonts w:ascii="仿宋_GB2312" w:hAnsi="仿宋" w:eastAsia="仿宋_GB2312" w:cs="仿宋_GB2312"/>
        </w:rPr>
        <w:t>▲</w:t>
      </w:r>
      <w:r>
        <w:rPr>
          <w:rFonts w:hint="eastAsia" w:ascii="宋体" w:hAnsi="宋体" w:cs="宋体"/>
          <w:b/>
          <w:bCs/>
        </w:rPr>
        <w:t>六、履约保证金：</w:t>
      </w:r>
    </w:p>
    <w:p>
      <w:pPr>
        <w:spacing w:line="600" w:lineRule="exact"/>
        <w:ind w:firstLine="470" w:firstLineChars="196"/>
        <w:rPr>
          <w:rFonts w:ascii="宋体" w:hAnsi="宋体" w:cs="宋体"/>
          <w:sz w:val="24"/>
        </w:rPr>
      </w:pPr>
      <w:r>
        <w:rPr>
          <w:rFonts w:hint="eastAsia" w:ascii="宋体" w:hAnsi="宋体" w:cs="宋体"/>
          <w:bCs/>
          <w:sz w:val="24"/>
        </w:rPr>
        <w:t>在签订合同后向采购人缴纳合同价1%的履约保证金（以支票、汇票、本票或者金融机构、担保机构出具的保函等非现金形式提交），</w:t>
      </w:r>
      <w:r>
        <w:rPr>
          <w:rFonts w:hint="eastAsia" w:ascii="宋体" w:hAnsi="宋体" w:cs="宋体"/>
          <w:sz w:val="24"/>
        </w:rPr>
        <w:t>验收通过</w:t>
      </w:r>
      <w:r>
        <w:rPr>
          <w:rFonts w:hint="eastAsia" w:ascii="宋体" w:hAnsi="宋体" w:cs="宋体"/>
          <w:bCs/>
          <w:sz w:val="24"/>
        </w:rPr>
        <w:t>后采购人予以无息退还。</w:t>
      </w:r>
    </w:p>
    <w:p>
      <w:pPr>
        <w:spacing w:line="600" w:lineRule="exact"/>
        <w:rPr>
          <w:rFonts w:ascii="宋体" w:hAnsi="宋体" w:cs="宋体"/>
          <w:b/>
          <w:bCs/>
          <w:sz w:val="24"/>
        </w:rPr>
      </w:pPr>
      <w:r>
        <w:rPr>
          <w:rFonts w:ascii="仿宋_GB2312" w:hAnsi="仿宋" w:eastAsia="仿宋_GB2312" w:cs="仿宋_GB2312"/>
          <w:sz w:val="24"/>
          <w:szCs w:val="20"/>
        </w:rPr>
        <w:t>▲</w:t>
      </w:r>
      <w:r>
        <w:rPr>
          <w:rFonts w:hint="eastAsia" w:ascii="宋体" w:hAnsi="宋体" w:cs="宋体"/>
          <w:b/>
          <w:sz w:val="24"/>
        </w:rPr>
        <w:t>七</w:t>
      </w:r>
      <w:r>
        <w:rPr>
          <w:rFonts w:hint="eastAsia" w:ascii="宋体" w:hAnsi="宋体" w:cs="宋体"/>
          <w:b/>
          <w:bCs/>
          <w:sz w:val="24"/>
        </w:rPr>
        <w:t>、货款支付：</w:t>
      </w:r>
    </w:p>
    <w:p>
      <w:pPr>
        <w:spacing w:line="600" w:lineRule="exact"/>
        <w:ind w:firstLine="480" w:firstLineChars="200"/>
        <w:rPr>
          <w:rFonts w:ascii="宋体" w:hAnsi="宋体" w:cs="宋体"/>
          <w:sz w:val="24"/>
        </w:rPr>
      </w:pPr>
      <w:r>
        <w:rPr>
          <w:rFonts w:hint="eastAsia" w:ascii="宋体" w:hAnsi="宋体" w:cs="宋体"/>
          <w:sz w:val="24"/>
        </w:rPr>
        <w:t>合同签订生效以及具备实施条件后10个工作日内，采购人向中标方支付合同金额50％的预付款。</w:t>
      </w:r>
    </w:p>
    <w:p>
      <w:pPr>
        <w:spacing w:line="600" w:lineRule="exact"/>
        <w:ind w:firstLine="480" w:firstLineChars="200"/>
        <w:rPr>
          <w:rFonts w:ascii="宋体" w:hAnsi="宋体" w:cs="宋体"/>
          <w:sz w:val="24"/>
          <w:highlight w:val="magenta"/>
        </w:rPr>
      </w:pPr>
      <w:r>
        <w:rPr>
          <w:rFonts w:hint="eastAsia" w:ascii="宋体" w:hAnsi="宋体" w:cs="宋体"/>
          <w:sz w:val="24"/>
        </w:rPr>
        <w:t>采购人在供应商根据合同规定将项目交付、验收通过后，供应商提供发票，采购人凭发票、确认单以及合同上报区财政，区财政审批下拨款到位后，立即支付剩余合同价款；</w:t>
      </w:r>
    </w:p>
    <w:p>
      <w:pPr>
        <w:tabs>
          <w:tab w:val="left" w:pos="630"/>
        </w:tabs>
        <w:spacing w:line="600" w:lineRule="exact"/>
        <w:rPr>
          <w:rFonts w:ascii="宋体" w:hAnsi="宋体" w:cs="宋体"/>
          <w:b/>
          <w:sz w:val="24"/>
        </w:rPr>
      </w:pPr>
      <w:r>
        <w:rPr>
          <w:rFonts w:hint="eastAsia" w:ascii="宋体" w:hAnsi="宋体" w:cs="宋体"/>
          <w:b/>
          <w:sz w:val="24"/>
        </w:rPr>
        <w:t>八、验收：</w:t>
      </w:r>
    </w:p>
    <w:p>
      <w:pPr>
        <w:pStyle w:val="33"/>
        <w:snapToGrid w:val="0"/>
        <w:spacing w:line="600" w:lineRule="exact"/>
        <w:ind w:firstLine="410" w:firstLineChars="171"/>
        <w:rPr>
          <w:rFonts w:hAnsi="宋体" w:cs="宋体"/>
          <w:sz w:val="24"/>
          <w:szCs w:val="24"/>
        </w:rPr>
      </w:pPr>
      <w:r>
        <w:rPr>
          <w:rFonts w:hint="eastAsia" w:hAnsi="宋体" w:cs="宋体"/>
          <w:sz w:val="24"/>
          <w:szCs w:val="24"/>
        </w:rPr>
        <w:t>1、根据《杭州市政府采购履约验收暂行办法》（杭财采监〔2019〕10号）规定，采购人应当根据采购项目的具体情况，自行组织项目验收或者委托采购代理机构验收，验收费用由中标人承担。</w:t>
      </w:r>
    </w:p>
    <w:p>
      <w:pPr>
        <w:spacing w:line="600" w:lineRule="exact"/>
        <w:ind w:firstLine="480" w:firstLineChars="200"/>
        <w:rPr>
          <w:rFonts w:ascii="宋体" w:hAnsi="宋体" w:cs="宋体"/>
          <w:sz w:val="24"/>
        </w:rPr>
      </w:pPr>
      <w:r>
        <w:rPr>
          <w:rFonts w:hint="eastAsia" w:ascii="宋体" w:hAnsi="宋体" w:cs="宋体"/>
          <w:sz w:val="24"/>
        </w:rPr>
        <w:t>2、经验收不合格且无法整改的，不付款不退货，所产生的所有损失由乙方承担。</w:t>
      </w:r>
    </w:p>
    <w:p>
      <w:pPr>
        <w:spacing w:line="600" w:lineRule="exact"/>
        <w:rPr>
          <w:rFonts w:ascii="宋体" w:hAnsi="宋体" w:cs="宋体"/>
          <w:b/>
          <w:bCs/>
          <w:sz w:val="24"/>
        </w:rPr>
      </w:pPr>
      <w:r>
        <w:rPr>
          <w:rFonts w:hint="eastAsia" w:ascii="宋体" w:hAnsi="宋体" w:cs="宋体"/>
          <w:b/>
          <w:bCs/>
          <w:sz w:val="24"/>
        </w:rPr>
        <w:t>九、其他：</w:t>
      </w:r>
    </w:p>
    <w:p>
      <w:pPr>
        <w:spacing w:line="600" w:lineRule="exact"/>
        <w:ind w:firstLine="480" w:firstLineChars="200"/>
        <w:rPr>
          <w:rFonts w:ascii="宋体" w:hAnsi="宋体" w:cs="宋体"/>
          <w:sz w:val="24"/>
        </w:rPr>
      </w:pPr>
      <w:r>
        <w:rPr>
          <w:rFonts w:hint="eastAsia" w:ascii="宋体" w:hAnsi="宋体" w:cs="宋体"/>
          <w:sz w:val="24"/>
        </w:rPr>
        <w:t>1、本项目提供的产品及服务无相关纠纷。</w:t>
      </w:r>
    </w:p>
    <w:p>
      <w:pPr>
        <w:spacing w:line="600" w:lineRule="exact"/>
        <w:ind w:firstLine="480" w:firstLineChars="200"/>
        <w:rPr>
          <w:rFonts w:ascii="宋体" w:hAnsi="宋体" w:cs="宋体"/>
          <w:sz w:val="24"/>
        </w:rPr>
      </w:pPr>
      <w:r>
        <w:rPr>
          <w:rFonts w:hint="eastAsia" w:ascii="宋体" w:hAnsi="宋体" w:cs="宋体"/>
          <w:sz w:val="24"/>
        </w:rPr>
        <w:t>2、本项目项目实施过程中发生的死亡、人身伤害、财产损失、损害以及任何其它损失、损害和引起的费用和开支，由供应商承担全部责任。</w:t>
      </w:r>
    </w:p>
    <w:p>
      <w:pPr>
        <w:spacing w:line="600" w:lineRule="exact"/>
        <w:ind w:firstLine="482" w:firstLineChars="200"/>
        <w:rPr>
          <w:rFonts w:ascii="宋体" w:hAnsi="宋体" w:cs="宋体"/>
          <w:b/>
          <w:bCs/>
          <w:sz w:val="24"/>
          <w:highlight w:val="none"/>
        </w:rPr>
      </w:pPr>
      <w:r>
        <w:rPr>
          <w:rFonts w:hint="eastAsia" w:ascii="宋体" w:hAnsi="宋体" w:cs="宋体"/>
          <w:b/>
          <w:bCs/>
          <w:sz w:val="24"/>
          <w:highlight w:val="none"/>
        </w:rPr>
        <w:t>▲3、本项目中标单位提供的软件产品需满足省级未来社区创建要求相关工作，否则采购人有权不支付相关费用。</w:t>
      </w:r>
    </w:p>
    <w:p>
      <w:pPr>
        <w:pStyle w:val="24"/>
        <w:ind w:firstLine="0" w:firstLineChars="0"/>
      </w:pPr>
    </w:p>
    <w:p>
      <w:pPr>
        <w:spacing w:line="360" w:lineRule="auto"/>
        <w:rPr>
          <w:rFonts w:ascii="宋体" w:hAnsi="宋体" w:cs="宋体"/>
          <w:sz w:val="24"/>
        </w:rPr>
      </w:pPr>
    </w:p>
    <w:p>
      <w:pPr>
        <w:widowControl/>
        <w:ind w:firstLine="720" w:firstLineChars="300"/>
        <w:jc w:val="left"/>
        <w:rPr>
          <w:rFonts w:ascii="宋体" w:hAnsi="宋体" w:cs="宋体"/>
          <w:bCs/>
          <w:sz w:val="24"/>
        </w:rPr>
      </w:pPr>
    </w:p>
    <w:p>
      <w:pPr>
        <w:rPr>
          <w:rFonts w:ascii="宋体" w:hAnsi="宋体" w:cs="宋体"/>
          <w:snapToGrid w:val="0"/>
          <w:kern w:val="0"/>
          <w:sz w:val="24"/>
        </w:rPr>
      </w:pPr>
    </w:p>
    <w:p>
      <w:pPr>
        <w:spacing w:line="360" w:lineRule="auto"/>
        <w:jc w:val="center"/>
        <w:outlineLvl w:val="0"/>
        <w:rPr>
          <w:rFonts w:ascii="宋体" w:hAnsi="宋体" w:cs="宋体"/>
          <w:b/>
          <w:sz w:val="36"/>
          <w:szCs w:val="36"/>
        </w:rPr>
      </w:pPr>
      <w:r>
        <w:rPr>
          <w:rFonts w:hint="eastAsia" w:ascii="宋体" w:hAnsi="宋体" w:cs="宋体"/>
          <w:b/>
          <w:sz w:val="24"/>
        </w:rPr>
        <w:br w:type="page"/>
      </w:r>
      <w:r>
        <w:rPr>
          <w:rFonts w:hint="eastAsia" w:ascii="宋体" w:hAnsi="宋体" w:cs="宋体"/>
          <w:b/>
          <w:sz w:val="36"/>
          <w:szCs w:val="36"/>
        </w:rPr>
        <w:t xml:space="preserve">第四部分   </w:t>
      </w:r>
      <w:bookmarkStart w:id="32" w:name="_Toc184310320"/>
      <w:bookmarkEnd w:id="32"/>
      <w:bookmarkStart w:id="33" w:name="_Toc184313241"/>
      <w:bookmarkEnd w:id="33"/>
      <w:bookmarkStart w:id="34" w:name="_Toc184310328"/>
      <w:bookmarkEnd w:id="34"/>
      <w:bookmarkStart w:id="35" w:name="_Toc184312100"/>
      <w:bookmarkEnd w:id="35"/>
      <w:bookmarkStart w:id="36" w:name="_Toc184308050"/>
      <w:bookmarkEnd w:id="36"/>
      <w:bookmarkStart w:id="37" w:name="_Toc184312129"/>
      <w:bookmarkEnd w:id="37"/>
      <w:bookmarkStart w:id="38" w:name="_Toc184313283"/>
      <w:bookmarkEnd w:id="38"/>
      <w:bookmarkStart w:id="39" w:name="_Toc184312093"/>
      <w:bookmarkEnd w:id="39"/>
      <w:bookmarkStart w:id="40" w:name="_Toc184313258"/>
      <w:bookmarkEnd w:id="40"/>
      <w:bookmarkStart w:id="41" w:name="_Toc184314460"/>
      <w:bookmarkEnd w:id="41"/>
      <w:bookmarkStart w:id="42" w:name="_Toc184314424"/>
      <w:bookmarkEnd w:id="42"/>
      <w:bookmarkStart w:id="43" w:name="_Toc184308083"/>
      <w:bookmarkEnd w:id="43"/>
      <w:bookmarkStart w:id="44" w:name="_Toc184314459"/>
      <w:bookmarkEnd w:id="44"/>
      <w:bookmarkStart w:id="45" w:name="_Toc184310344"/>
      <w:bookmarkEnd w:id="45"/>
      <w:bookmarkStart w:id="46" w:name="_Toc184314479"/>
      <w:bookmarkEnd w:id="46"/>
      <w:bookmarkStart w:id="47" w:name="_Toc184310317"/>
      <w:bookmarkEnd w:id="47"/>
      <w:bookmarkStart w:id="48" w:name="_Toc184313306"/>
      <w:bookmarkEnd w:id="48"/>
      <w:bookmarkStart w:id="49" w:name="_Toc184312106"/>
      <w:bookmarkEnd w:id="49"/>
      <w:bookmarkStart w:id="50" w:name="_Toc184312136"/>
      <w:bookmarkEnd w:id="50"/>
      <w:bookmarkStart w:id="51" w:name="_Toc184314466"/>
      <w:bookmarkEnd w:id="51"/>
      <w:bookmarkStart w:id="52" w:name="_Toc184308062"/>
      <w:bookmarkEnd w:id="52"/>
      <w:bookmarkStart w:id="53" w:name="_Toc184308055"/>
      <w:bookmarkEnd w:id="53"/>
      <w:bookmarkStart w:id="54" w:name="_Toc184308067"/>
      <w:bookmarkEnd w:id="54"/>
      <w:bookmarkStart w:id="55" w:name="_Toc184314414"/>
      <w:bookmarkEnd w:id="55"/>
      <w:bookmarkStart w:id="56" w:name="_Toc184310305"/>
      <w:bookmarkEnd w:id="56"/>
      <w:bookmarkStart w:id="57" w:name="_Toc184310339"/>
      <w:bookmarkEnd w:id="57"/>
      <w:bookmarkStart w:id="58" w:name="_Toc184314449"/>
      <w:bookmarkEnd w:id="58"/>
      <w:bookmarkStart w:id="59" w:name="_Toc184314461"/>
      <w:bookmarkEnd w:id="59"/>
      <w:bookmarkStart w:id="60" w:name="_Toc184312079"/>
      <w:bookmarkEnd w:id="60"/>
      <w:bookmarkStart w:id="61" w:name="_Toc184310335"/>
      <w:bookmarkEnd w:id="61"/>
      <w:bookmarkStart w:id="62" w:name="_Toc184312135"/>
      <w:bookmarkEnd w:id="62"/>
      <w:bookmarkStart w:id="63" w:name="_Toc184308102"/>
      <w:bookmarkEnd w:id="63"/>
      <w:bookmarkStart w:id="64" w:name="_Toc184308090"/>
      <w:bookmarkEnd w:id="64"/>
      <w:bookmarkStart w:id="65" w:name="_Toc184308061"/>
      <w:bookmarkEnd w:id="65"/>
      <w:bookmarkStart w:id="66" w:name="_Toc184308065"/>
      <w:bookmarkEnd w:id="66"/>
      <w:bookmarkStart w:id="67" w:name="_Toc184310311"/>
      <w:bookmarkEnd w:id="67"/>
      <w:bookmarkStart w:id="68" w:name="_Toc184310331"/>
      <w:bookmarkEnd w:id="68"/>
      <w:bookmarkStart w:id="69" w:name="_Toc184312084"/>
      <w:bookmarkEnd w:id="69"/>
      <w:bookmarkStart w:id="70" w:name="_Toc184310279"/>
      <w:bookmarkEnd w:id="70"/>
      <w:bookmarkStart w:id="71" w:name="_Toc184314411"/>
      <w:bookmarkEnd w:id="71"/>
      <w:bookmarkStart w:id="72" w:name="_Toc184310289"/>
      <w:bookmarkEnd w:id="72"/>
      <w:bookmarkStart w:id="73" w:name="_Toc184310288"/>
      <w:bookmarkEnd w:id="73"/>
      <w:bookmarkStart w:id="74" w:name="_Toc184314445"/>
      <w:bookmarkEnd w:id="74"/>
      <w:bookmarkStart w:id="75" w:name="_Toc184308048"/>
      <w:bookmarkEnd w:id="75"/>
      <w:bookmarkStart w:id="76" w:name="_Toc184314447"/>
      <w:bookmarkEnd w:id="76"/>
      <w:bookmarkStart w:id="77" w:name="_Toc184308075"/>
      <w:bookmarkEnd w:id="77"/>
      <w:bookmarkStart w:id="78" w:name="_Toc184314457"/>
      <w:bookmarkEnd w:id="78"/>
      <w:bookmarkStart w:id="79" w:name="_Toc184313244"/>
      <w:bookmarkEnd w:id="79"/>
      <w:bookmarkStart w:id="80" w:name="_Toc184313281"/>
      <w:bookmarkEnd w:id="80"/>
      <w:bookmarkStart w:id="81" w:name="_Toc184310337"/>
      <w:bookmarkEnd w:id="81"/>
      <w:bookmarkStart w:id="82" w:name="_Toc184314425"/>
      <w:bookmarkEnd w:id="82"/>
      <w:bookmarkStart w:id="83" w:name="_Toc184308042"/>
      <w:bookmarkEnd w:id="83"/>
      <w:bookmarkStart w:id="84" w:name="_Toc184310321"/>
      <w:bookmarkEnd w:id="84"/>
      <w:bookmarkStart w:id="85" w:name="_Toc184313270"/>
      <w:bookmarkEnd w:id="85"/>
      <w:bookmarkStart w:id="86" w:name="_Toc184308104"/>
      <w:bookmarkEnd w:id="86"/>
      <w:bookmarkStart w:id="87" w:name="_Toc184312083"/>
      <w:bookmarkEnd w:id="87"/>
      <w:bookmarkStart w:id="88" w:name="_Toc184314453"/>
      <w:bookmarkEnd w:id="88"/>
      <w:bookmarkStart w:id="89" w:name="_Toc184308108"/>
      <w:bookmarkEnd w:id="89"/>
      <w:bookmarkStart w:id="90" w:name="_Toc184312126"/>
      <w:bookmarkEnd w:id="90"/>
      <w:bookmarkStart w:id="91" w:name="_Toc184308056"/>
      <w:bookmarkEnd w:id="91"/>
      <w:bookmarkStart w:id="92" w:name="_Toc184314412"/>
      <w:bookmarkEnd w:id="92"/>
      <w:bookmarkStart w:id="93" w:name="_Toc184314413"/>
      <w:bookmarkEnd w:id="93"/>
      <w:bookmarkStart w:id="94" w:name="_Toc184313264"/>
      <w:bookmarkEnd w:id="94"/>
      <w:bookmarkStart w:id="95" w:name="_Toc184312119"/>
      <w:bookmarkEnd w:id="95"/>
      <w:bookmarkStart w:id="96" w:name="_Toc184312086"/>
      <w:bookmarkEnd w:id="96"/>
      <w:bookmarkStart w:id="97" w:name="_Toc184308084"/>
      <w:bookmarkEnd w:id="97"/>
      <w:bookmarkStart w:id="98" w:name="_Toc184308068"/>
      <w:bookmarkEnd w:id="98"/>
      <w:bookmarkStart w:id="99" w:name="_Toc184312109"/>
      <w:bookmarkEnd w:id="99"/>
      <w:bookmarkStart w:id="100" w:name="_Toc184312082"/>
      <w:bookmarkEnd w:id="100"/>
      <w:bookmarkStart w:id="101" w:name="_Toc184312081"/>
      <w:bookmarkEnd w:id="101"/>
      <w:bookmarkStart w:id="102" w:name="_Toc184312073"/>
      <w:bookmarkEnd w:id="102"/>
      <w:bookmarkStart w:id="103" w:name="_Toc184310283"/>
      <w:bookmarkEnd w:id="103"/>
      <w:bookmarkStart w:id="104" w:name="_Toc184308078"/>
      <w:bookmarkEnd w:id="104"/>
      <w:bookmarkStart w:id="105" w:name="_Toc184312087"/>
      <w:bookmarkEnd w:id="105"/>
      <w:bookmarkStart w:id="106" w:name="_Toc184310323"/>
      <w:bookmarkEnd w:id="106"/>
      <w:bookmarkStart w:id="107" w:name="_Toc184312130"/>
      <w:bookmarkEnd w:id="107"/>
      <w:bookmarkStart w:id="108" w:name="_Toc184312108"/>
      <w:bookmarkEnd w:id="108"/>
      <w:bookmarkStart w:id="109" w:name="_Toc184313254"/>
      <w:bookmarkEnd w:id="109"/>
      <w:bookmarkStart w:id="110" w:name="_Toc184313269"/>
      <w:bookmarkEnd w:id="110"/>
      <w:bookmarkStart w:id="111" w:name="_Toc184308091"/>
      <w:bookmarkEnd w:id="111"/>
      <w:bookmarkStart w:id="112" w:name="_Toc184314418"/>
      <w:bookmarkEnd w:id="112"/>
      <w:bookmarkStart w:id="113" w:name="_Toc184313267"/>
      <w:bookmarkEnd w:id="113"/>
      <w:bookmarkStart w:id="114" w:name="_Toc184312091"/>
      <w:bookmarkEnd w:id="114"/>
      <w:bookmarkStart w:id="115" w:name="_Toc184310280"/>
      <w:bookmarkEnd w:id="115"/>
      <w:bookmarkStart w:id="116" w:name="_Toc184308058"/>
      <w:bookmarkEnd w:id="116"/>
      <w:bookmarkStart w:id="117" w:name="_Toc184314473"/>
      <w:bookmarkEnd w:id="117"/>
      <w:bookmarkStart w:id="118" w:name="_Toc184313259"/>
      <w:bookmarkEnd w:id="118"/>
      <w:bookmarkStart w:id="119" w:name="_Toc184314450"/>
      <w:bookmarkEnd w:id="119"/>
      <w:bookmarkStart w:id="120" w:name="_Toc184308103"/>
      <w:bookmarkEnd w:id="120"/>
      <w:bookmarkStart w:id="121" w:name="_Toc184312123"/>
      <w:bookmarkEnd w:id="121"/>
      <w:bookmarkStart w:id="122" w:name="_Toc184314480"/>
      <w:bookmarkEnd w:id="122"/>
      <w:bookmarkStart w:id="123" w:name="_Toc184314434"/>
      <w:bookmarkEnd w:id="123"/>
      <w:bookmarkStart w:id="124" w:name="_Toc184313246"/>
      <w:bookmarkEnd w:id="124"/>
      <w:bookmarkStart w:id="125" w:name="_Toc184310274"/>
      <w:bookmarkEnd w:id="125"/>
      <w:bookmarkStart w:id="126" w:name="_Toc184312068"/>
      <w:bookmarkEnd w:id="126"/>
      <w:bookmarkStart w:id="127" w:name="_Toc184310301"/>
      <w:bookmarkEnd w:id="127"/>
      <w:bookmarkStart w:id="128" w:name="_Toc184312125"/>
      <w:bookmarkEnd w:id="128"/>
      <w:bookmarkStart w:id="129" w:name="_Toc184312076"/>
      <w:bookmarkEnd w:id="129"/>
      <w:bookmarkStart w:id="130" w:name="_Toc184312077"/>
      <w:bookmarkEnd w:id="130"/>
      <w:bookmarkStart w:id="131" w:name="_Toc184312128"/>
      <w:bookmarkEnd w:id="131"/>
      <w:bookmarkStart w:id="132" w:name="_Toc184312134"/>
      <w:bookmarkEnd w:id="132"/>
      <w:bookmarkStart w:id="133" w:name="_Toc184313255"/>
      <w:bookmarkEnd w:id="133"/>
      <w:bookmarkStart w:id="134" w:name="_Toc184310290"/>
      <w:bookmarkEnd w:id="134"/>
      <w:bookmarkStart w:id="135" w:name="_Toc184310308"/>
      <w:bookmarkEnd w:id="135"/>
      <w:bookmarkStart w:id="136" w:name="_Toc184312131"/>
      <w:bookmarkEnd w:id="136"/>
      <w:bookmarkStart w:id="137" w:name="_Toc184314419"/>
      <w:bookmarkEnd w:id="137"/>
      <w:bookmarkStart w:id="138" w:name="_Toc184312088"/>
      <w:bookmarkEnd w:id="138"/>
      <w:bookmarkStart w:id="139" w:name="_Toc184313282"/>
      <w:bookmarkEnd w:id="139"/>
      <w:bookmarkStart w:id="140" w:name="_Toc184308040"/>
      <w:bookmarkEnd w:id="140"/>
      <w:bookmarkStart w:id="141" w:name="_Toc184308105"/>
      <w:bookmarkEnd w:id="141"/>
      <w:bookmarkStart w:id="142" w:name="_Toc184310273"/>
      <w:bookmarkEnd w:id="142"/>
      <w:bookmarkStart w:id="143" w:name="_Toc184308043"/>
      <w:bookmarkEnd w:id="143"/>
      <w:bookmarkStart w:id="144" w:name="_Toc184313243"/>
      <w:bookmarkEnd w:id="144"/>
      <w:bookmarkStart w:id="145" w:name="_Toc184310326"/>
      <w:bookmarkEnd w:id="145"/>
      <w:bookmarkStart w:id="146" w:name="_Toc184310278"/>
      <w:bookmarkEnd w:id="146"/>
      <w:bookmarkStart w:id="147" w:name="_Toc184310336"/>
      <w:bookmarkEnd w:id="147"/>
      <w:bookmarkStart w:id="148" w:name="_Toc184312111"/>
      <w:bookmarkEnd w:id="148"/>
      <w:bookmarkStart w:id="149" w:name="_Toc184313297"/>
      <w:bookmarkEnd w:id="149"/>
      <w:bookmarkStart w:id="150" w:name="_Toc184312120"/>
      <w:bookmarkEnd w:id="150"/>
      <w:bookmarkStart w:id="151" w:name="_Toc184314465"/>
      <w:bookmarkEnd w:id="151"/>
      <w:bookmarkStart w:id="152" w:name="_Toc184314435"/>
      <w:bookmarkEnd w:id="152"/>
      <w:bookmarkStart w:id="153" w:name="_Toc184312132"/>
      <w:bookmarkEnd w:id="153"/>
      <w:bookmarkStart w:id="154" w:name="_Toc184310294"/>
      <w:bookmarkEnd w:id="154"/>
      <w:bookmarkStart w:id="155" w:name="_Toc184314455"/>
      <w:bookmarkEnd w:id="155"/>
      <w:bookmarkStart w:id="156" w:name="_Toc184314454"/>
      <w:bookmarkEnd w:id="156"/>
      <w:bookmarkStart w:id="157" w:name="_Toc184312099"/>
      <w:bookmarkEnd w:id="157"/>
      <w:bookmarkStart w:id="158" w:name="_Toc184310303"/>
      <w:bookmarkEnd w:id="158"/>
      <w:bookmarkStart w:id="159" w:name="_Toc184314452"/>
      <w:bookmarkEnd w:id="159"/>
      <w:bookmarkStart w:id="160" w:name="_Toc184308085"/>
      <w:bookmarkEnd w:id="160"/>
      <w:bookmarkStart w:id="161" w:name="_Toc184310309"/>
      <w:bookmarkEnd w:id="161"/>
      <w:bookmarkStart w:id="162" w:name="_Toc184314475"/>
      <w:bookmarkEnd w:id="162"/>
      <w:bookmarkStart w:id="163" w:name="_Toc184308038"/>
      <w:bookmarkEnd w:id="163"/>
      <w:bookmarkStart w:id="164" w:name="_Toc184314472"/>
      <w:bookmarkEnd w:id="164"/>
      <w:bookmarkStart w:id="165" w:name="_Toc184313247"/>
      <w:bookmarkEnd w:id="165"/>
      <w:bookmarkStart w:id="166" w:name="_Toc184308037"/>
      <w:bookmarkEnd w:id="166"/>
      <w:bookmarkStart w:id="167" w:name="_Toc184313265"/>
      <w:bookmarkEnd w:id="167"/>
      <w:bookmarkStart w:id="168" w:name="_Toc184314436"/>
      <w:bookmarkEnd w:id="168"/>
      <w:bookmarkStart w:id="169" w:name="_Toc184314482"/>
      <w:bookmarkEnd w:id="169"/>
      <w:bookmarkStart w:id="170" w:name="_Toc184314446"/>
      <w:bookmarkEnd w:id="170"/>
      <w:bookmarkStart w:id="171" w:name="_Toc184314428"/>
      <w:bookmarkEnd w:id="171"/>
      <w:bookmarkStart w:id="172" w:name="_Toc184314481"/>
      <w:bookmarkEnd w:id="172"/>
      <w:bookmarkStart w:id="173" w:name="_Toc184313300"/>
      <w:bookmarkEnd w:id="173"/>
      <w:bookmarkStart w:id="174" w:name="_Toc184313253"/>
      <w:bookmarkEnd w:id="174"/>
      <w:bookmarkStart w:id="175" w:name="_Toc184308074"/>
      <w:bookmarkEnd w:id="175"/>
      <w:bookmarkStart w:id="176" w:name="_Toc184310291"/>
      <w:bookmarkEnd w:id="176"/>
      <w:bookmarkStart w:id="177" w:name="_Toc184312121"/>
      <w:bookmarkEnd w:id="177"/>
      <w:bookmarkStart w:id="178" w:name="_Toc184313309"/>
      <w:bookmarkEnd w:id="178"/>
      <w:bookmarkStart w:id="179" w:name="_Toc184313248"/>
      <w:bookmarkEnd w:id="179"/>
      <w:bookmarkStart w:id="180" w:name="_Toc184312116"/>
      <w:bookmarkEnd w:id="180"/>
      <w:bookmarkStart w:id="181" w:name="_Toc184308049"/>
      <w:bookmarkEnd w:id="181"/>
      <w:bookmarkStart w:id="182" w:name="_Toc184310340"/>
      <w:bookmarkEnd w:id="182"/>
      <w:bookmarkStart w:id="183" w:name="_Toc184308057"/>
      <w:bookmarkEnd w:id="183"/>
      <w:bookmarkStart w:id="184" w:name="_Toc184313273"/>
      <w:bookmarkEnd w:id="184"/>
      <w:bookmarkStart w:id="185" w:name="_Toc184312112"/>
      <w:bookmarkEnd w:id="185"/>
      <w:bookmarkStart w:id="186" w:name="_Toc184313279"/>
      <w:bookmarkEnd w:id="186"/>
      <w:bookmarkStart w:id="187" w:name="_Toc184313278"/>
      <w:bookmarkEnd w:id="187"/>
      <w:bookmarkStart w:id="188" w:name="_Toc184312124"/>
      <w:bookmarkEnd w:id="188"/>
      <w:bookmarkStart w:id="189" w:name="_Toc184312097"/>
      <w:bookmarkEnd w:id="189"/>
      <w:bookmarkStart w:id="190" w:name="_Toc184314469"/>
      <w:bookmarkEnd w:id="190"/>
      <w:bookmarkStart w:id="191" w:name="_Toc184314451"/>
      <w:bookmarkEnd w:id="191"/>
      <w:bookmarkStart w:id="192" w:name="_Toc184313257"/>
      <w:bookmarkEnd w:id="192"/>
      <w:bookmarkStart w:id="193" w:name="_Toc184313310"/>
      <w:bookmarkEnd w:id="193"/>
      <w:bookmarkStart w:id="194" w:name="_Toc184308051"/>
      <w:bookmarkEnd w:id="194"/>
      <w:bookmarkStart w:id="195" w:name="_Toc184314476"/>
      <w:bookmarkEnd w:id="195"/>
      <w:bookmarkStart w:id="196" w:name="_Toc184308081"/>
      <w:bookmarkEnd w:id="196"/>
      <w:bookmarkStart w:id="197" w:name="_Toc184313288"/>
      <w:bookmarkEnd w:id="197"/>
      <w:bookmarkStart w:id="198" w:name="_Toc184308088"/>
      <w:bookmarkEnd w:id="198"/>
      <w:bookmarkStart w:id="199" w:name="_Toc184313276"/>
      <w:bookmarkEnd w:id="199"/>
      <w:bookmarkStart w:id="200" w:name="_Toc184308072"/>
      <w:bookmarkEnd w:id="200"/>
      <w:bookmarkStart w:id="201" w:name="_Toc184314439"/>
      <w:bookmarkEnd w:id="201"/>
      <w:bookmarkStart w:id="202" w:name="_Toc184313304"/>
      <w:bookmarkEnd w:id="202"/>
      <w:bookmarkStart w:id="203" w:name="_Toc184313291"/>
      <w:bookmarkEnd w:id="203"/>
      <w:bookmarkStart w:id="204" w:name="_Toc184312122"/>
      <w:bookmarkEnd w:id="204"/>
      <w:bookmarkStart w:id="205" w:name="_Toc184312095"/>
      <w:bookmarkEnd w:id="205"/>
      <w:bookmarkStart w:id="206" w:name="_Toc184310277"/>
      <w:bookmarkEnd w:id="206"/>
      <w:bookmarkStart w:id="207" w:name="_Toc184313240"/>
      <w:bookmarkEnd w:id="207"/>
      <w:bookmarkStart w:id="208" w:name="_Toc184313290"/>
      <w:bookmarkEnd w:id="208"/>
      <w:bookmarkStart w:id="209" w:name="_Toc184312069"/>
      <w:bookmarkEnd w:id="209"/>
      <w:bookmarkStart w:id="210" w:name="_Toc184308069"/>
      <w:bookmarkEnd w:id="210"/>
      <w:bookmarkStart w:id="211" w:name="_Toc184313292"/>
      <w:bookmarkEnd w:id="211"/>
      <w:bookmarkStart w:id="212" w:name="_Toc184310322"/>
      <w:bookmarkEnd w:id="212"/>
      <w:bookmarkStart w:id="213" w:name="_Toc184313299"/>
      <w:bookmarkEnd w:id="213"/>
      <w:bookmarkStart w:id="214" w:name="_Toc184312098"/>
      <w:bookmarkEnd w:id="214"/>
      <w:bookmarkStart w:id="215" w:name="_Toc184310312"/>
      <w:bookmarkEnd w:id="215"/>
      <w:bookmarkStart w:id="216" w:name="_Toc184312118"/>
      <w:bookmarkEnd w:id="216"/>
      <w:bookmarkStart w:id="217" w:name="_Toc184310304"/>
      <w:bookmarkEnd w:id="217"/>
      <w:bookmarkStart w:id="218" w:name="_Toc184308093"/>
      <w:bookmarkEnd w:id="218"/>
      <w:bookmarkStart w:id="219" w:name="_Toc184314432"/>
      <w:bookmarkEnd w:id="219"/>
      <w:bookmarkStart w:id="220" w:name="_Toc184314458"/>
      <w:bookmarkEnd w:id="220"/>
      <w:bookmarkStart w:id="221" w:name="_Toc184310327"/>
      <w:bookmarkEnd w:id="221"/>
      <w:bookmarkStart w:id="222" w:name="_Toc184312090"/>
      <w:bookmarkEnd w:id="222"/>
      <w:bookmarkStart w:id="223" w:name="_Toc184313256"/>
      <w:bookmarkEnd w:id="223"/>
      <w:bookmarkStart w:id="224" w:name="_Toc184313293"/>
      <w:bookmarkEnd w:id="224"/>
      <w:bookmarkStart w:id="225" w:name="_Toc184310298"/>
      <w:bookmarkEnd w:id="225"/>
      <w:bookmarkStart w:id="226" w:name="_Toc184314422"/>
      <w:bookmarkEnd w:id="226"/>
      <w:bookmarkStart w:id="227" w:name="_Toc184312137"/>
      <w:bookmarkEnd w:id="227"/>
      <w:bookmarkStart w:id="228" w:name="_Toc184308054"/>
      <w:bookmarkEnd w:id="228"/>
      <w:bookmarkStart w:id="229" w:name="_Toc184310295"/>
      <w:bookmarkEnd w:id="229"/>
      <w:bookmarkStart w:id="230" w:name="_Toc184308092"/>
      <w:bookmarkEnd w:id="230"/>
      <w:bookmarkStart w:id="231" w:name="_Toc184313250"/>
      <w:bookmarkEnd w:id="231"/>
      <w:bookmarkStart w:id="232" w:name="_Toc184310300"/>
      <w:bookmarkEnd w:id="232"/>
      <w:bookmarkStart w:id="233" w:name="_Toc184313262"/>
      <w:bookmarkEnd w:id="233"/>
      <w:bookmarkStart w:id="234" w:name="_Toc184308077"/>
      <w:bookmarkEnd w:id="234"/>
      <w:bookmarkStart w:id="235" w:name="_Toc184310302"/>
      <w:bookmarkEnd w:id="235"/>
      <w:bookmarkStart w:id="236" w:name="_Toc184312114"/>
      <w:bookmarkEnd w:id="236"/>
      <w:bookmarkStart w:id="237" w:name="_Toc184314443"/>
      <w:bookmarkEnd w:id="237"/>
      <w:bookmarkStart w:id="238" w:name="_Toc184314464"/>
      <w:bookmarkEnd w:id="238"/>
      <w:bookmarkStart w:id="239" w:name="_Toc184312110"/>
      <w:bookmarkEnd w:id="239"/>
      <w:bookmarkStart w:id="240" w:name="_Toc184313268"/>
      <w:bookmarkEnd w:id="240"/>
      <w:bookmarkStart w:id="241" w:name="_Toc184310286"/>
      <w:bookmarkEnd w:id="241"/>
      <w:bookmarkStart w:id="242" w:name="_Toc184313298"/>
      <w:bookmarkEnd w:id="242"/>
      <w:bookmarkStart w:id="243" w:name="_Toc184310281"/>
      <w:bookmarkEnd w:id="243"/>
      <w:bookmarkStart w:id="244" w:name="_Toc184312096"/>
      <w:bookmarkEnd w:id="244"/>
      <w:bookmarkStart w:id="245" w:name="_Toc184314468"/>
      <w:bookmarkEnd w:id="245"/>
      <w:bookmarkStart w:id="246" w:name="_Toc184314467"/>
      <w:bookmarkEnd w:id="246"/>
      <w:bookmarkStart w:id="247" w:name="_Toc184310313"/>
      <w:bookmarkEnd w:id="247"/>
      <w:bookmarkStart w:id="248" w:name="_Toc184312094"/>
      <w:bookmarkEnd w:id="248"/>
      <w:bookmarkStart w:id="249" w:name="_Toc184310310"/>
      <w:bookmarkEnd w:id="249"/>
      <w:bookmarkStart w:id="250" w:name="_Toc184312102"/>
      <w:bookmarkEnd w:id="250"/>
      <w:bookmarkStart w:id="251" w:name="_Toc184313285"/>
      <w:bookmarkEnd w:id="251"/>
      <w:bookmarkStart w:id="252" w:name="_Toc184314441"/>
      <w:bookmarkEnd w:id="252"/>
      <w:bookmarkStart w:id="253" w:name="_Toc184313266"/>
      <w:bookmarkEnd w:id="253"/>
      <w:bookmarkStart w:id="254" w:name="_Toc184313251"/>
      <w:bookmarkEnd w:id="254"/>
      <w:bookmarkStart w:id="255" w:name="_Toc184312117"/>
      <w:bookmarkEnd w:id="255"/>
      <w:bookmarkStart w:id="256" w:name="_Toc184314426"/>
      <w:bookmarkEnd w:id="256"/>
      <w:bookmarkStart w:id="257" w:name="_Toc184310330"/>
      <w:bookmarkEnd w:id="257"/>
      <w:bookmarkStart w:id="258" w:name="_Toc184313280"/>
      <w:bookmarkEnd w:id="258"/>
      <w:bookmarkStart w:id="259" w:name="_Toc184313275"/>
      <w:bookmarkEnd w:id="259"/>
      <w:bookmarkStart w:id="260" w:name="_Toc184314416"/>
      <w:bookmarkEnd w:id="260"/>
      <w:bookmarkStart w:id="261" w:name="_Toc184308063"/>
      <w:bookmarkEnd w:id="261"/>
      <w:bookmarkStart w:id="262" w:name="_Toc184308053"/>
      <w:bookmarkEnd w:id="262"/>
      <w:bookmarkStart w:id="263" w:name="_Toc184314442"/>
      <w:bookmarkEnd w:id="263"/>
      <w:bookmarkStart w:id="264" w:name="_Toc184310318"/>
      <w:bookmarkEnd w:id="264"/>
      <w:bookmarkStart w:id="265" w:name="_Toc184310325"/>
      <w:bookmarkEnd w:id="265"/>
      <w:bookmarkStart w:id="266" w:name="_Toc184314429"/>
      <w:bookmarkEnd w:id="266"/>
      <w:bookmarkStart w:id="267" w:name="_Toc184312107"/>
      <w:bookmarkEnd w:id="267"/>
      <w:bookmarkStart w:id="268" w:name="_Toc184310292"/>
      <w:bookmarkEnd w:id="268"/>
      <w:bookmarkStart w:id="269" w:name="_Toc184310343"/>
      <w:bookmarkEnd w:id="269"/>
      <w:bookmarkStart w:id="270" w:name="_Toc184313242"/>
      <w:bookmarkEnd w:id="270"/>
      <w:bookmarkStart w:id="271" w:name="_Toc184308098"/>
      <w:bookmarkEnd w:id="271"/>
      <w:bookmarkStart w:id="272" w:name="_Toc184310296"/>
      <w:bookmarkEnd w:id="272"/>
      <w:bookmarkStart w:id="273" w:name="_Toc184312072"/>
      <w:bookmarkEnd w:id="273"/>
      <w:bookmarkStart w:id="274" w:name="_Toc184312133"/>
      <w:bookmarkEnd w:id="274"/>
      <w:bookmarkStart w:id="275" w:name="_Toc184308060"/>
      <w:bookmarkEnd w:id="275"/>
      <w:bookmarkStart w:id="276" w:name="_Toc184310314"/>
      <w:bookmarkEnd w:id="276"/>
      <w:bookmarkStart w:id="277" w:name="_Toc184310338"/>
      <w:bookmarkEnd w:id="277"/>
      <w:bookmarkStart w:id="278" w:name="_Toc184310282"/>
      <w:bookmarkEnd w:id="278"/>
      <w:bookmarkStart w:id="279" w:name="_Toc184308070"/>
      <w:bookmarkEnd w:id="279"/>
      <w:bookmarkStart w:id="280" w:name="_Toc184310332"/>
      <w:bookmarkEnd w:id="280"/>
      <w:bookmarkStart w:id="281" w:name="_Toc184314423"/>
      <w:bookmarkEnd w:id="281"/>
      <w:bookmarkStart w:id="282" w:name="_Toc184310287"/>
      <w:bookmarkEnd w:id="282"/>
      <w:bookmarkStart w:id="283" w:name="_Toc184308052"/>
      <w:bookmarkEnd w:id="283"/>
      <w:bookmarkStart w:id="284" w:name="_Toc184308080"/>
      <w:bookmarkEnd w:id="284"/>
      <w:bookmarkStart w:id="285" w:name="_Toc184308097"/>
      <w:bookmarkEnd w:id="285"/>
      <w:bookmarkStart w:id="286" w:name="_Toc184312078"/>
      <w:bookmarkEnd w:id="286"/>
      <w:bookmarkStart w:id="287" w:name="_Toc184314430"/>
      <w:bookmarkEnd w:id="287"/>
      <w:bookmarkStart w:id="288" w:name="_Toc184308073"/>
      <w:bookmarkEnd w:id="288"/>
      <w:bookmarkStart w:id="289" w:name="_Toc184310307"/>
      <w:bookmarkEnd w:id="289"/>
      <w:bookmarkStart w:id="290" w:name="_Toc184314477"/>
      <w:bookmarkEnd w:id="290"/>
      <w:bookmarkStart w:id="291" w:name="_Toc184308107"/>
      <w:bookmarkEnd w:id="291"/>
      <w:bookmarkStart w:id="292" w:name="_Toc184314437"/>
      <w:bookmarkEnd w:id="292"/>
      <w:bookmarkStart w:id="293" w:name="_Toc184314463"/>
      <w:bookmarkEnd w:id="293"/>
      <w:bookmarkStart w:id="294" w:name="_Toc184312113"/>
      <w:bookmarkEnd w:id="294"/>
      <w:bookmarkStart w:id="295" w:name="_Toc184310333"/>
      <w:bookmarkEnd w:id="295"/>
      <w:bookmarkStart w:id="296" w:name="_Toc184310316"/>
      <w:bookmarkEnd w:id="296"/>
      <w:bookmarkStart w:id="297" w:name="_Toc184308036"/>
      <w:bookmarkEnd w:id="297"/>
      <w:bookmarkStart w:id="298" w:name="_Toc184312115"/>
      <w:bookmarkEnd w:id="298"/>
      <w:bookmarkStart w:id="299" w:name="_Toc184308106"/>
      <w:bookmarkEnd w:id="299"/>
      <w:bookmarkStart w:id="300" w:name="_Toc184313301"/>
      <w:bookmarkEnd w:id="300"/>
      <w:bookmarkStart w:id="301" w:name="_Toc184313245"/>
      <w:bookmarkEnd w:id="301"/>
      <w:bookmarkStart w:id="302" w:name="_Toc184308044"/>
      <w:bookmarkEnd w:id="302"/>
      <w:bookmarkStart w:id="303" w:name="_Toc184308046"/>
      <w:bookmarkEnd w:id="303"/>
      <w:bookmarkStart w:id="304" w:name="_Toc184308100"/>
      <w:bookmarkEnd w:id="304"/>
      <w:bookmarkStart w:id="305" w:name="_Toc184313296"/>
      <w:bookmarkEnd w:id="305"/>
      <w:bookmarkStart w:id="306" w:name="_Toc184313238"/>
      <w:bookmarkEnd w:id="306"/>
      <w:bookmarkStart w:id="307" w:name="_Toc184314478"/>
      <w:bookmarkEnd w:id="307"/>
      <w:bookmarkStart w:id="308" w:name="_Toc184308082"/>
      <w:bookmarkEnd w:id="308"/>
      <w:bookmarkStart w:id="309" w:name="_Toc184310297"/>
      <w:bookmarkEnd w:id="309"/>
      <w:bookmarkStart w:id="310" w:name="_Toc184310275"/>
      <w:bookmarkEnd w:id="310"/>
      <w:bookmarkStart w:id="311" w:name="_Toc184313274"/>
      <w:bookmarkEnd w:id="311"/>
      <w:bookmarkStart w:id="312" w:name="_Toc184312071"/>
      <w:bookmarkEnd w:id="312"/>
      <w:bookmarkStart w:id="313" w:name="_Toc184312067"/>
      <w:bookmarkEnd w:id="313"/>
      <w:bookmarkStart w:id="314" w:name="_Toc184310276"/>
      <w:bookmarkEnd w:id="314"/>
      <w:bookmarkStart w:id="315" w:name="_Toc184314474"/>
      <w:bookmarkEnd w:id="315"/>
      <w:bookmarkStart w:id="316" w:name="_Toc184308087"/>
      <w:bookmarkEnd w:id="316"/>
      <w:bookmarkStart w:id="317" w:name="_Toc184310341"/>
      <w:bookmarkEnd w:id="317"/>
      <w:bookmarkStart w:id="318" w:name="_Toc184308039"/>
      <w:bookmarkEnd w:id="318"/>
      <w:bookmarkStart w:id="319" w:name="_Toc184313277"/>
      <w:bookmarkEnd w:id="319"/>
      <w:bookmarkStart w:id="320" w:name="_Toc184313302"/>
      <w:bookmarkEnd w:id="320"/>
      <w:bookmarkStart w:id="321" w:name="_Toc184310299"/>
      <w:bookmarkEnd w:id="321"/>
      <w:bookmarkStart w:id="322" w:name="_Toc184308101"/>
      <w:bookmarkEnd w:id="322"/>
      <w:bookmarkStart w:id="323" w:name="_Toc184312101"/>
      <w:bookmarkEnd w:id="323"/>
      <w:bookmarkStart w:id="324" w:name="_Toc184308059"/>
      <w:bookmarkEnd w:id="324"/>
      <w:bookmarkStart w:id="325" w:name="_Toc184313308"/>
      <w:bookmarkEnd w:id="325"/>
      <w:bookmarkStart w:id="326" w:name="_Toc184314427"/>
      <w:bookmarkEnd w:id="326"/>
      <w:bookmarkStart w:id="327" w:name="_Toc184312138"/>
      <w:bookmarkEnd w:id="327"/>
      <w:bookmarkStart w:id="328" w:name="_Toc184313286"/>
      <w:bookmarkEnd w:id="328"/>
      <w:bookmarkStart w:id="329" w:name="_Toc184312089"/>
      <w:bookmarkEnd w:id="329"/>
      <w:bookmarkStart w:id="330" w:name="_Toc184313305"/>
      <w:bookmarkEnd w:id="330"/>
      <w:bookmarkStart w:id="331" w:name="_Toc184314421"/>
      <w:bookmarkEnd w:id="331"/>
      <w:bookmarkStart w:id="332" w:name="_Toc184308076"/>
      <w:bookmarkEnd w:id="332"/>
      <w:bookmarkStart w:id="333" w:name="_Toc184314415"/>
      <w:bookmarkEnd w:id="333"/>
      <w:bookmarkStart w:id="334" w:name="_Toc184308045"/>
      <w:bookmarkEnd w:id="334"/>
      <w:bookmarkStart w:id="335" w:name="_Toc184314417"/>
      <w:bookmarkEnd w:id="335"/>
      <w:bookmarkStart w:id="336" w:name="_Toc184308095"/>
      <w:bookmarkEnd w:id="336"/>
      <w:bookmarkStart w:id="337" w:name="_Toc184308064"/>
      <w:bookmarkEnd w:id="337"/>
      <w:bookmarkStart w:id="338" w:name="_Toc184313260"/>
      <w:bookmarkEnd w:id="338"/>
      <w:bookmarkStart w:id="339" w:name="_Toc184310324"/>
      <w:bookmarkEnd w:id="339"/>
      <w:bookmarkStart w:id="340" w:name="_Toc184310306"/>
      <w:bookmarkEnd w:id="340"/>
      <w:bookmarkStart w:id="341" w:name="_Toc184312103"/>
      <w:bookmarkEnd w:id="341"/>
      <w:bookmarkStart w:id="342" w:name="_Toc184310315"/>
      <w:bookmarkEnd w:id="342"/>
      <w:bookmarkStart w:id="343" w:name="_Toc184310334"/>
      <w:bookmarkEnd w:id="343"/>
      <w:bookmarkStart w:id="344" w:name="_Toc184312104"/>
      <w:bookmarkEnd w:id="344"/>
      <w:bookmarkStart w:id="345" w:name="_Toc184313249"/>
      <w:bookmarkEnd w:id="345"/>
      <w:bookmarkStart w:id="346" w:name="_Toc184313307"/>
      <w:bookmarkEnd w:id="346"/>
      <w:bookmarkStart w:id="347" w:name="_Toc184313272"/>
      <w:bookmarkEnd w:id="347"/>
      <w:bookmarkStart w:id="348" w:name="_Toc184308086"/>
      <w:bookmarkEnd w:id="348"/>
      <w:bookmarkStart w:id="349" w:name="_Toc184314448"/>
      <w:bookmarkEnd w:id="349"/>
      <w:bookmarkStart w:id="350" w:name="_Toc184310293"/>
      <w:bookmarkEnd w:id="350"/>
      <w:bookmarkStart w:id="351" w:name="_Toc184308041"/>
      <w:bookmarkEnd w:id="351"/>
      <w:bookmarkStart w:id="352" w:name="_Toc184313303"/>
      <w:bookmarkEnd w:id="352"/>
      <w:bookmarkStart w:id="353" w:name="_Toc184313263"/>
      <w:bookmarkEnd w:id="353"/>
      <w:bookmarkStart w:id="354" w:name="_Toc184313271"/>
      <w:bookmarkEnd w:id="354"/>
      <w:bookmarkStart w:id="355" w:name="_Toc184313252"/>
      <w:bookmarkEnd w:id="355"/>
      <w:bookmarkStart w:id="356" w:name="_Toc184314433"/>
      <w:bookmarkEnd w:id="356"/>
      <w:bookmarkStart w:id="357" w:name="_Toc184310284"/>
      <w:bookmarkEnd w:id="357"/>
      <w:bookmarkStart w:id="358" w:name="_Toc184314438"/>
      <w:bookmarkEnd w:id="358"/>
      <w:bookmarkStart w:id="359" w:name="_Toc184312085"/>
      <w:bookmarkEnd w:id="359"/>
      <w:bookmarkStart w:id="360" w:name="_Toc184308066"/>
      <w:bookmarkEnd w:id="360"/>
      <w:bookmarkStart w:id="361" w:name="_Toc184312127"/>
      <w:bookmarkEnd w:id="361"/>
      <w:bookmarkStart w:id="362" w:name="_Toc184314470"/>
      <w:bookmarkEnd w:id="362"/>
      <w:bookmarkStart w:id="363" w:name="_Toc184313261"/>
      <w:bookmarkEnd w:id="363"/>
      <w:bookmarkStart w:id="364" w:name="_Toc184314444"/>
      <w:bookmarkEnd w:id="364"/>
      <w:bookmarkStart w:id="365" w:name="_Toc184308079"/>
      <w:bookmarkEnd w:id="365"/>
      <w:bookmarkStart w:id="366" w:name="_Toc184314462"/>
      <w:bookmarkEnd w:id="366"/>
      <w:bookmarkStart w:id="367" w:name="_Toc184313287"/>
      <w:bookmarkEnd w:id="367"/>
      <w:bookmarkStart w:id="368" w:name="_Toc184312070"/>
      <w:bookmarkEnd w:id="368"/>
      <w:bookmarkStart w:id="369" w:name="_Toc184313294"/>
      <w:bookmarkEnd w:id="369"/>
      <w:bookmarkStart w:id="370" w:name="_Toc184310272"/>
      <w:bookmarkEnd w:id="370"/>
      <w:bookmarkStart w:id="371" w:name="_Toc184312105"/>
      <w:bookmarkEnd w:id="371"/>
      <w:bookmarkStart w:id="372" w:name="_Toc184314471"/>
      <w:bookmarkEnd w:id="372"/>
      <w:bookmarkStart w:id="373" w:name="_Toc184313295"/>
      <w:bookmarkEnd w:id="373"/>
      <w:bookmarkStart w:id="374" w:name="_Toc184308047"/>
      <w:bookmarkEnd w:id="374"/>
      <w:bookmarkStart w:id="375" w:name="_Toc184313239"/>
      <w:bookmarkEnd w:id="375"/>
      <w:bookmarkStart w:id="376" w:name="_Toc184313284"/>
      <w:bookmarkEnd w:id="376"/>
      <w:bookmarkStart w:id="377" w:name="_Toc184308094"/>
      <w:bookmarkEnd w:id="377"/>
      <w:bookmarkStart w:id="378" w:name="_Toc184314440"/>
      <w:bookmarkEnd w:id="378"/>
      <w:bookmarkStart w:id="379" w:name="_Toc184314420"/>
      <w:bookmarkEnd w:id="379"/>
      <w:bookmarkStart w:id="380" w:name="_Toc184313289"/>
      <w:bookmarkEnd w:id="380"/>
      <w:bookmarkStart w:id="381" w:name="_Toc184312075"/>
      <w:bookmarkEnd w:id="381"/>
      <w:bookmarkStart w:id="382" w:name="_Toc184310285"/>
      <w:bookmarkEnd w:id="382"/>
      <w:bookmarkStart w:id="383" w:name="_Toc184310342"/>
      <w:bookmarkEnd w:id="383"/>
      <w:bookmarkStart w:id="384" w:name="_Toc184314456"/>
      <w:bookmarkEnd w:id="384"/>
      <w:bookmarkStart w:id="385" w:name="_Toc184310329"/>
      <w:bookmarkEnd w:id="385"/>
      <w:bookmarkStart w:id="386" w:name="_Toc184314410"/>
      <w:bookmarkEnd w:id="386"/>
      <w:bookmarkStart w:id="387" w:name="_Toc184308071"/>
      <w:bookmarkEnd w:id="387"/>
      <w:bookmarkStart w:id="388" w:name="_Toc184312074"/>
      <w:bookmarkEnd w:id="388"/>
      <w:bookmarkStart w:id="389" w:name="_Toc184310319"/>
      <w:bookmarkEnd w:id="389"/>
      <w:bookmarkStart w:id="390" w:name="_Toc184312092"/>
      <w:bookmarkEnd w:id="390"/>
      <w:bookmarkStart w:id="391" w:name="_Toc184308089"/>
      <w:bookmarkEnd w:id="391"/>
      <w:bookmarkStart w:id="392" w:name="_Toc184314431"/>
      <w:bookmarkEnd w:id="392"/>
      <w:bookmarkStart w:id="393" w:name="_Toc184312139"/>
      <w:bookmarkEnd w:id="393"/>
      <w:bookmarkStart w:id="394" w:name="_Toc184308096"/>
      <w:bookmarkEnd w:id="394"/>
      <w:bookmarkStart w:id="395" w:name="_Toc184312080"/>
      <w:bookmarkEnd w:id="395"/>
      <w:bookmarkStart w:id="396" w:name="_Toc184308099"/>
      <w:bookmarkEnd w:id="396"/>
      <w:r>
        <w:rPr>
          <w:rFonts w:hint="eastAsia" w:ascii="宋体" w:hAnsi="宋体" w:cs="宋体"/>
          <w:b/>
          <w:sz w:val="36"/>
          <w:szCs w:val="36"/>
        </w:rPr>
        <w:t>评标办法</w:t>
      </w:r>
    </w:p>
    <w:p>
      <w:pPr>
        <w:snapToGrid w:val="0"/>
        <w:spacing w:line="360" w:lineRule="auto"/>
        <w:jc w:val="center"/>
        <w:rPr>
          <w:rFonts w:ascii="宋体" w:hAnsi="宋体" w:cs="宋体"/>
          <w:b/>
          <w:sz w:val="32"/>
          <w:szCs w:val="20"/>
        </w:rPr>
      </w:pPr>
      <w:r>
        <w:rPr>
          <w:rFonts w:hint="eastAsia" w:ascii="宋体" w:hAnsi="宋体" w:cs="宋体"/>
          <w:b/>
          <w:sz w:val="32"/>
          <w:szCs w:val="20"/>
        </w:rPr>
        <w:t>评标办法前附表</w:t>
      </w:r>
    </w:p>
    <w:tbl>
      <w:tblPr>
        <w:tblStyle w:val="63"/>
        <w:tblW w:w="83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6564"/>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796" w:type="dxa"/>
            <w:vAlign w:val="center"/>
          </w:tcPr>
          <w:p>
            <w:pPr>
              <w:jc w:val="center"/>
              <w:rPr>
                <w:szCs w:val="21"/>
              </w:rPr>
            </w:pPr>
            <w:r>
              <w:rPr>
                <w:rFonts w:hint="eastAsia"/>
                <w:szCs w:val="21"/>
              </w:rPr>
              <w:t>序号</w:t>
            </w:r>
          </w:p>
        </w:tc>
        <w:tc>
          <w:tcPr>
            <w:tcW w:w="6564" w:type="dxa"/>
            <w:vAlign w:val="center"/>
          </w:tcPr>
          <w:p>
            <w:pPr>
              <w:jc w:val="center"/>
              <w:rPr>
                <w:szCs w:val="21"/>
              </w:rPr>
            </w:pPr>
            <w:r>
              <w:rPr>
                <w:rFonts w:hint="eastAsia"/>
                <w:szCs w:val="21"/>
              </w:rPr>
              <w:t>评标标准</w:t>
            </w:r>
          </w:p>
        </w:tc>
        <w:tc>
          <w:tcPr>
            <w:tcW w:w="975" w:type="dxa"/>
            <w:vAlign w:val="center"/>
          </w:tcPr>
          <w:p>
            <w:pPr>
              <w:jc w:val="center"/>
              <w:rPr>
                <w:szCs w:val="21"/>
              </w:rPr>
            </w:pPr>
            <w:r>
              <w:rPr>
                <w:rFonts w:hint="eastAsia"/>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796" w:type="dxa"/>
            <w:vAlign w:val="center"/>
          </w:tcPr>
          <w:p>
            <w:pPr>
              <w:jc w:val="center"/>
              <w:rPr>
                <w:rFonts w:ascii="宋体" w:hAnsi="宋体" w:cs="宋体"/>
                <w:szCs w:val="21"/>
              </w:rPr>
            </w:pPr>
            <w:r>
              <w:rPr>
                <w:rFonts w:hint="eastAsia" w:ascii="宋体" w:hAnsi="宋体" w:cs="宋体"/>
                <w:szCs w:val="21"/>
              </w:rPr>
              <w:t>1</w:t>
            </w:r>
          </w:p>
        </w:tc>
        <w:tc>
          <w:tcPr>
            <w:tcW w:w="6564" w:type="dxa"/>
            <w:vAlign w:val="center"/>
          </w:tcPr>
          <w:p>
            <w:pPr>
              <w:spacing w:line="280" w:lineRule="exact"/>
              <w:jc w:val="left"/>
              <w:rPr>
                <w:szCs w:val="21"/>
              </w:rPr>
            </w:pPr>
            <w:r>
              <w:rPr>
                <w:rFonts w:hint="eastAsia"/>
                <w:szCs w:val="21"/>
              </w:rPr>
              <w:t>所投产品具体配置表、技术参数及偏离情况：产品参数配置等所有指标均满足的得基本分34分；用★标出的技术指标低于招标需求（负偏离）的每项扣5分，未加★的技术指标低于招标需求（负偏离）的每项扣1分，扣完为止；</w:t>
            </w:r>
          </w:p>
          <w:p>
            <w:pPr>
              <w:widowControl/>
              <w:jc w:val="left"/>
              <w:rPr>
                <w:szCs w:val="21"/>
              </w:rPr>
            </w:pPr>
            <w:r>
              <w:rPr>
                <w:rFonts w:hint="eastAsia"/>
                <w:b/>
                <w:bCs/>
                <w:szCs w:val="21"/>
              </w:rPr>
              <w:t>采购需求中要求提供的检测报告或证书的，投标人须对检测报告真实性负责，采购人有权随时对检测报告真实性进行核验。一旦发现虚假材料投标，将依法严肃处理。</w:t>
            </w:r>
          </w:p>
        </w:tc>
        <w:tc>
          <w:tcPr>
            <w:tcW w:w="975" w:type="dxa"/>
            <w:vAlign w:val="center"/>
          </w:tcPr>
          <w:p>
            <w:pPr>
              <w:jc w:val="center"/>
              <w:rPr>
                <w:rFonts w:ascii="宋体" w:hAnsi="宋体" w:cs="宋体"/>
                <w:szCs w:val="21"/>
              </w:rPr>
            </w:pPr>
            <w:r>
              <w:rPr>
                <w:rFonts w:hint="eastAsia" w:ascii="宋体" w:hAnsi="宋体" w:cs="宋体"/>
                <w:szCs w:val="21"/>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96" w:type="dxa"/>
            <w:vAlign w:val="center"/>
          </w:tcPr>
          <w:p>
            <w:pPr>
              <w:jc w:val="center"/>
              <w:rPr>
                <w:rFonts w:ascii="宋体" w:hAnsi="宋体" w:cs="宋体"/>
                <w:szCs w:val="21"/>
              </w:rPr>
            </w:pPr>
            <w:r>
              <w:rPr>
                <w:rFonts w:hint="eastAsia" w:ascii="宋体" w:hAnsi="宋体" w:cs="宋体"/>
                <w:szCs w:val="21"/>
              </w:rPr>
              <w:t>2</w:t>
            </w:r>
          </w:p>
        </w:tc>
        <w:tc>
          <w:tcPr>
            <w:tcW w:w="6564" w:type="dxa"/>
            <w:vAlign w:val="center"/>
          </w:tcPr>
          <w:p>
            <w:pPr>
              <w:spacing w:line="280" w:lineRule="exact"/>
              <w:jc w:val="left"/>
              <w:rPr>
                <w:rFonts w:ascii="宋体" w:hAnsi="宋体" w:cs="宋体"/>
                <w:szCs w:val="21"/>
              </w:rPr>
            </w:pPr>
            <w:r>
              <w:rPr>
                <w:rFonts w:hint="eastAsia"/>
                <w:szCs w:val="21"/>
              </w:rPr>
              <w:t>培训方案：根据投标人提供的培训情况、培训方案、培训次数和方式等</w:t>
            </w:r>
            <w:r>
              <w:rPr>
                <w:rFonts w:hint="eastAsia" w:ascii="宋体" w:hAnsi="宋体" w:cs="宋体"/>
                <w:szCs w:val="21"/>
              </w:rPr>
              <w:t>（完全符合得3分，基本符合得2分，部分符合得1分，不符合不得分）；</w:t>
            </w:r>
          </w:p>
        </w:tc>
        <w:tc>
          <w:tcPr>
            <w:tcW w:w="975" w:type="dxa"/>
            <w:vAlign w:val="center"/>
          </w:tcPr>
          <w:p>
            <w:pPr>
              <w:jc w:val="center"/>
              <w:rPr>
                <w:rFonts w:ascii="宋体" w:hAnsi="宋体" w:cs="宋体"/>
                <w:szCs w:val="21"/>
              </w:rPr>
            </w:pPr>
            <w:r>
              <w:rPr>
                <w:rFonts w:hint="eastAsia" w:ascii="宋体" w:hAnsi="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796" w:type="dxa"/>
            <w:vAlign w:val="center"/>
          </w:tcPr>
          <w:p>
            <w:pPr>
              <w:jc w:val="center"/>
              <w:rPr>
                <w:rFonts w:ascii="宋体" w:hAnsi="宋体" w:cs="宋体"/>
                <w:szCs w:val="21"/>
              </w:rPr>
            </w:pPr>
            <w:r>
              <w:rPr>
                <w:rFonts w:hint="eastAsia" w:ascii="宋体" w:hAnsi="宋体" w:cs="宋体"/>
                <w:szCs w:val="21"/>
              </w:rPr>
              <w:t>3</w:t>
            </w:r>
          </w:p>
        </w:tc>
        <w:tc>
          <w:tcPr>
            <w:tcW w:w="6564" w:type="dxa"/>
            <w:vAlign w:val="center"/>
          </w:tcPr>
          <w:p>
            <w:pPr>
              <w:spacing w:line="280" w:lineRule="exact"/>
              <w:jc w:val="left"/>
              <w:rPr>
                <w:szCs w:val="21"/>
              </w:rPr>
            </w:pPr>
            <w:r>
              <w:rPr>
                <w:rFonts w:hint="eastAsia" w:ascii="宋体" w:hAnsi="宋体" w:cs="宋体"/>
                <w:szCs w:val="21"/>
              </w:rPr>
              <w:t>售后服务能力：根据投标人提供的售后维护机构、人员情况、售后服务类型（包含分公司、办事处）、服务网点覆盖范围等（完全符合得2分，基本符合得1分，部分符合得0.5分，不符合不得分）；</w:t>
            </w:r>
          </w:p>
        </w:tc>
        <w:tc>
          <w:tcPr>
            <w:tcW w:w="975" w:type="dxa"/>
            <w:vAlign w:val="center"/>
          </w:tcPr>
          <w:p>
            <w:pPr>
              <w:jc w:val="center"/>
              <w:rPr>
                <w:rFonts w:ascii="宋体" w:hAnsi="宋体" w:cs="宋体"/>
                <w:szCs w:val="21"/>
              </w:rPr>
            </w:pPr>
            <w:r>
              <w:rPr>
                <w:rFonts w:hint="eastAsia" w:ascii="宋体" w:hAnsi="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6" w:type="dxa"/>
            <w:vAlign w:val="center"/>
          </w:tcPr>
          <w:p>
            <w:pPr>
              <w:jc w:val="center"/>
              <w:rPr>
                <w:rFonts w:ascii="宋体" w:hAnsi="宋体" w:cs="宋体"/>
                <w:szCs w:val="21"/>
              </w:rPr>
            </w:pPr>
            <w:r>
              <w:rPr>
                <w:rFonts w:hint="eastAsia" w:ascii="宋体" w:hAnsi="宋体" w:cs="宋体"/>
                <w:szCs w:val="21"/>
              </w:rPr>
              <w:t>4</w:t>
            </w:r>
          </w:p>
        </w:tc>
        <w:tc>
          <w:tcPr>
            <w:tcW w:w="6564" w:type="dxa"/>
            <w:vAlign w:val="center"/>
          </w:tcPr>
          <w:p>
            <w:pPr>
              <w:spacing w:line="280" w:lineRule="exact"/>
              <w:jc w:val="left"/>
              <w:rPr>
                <w:rFonts w:ascii="宋体" w:hAnsi="宋体" w:cs="宋体"/>
                <w:szCs w:val="21"/>
              </w:rPr>
            </w:pPr>
            <w:r>
              <w:rPr>
                <w:rFonts w:hint="eastAsia"/>
                <w:szCs w:val="21"/>
              </w:rPr>
              <w:t>系统兼容性、综合平台一致性管理：实现数字监控系统和门禁系统在一个综合平台中控制且监控系统中的</w:t>
            </w:r>
            <w:r>
              <w:rPr>
                <w:rFonts w:hint="eastAsia"/>
                <w:b/>
                <w:bCs/>
                <w:szCs w:val="21"/>
              </w:rPr>
              <w:t>监控系统管理平台</w:t>
            </w:r>
            <w:r>
              <w:rPr>
                <w:rFonts w:hint="eastAsia"/>
                <w:szCs w:val="21"/>
              </w:rPr>
              <w:t xml:space="preserve"> 、门禁系统中的</w:t>
            </w:r>
            <w:r>
              <w:rPr>
                <w:rFonts w:hint="eastAsia"/>
                <w:b/>
                <w:bCs/>
                <w:szCs w:val="21"/>
              </w:rPr>
              <w:t>门禁一体机</w:t>
            </w:r>
            <w:r>
              <w:rPr>
                <w:rFonts w:hint="eastAsia"/>
                <w:szCs w:val="21"/>
              </w:rPr>
              <w:t>为同一品牌厂家生产的得1分，没有不得分；</w:t>
            </w:r>
            <w:r>
              <w:rPr>
                <w:rFonts w:hint="eastAsia"/>
                <w:b/>
                <w:bCs/>
                <w:szCs w:val="21"/>
              </w:rPr>
              <w:t>投标文件中提供相关证明材料复印件；</w:t>
            </w:r>
          </w:p>
        </w:tc>
        <w:tc>
          <w:tcPr>
            <w:tcW w:w="975" w:type="dxa"/>
            <w:vAlign w:val="center"/>
          </w:tcPr>
          <w:p>
            <w:pPr>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1" w:hRule="atLeast"/>
        </w:trPr>
        <w:tc>
          <w:tcPr>
            <w:tcW w:w="796" w:type="dxa"/>
            <w:vAlign w:val="center"/>
          </w:tcPr>
          <w:p>
            <w:pPr>
              <w:jc w:val="center"/>
              <w:rPr>
                <w:rFonts w:ascii="宋体" w:hAnsi="宋体" w:cs="宋体"/>
                <w:szCs w:val="21"/>
              </w:rPr>
            </w:pPr>
            <w:r>
              <w:rPr>
                <w:rFonts w:hint="eastAsia" w:ascii="宋体" w:hAnsi="宋体" w:cs="宋体"/>
                <w:szCs w:val="21"/>
              </w:rPr>
              <w:t>5</w:t>
            </w:r>
          </w:p>
        </w:tc>
        <w:tc>
          <w:tcPr>
            <w:tcW w:w="6564" w:type="dxa"/>
            <w:vAlign w:val="center"/>
          </w:tcPr>
          <w:p>
            <w:pPr>
              <w:spacing w:line="280" w:lineRule="exact"/>
              <w:rPr>
                <w:szCs w:val="21"/>
              </w:rPr>
            </w:pPr>
            <w:r>
              <w:rPr>
                <w:rFonts w:hint="eastAsia"/>
                <w:szCs w:val="21"/>
              </w:rPr>
              <w:t>各系统主要设备原厂授权及质保情况：投标人提供办公网中的</w:t>
            </w:r>
            <w:r>
              <w:rPr>
                <w:rFonts w:hint="eastAsia"/>
                <w:b/>
                <w:bCs/>
                <w:szCs w:val="21"/>
              </w:rPr>
              <w:t>机架式核心交换机(3槽位)</w:t>
            </w:r>
            <w:r>
              <w:rPr>
                <w:rFonts w:hint="eastAsia"/>
                <w:szCs w:val="21"/>
              </w:rPr>
              <w:t>产品、数字监控系统中的</w:t>
            </w:r>
            <w:r>
              <w:rPr>
                <w:rFonts w:hint="eastAsia"/>
                <w:b/>
                <w:bCs/>
                <w:szCs w:val="21"/>
              </w:rPr>
              <w:t>双目客流-400万红外定焦海螺网络摄像机</w:t>
            </w:r>
            <w:r>
              <w:rPr>
                <w:rFonts w:hint="eastAsia"/>
                <w:szCs w:val="21"/>
              </w:rPr>
              <w:t>产品、门禁系统中的</w:t>
            </w:r>
            <w:r>
              <w:rPr>
                <w:rFonts w:hint="eastAsia"/>
                <w:b/>
                <w:bCs/>
                <w:szCs w:val="21"/>
              </w:rPr>
              <w:t>人脸识别终端</w:t>
            </w:r>
            <w:r>
              <w:rPr>
                <w:rFonts w:hint="eastAsia"/>
                <w:szCs w:val="21"/>
              </w:rPr>
              <w:t>产品、停车场系统中的</w:t>
            </w:r>
            <w:r>
              <w:rPr>
                <w:rFonts w:hint="eastAsia"/>
                <w:b/>
                <w:bCs/>
                <w:szCs w:val="21"/>
              </w:rPr>
              <w:t>快速通行车牌识别一体机（主机）</w:t>
            </w:r>
            <w:r>
              <w:rPr>
                <w:rFonts w:hint="eastAsia"/>
                <w:szCs w:val="21"/>
              </w:rPr>
              <w:t>产品、紧急报警中的</w:t>
            </w:r>
            <w:r>
              <w:rPr>
                <w:rFonts w:hint="eastAsia"/>
                <w:b/>
                <w:bCs/>
                <w:szCs w:val="21"/>
              </w:rPr>
              <w:t>中心接警主机</w:t>
            </w:r>
            <w:r>
              <w:rPr>
                <w:rFonts w:hint="eastAsia"/>
                <w:szCs w:val="21"/>
              </w:rPr>
              <w:t>产品、UPS系统中的</w:t>
            </w:r>
            <w:r>
              <w:rPr>
                <w:rFonts w:hint="eastAsia"/>
                <w:b/>
                <w:bCs/>
                <w:szCs w:val="21"/>
              </w:rPr>
              <w:t>UPS电源30KVA</w:t>
            </w:r>
            <w:r>
              <w:rPr>
                <w:rFonts w:hint="eastAsia"/>
                <w:szCs w:val="21"/>
              </w:rPr>
              <w:t>产品针对本项目的原厂授权书及2年质保书，每提供一个系统得1分，最多得6分；授权书及质保书必须同时具有并加盖厂商公章才可得分；</w:t>
            </w:r>
          </w:p>
          <w:p>
            <w:pPr>
              <w:spacing w:line="280" w:lineRule="exact"/>
              <w:rPr>
                <w:szCs w:val="21"/>
              </w:rPr>
            </w:pPr>
            <w:r>
              <w:rPr>
                <w:rFonts w:hint="eastAsia"/>
                <w:b/>
                <w:bCs/>
                <w:szCs w:val="21"/>
              </w:rPr>
              <w:t>投标文件中提供针对本项目的原厂授权书及质保书复印件并加盖生产厂家公章；</w:t>
            </w:r>
          </w:p>
        </w:tc>
        <w:tc>
          <w:tcPr>
            <w:tcW w:w="975" w:type="dxa"/>
            <w:vAlign w:val="center"/>
          </w:tcPr>
          <w:p>
            <w:pPr>
              <w:jc w:val="center"/>
              <w:rPr>
                <w:rFonts w:ascii="宋体" w:hAnsi="宋体" w:cs="宋体"/>
                <w:szCs w:val="21"/>
              </w:rPr>
            </w:pPr>
            <w:r>
              <w:rPr>
                <w:rFonts w:hint="eastAsia" w:ascii="宋体" w:hAnsi="宋体" w:cs="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6" w:type="dxa"/>
            <w:vAlign w:val="center"/>
          </w:tcPr>
          <w:p>
            <w:pPr>
              <w:jc w:val="center"/>
              <w:rPr>
                <w:rFonts w:ascii="宋体" w:hAnsi="宋体" w:cs="宋体"/>
                <w:szCs w:val="21"/>
              </w:rPr>
            </w:pPr>
            <w:r>
              <w:rPr>
                <w:rFonts w:hint="eastAsia" w:ascii="宋体" w:hAnsi="宋体" w:cs="宋体"/>
                <w:szCs w:val="21"/>
              </w:rPr>
              <w:t>6</w:t>
            </w:r>
          </w:p>
        </w:tc>
        <w:tc>
          <w:tcPr>
            <w:tcW w:w="6564" w:type="dxa"/>
            <w:vAlign w:val="center"/>
          </w:tcPr>
          <w:p>
            <w:pPr>
              <w:spacing w:line="280" w:lineRule="exact"/>
              <w:jc w:val="left"/>
              <w:rPr>
                <w:szCs w:val="21"/>
              </w:rPr>
            </w:pPr>
            <w:r>
              <w:rPr>
                <w:rFonts w:hint="eastAsia"/>
                <w:szCs w:val="21"/>
              </w:rPr>
              <w:t>项目组人员情况：</w:t>
            </w:r>
          </w:p>
          <w:p>
            <w:pPr>
              <w:spacing w:line="280" w:lineRule="exact"/>
              <w:jc w:val="left"/>
              <w:rPr>
                <w:szCs w:val="21"/>
              </w:rPr>
            </w:pPr>
            <w:r>
              <w:rPr>
                <w:rFonts w:hint="eastAsia"/>
                <w:szCs w:val="21"/>
              </w:rPr>
              <w:t>1）拟派项目经理具有一级建造师注册证书（机电工程）及中级工程师（机电工程）证书的，得2分；</w:t>
            </w:r>
          </w:p>
          <w:p>
            <w:pPr>
              <w:spacing w:line="280" w:lineRule="exact"/>
              <w:jc w:val="left"/>
              <w:rPr>
                <w:szCs w:val="21"/>
              </w:rPr>
            </w:pPr>
            <w:r>
              <w:rPr>
                <w:rFonts w:hint="eastAsia"/>
                <w:szCs w:val="21"/>
              </w:rPr>
              <w:t>2）拟派项目技术负责人同时具有信息系统项目管理师及PMP证书的，得2分；</w:t>
            </w:r>
          </w:p>
          <w:p>
            <w:pPr>
              <w:spacing w:line="280" w:lineRule="exact"/>
              <w:jc w:val="left"/>
              <w:rPr>
                <w:szCs w:val="21"/>
              </w:rPr>
            </w:pPr>
            <w:r>
              <w:rPr>
                <w:rFonts w:hint="eastAsia"/>
                <w:szCs w:val="21"/>
              </w:rPr>
              <w:t>3）拟派项目组成员需具备以下证书：</w:t>
            </w:r>
          </w:p>
          <w:p>
            <w:pPr>
              <w:spacing w:line="280" w:lineRule="exact"/>
              <w:jc w:val="left"/>
              <w:rPr>
                <w:szCs w:val="21"/>
              </w:rPr>
            </w:pPr>
            <w:r>
              <w:rPr>
                <w:rFonts w:hint="eastAsia"/>
                <w:szCs w:val="21"/>
              </w:rPr>
              <w:t xml:space="preserve">   1.同时具有中级工程师（机电工程）证书及安防系统工程师（高级）证书；</w:t>
            </w:r>
          </w:p>
          <w:p>
            <w:pPr>
              <w:spacing w:line="280" w:lineRule="exact"/>
              <w:jc w:val="left"/>
              <w:rPr>
                <w:szCs w:val="21"/>
              </w:rPr>
            </w:pPr>
            <w:r>
              <w:rPr>
                <w:rFonts w:hint="eastAsia"/>
                <w:szCs w:val="21"/>
              </w:rPr>
              <w:t xml:space="preserve">   2.同时具有中级工程师（机械工程）证书及安防系统集成项目经理(高级)证书；</w:t>
            </w:r>
          </w:p>
          <w:p>
            <w:pPr>
              <w:spacing w:line="280" w:lineRule="exact"/>
              <w:jc w:val="left"/>
              <w:rPr>
                <w:szCs w:val="21"/>
              </w:rPr>
            </w:pPr>
            <w:r>
              <w:rPr>
                <w:rFonts w:hint="eastAsia"/>
                <w:szCs w:val="21"/>
              </w:rPr>
              <w:t xml:space="preserve">   3.同时具有安全生产考核合格证书及安防系统集成项目经理(高级)证书；</w:t>
            </w:r>
          </w:p>
          <w:p>
            <w:pPr>
              <w:spacing w:line="280" w:lineRule="exact"/>
              <w:ind w:firstLine="420" w:firstLineChars="200"/>
              <w:jc w:val="left"/>
              <w:rPr>
                <w:szCs w:val="21"/>
              </w:rPr>
            </w:pPr>
            <w:r>
              <w:rPr>
                <w:rFonts w:hint="eastAsia"/>
                <w:szCs w:val="21"/>
              </w:rPr>
              <w:t>以上每提供一个得1分，最高得3分；</w:t>
            </w:r>
          </w:p>
          <w:p>
            <w:pPr>
              <w:spacing w:line="280" w:lineRule="exact"/>
              <w:jc w:val="left"/>
              <w:rPr>
                <w:szCs w:val="21"/>
              </w:rPr>
            </w:pPr>
            <w:r>
              <w:rPr>
                <w:rFonts w:hint="eastAsia"/>
                <w:b/>
                <w:bCs/>
                <w:szCs w:val="21"/>
              </w:rPr>
              <w:t>投标文件中同时提供有效期内的证书复印件和项目组人员近半年内连续三个月社保缴纳证明材料</w:t>
            </w:r>
            <w:r>
              <w:rPr>
                <w:rFonts w:hint="eastAsia" w:ascii="宋体" w:hAnsi="宋体" w:cs="宋体"/>
                <w:b/>
                <w:bCs/>
                <w:szCs w:val="21"/>
              </w:rPr>
              <w:t>复印件。</w:t>
            </w:r>
          </w:p>
        </w:tc>
        <w:tc>
          <w:tcPr>
            <w:tcW w:w="975" w:type="dxa"/>
            <w:vAlign w:val="center"/>
          </w:tcPr>
          <w:p>
            <w:pPr>
              <w:jc w:val="center"/>
              <w:rPr>
                <w:rFonts w:ascii="宋体" w:hAnsi="宋体" w:cs="宋体"/>
                <w:szCs w:val="21"/>
              </w:rPr>
            </w:pPr>
            <w:r>
              <w:rPr>
                <w:rFonts w:hint="eastAsia" w:ascii="宋体" w:hAnsi="宋体" w:cs="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trPr>
        <w:tc>
          <w:tcPr>
            <w:tcW w:w="796" w:type="dxa"/>
            <w:vAlign w:val="center"/>
          </w:tcPr>
          <w:p>
            <w:pPr>
              <w:jc w:val="center"/>
              <w:rPr>
                <w:rFonts w:ascii="宋体" w:hAnsi="宋体" w:cs="宋体"/>
                <w:szCs w:val="21"/>
              </w:rPr>
            </w:pPr>
            <w:r>
              <w:rPr>
                <w:rFonts w:hint="eastAsia" w:ascii="宋体" w:hAnsi="宋体" w:cs="宋体"/>
                <w:szCs w:val="21"/>
              </w:rPr>
              <w:t>7</w:t>
            </w:r>
          </w:p>
        </w:tc>
        <w:tc>
          <w:tcPr>
            <w:tcW w:w="6564" w:type="dxa"/>
            <w:vAlign w:val="center"/>
          </w:tcPr>
          <w:p>
            <w:pPr>
              <w:spacing w:line="280" w:lineRule="exact"/>
              <w:jc w:val="left"/>
              <w:rPr>
                <w:szCs w:val="21"/>
              </w:rPr>
            </w:pPr>
            <w:r>
              <w:rPr>
                <w:rFonts w:hint="eastAsia"/>
                <w:b/>
                <w:bCs/>
                <w:szCs w:val="21"/>
              </w:rPr>
              <w:t>企业管理认证证书：</w:t>
            </w:r>
            <w:r>
              <w:rPr>
                <w:rFonts w:hint="eastAsia"/>
                <w:szCs w:val="21"/>
              </w:rPr>
              <w:t>投标人具有信息安全管理体系认证证书的得1分，具有售后服务认证证书的得1分，同时具有ISO9001管理体系认证证书、ISO14001环境管理体系认证证书、ISO45001职业健康安全管理体系认证证书的得2分，必须在有效期内；</w:t>
            </w:r>
          </w:p>
          <w:p>
            <w:pPr>
              <w:pStyle w:val="700"/>
              <w:autoSpaceDE/>
              <w:autoSpaceDN/>
              <w:snapToGrid/>
              <w:spacing w:line="280" w:lineRule="exact"/>
              <w:ind w:left="0" w:leftChars="0" w:firstLine="0" w:firstLineChars="0"/>
              <w:rPr>
                <w:sz w:val="21"/>
              </w:rPr>
            </w:pPr>
            <w:r>
              <w:rPr>
                <w:rFonts w:hint="eastAsia"/>
                <w:b/>
                <w:bCs/>
                <w:sz w:val="21"/>
              </w:rPr>
              <w:t>投标文件中提供证书复印件；</w:t>
            </w:r>
          </w:p>
        </w:tc>
        <w:tc>
          <w:tcPr>
            <w:tcW w:w="975" w:type="dxa"/>
            <w:vAlign w:val="center"/>
          </w:tcPr>
          <w:p>
            <w:pPr>
              <w:jc w:val="center"/>
              <w:rPr>
                <w:rFonts w:ascii="宋体" w:hAnsi="宋体" w:cs="宋体"/>
                <w:szCs w:val="21"/>
              </w:rPr>
            </w:pPr>
            <w:r>
              <w:rPr>
                <w:rFonts w:hint="eastAsia" w:ascii="宋体" w:hAnsi="宋体" w:cs="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1" w:hRule="atLeast"/>
        </w:trPr>
        <w:tc>
          <w:tcPr>
            <w:tcW w:w="796" w:type="dxa"/>
            <w:vAlign w:val="center"/>
          </w:tcPr>
          <w:p>
            <w:pPr>
              <w:jc w:val="center"/>
              <w:rPr>
                <w:rFonts w:ascii="宋体" w:hAnsi="宋体" w:cs="宋体"/>
                <w:szCs w:val="21"/>
              </w:rPr>
            </w:pPr>
            <w:r>
              <w:rPr>
                <w:rFonts w:hint="eastAsia" w:ascii="宋体" w:hAnsi="宋体" w:cs="宋体"/>
                <w:szCs w:val="21"/>
              </w:rPr>
              <w:t>8</w:t>
            </w:r>
          </w:p>
        </w:tc>
        <w:tc>
          <w:tcPr>
            <w:tcW w:w="6564" w:type="dxa"/>
            <w:vAlign w:val="center"/>
          </w:tcPr>
          <w:p>
            <w:pPr>
              <w:adjustRightInd/>
              <w:spacing w:line="280" w:lineRule="exact"/>
              <w:jc w:val="left"/>
              <w:rPr>
                <w:rFonts w:ascii="宋体" w:hAnsi="宋体" w:cs="宋体"/>
                <w:szCs w:val="21"/>
              </w:rPr>
            </w:pPr>
            <w:r>
              <w:rPr>
                <w:rFonts w:hint="eastAsia" w:ascii="宋体" w:hAnsi="宋体" w:cs="宋体"/>
                <w:szCs w:val="21"/>
              </w:rPr>
              <w:t>企业实力：</w:t>
            </w:r>
          </w:p>
          <w:p>
            <w:pPr>
              <w:numPr>
                <w:ilvl w:val="0"/>
                <w:numId w:val="2"/>
              </w:numPr>
              <w:spacing w:line="280" w:lineRule="exact"/>
              <w:jc w:val="left"/>
            </w:pPr>
            <w:r>
              <w:rPr>
                <w:rFonts w:hint="eastAsia"/>
                <w:szCs w:val="21"/>
              </w:rPr>
              <w:t>投标人应具备较强的软件研发实力，提供CMMI 3或以上认证证书得2分，没有不得分；</w:t>
            </w:r>
          </w:p>
          <w:p>
            <w:pPr>
              <w:numPr>
                <w:ilvl w:val="0"/>
                <w:numId w:val="2"/>
              </w:numPr>
              <w:spacing w:line="280" w:lineRule="exact"/>
              <w:jc w:val="left"/>
            </w:pPr>
            <w:r>
              <w:rPr>
                <w:rFonts w:hint="eastAsia"/>
                <w:szCs w:val="21"/>
              </w:rPr>
              <w:t>为保证本项目服务具备良好的质量水平，投标人需具备市级或以上政府单位颁发的壹级安防系统施工资格证书，提供得5分，没有不得分；</w:t>
            </w:r>
          </w:p>
          <w:p>
            <w:pPr>
              <w:pStyle w:val="700"/>
              <w:numPr>
                <w:ilvl w:val="0"/>
                <w:numId w:val="2"/>
              </w:numPr>
              <w:autoSpaceDE/>
              <w:autoSpaceDN/>
              <w:snapToGrid/>
              <w:spacing w:line="280" w:lineRule="exact"/>
              <w:ind w:left="0" w:leftChars="0" w:firstLine="0" w:firstLineChars="0"/>
              <w:rPr>
                <w:rFonts w:ascii="宋体" w:hAnsi="宋体" w:cs="宋体"/>
                <w:b/>
                <w:bCs/>
                <w:sz w:val="21"/>
              </w:rPr>
            </w:pPr>
            <w:r>
              <w:rPr>
                <w:rFonts w:hint="eastAsia"/>
                <w:sz w:val="21"/>
              </w:rPr>
              <w:t>投标人应具备电子与智能化工程专业承包一级证书的得2分，没有不得分；提供安全生产许可证的得1分，没有不得分；</w:t>
            </w:r>
          </w:p>
          <w:p>
            <w:pPr>
              <w:pStyle w:val="700"/>
              <w:numPr>
                <w:ilvl w:val="0"/>
                <w:numId w:val="2"/>
              </w:numPr>
              <w:autoSpaceDE/>
              <w:autoSpaceDN/>
              <w:snapToGrid/>
              <w:spacing w:line="280" w:lineRule="exact"/>
              <w:ind w:left="0" w:leftChars="0" w:firstLine="0" w:firstLineChars="0"/>
              <w:rPr>
                <w:rFonts w:ascii="宋体" w:hAnsi="宋体" w:cs="宋体"/>
                <w:b/>
                <w:bCs/>
                <w:sz w:val="21"/>
              </w:rPr>
            </w:pPr>
            <w:r>
              <w:rPr>
                <w:rFonts w:hint="eastAsia"/>
                <w:sz w:val="21"/>
              </w:rPr>
              <w:t xml:space="preserve"> 投标人应具备国家级高新技术企业证书，提供得1分，没有不得分；</w:t>
            </w:r>
          </w:p>
          <w:p>
            <w:pPr>
              <w:pStyle w:val="700"/>
              <w:autoSpaceDE/>
              <w:autoSpaceDN/>
              <w:snapToGrid/>
              <w:spacing w:line="280" w:lineRule="exact"/>
              <w:ind w:left="0" w:leftChars="0" w:firstLine="0" w:firstLineChars="0"/>
              <w:rPr>
                <w:rFonts w:ascii="宋体" w:hAnsi="宋体" w:cs="宋体"/>
                <w:b/>
                <w:bCs/>
                <w:sz w:val="21"/>
              </w:rPr>
            </w:pPr>
            <w:r>
              <w:rPr>
                <w:rFonts w:hint="eastAsia"/>
                <w:b/>
                <w:bCs/>
                <w:sz w:val="21"/>
              </w:rPr>
              <w:t>备注：投标文件中提供在有效期内的证书复印件并加盖公章方可得分；</w:t>
            </w:r>
          </w:p>
        </w:tc>
        <w:tc>
          <w:tcPr>
            <w:tcW w:w="975" w:type="dxa"/>
            <w:vAlign w:val="center"/>
          </w:tcPr>
          <w:p>
            <w:pPr>
              <w:jc w:val="center"/>
              <w:rPr>
                <w:rFonts w:ascii="宋体" w:hAnsi="宋体" w:cs="宋体"/>
                <w:szCs w:val="21"/>
              </w:rPr>
            </w:pPr>
            <w:r>
              <w:rPr>
                <w:rFonts w:hint="eastAsia" w:ascii="宋体" w:hAnsi="宋体" w:cs="宋体"/>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Align w:val="center"/>
          </w:tcPr>
          <w:p>
            <w:pPr>
              <w:jc w:val="center"/>
              <w:rPr>
                <w:rFonts w:ascii="宋体" w:hAnsi="宋体" w:cs="宋体"/>
                <w:szCs w:val="21"/>
              </w:rPr>
            </w:pPr>
            <w:r>
              <w:rPr>
                <w:rFonts w:hint="eastAsia" w:ascii="宋体" w:hAnsi="宋体" w:cs="宋体"/>
                <w:szCs w:val="21"/>
              </w:rPr>
              <w:t>9</w:t>
            </w:r>
          </w:p>
        </w:tc>
        <w:tc>
          <w:tcPr>
            <w:tcW w:w="6564" w:type="dxa"/>
            <w:vAlign w:val="center"/>
          </w:tcPr>
          <w:p>
            <w:pPr>
              <w:spacing w:line="280" w:lineRule="exact"/>
              <w:jc w:val="left"/>
              <w:rPr>
                <w:szCs w:val="21"/>
              </w:rPr>
            </w:pPr>
            <w:r>
              <w:rPr>
                <w:rFonts w:hint="eastAsia"/>
                <w:szCs w:val="21"/>
              </w:rPr>
              <w:t>企业类似业绩：投标人自2020年1月1日以来（时间以合同签订时间为准）实施过类似项目，提供一个业绩得1分（资料包含中标通知书、合同），最多得2分；</w:t>
            </w:r>
            <w:r>
              <w:rPr>
                <w:rFonts w:hint="eastAsia"/>
                <w:b/>
                <w:bCs/>
                <w:szCs w:val="21"/>
              </w:rPr>
              <w:t>投标文件中提供中标通知书、合同复印件，提供不全不得分；</w:t>
            </w:r>
          </w:p>
        </w:tc>
        <w:tc>
          <w:tcPr>
            <w:tcW w:w="975" w:type="dxa"/>
            <w:vAlign w:val="center"/>
          </w:tcPr>
          <w:p>
            <w:pPr>
              <w:jc w:val="center"/>
              <w:rPr>
                <w:rFonts w:ascii="宋体" w:hAnsi="宋体" w:cs="宋体"/>
                <w:szCs w:val="21"/>
              </w:rPr>
            </w:pPr>
            <w:r>
              <w:rPr>
                <w:rFonts w:hint="eastAsia" w:ascii="宋体" w:hAnsi="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96" w:type="dxa"/>
            <w:vAlign w:val="center"/>
          </w:tcPr>
          <w:p>
            <w:pPr>
              <w:jc w:val="center"/>
              <w:rPr>
                <w:rFonts w:ascii="宋体" w:hAnsi="宋体" w:cs="宋体"/>
                <w:szCs w:val="21"/>
              </w:rPr>
            </w:pPr>
            <w:r>
              <w:rPr>
                <w:rFonts w:hint="eastAsia" w:ascii="宋体" w:hAnsi="宋体" w:cs="宋体"/>
                <w:szCs w:val="21"/>
              </w:rPr>
              <w:t>10</w:t>
            </w:r>
          </w:p>
        </w:tc>
        <w:tc>
          <w:tcPr>
            <w:tcW w:w="6564" w:type="dxa"/>
            <w:vAlign w:val="center"/>
          </w:tcPr>
          <w:p>
            <w:pPr>
              <w:jc w:val="left"/>
              <w:rPr>
                <w:rFonts w:ascii="宋体" w:hAnsi="宋体" w:cs="宋体"/>
                <w:szCs w:val="21"/>
              </w:rPr>
            </w:pPr>
            <w:r>
              <w:rPr>
                <w:rFonts w:hint="eastAsia" w:ascii="宋体" w:hAnsi="宋体" w:cs="宋体"/>
                <w:szCs w:val="21"/>
              </w:rPr>
              <w:t>有效投标报价的最低价作为评标基准价，其最低报价为满分；按［投标报价得分=（评标基准价/投标报价）*权重］的计算公式计算。</w:t>
            </w:r>
          </w:p>
          <w:p>
            <w:pPr>
              <w:jc w:val="left"/>
              <w:rPr>
                <w:rFonts w:ascii="宋体" w:hAnsi="宋体" w:cs="宋体"/>
                <w:szCs w:val="21"/>
              </w:rPr>
            </w:pPr>
            <w:r>
              <w:rPr>
                <w:rFonts w:hint="eastAsia" w:ascii="宋体" w:hAnsi="宋体" w:cs="宋体"/>
                <w:szCs w:val="21"/>
              </w:rPr>
              <w:t>评标过程中，不得去掉报价中的最高报价和最低报价。</w:t>
            </w:r>
          </w:p>
          <w:p>
            <w:pPr>
              <w:jc w:val="left"/>
              <w:rPr>
                <w:szCs w:val="21"/>
              </w:rPr>
            </w:pPr>
            <w:r>
              <w:rPr>
                <w:rFonts w:hint="eastAsia" w:ascii="宋体" w:hAnsi="宋体" w:cs="宋体"/>
                <w:szCs w:val="21"/>
              </w:rPr>
              <w:t>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w:t>
            </w:r>
          </w:p>
        </w:tc>
        <w:tc>
          <w:tcPr>
            <w:tcW w:w="975" w:type="dxa"/>
            <w:vAlign w:val="center"/>
          </w:tcPr>
          <w:p>
            <w:pPr>
              <w:jc w:val="center"/>
              <w:rPr>
                <w:rFonts w:ascii="宋体" w:hAnsi="宋体" w:cs="宋体"/>
                <w:szCs w:val="21"/>
              </w:rPr>
            </w:pPr>
            <w:r>
              <w:rPr>
                <w:rFonts w:hint="eastAsia" w:ascii="宋体" w:hAnsi="宋体" w:cs="宋体"/>
                <w:szCs w:val="21"/>
              </w:rPr>
              <w:t>30</w:t>
            </w:r>
          </w:p>
        </w:tc>
      </w:tr>
    </w:tbl>
    <w:p/>
    <w:p>
      <w:pPr>
        <w:snapToGrid w:val="0"/>
        <w:spacing w:line="360" w:lineRule="auto"/>
        <w:rPr>
          <w:rFonts w:ascii="宋体" w:hAnsi="宋体" w:cs="宋体"/>
          <w:b/>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29"/>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29"/>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29"/>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29"/>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29"/>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29"/>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29"/>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9"/>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货物项目，以及预留份额政府采购货物项目中的非预留部分标项，对小型和微型企业的投标报价给予10%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29"/>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2"/>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24"/>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4"/>
        <w:snapToGrid w:val="0"/>
        <w:spacing w:line="360" w:lineRule="auto"/>
        <w:rPr>
          <w:rFonts w:cs="宋体"/>
        </w:rPr>
      </w:pPr>
      <w:r>
        <w:rPr>
          <w:rFonts w:hint="eastAsia" w:cs="宋体"/>
        </w:rPr>
        <w:t>5.1符合专业条件的供应商或者对招标文件作实质响应的供应商不足3家的；</w:t>
      </w:r>
    </w:p>
    <w:p>
      <w:pPr>
        <w:pStyle w:val="24"/>
        <w:snapToGrid w:val="0"/>
        <w:spacing w:line="360" w:lineRule="auto"/>
        <w:rPr>
          <w:rFonts w:cs="宋体"/>
        </w:rPr>
      </w:pPr>
      <w:r>
        <w:rPr>
          <w:rFonts w:hint="eastAsia" w:cs="宋体"/>
        </w:rPr>
        <w:t>5.2出现影响采购公正的违法、违规行为的；</w:t>
      </w:r>
    </w:p>
    <w:p>
      <w:pPr>
        <w:pStyle w:val="24"/>
        <w:snapToGrid w:val="0"/>
        <w:spacing w:line="360" w:lineRule="auto"/>
        <w:rPr>
          <w:rFonts w:cs="宋体"/>
        </w:rPr>
      </w:pPr>
      <w:r>
        <w:rPr>
          <w:rFonts w:hint="eastAsia" w:cs="宋体"/>
        </w:rPr>
        <w:t>5.3投标人的报价均超过了采购预算，采购人不能支付的；</w:t>
      </w:r>
    </w:p>
    <w:p>
      <w:pPr>
        <w:pStyle w:val="24"/>
        <w:snapToGrid w:val="0"/>
        <w:spacing w:line="360" w:lineRule="auto"/>
        <w:rPr>
          <w:rFonts w:cs="宋体"/>
        </w:rPr>
      </w:pPr>
      <w:r>
        <w:rPr>
          <w:rFonts w:hint="eastAsia" w:cs="宋体"/>
        </w:rPr>
        <w:t>5.4因重大变故，采购任务取消的。</w:t>
      </w:r>
    </w:p>
    <w:p>
      <w:pPr>
        <w:pStyle w:val="24"/>
        <w:snapToGrid w:val="0"/>
        <w:spacing w:line="360" w:lineRule="auto"/>
        <w:rPr>
          <w:rFonts w:cs="宋体"/>
        </w:rPr>
      </w:pPr>
      <w:r>
        <w:rPr>
          <w:rFonts w:hint="eastAsia" w:cs="宋体"/>
        </w:rPr>
        <w:t>废标后，采购代理机构应当将废标理由通知所有投标人。</w:t>
      </w:r>
    </w:p>
    <w:p>
      <w:pPr>
        <w:pStyle w:val="24"/>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4"/>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4"/>
        <w:snapToGrid w:val="0"/>
        <w:spacing w:line="360" w:lineRule="auto"/>
        <w:rPr>
          <w:rFonts w:cs="宋体"/>
        </w:rPr>
      </w:pPr>
      <w:r>
        <w:rPr>
          <w:rFonts w:hint="eastAsia" w:cs="宋体"/>
        </w:rPr>
        <w:t>7.1未确定中标供应商的，终止本次政府采购活动，重新开展政府采购活动。</w:t>
      </w:r>
    </w:p>
    <w:p>
      <w:pPr>
        <w:pStyle w:val="24"/>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cs="宋体"/>
        </w:rPr>
      </w:pPr>
      <w:r>
        <w:rPr>
          <w:rFonts w:hint="eastAsia" w:cs="宋体"/>
        </w:rPr>
        <w:t>7.4政府采购合同已经履行，给采购人、供应商造成损失的，由责任人承担赔偿责任。</w:t>
      </w:r>
    </w:p>
    <w:p>
      <w:pPr>
        <w:pStyle w:val="24"/>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24"/>
        <w:snapToGrid w:val="0"/>
        <w:spacing w:line="360" w:lineRule="auto"/>
        <w:ind w:firstLine="0" w:firstLineChars="0"/>
        <w:rPr>
          <w:rFonts w:cs="宋体"/>
        </w:rPr>
      </w:pPr>
    </w:p>
    <w:bookmarkEnd w:id="31"/>
    <w:p>
      <w:pPr>
        <w:spacing w:line="360" w:lineRule="auto"/>
        <w:ind w:left="720" w:leftChars="343" w:firstLine="1084" w:firstLineChars="300"/>
        <w:outlineLvl w:val="0"/>
        <w:rPr>
          <w:rFonts w:ascii="宋体" w:hAnsi="宋体" w:cs="宋体"/>
          <w:b/>
          <w:sz w:val="36"/>
          <w:szCs w:val="36"/>
        </w:rPr>
      </w:pPr>
      <w:bookmarkStart w:id="397" w:name="_Toc86217003"/>
      <w:bookmarkStart w:id="398" w:name="第五部分"/>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 xml:space="preserve">    </w:t>
      </w:r>
    </w:p>
    <w:p>
      <w:pPr>
        <w:pStyle w:val="2"/>
        <w:rPr>
          <w:rFonts w:ascii="宋体" w:hAnsi="宋体" w:cs="宋体"/>
          <w:sz w:val="36"/>
          <w:szCs w:val="36"/>
        </w:rPr>
      </w:pPr>
    </w:p>
    <w:p>
      <w:pPr>
        <w:rPr>
          <w:rFonts w:ascii="宋体" w:hAnsi="宋体" w:cs="宋体"/>
          <w:sz w:val="36"/>
          <w:szCs w:val="36"/>
        </w:rPr>
      </w:pPr>
    </w:p>
    <w:p>
      <w:pPr>
        <w:pStyle w:val="2"/>
        <w:rPr>
          <w:rFonts w:ascii="宋体" w:hAnsi="宋体" w:cs="宋体"/>
          <w:sz w:val="36"/>
          <w:szCs w:val="36"/>
        </w:rPr>
      </w:pPr>
    </w:p>
    <w:p>
      <w:pPr>
        <w:rPr>
          <w:rFonts w:ascii="宋体" w:hAnsi="宋体" w:cs="宋体"/>
          <w:sz w:val="36"/>
          <w:szCs w:val="36"/>
        </w:rPr>
      </w:pPr>
    </w:p>
    <w:p>
      <w:pPr>
        <w:pStyle w:val="2"/>
        <w:rPr>
          <w:rFonts w:ascii="宋体" w:hAnsi="宋体" w:cs="宋体"/>
          <w:sz w:val="36"/>
          <w:szCs w:val="36"/>
        </w:rPr>
      </w:pPr>
    </w:p>
    <w:p>
      <w:pPr>
        <w:rPr>
          <w:rFonts w:ascii="宋体" w:hAnsi="宋体" w:cs="宋体"/>
          <w:sz w:val="36"/>
          <w:szCs w:val="36"/>
        </w:rPr>
      </w:pPr>
    </w:p>
    <w:p>
      <w:pPr>
        <w:pStyle w:val="2"/>
        <w:rPr>
          <w:rFonts w:ascii="宋体" w:hAnsi="宋体" w:cs="宋体"/>
          <w:sz w:val="36"/>
          <w:szCs w:val="36"/>
        </w:rPr>
      </w:pPr>
    </w:p>
    <w:p>
      <w:pPr>
        <w:rPr>
          <w:rFonts w:ascii="宋体" w:hAnsi="宋体" w:cs="宋体"/>
          <w:sz w:val="36"/>
          <w:szCs w:val="36"/>
        </w:rPr>
      </w:pPr>
    </w:p>
    <w:p>
      <w:pPr>
        <w:pStyle w:val="2"/>
        <w:rPr>
          <w:rFonts w:ascii="宋体" w:hAnsi="宋体" w:cs="宋体"/>
          <w:sz w:val="36"/>
          <w:szCs w:val="36"/>
        </w:rPr>
      </w:pPr>
    </w:p>
    <w:p>
      <w:pPr>
        <w:rPr>
          <w:rFonts w:ascii="宋体" w:hAnsi="宋体" w:cs="宋体"/>
          <w:sz w:val="36"/>
          <w:szCs w:val="36"/>
        </w:rPr>
      </w:pPr>
    </w:p>
    <w:p>
      <w:pPr>
        <w:spacing w:line="360" w:lineRule="auto"/>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（货物类）</w:t>
      </w:r>
    </w:p>
    <w:p>
      <w:pPr>
        <w:pStyle w:val="700"/>
        <w:rPr>
          <w:rFonts w:ascii="宋体" w:hAnsi="宋体" w:cs="宋体"/>
          <w:szCs w:val="24"/>
        </w:rPr>
      </w:pPr>
    </w:p>
    <w:p>
      <w:pPr>
        <w:pStyle w:val="700"/>
        <w:rPr>
          <w:rFonts w:ascii="宋体" w:hAnsi="宋体" w:cs="宋体"/>
          <w:szCs w:val="24"/>
        </w:rPr>
      </w:pPr>
    </w:p>
    <w:p>
      <w:pPr>
        <w:pStyle w:val="700"/>
        <w:jc w:val="center"/>
        <w:rPr>
          <w:rFonts w:ascii="宋体" w:hAnsi="宋体" w:cs="宋体"/>
          <w:szCs w:val="24"/>
        </w:rPr>
      </w:pPr>
    </w:p>
    <w:p>
      <w:pPr>
        <w:pStyle w:val="700"/>
        <w:ind w:firstLine="2843" w:firstLineChars="1180"/>
        <w:rPr>
          <w:rFonts w:ascii="宋体" w:hAnsi="宋体" w:cs="宋体"/>
          <w:b/>
          <w:szCs w:val="24"/>
        </w:rPr>
      </w:pPr>
      <w:r>
        <w:rPr>
          <w:rFonts w:hint="eastAsia" w:ascii="宋体" w:hAnsi="宋体" w:cs="宋体"/>
          <w:b/>
          <w:szCs w:val="24"/>
        </w:rPr>
        <w:t>第一部分 合同书</w:t>
      </w:r>
    </w:p>
    <w:p>
      <w:pPr>
        <w:pStyle w:val="700"/>
        <w:rPr>
          <w:rFonts w:ascii="宋体" w:hAnsi="宋体" w:cs="宋体"/>
          <w:szCs w:val="24"/>
        </w:rPr>
      </w:pPr>
    </w:p>
    <w:p>
      <w:pPr>
        <w:pStyle w:val="700"/>
        <w:rPr>
          <w:rFonts w:ascii="宋体" w:hAnsi="宋体" w:cs="宋体"/>
          <w:szCs w:val="24"/>
        </w:rPr>
      </w:pPr>
    </w:p>
    <w:p>
      <w:pPr>
        <w:spacing w:before="120" w:line="22" w:lineRule="atLeast"/>
        <w:rPr>
          <w:rFonts w:ascii="宋体" w:hAnsi="宋体" w:cs="宋体"/>
          <w:sz w:val="24"/>
        </w:rPr>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597"/>
        <w:spacing w:before="120" w:line="22" w:lineRule="atLeast"/>
        <w:rPr>
          <w:rFonts w:ascii="宋体" w:hAnsi="宋体" w:eastAsia="宋体" w:cs="宋体"/>
          <w:szCs w:val="24"/>
        </w:rPr>
      </w:pPr>
    </w:p>
    <w:p>
      <w:pPr>
        <w:pStyle w:val="597"/>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1474" w:right="1814" w:bottom="1474" w:left="1814" w:header="851" w:footer="851" w:gutter="0"/>
          <w:cols w:space="720" w:num="1"/>
        </w:sectPr>
      </w:pPr>
    </w:p>
    <w:p>
      <w:pPr>
        <w:spacing w:line="560" w:lineRule="exact"/>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color w:val="0000FF"/>
          <w:sz w:val="24"/>
          <w:u w:val="single"/>
        </w:rPr>
        <w:t>（采购人）</w:t>
      </w:r>
      <w:r>
        <w:rPr>
          <w:rFonts w:hint="eastAsia" w:ascii="宋体" w:hAnsi="宋体" w:cs="宋体"/>
          <w:sz w:val="24"/>
          <w:u w:val="single"/>
        </w:rPr>
        <w:t xml:space="preserve">   </w:t>
      </w:r>
      <w:r>
        <w:rPr>
          <w:rFonts w:hint="eastAsia" w:ascii="宋体" w:hAnsi="宋体" w:cs="宋体"/>
          <w:sz w:val="24"/>
        </w:rPr>
        <w:t>以</w:t>
      </w:r>
      <w:r>
        <w:rPr>
          <w:rFonts w:hint="eastAsia" w:ascii="宋体" w:hAnsi="宋体" w:cs="宋体"/>
          <w:sz w:val="24"/>
          <w:u w:val="single"/>
        </w:rPr>
        <w:t xml:space="preserve">   （政府采购方式）  </w:t>
      </w:r>
      <w:r>
        <w:rPr>
          <w:rFonts w:hint="eastAsia" w:ascii="宋体" w:hAnsi="宋体" w:cs="宋体"/>
          <w:sz w:val="24"/>
        </w:rPr>
        <w:t>对</w:t>
      </w:r>
      <w:r>
        <w:rPr>
          <w:rFonts w:hint="eastAsia" w:ascii="宋体" w:hAnsi="宋体" w:cs="宋体"/>
          <w:sz w:val="24"/>
          <w:u w:val="single"/>
        </w:rPr>
        <w:t xml:space="preserve">   </w:t>
      </w:r>
      <w:r>
        <w:rPr>
          <w:rFonts w:hint="eastAsia" w:ascii="宋体" w:hAnsi="宋体" w:cs="宋体"/>
          <w:color w:val="0000FF"/>
          <w:sz w:val="24"/>
          <w:u w:val="single"/>
        </w:rPr>
        <w:t xml:space="preserve">（项目名称、编号）  </w:t>
      </w:r>
      <w:r>
        <w:rPr>
          <w:rFonts w:hint="eastAsia" w:ascii="宋体" w:hAnsi="宋体" w:cs="宋体"/>
          <w:sz w:val="24"/>
          <w:u w:val="single"/>
        </w:rPr>
        <w:t xml:space="preserve"> </w:t>
      </w:r>
      <w:r>
        <w:rPr>
          <w:rFonts w:hint="eastAsia" w:ascii="宋体" w:hAnsi="宋体" w:cs="宋体"/>
          <w:sz w:val="24"/>
        </w:rPr>
        <w:t>项目进行了采购。经</w:t>
      </w:r>
      <w:r>
        <w:rPr>
          <w:rFonts w:hint="eastAsia" w:ascii="宋体" w:hAnsi="宋体" w:cs="宋体"/>
          <w:sz w:val="24"/>
          <w:u w:val="single"/>
        </w:rPr>
        <w:t xml:space="preserve">   （相关评定主体名称）   </w:t>
      </w:r>
      <w:r>
        <w:rPr>
          <w:rFonts w:hint="eastAsia" w:ascii="宋体" w:hAnsi="宋体" w:cs="宋体"/>
          <w:sz w:val="24"/>
        </w:rPr>
        <w:t>评定，</w:t>
      </w:r>
      <w:r>
        <w:rPr>
          <w:rFonts w:hint="eastAsia" w:ascii="宋体" w:hAnsi="宋体" w:cs="宋体"/>
          <w:sz w:val="24"/>
          <w:u w:val="single"/>
        </w:rPr>
        <w:t xml:space="preserve">   （中标或者成交供应商名称）</w:t>
      </w:r>
      <w:r>
        <w:rPr>
          <w:rFonts w:hint="eastAsia" w:ascii="宋体" w:hAnsi="宋体" w:cs="宋体"/>
          <w:sz w:val="24"/>
        </w:rPr>
        <w:t>为该项目中标或者成交供应商。现于中标或者成交通知书发出之日起10个工作日内，按照采购文件等确定的事项签订本合同。</w:t>
      </w:r>
    </w:p>
    <w:p>
      <w:pPr>
        <w:spacing w:line="560" w:lineRule="exact"/>
        <w:ind w:firstLine="480" w:firstLineChars="200"/>
        <w:rPr>
          <w:rFonts w:ascii="宋体" w:hAnsi="宋体" w:cs="宋体"/>
          <w:sz w:val="24"/>
        </w:rPr>
      </w:pPr>
      <w:r>
        <w:rPr>
          <w:rFonts w:hint="eastAsia" w:ascii="宋体" w:hAnsi="宋体" w:cs="宋体"/>
          <w:sz w:val="24"/>
          <w:lang w:val="zh-CN"/>
        </w:rPr>
        <w:t>根据《中华人民共和国民法典》《中华人民共和国政府采购法》等相关法律法规之规定，按照平等、自愿、公平、诚实信用和绿色的原则，经</w:t>
      </w:r>
      <w:r>
        <w:rPr>
          <w:rFonts w:hint="eastAsia" w:ascii="宋体" w:hAnsi="宋体" w:cs="宋体"/>
          <w:sz w:val="24"/>
          <w:u w:val="single"/>
        </w:rPr>
        <w:t xml:space="preserve">   （采购人）   </w:t>
      </w:r>
      <w:r>
        <w:rPr>
          <w:rFonts w:hint="eastAsia" w:ascii="宋体" w:hAnsi="宋体" w:cs="宋体"/>
          <w:sz w:val="24"/>
          <w:lang w:val="zh-CN"/>
        </w:rPr>
        <w:t>(以下简称：甲方)和</w:t>
      </w:r>
      <w:r>
        <w:rPr>
          <w:rFonts w:hint="eastAsia" w:ascii="宋体" w:hAnsi="宋体" w:cs="宋体"/>
          <w:sz w:val="24"/>
          <w:u w:val="single"/>
        </w:rPr>
        <w:t xml:space="preserve">   （中标或者成交供应商名称）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560" w:lineRule="exact"/>
        <w:ind w:firstLine="482" w:firstLineChars="200"/>
        <w:outlineLvl w:val="0"/>
        <w:rPr>
          <w:rFonts w:ascii="宋体" w:hAnsi="宋体" w:cs="宋体"/>
          <w:b/>
          <w:sz w:val="24"/>
        </w:rPr>
      </w:pPr>
      <w:bookmarkStart w:id="399" w:name="_Toc24059"/>
      <w:bookmarkStart w:id="400" w:name="_Toc3029"/>
      <w:bookmarkStart w:id="401" w:name="_Toc2232"/>
      <w:r>
        <w:rPr>
          <w:rFonts w:hint="eastAsia" w:ascii="宋体" w:hAnsi="宋体" w:cs="宋体"/>
          <w:b/>
          <w:sz w:val="24"/>
        </w:rPr>
        <w:t>1.1 合同组成部分</w:t>
      </w:r>
      <w:bookmarkEnd w:id="399"/>
      <w:bookmarkEnd w:id="400"/>
      <w:bookmarkEnd w:id="401"/>
    </w:p>
    <w:p>
      <w:pPr>
        <w:spacing w:line="560" w:lineRule="exact"/>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s="宋体"/>
          <w:sz w:val="24"/>
        </w:rPr>
      </w:pPr>
      <w:r>
        <w:rPr>
          <w:rFonts w:hint="eastAsia" w:ascii="宋体" w:hAnsi="宋体" w:cs="宋体"/>
          <w:sz w:val="24"/>
        </w:rPr>
        <w:t>1.1.1 本合同及其补充合同、变更协议；</w:t>
      </w:r>
    </w:p>
    <w:p>
      <w:pPr>
        <w:spacing w:line="560" w:lineRule="exact"/>
        <w:ind w:firstLine="480" w:firstLineChars="200"/>
        <w:rPr>
          <w:rFonts w:ascii="宋体" w:hAnsi="宋体" w:cs="宋体"/>
          <w:sz w:val="24"/>
        </w:rPr>
      </w:pPr>
      <w:r>
        <w:rPr>
          <w:rFonts w:hint="eastAsia" w:ascii="宋体" w:hAnsi="宋体" w:cs="宋体"/>
          <w:sz w:val="24"/>
        </w:rPr>
        <w:t>1.1.2 中标或者成交通知书；</w:t>
      </w:r>
    </w:p>
    <w:p>
      <w:pPr>
        <w:spacing w:line="560" w:lineRule="exact"/>
        <w:ind w:firstLine="480" w:firstLineChars="200"/>
        <w:rPr>
          <w:rFonts w:ascii="宋体" w:hAnsi="宋体" w:cs="宋体"/>
          <w:sz w:val="24"/>
        </w:rPr>
      </w:pPr>
      <w:r>
        <w:rPr>
          <w:rFonts w:hint="eastAsia" w:ascii="宋体" w:hAnsi="宋体" w:cs="宋体"/>
          <w:sz w:val="24"/>
        </w:rPr>
        <w:t>1.1.3 投标或者响应文件（含澄清或者说明文件）；</w:t>
      </w:r>
    </w:p>
    <w:p>
      <w:pPr>
        <w:spacing w:line="560" w:lineRule="exact"/>
        <w:ind w:firstLine="480" w:firstLineChars="200"/>
        <w:rPr>
          <w:rFonts w:ascii="宋体" w:hAnsi="宋体" w:cs="宋体"/>
          <w:sz w:val="24"/>
        </w:rPr>
      </w:pPr>
      <w:r>
        <w:rPr>
          <w:rFonts w:hint="eastAsia" w:ascii="宋体" w:hAnsi="宋体" w:cs="宋体"/>
          <w:sz w:val="24"/>
        </w:rPr>
        <w:t>1.1.4 采购文件（含澄清或者修改文件）；</w:t>
      </w:r>
    </w:p>
    <w:p>
      <w:pPr>
        <w:spacing w:line="560" w:lineRule="exact"/>
        <w:ind w:firstLine="480" w:firstLineChars="200"/>
        <w:rPr>
          <w:rFonts w:ascii="宋体" w:hAnsi="宋体" w:cs="宋体"/>
          <w:sz w:val="24"/>
        </w:rPr>
      </w:pPr>
      <w:r>
        <w:rPr>
          <w:rFonts w:hint="eastAsia" w:ascii="宋体" w:hAnsi="宋体" w:cs="宋体"/>
          <w:sz w:val="24"/>
        </w:rPr>
        <w:t>1.1.5 其他相关采购文件。</w:t>
      </w:r>
    </w:p>
    <w:p>
      <w:pPr>
        <w:spacing w:line="560" w:lineRule="exact"/>
        <w:ind w:firstLine="482" w:firstLineChars="200"/>
        <w:outlineLvl w:val="0"/>
        <w:rPr>
          <w:rFonts w:ascii="宋体" w:hAnsi="宋体" w:cs="宋体"/>
          <w:b/>
          <w:sz w:val="24"/>
        </w:rPr>
      </w:pPr>
      <w:bookmarkStart w:id="402" w:name="_Toc27126"/>
      <w:bookmarkStart w:id="403" w:name="_Toc24300"/>
      <w:bookmarkStart w:id="404" w:name="_Toc21295"/>
      <w:r>
        <w:rPr>
          <w:rFonts w:hint="eastAsia" w:ascii="宋体" w:hAnsi="宋体" w:cs="宋体"/>
          <w:b/>
          <w:sz w:val="24"/>
        </w:rPr>
        <w:t>1.2 货物</w:t>
      </w:r>
      <w:bookmarkEnd w:id="402"/>
      <w:bookmarkEnd w:id="403"/>
      <w:bookmarkEnd w:id="404"/>
    </w:p>
    <w:p>
      <w:pPr>
        <w:spacing w:line="560" w:lineRule="exact"/>
        <w:ind w:firstLine="480" w:firstLineChars="200"/>
        <w:rPr>
          <w:rFonts w:ascii="宋体" w:hAnsi="宋体" w:cs="宋体"/>
          <w:sz w:val="24"/>
          <w:u w:val="single"/>
        </w:rPr>
      </w:pPr>
      <w:r>
        <w:rPr>
          <w:rFonts w:hint="eastAsia" w:ascii="宋体" w:hAnsi="宋体" w:cs="宋体"/>
          <w:sz w:val="24"/>
        </w:rPr>
        <w:t>1.2.1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1.2.3 货物质量：</w:t>
      </w:r>
      <w:r>
        <w:rPr>
          <w:rFonts w:hint="eastAsia" w:ascii="宋体" w:hAnsi="宋体" w:cs="宋体"/>
          <w:sz w:val="24"/>
          <w:u w:val="single"/>
        </w:rPr>
        <w:t>　　　　　　　　　                      　      ；</w:t>
      </w:r>
    </w:p>
    <w:p>
      <w:pPr>
        <w:spacing w:line="560" w:lineRule="exact"/>
        <w:ind w:firstLine="482" w:firstLineChars="200"/>
        <w:outlineLvl w:val="0"/>
        <w:rPr>
          <w:rFonts w:ascii="宋体" w:hAnsi="宋体" w:cs="宋体"/>
          <w:b/>
          <w:sz w:val="24"/>
        </w:rPr>
      </w:pPr>
      <w:bookmarkStart w:id="405" w:name="_Toc23292"/>
      <w:bookmarkStart w:id="406" w:name="_Toc21551"/>
      <w:bookmarkStart w:id="407" w:name="_Toc21631"/>
      <w:r>
        <w:rPr>
          <w:rFonts w:hint="eastAsia" w:ascii="宋体" w:hAnsi="宋体" w:cs="宋体"/>
          <w:b/>
          <w:sz w:val="24"/>
        </w:rPr>
        <w:t>1.3 价款</w:t>
      </w:r>
      <w:bookmarkEnd w:id="405"/>
      <w:bookmarkEnd w:id="406"/>
      <w:bookmarkEnd w:id="407"/>
    </w:p>
    <w:p>
      <w:pPr>
        <w:spacing w:line="560" w:lineRule="exact"/>
        <w:ind w:firstLine="480" w:firstLineChars="200"/>
        <w:rPr>
          <w:rFonts w:ascii="宋体" w:hAnsi="宋体" w:cs="宋体"/>
          <w:sz w:val="24"/>
        </w:rPr>
      </w:pPr>
      <w:r>
        <w:rPr>
          <w:rFonts w:hint="eastAsia" w:ascii="宋体" w:hAnsi="宋体" w:cs="宋体"/>
          <w:sz w:val="24"/>
        </w:rPr>
        <w:t>本合同总价（含税）为：￥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p>
    <w:p>
      <w:pPr>
        <w:spacing w:line="560" w:lineRule="exact"/>
        <w:ind w:firstLine="480" w:firstLineChars="200"/>
        <w:rPr>
          <w:rFonts w:ascii="宋体" w:hAnsi="宋体" w:cs="宋体"/>
          <w:sz w:val="24"/>
          <w:u w:val="single"/>
        </w:rPr>
      </w:pPr>
      <w:r>
        <w:rPr>
          <w:rFonts w:hint="eastAsia" w:ascii="宋体" w:hAnsi="宋体" w:cs="宋体"/>
          <w:sz w:val="24"/>
        </w:rPr>
        <w:t>分项价格：</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jc w:val="center"/>
              <w:rPr>
                <w:rFonts w:hAnsi="宋体" w:cs="宋体"/>
                <w:sz w:val="24"/>
                <w:szCs w:val="24"/>
              </w:rPr>
            </w:pPr>
            <w:r>
              <w:rPr>
                <w:rFonts w:hint="eastAsia" w:hAnsi="宋体" w:cs="宋体"/>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sz w:val="24"/>
                <w:szCs w:val="24"/>
              </w:rPr>
            </w:pPr>
            <w:r>
              <w:rPr>
                <w:rFonts w:hint="eastAsia" w:hAnsi="宋体" w:cs="宋体"/>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jc w:val="center"/>
              <w:rPr>
                <w:rFonts w:hAnsi="宋体" w:cs="宋体"/>
                <w:sz w:val="24"/>
                <w:szCs w:val="24"/>
              </w:rPr>
            </w:pPr>
            <w:r>
              <w:rPr>
                <w:rFonts w:hint="eastAsia" w:hAnsi="宋体" w:cs="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sz w:val="24"/>
                <w:szCs w:val="24"/>
              </w:rPr>
            </w:pPr>
            <w:r>
              <w:rPr>
                <w:rFonts w:hint="eastAsia" w:hAnsi="宋体" w:cs="宋体"/>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sz w:val="24"/>
                <w:szCs w:val="24"/>
              </w:rPr>
            </w:pPr>
          </w:p>
        </w:tc>
      </w:tr>
    </w:tbl>
    <w:p>
      <w:pPr>
        <w:pStyle w:val="958"/>
        <w:spacing w:before="0" w:beforeAutospacing="0" w:after="0" w:afterAutospacing="0" w:line="360" w:lineRule="auto"/>
        <w:ind w:firstLine="480"/>
        <w:rPr>
          <w:b/>
        </w:rPr>
      </w:pPr>
      <w:bookmarkStart w:id="408" w:name="_Toc10340"/>
      <w:bookmarkStart w:id="409" w:name="_Toc1814"/>
      <w:bookmarkStart w:id="410" w:name="_Toc22618"/>
      <w:r>
        <w:rPr>
          <w:rFonts w:hint="eastAsia"/>
          <w:b/>
        </w:rPr>
        <w:t>1.4履约保证金</w:t>
      </w:r>
    </w:p>
    <w:p>
      <w:pPr>
        <w:pStyle w:val="958"/>
        <w:spacing w:before="0" w:beforeAutospacing="0" w:after="0" w:afterAutospacing="0" w:line="360" w:lineRule="auto"/>
        <w:ind w:firstLine="480"/>
      </w:pPr>
      <w:r>
        <w:rPr>
          <w:rFonts w:hint="eastAsia"/>
        </w:rPr>
        <w:t>乙方</w:t>
      </w:r>
      <w:r>
        <w:rPr>
          <w:rFonts w:hint="eastAsia"/>
          <w:u w:val="single"/>
        </w:rPr>
        <w:t xml:space="preserve">     </w:t>
      </w:r>
      <w:r>
        <w:rPr>
          <w:rFonts w:hint="eastAsia"/>
        </w:rPr>
        <w:t>（是</w:t>
      </w:r>
      <w:r>
        <w:rPr>
          <w:rFonts w:hint="eastAsia" w:ascii="仿宋" w:hAnsi="仿宋" w:eastAsia="仿宋" w:cs="仿宋"/>
        </w:rPr>
        <w:t>/</w:t>
      </w:r>
      <w:r>
        <w:rPr>
          <w:rFonts w:hint="eastAsia"/>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r>
        <w:rPr>
          <w:rFonts w:hint="eastAsia" w:ascii="宋体" w:hAnsi="宋体" w:cs="宋体"/>
          <w:kern w:val="0"/>
          <w:sz w:val="24"/>
          <w:u w:val="single"/>
        </w:rPr>
        <w:t xml:space="preserve">     </w:t>
      </w:r>
      <w:r>
        <w:rPr>
          <w:rFonts w:hint="eastAsia" w:ascii="宋体" w:hAnsi="宋体" w:cs="宋体"/>
          <w:kern w:val="0"/>
          <w:sz w:val="24"/>
        </w:rPr>
        <w:t>%；</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2"/>
        <w:tabs>
          <w:tab w:val="left" w:pos="0"/>
          <w:tab w:val="clear" w:pos="432"/>
        </w:tabs>
        <w:spacing w:line="560" w:lineRule="exact"/>
        <w:ind w:left="0" w:firstLine="480" w:firstLineChars="200"/>
        <w:rPr>
          <w:rFonts w:eastAsia="宋体"/>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pPr>
      <w:r>
        <w:rPr>
          <w:rFonts w:hint="eastAsia" w:ascii="宋体" w:hAnsi="宋体" w:cs="宋体"/>
          <w:kern w:val="0"/>
          <w:sz w:val="24"/>
        </w:rPr>
        <w:t>1.4.4 甲方在项目验收结束后及时退还履约保证金。甲方在项目通过验收之日起</w:t>
      </w:r>
      <w:r>
        <w:rPr>
          <w:rFonts w:hint="eastAsia"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w:t>
      </w:r>
      <w:r>
        <w:rPr>
          <w:rFonts w:hint="eastAsia" w:ascii="宋体" w:hAnsi="宋体" w:cs="宋体"/>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cs="宋体"/>
          <w:b/>
          <w:sz w:val="24"/>
        </w:rPr>
      </w:pPr>
      <w:r>
        <w:rPr>
          <w:rFonts w:hint="eastAsia" w:ascii="宋体" w:hAnsi="宋体" w:cs="宋体"/>
          <w:b/>
          <w:sz w:val="24"/>
        </w:rPr>
        <w:t>1.5</w:t>
      </w:r>
      <w:bookmarkEnd w:id="408"/>
      <w:bookmarkEnd w:id="409"/>
      <w:bookmarkEnd w:id="410"/>
      <w:r>
        <w:rPr>
          <w:rFonts w:hint="eastAsia" w:ascii="宋体" w:hAnsi="宋体" w:cs="宋体"/>
          <w:b/>
          <w:sz w:val="24"/>
        </w:rPr>
        <w:t>预付款</w:t>
      </w:r>
    </w:p>
    <w:p>
      <w:pPr>
        <w:pStyle w:val="958"/>
        <w:spacing w:before="0" w:beforeAutospacing="0" w:after="0" w:afterAutospacing="0" w:line="360" w:lineRule="auto"/>
        <w:ind w:firstLine="480"/>
      </w:pPr>
      <w:r>
        <w:rPr>
          <w:rFonts w:hint="eastAsia"/>
        </w:rPr>
        <w:t>甲方</w:t>
      </w:r>
      <w:r>
        <w:rPr>
          <w:rFonts w:hint="eastAsia"/>
          <w:u w:val="single"/>
        </w:rPr>
        <w:t xml:space="preserve">     </w:t>
      </w:r>
      <w:r>
        <w:rPr>
          <w:rFonts w:hint="eastAsia"/>
        </w:rPr>
        <w:t>（是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958"/>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8"/>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8"/>
        <w:spacing w:before="0" w:beforeAutospacing="0" w:after="0" w:afterAutospacing="0" w:line="360" w:lineRule="auto"/>
        <w:ind w:firstLine="480"/>
        <w:rPr>
          <w:b/>
          <w:bCs/>
        </w:rPr>
      </w:pPr>
      <w:r>
        <w:rPr>
          <w:rFonts w:hint="eastAsia"/>
          <w:b/>
          <w:bCs/>
        </w:rPr>
        <w:t>1.6资金支付</w:t>
      </w:r>
    </w:p>
    <w:p>
      <w:pPr>
        <w:pStyle w:val="958"/>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11" w:name="_Toc19304"/>
      <w:bookmarkStart w:id="412" w:name="_Toc2846"/>
      <w:bookmarkStart w:id="413" w:name="_Toc32071"/>
      <w:r>
        <w:rPr>
          <w:rFonts w:hint="eastAsia" w:ascii="宋体" w:hAnsi="宋体" w:cs="宋体"/>
          <w:b/>
          <w:sz w:val="24"/>
        </w:rPr>
        <w:t>1.7货物交付期限、地点和方式</w:t>
      </w:r>
      <w:bookmarkEnd w:id="411"/>
      <w:bookmarkEnd w:id="412"/>
      <w:bookmarkEnd w:id="413"/>
    </w:p>
    <w:p>
      <w:pPr>
        <w:spacing w:line="560" w:lineRule="exact"/>
        <w:ind w:firstLine="480" w:firstLineChars="200"/>
        <w:rPr>
          <w:rFonts w:ascii="宋体" w:hAnsi="宋体" w:cs="宋体"/>
          <w:sz w:val="24"/>
          <w:u w:val="single"/>
        </w:rPr>
      </w:pPr>
      <w:r>
        <w:rPr>
          <w:rFonts w:hint="eastAsia" w:ascii="宋体" w:hAnsi="宋体" w:cs="宋体"/>
          <w:sz w:val="24"/>
        </w:rPr>
        <w:t>1.7.1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14" w:name="_Toc21423"/>
      <w:bookmarkStart w:id="415" w:name="_Toc19554"/>
      <w:bookmarkStart w:id="416" w:name="_Toc27250"/>
      <w:r>
        <w:rPr>
          <w:rFonts w:hint="eastAsia" w:ascii="宋体" w:hAnsi="宋体" w:cs="宋体"/>
          <w:b/>
          <w:sz w:val="24"/>
        </w:rPr>
        <w:t>1.8违约责任</w:t>
      </w:r>
      <w:bookmarkEnd w:id="414"/>
      <w:bookmarkEnd w:id="415"/>
      <w:bookmarkEnd w:id="416"/>
    </w:p>
    <w:p>
      <w:pPr>
        <w:spacing w:line="560" w:lineRule="exact"/>
        <w:ind w:firstLine="480" w:firstLineChars="200"/>
        <w:rPr>
          <w:rFonts w:ascii="宋体" w:hAnsi="宋体" w:cs="宋体"/>
          <w:sz w:val="24"/>
        </w:rPr>
      </w:pPr>
      <w:r>
        <w:rPr>
          <w:rFonts w:hint="eastAsia" w:ascii="宋体" w:hAnsi="宋体" w:cs="宋体"/>
          <w:sz w:val="24"/>
        </w:rPr>
        <w:t>1.8.1 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sz w:val="24"/>
          <w:u w:val="single"/>
        </w:rPr>
        <w:t xml:space="preserve">  0.05</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%计算，最高限额为本合同总价的</w:t>
      </w:r>
      <w:r>
        <w:rPr>
          <w:rFonts w:hint="eastAsia" w:ascii="宋体" w:hAnsi="宋体" w:cs="宋体"/>
          <w:sz w:val="24"/>
          <w:u w:val="single"/>
        </w:rPr>
        <w:t xml:space="preserve"> 20   </w:t>
      </w:r>
      <w:r>
        <w:rPr>
          <w:rFonts w:hint="eastAsia" w:ascii="宋体" w:hAnsi="宋体" w:cs="宋体"/>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s="宋体"/>
          <w:sz w:val="24"/>
        </w:rPr>
      </w:pPr>
      <w:r>
        <w:rPr>
          <w:rFonts w:hint="eastAsia" w:ascii="宋体" w:hAnsi="宋体" w:cs="宋体"/>
          <w:sz w:val="24"/>
        </w:rPr>
        <w:t>1.8.2 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%计算，最高限额为本合同总价的</w:t>
      </w:r>
      <w:r>
        <w:rPr>
          <w:rFonts w:hint="eastAsia" w:ascii="宋体" w:hAnsi="宋体" w:cs="宋体"/>
          <w:sz w:val="24"/>
          <w:u w:val="single"/>
        </w:rPr>
        <w:t xml:space="preserve">   20   </w:t>
      </w:r>
      <w:r>
        <w:rPr>
          <w:rFonts w:hint="eastAsia" w:ascii="宋体" w:hAnsi="宋体" w:cs="宋体"/>
          <w:sz w:val="24"/>
        </w:rPr>
        <w:t>%；迟延付款的违约金计算数额达到前述最高限额之日起，乙方有权在要求甲方支付违约金的同时，书面通知甲方解除本合同；</w:t>
      </w:r>
    </w:p>
    <w:p>
      <w:pPr>
        <w:spacing w:line="560" w:lineRule="exact"/>
        <w:ind w:firstLine="480" w:firstLineChars="200"/>
        <w:rPr>
          <w:rFonts w:ascii="宋体" w:hAnsi="宋体" w:cs="宋体"/>
          <w:sz w:val="24"/>
        </w:rPr>
      </w:pPr>
      <w:r>
        <w:rPr>
          <w:rFonts w:hint="eastAsia" w:ascii="宋体" w:hAnsi="宋体" w:cs="宋体"/>
          <w:sz w:val="24"/>
        </w:rPr>
        <w:t>1.8.3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1.8.4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1.8.5如果出现政府采购监督管理部门在处理投诉事项期间，书面通知甲方暂停采购活动的情形，或者询问或质疑事项可能影响中标或者成交结果的，导致甲方中止履行合同的情形，均不视为甲方违约。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left="-420" w:leftChars="-200" w:right="-420" w:rightChars="-200" w:firstLine="960" w:firstLineChars="400"/>
        <w:rPr>
          <w:rFonts w:ascii="宋体" w:hAnsi="宋体" w:cs="宋体"/>
        </w:rPr>
      </w:pPr>
      <w:r>
        <w:rPr>
          <w:rFonts w:hint="eastAsia" w:ascii="宋体" w:hAnsi="宋体" w:cs="宋体"/>
          <w:sz w:val="24"/>
        </w:rPr>
        <w:t>1.8.6违约责任</w:t>
      </w:r>
      <w:r>
        <w:rPr>
          <w:rFonts w:hint="eastAsia" w:ascii="宋体" w:hAnsi="宋体" w:cs="宋体"/>
          <w:b/>
          <w:i/>
          <w:sz w:val="24"/>
          <w:u w:val="single"/>
        </w:rPr>
        <w:t>合同专用条款</w:t>
      </w:r>
      <w:r>
        <w:rPr>
          <w:rFonts w:hint="eastAsia" w:ascii="宋体" w:hAnsi="宋体" w:cs="宋体"/>
          <w:sz w:val="24"/>
        </w:rPr>
        <w:t>另有约定的，从其约定。</w:t>
      </w:r>
    </w:p>
    <w:p>
      <w:pPr>
        <w:spacing w:line="560" w:lineRule="exact"/>
        <w:ind w:firstLine="482" w:firstLineChars="200"/>
        <w:outlineLvl w:val="0"/>
        <w:rPr>
          <w:rFonts w:ascii="宋体" w:hAnsi="宋体" w:cs="宋体"/>
          <w:b/>
          <w:sz w:val="24"/>
        </w:rPr>
      </w:pPr>
      <w:bookmarkStart w:id="417" w:name="_Toc15583"/>
      <w:bookmarkStart w:id="418" w:name="_Toc28375"/>
      <w:bookmarkStart w:id="419" w:name="_Toc16021"/>
      <w:r>
        <w:rPr>
          <w:rFonts w:hint="eastAsia" w:ascii="宋体" w:hAnsi="宋体" w:cs="宋体"/>
          <w:b/>
          <w:sz w:val="24"/>
        </w:rPr>
        <w:t>1.9合同争议的解决</w:t>
      </w:r>
      <w:bookmarkEnd w:id="417"/>
      <w:bookmarkEnd w:id="418"/>
      <w:bookmarkEnd w:id="419"/>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rPr>
        <w:t>条款规定的方式解决：</w:t>
      </w:r>
    </w:p>
    <w:p>
      <w:pPr>
        <w:spacing w:line="560" w:lineRule="exact"/>
        <w:ind w:left="-420" w:leftChars="-200" w:right="-420" w:rightChars="-200" w:firstLine="840" w:firstLineChars="3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840" w:firstLineChars="3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bookmarkStart w:id="420" w:name="_Toc11173"/>
      <w:bookmarkStart w:id="421" w:name="_Toc15322"/>
      <w:bookmarkStart w:id="422" w:name="_Toc7245"/>
      <w:r>
        <w:rPr>
          <w:rFonts w:hint="eastAsia" w:ascii="宋体" w:hAnsi="宋体" w:cs="宋体"/>
          <w:b/>
          <w:sz w:val="24"/>
        </w:rPr>
        <w:t>2.0 合同生效</w:t>
      </w:r>
      <w:bookmarkEnd w:id="420"/>
      <w:bookmarkEnd w:id="421"/>
      <w:bookmarkEnd w:id="422"/>
    </w:p>
    <w:p>
      <w:pPr>
        <w:spacing w:line="560" w:lineRule="exact"/>
        <w:ind w:firstLine="480" w:firstLineChars="200"/>
        <w:rPr>
          <w:rFonts w:ascii="宋体" w:hAnsi="宋体" w:cs="宋体"/>
          <w:b/>
          <w:sz w:val="24"/>
        </w:rPr>
      </w:pPr>
      <w:r>
        <w:rPr>
          <w:rFonts w:hint="eastAsia" w:ascii="宋体" w:hAnsi="宋体" w:cs="宋体"/>
          <w:sz w:val="24"/>
        </w:rPr>
        <w:t>本合同自双方当事人盖章签字时生效。</w:t>
      </w:r>
    </w:p>
    <w:p>
      <w:pPr>
        <w:autoSpaceDE w:val="0"/>
        <w:autoSpaceDN w:val="0"/>
        <w:spacing w:line="560" w:lineRule="exact"/>
        <w:rPr>
          <w:rFonts w:ascii="宋体" w:hAnsi="宋体" w:cs="宋体"/>
          <w:sz w:val="24"/>
          <w:lang w:val="zh-CN"/>
        </w:rPr>
      </w:pPr>
    </w:p>
    <w:p>
      <w:pPr>
        <w:autoSpaceDE w:val="0"/>
        <w:autoSpaceDN w:val="0"/>
        <w:spacing w:line="560" w:lineRule="exact"/>
        <w:rPr>
          <w:rFonts w:ascii="宋体" w:hAnsi="宋体" w:cs="宋体"/>
          <w:sz w:val="24"/>
          <w:lang w:val="zh-CN"/>
        </w:rPr>
      </w:pPr>
      <w:r>
        <w:rPr>
          <w:rFonts w:hint="eastAsia" w:ascii="宋体" w:hAnsi="宋体" w:cs="宋体"/>
          <w:b/>
          <w:sz w:val="24"/>
          <w:lang w:val="zh-CN"/>
        </w:rPr>
        <w:t>甲方</w:t>
      </w:r>
      <w:r>
        <w:rPr>
          <w:rFonts w:hint="eastAsia" w:ascii="宋体" w:hAnsi="宋体" w:cs="宋体"/>
          <w:sz w:val="24"/>
          <w:lang w:val="zh-CN"/>
        </w:rPr>
        <w:t xml:space="preserve">：                             </w:t>
      </w:r>
      <w:r>
        <w:rPr>
          <w:rFonts w:hint="eastAsia" w:ascii="宋体" w:hAnsi="宋体" w:cs="宋体"/>
          <w:b/>
          <w:sz w:val="24"/>
          <w:lang w:val="zh-CN"/>
        </w:rPr>
        <w:t xml:space="preserve">      乙方</w:t>
      </w:r>
      <w:r>
        <w:rPr>
          <w:rFonts w:hint="eastAsia" w:ascii="宋体" w:hAnsi="宋体" w:cs="宋体"/>
          <w:sz w:val="24"/>
          <w:lang w:val="zh-CN"/>
        </w:rPr>
        <w:t>：</w:t>
      </w:r>
    </w:p>
    <w:p>
      <w:pPr>
        <w:autoSpaceDE w:val="0"/>
        <w:autoSpaceDN w:val="0"/>
        <w:spacing w:line="560" w:lineRule="exact"/>
        <w:rPr>
          <w:rFonts w:ascii="宋体" w:hAnsi="宋体" w:cs="宋体"/>
          <w:sz w:val="24"/>
          <w:lang w:val="zh-CN"/>
        </w:rPr>
      </w:pPr>
      <w:r>
        <w:rPr>
          <w:rFonts w:hint="eastAsia" w:ascii="宋体" w:hAnsi="宋体" w:cs="宋体"/>
          <w:sz w:val="24"/>
          <w:lang w:val="zh-CN"/>
        </w:rPr>
        <w:t>统一社会信用代码：                        统一社会信用代码或身份证号码：</w:t>
      </w:r>
    </w:p>
    <w:p>
      <w:pPr>
        <w:autoSpaceDE w:val="0"/>
        <w:autoSpaceDN w:val="0"/>
        <w:spacing w:line="560" w:lineRule="exact"/>
        <w:rPr>
          <w:rFonts w:ascii="宋体" w:hAnsi="宋体" w:cs="宋体"/>
          <w:sz w:val="24"/>
          <w:lang w:val="zh-CN"/>
        </w:rPr>
      </w:pPr>
    </w:p>
    <w:p>
      <w:pPr>
        <w:autoSpaceDE w:val="0"/>
        <w:autoSpaceDN w:val="0"/>
        <w:spacing w:line="560" w:lineRule="exact"/>
        <w:rPr>
          <w:rFonts w:ascii="宋体" w:hAnsi="宋体" w:cs="宋体"/>
          <w:sz w:val="24"/>
          <w:lang w:val="zh-CN"/>
        </w:rPr>
      </w:pPr>
      <w:r>
        <w:rPr>
          <w:rFonts w:hint="eastAsia" w:ascii="宋体" w:hAnsi="宋体" w:cs="宋体"/>
          <w:sz w:val="24"/>
          <w:lang w:val="zh-CN"/>
        </w:rPr>
        <w:t>住所：                                   住所：</w:t>
      </w:r>
    </w:p>
    <w:p>
      <w:pPr>
        <w:autoSpaceDE w:val="0"/>
        <w:autoSpaceDN w:val="0"/>
        <w:spacing w:line="560" w:lineRule="exact"/>
        <w:rPr>
          <w:rFonts w:ascii="宋体" w:hAnsi="宋体" w:cs="宋体"/>
          <w:sz w:val="24"/>
          <w:lang w:val="zh-CN"/>
        </w:rPr>
      </w:pPr>
      <w:r>
        <w:rPr>
          <w:rFonts w:hint="eastAsia" w:ascii="宋体" w:hAnsi="宋体" w:cs="宋体"/>
          <w:sz w:val="24"/>
          <w:lang w:val="zh-CN"/>
        </w:rPr>
        <w:t>法定代表人或                             法定代表人</w:t>
      </w:r>
    </w:p>
    <w:p>
      <w:pPr>
        <w:autoSpaceDE w:val="0"/>
        <w:autoSpaceDN w:val="0"/>
        <w:spacing w:line="560" w:lineRule="exact"/>
        <w:rPr>
          <w:rFonts w:ascii="宋体" w:hAnsi="宋体" w:cs="宋体"/>
          <w:sz w:val="24"/>
          <w:lang w:val="zh-CN"/>
        </w:rPr>
      </w:pPr>
      <w:r>
        <w:rPr>
          <w:rFonts w:hint="eastAsia" w:ascii="宋体" w:hAnsi="宋体" w:cs="宋体"/>
          <w:sz w:val="24"/>
          <w:lang w:val="zh-CN"/>
        </w:rPr>
        <w:t xml:space="preserve">授权代表（签字）：                        或授权代表（签字）: </w:t>
      </w:r>
    </w:p>
    <w:p>
      <w:pPr>
        <w:autoSpaceDE w:val="0"/>
        <w:autoSpaceDN w:val="0"/>
        <w:spacing w:line="560" w:lineRule="exact"/>
        <w:rPr>
          <w:rFonts w:ascii="宋体" w:hAnsi="宋体" w:cs="宋体"/>
          <w:sz w:val="24"/>
          <w:lang w:val="zh-CN"/>
        </w:rPr>
      </w:pPr>
      <w:r>
        <w:rPr>
          <w:rFonts w:hint="eastAsia" w:ascii="宋体" w:hAnsi="宋体" w:cs="宋体"/>
          <w:sz w:val="24"/>
          <w:lang w:val="zh-CN"/>
        </w:rPr>
        <w:t>联系人：                                 联系人：</w:t>
      </w:r>
    </w:p>
    <w:p>
      <w:pPr>
        <w:autoSpaceDE w:val="0"/>
        <w:autoSpaceDN w:val="0"/>
        <w:spacing w:line="560" w:lineRule="exact"/>
        <w:rPr>
          <w:rFonts w:ascii="宋体" w:hAnsi="宋体" w:cs="宋体"/>
          <w:sz w:val="24"/>
          <w:lang w:val="zh-CN"/>
        </w:rPr>
      </w:pPr>
      <w:r>
        <w:rPr>
          <w:rFonts w:hint="eastAsia" w:ascii="宋体" w:hAnsi="宋体" w:cs="宋体"/>
          <w:sz w:val="24"/>
          <w:lang w:val="zh-CN"/>
        </w:rPr>
        <w:t>约定送达地址：                           约定送达地址：</w:t>
      </w:r>
    </w:p>
    <w:p>
      <w:pPr>
        <w:autoSpaceDE w:val="0"/>
        <w:autoSpaceDN w:val="0"/>
        <w:spacing w:line="560" w:lineRule="exact"/>
        <w:rPr>
          <w:rFonts w:ascii="宋体" w:hAnsi="宋体" w:cs="宋体"/>
          <w:sz w:val="24"/>
          <w:lang w:val="zh-CN"/>
        </w:rPr>
      </w:pPr>
      <w:r>
        <w:rPr>
          <w:rFonts w:hint="eastAsia" w:ascii="宋体" w:hAnsi="宋体" w:cs="宋体"/>
          <w:sz w:val="24"/>
          <w:lang w:val="zh-CN"/>
        </w:rPr>
        <w:t>邮政编码：                               邮政编码：</w:t>
      </w:r>
    </w:p>
    <w:p>
      <w:pPr>
        <w:autoSpaceDE w:val="0"/>
        <w:autoSpaceDN w:val="0"/>
        <w:spacing w:line="560" w:lineRule="exact"/>
        <w:rPr>
          <w:rFonts w:ascii="宋体" w:hAnsi="宋体" w:cs="宋体"/>
          <w:sz w:val="24"/>
          <w:lang w:val="zh-CN"/>
        </w:rPr>
      </w:pPr>
      <w:r>
        <w:rPr>
          <w:rFonts w:hint="eastAsia" w:ascii="宋体" w:hAnsi="宋体" w:cs="宋体"/>
          <w:sz w:val="24"/>
          <w:lang w:val="zh-CN"/>
        </w:rPr>
        <w:t xml:space="preserve">电话:                                    电话: </w:t>
      </w:r>
    </w:p>
    <w:p>
      <w:pPr>
        <w:autoSpaceDE w:val="0"/>
        <w:autoSpaceDN w:val="0"/>
        <w:spacing w:line="560" w:lineRule="exact"/>
        <w:rPr>
          <w:rFonts w:ascii="宋体" w:hAnsi="宋体" w:cs="宋体"/>
          <w:sz w:val="24"/>
          <w:lang w:val="zh-CN"/>
        </w:rPr>
      </w:pPr>
      <w:r>
        <w:rPr>
          <w:rFonts w:hint="eastAsia" w:ascii="宋体" w:hAnsi="宋体" w:cs="宋体"/>
          <w:sz w:val="24"/>
          <w:lang w:val="zh-CN"/>
        </w:rPr>
        <w:t>传真:                                    传真:</w:t>
      </w:r>
    </w:p>
    <w:p>
      <w:pPr>
        <w:autoSpaceDE w:val="0"/>
        <w:autoSpaceDN w:val="0"/>
        <w:spacing w:line="560" w:lineRule="exact"/>
        <w:rPr>
          <w:rFonts w:ascii="宋体" w:hAnsi="宋体" w:cs="宋体"/>
          <w:sz w:val="24"/>
        </w:rPr>
      </w:pPr>
      <w:r>
        <w:rPr>
          <w:rFonts w:hint="eastAsia" w:ascii="宋体" w:hAnsi="宋体" w:cs="宋体"/>
          <w:sz w:val="24"/>
          <w:lang w:val="zh-CN"/>
        </w:rPr>
        <w:t>电子邮箱：                               电子邮箱：</w:t>
      </w:r>
    </w:p>
    <w:p>
      <w:pPr>
        <w:autoSpaceDE w:val="0"/>
        <w:autoSpaceDN w:val="0"/>
        <w:spacing w:line="560" w:lineRule="exact"/>
        <w:rPr>
          <w:rFonts w:ascii="宋体" w:hAnsi="宋体" w:cs="宋体"/>
          <w:sz w:val="24"/>
        </w:rPr>
      </w:pPr>
      <w:r>
        <w:rPr>
          <w:rFonts w:hint="eastAsia" w:ascii="宋体" w:hAnsi="宋体" w:cs="宋体"/>
          <w:sz w:val="24"/>
        </w:rPr>
        <w:t xml:space="preserve">开户银行：                               开户银行： </w:t>
      </w:r>
    </w:p>
    <w:p>
      <w:pPr>
        <w:autoSpaceDE w:val="0"/>
        <w:autoSpaceDN w:val="0"/>
        <w:spacing w:line="560" w:lineRule="exact"/>
        <w:rPr>
          <w:rFonts w:ascii="宋体" w:hAnsi="宋体" w:cs="宋体"/>
          <w:sz w:val="24"/>
        </w:rPr>
      </w:pPr>
      <w:r>
        <w:rPr>
          <w:rFonts w:hint="eastAsia" w:ascii="宋体" w:hAnsi="宋体" w:cs="宋体"/>
          <w:sz w:val="24"/>
        </w:rPr>
        <w:t xml:space="preserve">开户名称：                               开户名称： </w:t>
      </w:r>
    </w:p>
    <w:p>
      <w:pPr>
        <w:autoSpaceDE w:val="0"/>
        <w:autoSpaceDN w:val="0"/>
        <w:spacing w:line="560" w:lineRule="exact"/>
        <w:rPr>
          <w:rFonts w:ascii="宋体" w:hAnsi="宋体" w:cs="宋体"/>
          <w:sz w:val="24"/>
        </w:rPr>
      </w:pPr>
      <w:r>
        <w:rPr>
          <w:rFonts w:hint="eastAsia" w:ascii="宋体" w:hAnsi="宋体" w:cs="宋体"/>
          <w:sz w:val="24"/>
        </w:rPr>
        <w:t>开户账号：</w:t>
      </w:r>
      <w:r>
        <w:rPr>
          <w:rFonts w:hint="eastAsia" w:ascii="宋体" w:hAnsi="宋体" w:cs="宋体"/>
          <w:sz w:val="24"/>
          <w:lang w:val="zh-CN"/>
        </w:rPr>
        <w:t xml:space="preserve">                               </w:t>
      </w:r>
      <w:r>
        <w:rPr>
          <w:rFonts w:hint="eastAsia" w:ascii="宋体" w:hAnsi="宋体" w:cs="宋体"/>
          <w:sz w:val="24"/>
        </w:rPr>
        <w:t>开户账号：</w:t>
      </w:r>
    </w:p>
    <w:p>
      <w:pPr>
        <w:pStyle w:val="2"/>
        <w:rPr>
          <w:rFonts w:ascii="宋体" w:hAnsi="宋体" w:cs="宋体"/>
          <w:sz w:val="24"/>
        </w:rPr>
      </w:pPr>
    </w:p>
    <w:p>
      <w:pPr>
        <w:rPr>
          <w:rFonts w:ascii="宋体" w:hAnsi="宋体" w:cs="宋体"/>
          <w:sz w:val="24"/>
        </w:rPr>
      </w:pPr>
    </w:p>
    <w:p>
      <w:pPr>
        <w:pStyle w:val="2"/>
        <w:rPr>
          <w:rFonts w:ascii="宋体" w:hAnsi="宋体" w:cs="宋体"/>
          <w:sz w:val="24"/>
        </w:rPr>
      </w:pPr>
    </w:p>
    <w:p>
      <w:pPr>
        <w:rPr>
          <w:rFonts w:ascii="宋体" w:hAnsi="宋体" w:cs="宋体"/>
          <w:sz w:val="24"/>
        </w:rPr>
      </w:pPr>
    </w:p>
    <w:p>
      <w:pPr>
        <w:pStyle w:val="2"/>
        <w:rPr>
          <w:rFonts w:ascii="宋体" w:hAnsi="宋体" w:cs="宋体"/>
          <w:sz w:val="24"/>
        </w:rPr>
      </w:pPr>
    </w:p>
    <w:p>
      <w:pPr>
        <w:rPr>
          <w:rFonts w:ascii="宋体" w:hAnsi="宋体" w:cs="宋体"/>
          <w:sz w:val="24"/>
        </w:rPr>
      </w:pPr>
    </w:p>
    <w:p>
      <w:pPr>
        <w:pStyle w:val="700"/>
        <w:spacing w:line="560" w:lineRule="exact"/>
        <w:ind w:firstLine="482"/>
        <w:jc w:val="center"/>
        <w:rPr>
          <w:rFonts w:ascii="宋体" w:hAnsi="宋体" w:cs="宋体"/>
          <w:b/>
          <w:szCs w:val="24"/>
        </w:rPr>
      </w:pPr>
      <w:r>
        <w:rPr>
          <w:rFonts w:hint="eastAsia" w:ascii="宋体" w:hAnsi="宋体" w:cs="宋体"/>
          <w:b/>
          <w:szCs w:val="24"/>
        </w:rPr>
        <w:t>第二部分 合同一般条款</w:t>
      </w:r>
    </w:p>
    <w:p>
      <w:pPr>
        <w:spacing w:line="560" w:lineRule="exact"/>
        <w:ind w:firstLine="482" w:firstLineChars="200"/>
        <w:outlineLvl w:val="0"/>
        <w:rPr>
          <w:rFonts w:ascii="宋体" w:hAnsi="宋体" w:cs="宋体"/>
          <w:b/>
          <w:sz w:val="24"/>
        </w:rPr>
      </w:pPr>
      <w:bookmarkStart w:id="423" w:name="_Ref467379101"/>
      <w:bookmarkStart w:id="424" w:name="_Ref467378404"/>
      <w:bookmarkStart w:id="425" w:name="_Toc487900349"/>
      <w:bookmarkStart w:id="426" w:name="_Toc16917"/>
      <w:bookmarkStart w:id="427" w:name="_Ref467378463"/>
      <w:bookmarkStart w:id="428" w:name="_Ref467379195"/>
      <w:bookmarkStart w:id="429" w:name="_Ref467379205"/>
      <w:bookmarkStart w:id="430" w:name="_Ref467379094"/>
      <w:bookmarkStart w:id="431" w:name="_Toc28763"/>
      <w:bookmarkStart w:id="432" w:name="_Ref467378499"/>
      <w:bookmarkStart w:id="433" w:name="_Toc19614"/>
      <w:bookmarkStart w:id="434" w:name="_Toc259093669"/>
      <w:bookmarkStart w:id="435" w:name="_Ref467379214"/>
      <w:bookmarkStart w:id="436" w:name="_Ref467379225"/>
      <w:bookmarkStart w:id="437" w:name="_Ref467379109"/>
      <w:bookmarkStart w:id="438" w:name="_Toc279701240"/>
      <w:r>
        <w:rPr>
          <w:rFonts w:hint="eastAsia" w:ascii="宋体" w:hAnsi="宋体" w:cs="宋体"/>
          <w:b/>
          <w:sz w:val="24"/>
        </w:rPr>
        <w:t>2.1 定义</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spacing w:line="560" w:lineRule="exact"/>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560" w:lineRule="exact"/>
        <w:ind w:firstLine="480" w:firstLineChars="200"/>
        <w:rPr>
          <w:rFonts w:ascii="宋体" w:hAnsi="宋体" w:cs="宋体"/>
          <w:sz w:val="24"/>
        </w:rPr>
      </w:pPr>
      <w:r>
        <w:rPr>
          <w:rFonts w:hint="eastAsia" w:ascii="宋体" w:hAnsi="宋体" w:cs="宋体"/>
          <w:sz w:val="24"/>
        </w:rPr>
        <w:t>2.1.1 “合同”系指采购人和中标或成交供应商签订的载明双方当事人所达成的协议，并包括所有的附件、附录和构成合同的其他文件。</w:t>
      </w:r>
    </w:p>
    <w:p>
      <w:pPr>
        <w:spacing w:line="560" w:lineRule="exact"/>
        <w:ind w:firstLine="480" w:firstLineChars="200"/>
        <w:rPr>
          <w:rFonts w:ascii="宋体" w:hAnsi="宋体" w:cs="宋体"/>
          <w:sz w:val="24"/>
        </w:rPr>
      </w:pPr>
      <w:r>
        <w:rPr>
          <w:rFonts w:hint="eastAsia" w:ascii="宋体" w:hAnsi="宋体" w:cs="宋体"/>
          <w:sz w:val="24"/>
        </w:rPr>
        <w:t>2.1.2 “合同价”系指根据合同约定，中标或成交供应商在完全履行合同义务后，采购人应支付给中标或成交供应商的价格。</w:t>
      </w:r>
    </w:p>
    <w:p>
      <w:pPr>
        <w:spacing w:line="560" w:lineRule="exact"/>
        <w:ind w:firstLine="480" w:firstLineChars="200"/>
        <w:rPr>
          <w:rFonts w:ascii="宋体" w:hAnsi="宋体" w:cs="宋体"/>
          <w:sz w:val="24"/>
        </w:rPr>
      </w:pPr>
      <w:r>
        <w:rPr>
          <w:rFonts w:hint="eastAsia" w:ascii="宋体" w:hAnsi="宋体" w:cs="宋体"/>
          <w:sz w:val="24"/>
        </w:rPr>
        <w:t>2.1.3 “货物”系指中标或成交供应商根据合同约定应向采购人交付的一切各种形态和种类的物品，包括原材料、燃料、设备、机械、仪表、备件、计算机软件、产品等，并包括工具、手册等其他相关资料。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sz w:val="24"/>
        </w:rPr>
      </w:pPr>
      <w:bookmarkStart w:id="439" w:name="_Ref467378840"/>
      <w:r>
        <w:rPr>
          <w:rFonts w:hint="eastAsia" w:ascii="宋体" w:hAnsi="宋体" w:cs="宋体"/>
          <w:sz w:val="24"/>
        </w:rPr>
        <w:t>2.1.4 “甲方”系指与中标或成交供应商签署合同的采购人</w:t>
      </w:r>
      <w:bookmarkEnd w:id="439"/>
      <w:r>
        <w:rPr>
          <w:rFonts w:hint="eastAsia" w:ascii="宋体" w:hAnsi="宋体" w:cs="宋体"/>
          <w:sz w:val="24"/>
        </w:rPr>
        <w:t>；采购人委托采购代理机构代表其与乙方签订合同的，采购人的授权委托书作为合同附件。</w:t>
      </w:r>
    </w:p>
    <w:p>
      <w:pPr>
        <w:spacing w:line="560" w:lineRule="exact"/>
        <w:ind w:firstLine="480" w:firstLineChars="200"/>
        <w:rPr>
          <w:rFonts w:ascii="宋体" w:hAnsi="宋体" w:cs="宋体"/>
          <w:sz w:val="24"/>
        </w:rPr>
      </w:pPr>
      <w:bookmarkStart w:id="440" w:name="_Ref467379400"/>
      <w:r>
        <w:rPr>
          <w:rFonts w:hint="eastAsia" w:ascii="宋体" w:hAnsi="宋体" w:cs="宋体"/>
          <w:sz w:val="24"/>
        </w:rPr>
        <w:t>2.1.5 “乙方”系指根据合同约定交付货物的中标或成交供应商</w:t>
      </w:r>
      <w:bookmarkEnd w:id="440"/>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sz w:val="24"/>
        </w:rPr>
      </w:pPr>
      <w:bookmarkStart w:id="441" w:name="_Ref467379436"/>
      <w:r>
        <w:rPr>
          <w:rFonts w:hint="eastAsia" w:ascii="宋体" w:hAnsi="宋体" w:cs="宋体"/>
          <w:sz w:val="24"/>
        </w:rPr>
        <w:t>2.1.6 “现场”系指合同约定货物将要运至或者安装的地点。</w:t>
      </w:r>
      <w:bookmarkEnd w:id="441"/>
    </w:p>
    <w:p>
      <w:pPr>
        <w:spacing w:line="560" w:lineRule="exact"/>
        <w:ind w:firstLine="482" w:firstLineChars="200"/>
        <w:outlineLvl w:val="0"/>
        <w:rPr>
          <w:rFonts w:ascii="宋体" w:hAnsi="宋体" w:cs="宋体"/>
          <w:b/>
          <w:sz w:val="24"/>
        </w:rPr>
      </w:pPr>
      <w:bookmarkStart w:id="442" w:name="_Toc259093670"/>
      <w:bookmarkStart w:id="443" w:name="_Toc13336"/>
      <w:bookmarkStart w:id="444" w:name="_Toc27635"/>
      <w:bookmarkStart w:id="445" w:name="_Toc32504"/>
      <w:bookmarkStart w:id="446" w:name="_Toc279701241"/>
      <w:bookmarkStart w:id="447" w:name="_Toc487900350"/>
      <w:r>
        <w:rPr>
          <w:rFonts w:hint="eastAsia" w:ascii="宋体" w:hAnsi="宋体" w:cs="宋体"/>
          <w:b/>
          <w:sz w:val="24"/>
        </w:rPr>
        <w:t>2.2 技术规范</w:t>
      </w:r>
      <w:bookmarkEnd w:id="442"/>
      <w:bookmarkEnd w:id="443"/>
      <w:bookmarkEnd w:id="444"/>
      <w:bookmarkEnd w:id="445"/>
      <w:bookmarkEnd w:id="446"/>
      <w:bookmarkEnd w:id="447"/>
    </w:p>
    <w:p>
      <w:pPr>
        <w:spacing w:line="560" w:lineRule="exact"/>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宋体" w:hAnsi="宋体" w:cs="宋体"/>
          <w:b/>
          <w:sz w:val="24"/>
        </w:rPr>
      </w:pPr>
      <w:bookmarkStart w:id="448" w:name="_Toc487900351"/>
      <w:bookmarkStart w:id="449" w:name="_Toc9829"/>
      <w:bookmarkStart w:id="450" w:name="_Toc31634"/>
      <w:bookmarkStart w:id="451" w:name="_Toc27853"/>
      <w:bookmarkStart w:id="452" w:name="_Toc259093671"/>
      <w:bookmarkStart w:id="453" w:name="_Toc279701242"/>
      <w:r>
        <w:rPr>
          <w:rFonts w:hint="eastAsia" w:ascii="宋体" w:hAnsi="宋体" w:cs="宋体"/>
          <w:b/>
          <w:sz w:val="24"/>
        </w:rPr>
        <w:t>2.3 知识产权</w:t>
      </w:r>
      <w:bookmarkEnd w:id="448"/>
      <w:bookmarkEnd w:id="449"/>
      <w:bookmarkEnd w:id="450"/>
      <w:bookmarkEnd w:id="451"/>
      <w:bookmarkEnd w:id="452"/>
      <w:bookmarkEnd w:id="453"/>
    </w:p>
    <w:p>
      <w:pPr>
        <w:spacing w:line="560" w:lineRule="exact"/>
        <w:ind w:firstLine="480" w:firstLineChars="200"/>
        <w:rPr>
          <w:rFonts w:ascii="宋体" w:hAnsi="宋体" w:cs="宋体"/>
          <w:sz w:val="24"/>
        </w:rPr>
      </w:pPr>
      <w:r>
        <w:rPr>
          <w:rFonts w:hint="eastAsia" w:ascii="宋体" w:hAnsi="宋体" w:cs="宋体"/>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cs="宋体"/>
          <w:sz w:val="24"/>
        </w:rPr>
      </w:pPr>
      <w:r>
        <w:rPr>
          <w:rFonts w:hint="eastAsia" w:ascii="宋体" w:hAnsi="宋体" w:cs="宋体"/>
          <w:sz w:val="24"/>
        </w:rPr>
        <w:t>2.3.2具有知识产权的计算机软件等货物的知识产权归属，详见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54" w:name="_Toc29149"/>
      <w:bookmarkStart w:id="455" w:name="_Toc4194"/>
      <w:bookmarkStart w:id="456" w:name="_Toc11932"/>
      <w:r>
        <w:rPr>
          <w:rFonts w:hint="eastAsia" w:ascii="宋体" w:hAnsi="宋体" w:cs="宋体"/>
          <w:b/>
          <w:sz w:val="24"/>
        </w:rPr>
        <w:t>2.4 包装和装运</w:t>
      </w:r>
      <w:bookmarkEnd w:id="454"/>
      <w:bookmarkEnd w:id="455"/>
      <w:bookmarkEnd w:id="456"/>
    </w:p>
    <w:p>
      <w:pPr>
        <w:spacing w:line="560" w:lineRule="exact"/>
        <w:ind w:firstLine="480" w:firstLineChars="200"/>
        <w:rPr>
          <w:rFonts w:ascii="宋体" w:hAnsi="宋体" w:cs="宋体"/>
          <w:sz w:val="24"/>
        </w:rPr>
      </w:pPr>
      <w:r>
        <w:rPr>
          <w:rFonts w:hint="eastAsia" w:ascii="宋体" w:hAnsi="宋体" w:cs="宋体"/>
          <w:sz w:val="24"/>
        </w:rPr>
        <w:t>2.4.1除</w:t>
      </w:r>
      <w:r>
        <w:rPr>
          <w:rFonts w:hint="eastAsia" w:ascii="宋体" w:hAnsi="宋体" w:cs="宋体"/>
          <w:b/>
          <w:i/>
          <w:sz w:val="24"/>
          <w:u w:val="single"/>
        </w:rPr>
        <w:t>合同专用条款</w:t>
      </w:r>
      <w:r>
        <w:rPr>
          <w:rFonts w:hint="eastAsia" w:ascii="宋体" w:hAnsi="宋体" w:cs="宋体"/>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sz w:val="24"/>
        </w:rPr>
      </w:pPr>
      <w:r>
        <w:rPr>
          <w:rFonts w:hint="eastAsia" w:ascii="宋体" w:hAnsi="宋体" w:cs="宋体"/>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宋体" w:hAnsi="宋体" w:cs="宋体"/>
          <w:sz w:val="24"/>
        </w:rPr>
      </w:pPr>
      <w:r>
        <w:rPr>
          <w:rFonts w:hint="eastAsia" w:ascii="宋体" w:hAnsi="宋体" w:cs="宋体"/>
          <w:sz w:val="24"/>
        </w:rPr>
        <w:t>2.4.3 装运货物的要求和通知，详见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57" w:name="_Toc487900354"/>
      <w:bookmarkStart w:id="458" w:name="_Ref467378591"/>
      <w:bookmarkStart w:id="459" w:name="_Toc279701245"/>
      <w:bookmarkStart w:id="460" w:name="_Ref467379542"/>
      <w:bookmarkStart w:id="461" w:name="_Ref467379536"/>
      <w:bookmarkStart w:id="462" w:name="_Ref467379527"/>
      <w:bookmarkStart w:id="463" w:name="_Toc259093674"/>
      <w:bookmarkStart w:id="464" w:name="_Ref467378541"/>
      <w:bookmarkStart w:id="465" w:name="_Toc30272"/>
      <w:bookmarkStart w:id="466" w:name="_Toc26182"/>
      <w:bookmarkStart w:id="467" w:name="_Toc19074"/>
      <w:r>
        <w:rPr>
          <w:rFonts w:hint="eastAsia" w:ascii="宋体" w:hAnsi="宋体" w:cs="宋体"/>
          <w:b/>
          <w:sz w:val="24"/>
        </w:rPr>
        <w:t>2.</w:t>
      </w:r>
      <w:bookmarkEnd w:id="457"/>
      <w:bookmarkEnd w:id="458"/>
      <w:bookmarkEnd w:id="459"/>
      <w:bookmarkEnd w:id="460"/>
      <w:bookmarkEnd w:id="461"/>
      <w:bookmarkEnd w:id="462"/>
      <w:bookmarkEnd w:id="463"/>
      <w:bookmarkEnd w:id="464"/>
      <w:r>
        <w:rPr>
          <w:rFonts w:hint="eastAsia" w:ascii="宋体" w:hAnsi="宋体" w:cs="宋体"/>
          <w:b/>
          <w:sz w:val="24"/>
        </w:rPr>
        <w:t>5 履约检查和问题反馈</w:t>
      </w:r>
      <w:bookmarkEnd w:id="465"/>
      <w:bookmarkEnd w:id="466"/>
      <w:bookmarkEnd w:id="467"/>
    </w:p>
    <w:p>
      <w:pPr>
        <w:spacing w:line="560" w:lineRule="exact"/>
        <w:ind w:firstLine="480" w:firstLineChars="200"/>
        <w:rPr>
          <w:rFonts w:ascii="宋体" w:hAnsi="宋体" w:cs="宋体"/>
          <w:sz w:val="24"/>
        </w:rPr>
      </w:pPr>
      <w:bookmarkStart w:id="468" w:name="_Ref467379657"/>
      <w:r>
        <w:rPr>
          <w:rFonts w:hint="eastAsia" w:ascii="宋体" w:hAnsi="宋体" w:cs="宋体"/>
          <w:sz w:val="24"/>
        </w:rPr>
        <w:t>2.5.1</w:t>
      </w:r>
      <w:bookmarkEnd w:id="468"/>
      <w:bookmarkStart w:id="469" w:name="_Toc186431854"/>
      <w:bookmarkStart w:id="470" w:name="_Toc259093676"/>
      <w:bookmarkStart w:id="471" w:name="_Ref467379807"/>
      <w:bookmarkStart w:id="472" w:name="_Toc279701247"/>
      <w:bookmarkStart w:id="473" w:name="_Toc487900357"/>
      <w:bookmarkStart w:id="474" w:name="_Ref467379793"/>
      <w:r>
        <w:rPr>
          <w:rFonts w:hint="eastAsia" w:ascii="宋体" w:hAnsi="宋体" w:cs="宋体"/>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sz w:val="24"/>
        </w:rPr>
      </w:pPr>
      <w:r>
        <w:rPr>
          <w:rFonts w:hint="eastAsia" w:ascii="宋体" w:hAnsi="宋体" w:cs="宋体"/>
          <w:sz w:val="24"/>
        </w:rPr>
        <w:t>2.5.2 合同履行期间，甲方有权将履行过程中出现的问题反馈给乙方，双方当事人应以书面形式约定需要完善和改进的内容</w:t>
      </w:r>
      <w:bookmarkEnd w:id="469"/>
      <w:bookmarkStart w:id="475" w:name="_Toc186431855"/>
      <w:r>
        <w:rPr>
          <w:rFonts w:hint="eastAsia" w:ascii="宋体" w:hAnsi="宋体" w:cs="宋体"/>
          <w:sz w:val="24"/>
        </w:rPr>
        <w:t>。</w:t>
      </w:r>
    </w:p>
    <w:bookmarkEnd w:id="470"/>
    <w:bookmarkEnd w:id="471"/>
    <w:bookmarkEnd w:id="472"/>
    <w:bookmarkEnd w:id="473"/>
    <w:bookmarkEnd w:id="474"/>
    <w:bookmarkEnd w:id="475"/>
    <w:p>
      <w:pPr>
        <w:spacing w:line="560" w:lineRule="exact"/>
        <w:ind w:firstLine="482" w:firstLineChars="200"/>
        <w:outlineLvl w:val="0"/>
        <w:rPr>
          <w:rFonts w:ascii="宋体" w:hAnsi="宋体" w:cs="宋体"/>
          <w:b/>
          <w:sz w:val="24"/>
        </w:rPr>
      </w:pPr>
      <w:bookmarkStart w:id="476" w:name="_Toc487900358"/>
      <w:bookmarkStart w:id="477" w:name="_Ref467379863"/>
      <w:bookmarkStart w:id="478" w:name="_Toc279701248"/>
      <w:bookmarkStart w:id="479" w:name="_Ref467379852"/>
      <w:bookmarkStart w:id="480" w:name="_Ref467379923"/>
      <w:bookmarkStart w:id="481" w:name="_Toc259093677"/>
      <w:bookmarkStart w:id="482" w:name="_Toc16110"/>
      <w:bookmarkStart w:id="483" w:name="_Toc774"/>
      <w:bookmarkStart w:id="484" w:name="_Toc3225"/>
      <w:r>
        <w:rPr>
          <w:rFonts w:hint="eastAsia" w:ascii="宋体" w:hAnsi="宋体" w:cs="宋体"/>
          <w:b/>
          <w:sz w:val="24"/>
        </w:rPr>
        <w:t>2.6 技术资料</w:t>
      </w:r>
      <w:bookmarkEnd w:id="476"/>
      <w:bookmarkEnd w:id="477"/>
      <w:bookmarkEnd w:id="478"/>
      <w:bookmarkEnd w:id="479"/>
      <w:bookmarkEnd w:id="480"/>
      <w:bookmarkEnd w:id="481"/>
      <w:r>
        <w:rPr>
          <w:rFonts w:hint="eastAsia" w:ascii="宋体" w:hAnsi="宋体" w:cs="宋体"/>
          <w:b/>
          <w:sz w:val="24"/>
        </w:rPr>
        <w:t>和保密义务</w:t>
      </w:r>
      <w:bookmarkEnd w:id="482"/>
      <w:bookmarkEnd w:id="483"/>
      <w:bookmarkEnd w:id="484"/>
    </w:p>
    <w:p>
      <w:pPr>
        <w:spacing w:line="560" w:lineRule="exact"/>
        <w:ind w:firstLine="480" w:firstLineChars="200"/>
        <w:rPr>
          <w:rFonts w:ascii="宋体" w:hAnsi="宋体" w:cs="宋体"/>
          <w:sz w:val="24"/>
        </w:rPr>
      </w:pPr>
      <w:r>
        <w:rPr>
          <w:rFonts w:hint="eastAsia" w:ascii="宋体" w:hAnsi="宋体" w:cs="宋体"/>
          <w:sz w:val="24"/>
        </w:rPr>
        <w:t>2.6.1 乙方有权依据合同约定和项目需要，向甲方了解有关情况，调阅有关资料等，甲方应予积极配合；</w:t>
      </w:r>
    </w:p>
    <w:p>
      <w:pPr>
        <w:spacing w:line="560" w:lineRule="exact"/>
        <w:ind w:firstLine="480" w:firstLineChars="200"/>
        <w:rPr>
          <w:rFonts w:ascii="宋体" w:hAnsi="宋体" w:cs="宋体"/>
          <w:sz w:val="24"/>
        </w:rPr>
      </w:pPr>
      <w:r>
        <w:rPr>
          <w:rFonts w:hint="eastAsia" w:ascii="宋体" w:hAnsi="宋体" w:cs="宋体"/>
          <w:sz w:val="24"/>
        </w:rPr>
        <w:t>2.6.2 乙方有义务妥善保管和保护由甲方提供的前款信息和资料等；</w:t>
      </w:r>
    </w:p>
    <w:p>
      <w:pPr>
        <w:spacing w:line="560" w:lineRule="exact"/>
        <w:ind w:firstLine="480" w:firstLineChars="200"/>
        <w:rPr>
          <w:rFonts w:ascii="宋体" w:hAnsi="宋体" w:cs="宋体"/>
          <w:sz w:val="24"/>
        </w:rPr>
      </w:pPr>
      <w:r>
        <w:rPr>
          <w:rFonts w:hint="eastAsia" w:ascii="宋体" w:hAnsi="宋体" w:cs="宋体"/>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cs="宋体"/>
          <w:b/>
          <w:sz w:val="24"/>
        </w:rPr>
      </w:pPr>
      <w:bookmarkStart w:id="485" w:name="_Toc7860"/>
      <w:r>
        <w:rPr>
          <w:rFonts w:hint="eastAsia" w:ascii="宋体" w:hAnsi="宋体" w:cs="宋体"/>
          <w:b/>
          <w:sz w:val="24"/>
        </w:rPr>
        <w:t>2.7 质量保证</w:t>
      </w:r>
      <w:bookmarkEnd w:id="485"/>
    </w:p>
    <w:p>
      <w:pPr>
        <w:spacing w:line="560" w:lineRule="exact"/>
        <w:ind w:firstLine="480" w:firstLineChars="200"/>
        <w:rPr>
          <w:rFonts w:ascii="宋体" w:hAnsi="宋体" w:cs="宋体"/>
          <w:sz w:val="24"/>
        </w:rPr>
      </w:pPr>
      <w:r>
        <w:rPr>
          <w:rFonts w:hint="eastAsia" w:ascii="宋体" w:hAnsi="宋体" w:cs="宋体"/>
          <w:sz w:val="24"/>
        </w:rPr>
        <w:t>2.7.1 乙方应建立和完善履行合同的内部质量保证体系，并提供相关内部规章制度给甲方，以便甲方进行监督检查；</w:t>
      </w:r>
    </w:p>
    <w:p>
      <w:pPr>
        <w:spacing w:line="560" w:lineRule="exact"/>
        <w:ind w:firstLine="480" w:firstLineChars="200"/>
        <w:rPr>
          <w:rFonts w:ascii="宋体" w:hAnsi="宋体" w:cs="宋体"/>
          <w:sz w:val="24"/>
        </w:rPr>
      </w:pPr>
      <w:r>
        <w:rPr>
          <w:rFonts w:hint="eastAsia" w:ascii="宋体" w:hAnsi="宋体" w:cs="宋体"/>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cs="宋体"/>
          <w:b/>
          <w:sz w:val="24"/>
        </w:rPr>
      </w:pPr>
      <w:bookmarkStart w:id="486" w:name="_Toc17244"/>
      <w:bookmarkStart w:id="487" w:name="_Toc487900362"/>
      <w:bookmarkStart w:id="488" w:name="_Toc279701252"/>
      <w:bookmarkStart w:id="489" w:name="_Toc259093681"/>
      <w:r>
        <w:rPr>
          <w:rFonts w:hint="eastAsia" w:ascii="宋体" w:hAnsi="宋体" w:cs="宋体"/>
          <w:b/>
          <w:sz w:val="24"/>
        </w:rPr>
        <w:t>2.8 货物的风险负担</w:t>
      </w:r>
      <w:bookmarkEnd w:id="486"/>
    </w:p>
    <w:p>
      <w:pPr>
        <w:spacing w:line="560" w:lineRule="exact"/>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90" w:name="_Toc14055"/>
      <w:r>
        <w:rPr>
          <w:rFonts w:hint="eastAsia" w:ascii="宋体" w:hAnsi="宋体" w:cs="宋体"/>
          <w:b/>
          <w:sz w:val="24"/>
        </w:rPr>
        <w:t>2.9 延迟交货</w:t>
      </w:r>
      <w:bookmarkEnd w:id="487"/>
      <w:bookmarkEnd w:id="488"/>
      <w:bookmarkEnd w:id="489"/>
      <w:bookmarkEnd w:id="490"/>
    </w:p>
    <w:p>
      <w:pPr>
        <w:spacing w:line="560" w:lineRule="exact"/>
        <w:ind w:firstLine="480" w:firstLineChars="200"/>
        <w:rPr>
          <w:rFonts w:ascii="宋体" w:hAnsi="宋体" w:cs="宋体"/>
          <w:sz w:val="24"/>
        </w:rPr>
      </w:pPr>
      <w:r>
        <w:rPr>
          <w:rFonts w:hint="eastAsia" w:ascii="宋体" w:hAnsi="宋体"/>
          <w:sz w:val="24"/>
        </w:rPr>
        <w:t>甲乙双方签订合同后，乙方应按照合同约定履行合同义务，除不可抗力外，乙方不得延迟交货。</w:t>
      </w:r>
      <w:r>
        <w:rPr>
          <w:rFonts w:hint="eastAsia" w:ascii="宋体" w:hAnsi="宋体" w:cs="宋体"/>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宋体" w:hAnsi="宋体" w:cs="宋体"/>
          <w:b/>
          <w:sz w:val="24"/>
        </w:rPr>
      </w:pPr>
      <w:bookmarkStart w:id="491" w:name="_Toc7502"/>
      <w:bookmarkStart w:id="492" w:name="_Toc487900364"/>
      <w:bookmarkStart w:id="493" w:name="_Ref467378121"/>
      <w:bookmarkStart w:id="494" w:name="_Toc279701254"/>
      <w:bookmarkStart w:id="495" w:name="_Toc259093683"/>
      <w:r>
        <w:rPr>
          <w:rFonts w:hint="eastAsia" w:ascii="宋体" w:hAnsi="宋体" w:cs="宋体"/>
          <w:b/>
          <w:sz w:val="24"/>
        </w:rPr>
        <w:t>2.10 合同变更</w:t>
      </w:r>
      <w:bookmarkEnd w:id="491"/>
    </w:p>
    <w:p>
      <w:pPr>
        <w:spacing w:line="560" w:lineRule="exact"/>
        <w:ind w:firstLine="480" w:firstLineChars="200"/>
        <w:rPr>
          <w:rFonts w:ascii="宋体" w:hAnsi="宋体" w:cs="宋体"/>
          <w:sz w:val="24"/>
        </w:rPr>
      </w:pPr>
      <w:r>
        <w:rPr>
          <w:rFonts w:hint="eastAsia" w:ascii="宋体" w:hAnsi="宋体" w:cs="宋体"/>
          <w:sz w:val="24"/>
        </w:rPr>
        <w:t>合同继续履行将损害国家利益和社会公共利益的，双方当事人应当以书面形式变更合同。有过错的一方应当承担赔偿责任，双方当事人都有过错的，各自承担相应的责任。</w:t>
      </w:r>
      <w:bookmarkStart w:id="496" w:name="_Toc259093688"/>
      <w:bookmarkStart w:id="497" w:name="_Toc279701259"/>
      <w:bookmarkStart w:id="498" w:name="_Toc487900369"/>
    </w:p>
    <w:p>
      <w:pPr>
        <w:spacing w:line="560" w:lineRule="exact"/>
        <w:ind w:firstLine="482" w:firstLineChars="200"/>
        <w:outlineLvl w:val="0"/>
        <w:rPr>
          <w:rFonts w:ascii="宋体" w:hAnsi="宋体" w:cs="宋体"/>
          <w:b/>
          <w:sz w:val="24"/>
        </w:rPr>
      </w:pPr>
      <w:bookmarkStart w:id="499" w:name="_Toc15237"/>
      <w:bookmarkStart w:id="500" w:name="_Toc10366"/>
      <w:bookmarkStart w:id="501" w:name="_Toc22955"/>
      <w:r>
        <w:rPr>
          <w:rFonts w:hint="eastAsia" w:ascii="宋体" w:hAnsi="宋体" w:cs="宋体"/>
          <w:b/>
          <w:sz w:val="24"/>
        </w:rPr>
        <w:t>2.11 合同转让</w:t>
      </w:r>
      <w:bookmarkEnd w:id="496"/>
      <w:bookmarkEnd w:id="497"/>
      <w:bookmarkEnd w:id="498"/>
      <w:r>
        <w:rPr>
          <w:rFonts w:hint="eastAsia" w:ascii="宋体" w:hAnsi="宋体" w:cs="宋体"/>
          <w:b/>
          <w:sz w:val="24"/>
        </w:rPr>
        <w:t>和分包</w:t>
      </w:r>
      <w:bookmarkEnd w:id="499"/>
      <w:bookmarkEnd w:id="500"/>
      <w:bookmarkEnd w:id="501"/>
    </w:p>
    <w:p>
      <w:pPr>
        <w:spacing w:line="560" w:lineRule="exact"/>
        <w:ind w:firstLine="480" w:firstLineChars="200"/>
        <w:rPr>
          <w:rFonts w:ascii="宋体" w:hAnsi="宋体" w:cs="宋体"/>
          <w:sz w:val="24"/>
        </w:rPr>
      </w:pPr>
      <w:r>
        <w:rPr>
          <w:rFonts w:hint="eastAsia" w:ascii="宋体" w:hAnsi="宋体" w:cs="宋体"/>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宋体" w:hAnsi="宋体" w:cs="宋体"/>
          <w:sz w:val="24"/>
        </w:rPr>
      </w:pPr>
      <w:r>
        <w:rPr>
          <w:rFonts w:hint="eastAsia" w:ascii="宋体" w:hAnsi="宋体" w:cs="宋体"/>
          <w:sz w:val="24"/>
        </w:rPr>
        <w:t>2.11.2乙方采取分包方式履行合同的，甲方可直接向分包供应商支付款项。</w:t>
      </w:r>
    </w:p>
    <w:p>
      <w:pPr>
        <w:spacing w:line="560" w:lineRule="exact"/>
        <w:ind w:firstLine="482" w:firstLineChars="200"/>
        <w:outlineLvl w:val="0"/>
        <w:rPr>
          <w:rFonts w:ascii="宋体" w:hAnsi="宋体" w:cs="宋体"/>
          <w:b/>
          <w:sz w:val="24"/>
        </w:rPr>
      </w:pPr>
      <w:bookmarkStart w:id="502" w:name="_Toc13566"/>
      <w:bookmarkStart w:id="503" w:name="_Toc14066"/>
      <w:bookmarkStart w:id="504" w:name="_Toc16508"/>
      <w:r>
        <w:rPr>
          <w:rFonts w:hint="eastAsia" w:ascii="宋体" w:hAnsi="宋体" w:cs="宋体"/>
          <w:b/>
          <w:sz w:val="24"/>
        </w:rPr>
        <w:t>2.12 不可抗力</w:t>
      </w:r>
      <w:bookmarkEnd w:id="502"/>
      <w:bookmarkEnd w:id="503"/>
      <w:bookmarkEnd w:id="504"/>
    </w:p>
    <w:p>
      <w:pPr>
        <w:spacing w:line="560" w:lineRule="exact"/>
        <w:ind w:firstLine="480" w:firstLineChars="200"/>
        <w:rPr>
          <w:rFonts w:ascii="宋体" w:hAnsi="宋体" w:cs="宋体"/>
          <w:sz w:val="24"/>
        </w:rPr>
      </w:pPr>
      <w:r>
        <w:rPr>
          <w:rFonts w:hint="eastAsia" w:ascii="宋体" w:hAnsi="宋体" w:cs="宋体"/>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sz w:val="24"/>
        </w:rPr>
      </w:pPr>
      <w:r>
        <w:rPr>
          <w:rFonts w:hint="eastAsia" w:ascii="宋体" w:hAnsi="宋体" w:cs="宋体"/>
          <w:sz w:val="24"/>
        </w:rPr>
        <w:t>2.12.2 因不可抗力致使不能实现合同目的的，当事人可以解除合同；</w:t>
      </w:r>
    </w:p>
    <w:p>
      <w:pPr>
        <w:spacing w:line="560" w:lineRule="exact"/>
        <w:ind w:firstLine="480" w:firstLineChars="200"/>
        <w:rPr>
          <w:rFonts w:ascii="宋体" w:hAnsi="宋体" w:cs="宋体"/>
          <w:sz w:val="24"/>
        </w:rPr>
      </w:pPr>
      <w:r>
        <w:rPr>
          <w:rFonts w:hint="eastAsia" w:ascii="宋体" w:hAnsi="宋体" w:cs="宋体"/>
          <w:sz w:val="24"/>
        </w:rPr>
        <w:t>2.12.3 因不可抗力致使合同有变更必要的，双方当事人应在</w:t>
      </w:r>
      <w:r>
        <w:rPr>
          <w:rFonts w:hint="eastAsia" w:ascii="宋体" w:hAnsi="宋体" w:cs="宋体"/>
          <w:b/>
          <w:i/>
          <w:sz w:val="24"/>
          <w:u w:val="single"/>
        </w:rPr>
        <w:t>合同专用条款</w:t>
      </w:r>
      <w:r>
        <w:rPr>
          <w:rFonts w:hint="eastAsia" w:ascii="宋体" w:hAnsi="宋体" w:cs="宋体"/>
          <w:sz w:val="24"/>
        </w:rPr>
        <w:t>约定时间内以书面形式变更合同；</w:t>
      </w:r>
    </w:p>
    <w:p>
      <w:pPr>
        <w:spacing w:line="560" w:lineRule="exact"/>
        <w:ind w:firstLine="480" w:firstLineChars="200"/>
        <w:rPr>
          <w:rFonts w:ascii="宋体" w:hAnsi="宋体" w:cs="宋体"/>
          <w:sz w:val="24"/>
        </w:rPr>
      </w:pPr>
      <w:r>
        <w:rPr>
          <w:rFonts w:hint="eastAsia" w:ascii="宋体" w:hAnsi="宋体" w:cs="宋体"/>
          <w:sz w:val="24"/>
        </w:rPr>
        <w:t>2.12.4受不可抗力影响的一方在不可抗力发生后，应在</w:t>
      </w:r>
      <w:r>
        <w:rPr>
          <w:rFonts w:hint="eastAsia" w:ascii="宋体" w:hAnsi="宋体" w:cs="宋体"/>
          <w:b/>
          <w:i/>
          <w:sz w:val="24"/>
          <w:u w:val="single"/>
        </w:rPr>
        <w:t>合同专用条款</w:t>
      </w:r>
      <w:r>
        <w:rPr>
          <w:rFonts w:hint="eastAsia" w:ascii="宋体" w:hAnsi="宋体" w:cs="宋体"/>
          <w:sz w:val="24"/>
        </w:rPr>
        <w:t>约定时间内以书面形式通知对方当事人，并在</w:t>
      </w:r>
      <w:r>
        <w:rPr>
          <w:rFonts w:hint="eastAsia" w:ascii="宋体" w:hAnsi="宋体" w:cs="宋体"/>
          <w:b/>
          <w:i/>
          <w:sz w:val="24"/>
          <w:u w:val="single"/>
        </w:rPr>
        <w:t>合同专用条款</w:t>
      </w:r>
      <w:r>
        <w:rPr>
          <w:rFonts w:hint="eastAsia" w:ascii="宋体" w:hAnsi="宋体" w:cs="宋体"/>
          <w:sz w:val="24"/>
        </w:rPr>
        <w:t>约定时间内，将有关部门出具的证明文件送达对方当事人。</w:t>
      </w:r>
    </w:p>
    <w:p>
      <w:pPr>
        <w:spacing w:line="560" w:lineRule="exact"/>
        <w:ind w:firstLine="482" w:firstLineChars="200"/>
        <w:outlineLvl w:val="0"/>
        <w:rPr>
          <w:rFonts w:ascii="宋体" w:hAnsi="宋体" w:cs="宋体"/>
          <w:b/>
          <w:sz w:val="24"/>
        </w:rPr>
      </w:pPr>
      <w:bookmarkStart w:id="505" w:name="_Toc30676"/>
      <w:bookmarkStart w:id="506" w:name="_Toc689"/>
      <w:bookmarkStart w:id="507" w:name="_Toc6969"/>
      <w:bookmarkStart w:id="508" w:name="_Toc487900365"/>
      <w:bookmarkStart w:id="509" w:name="_Toc279701255"/>
      <w:bookmarkStart w:id="510" w:name="_Toc259093684"/>
      <w:r>
        <w:rPr>
          <w:rFonts w:hint="eastAsia" w:ascii="宋体" w:hAnsi="宋体" w:cs="宋体"/>
          <w:b/>
          <w:sz w:val="24"/>
        </w:rPr>
        <w:t>2.13 税费</w:t>
      </w:r>
      <w:bookmarkEnd w:id="505"/>
      <w:bookmarkEnd w:id="506"/>
      <w:bookmarkEnd w:id="507"/>
      <w:bookmarkEnd w:id="508"/>
      <w:bookmarkEnd w:id="509"/>
      <w:bookmarkEnd w:id="510"/>
    </w:p>
    <w:p>
      <w:pPr>
        <w:spacing w:line="560" w:lineRule="exact"/>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560" w:lineRule="exact"/>
        <w:ind w:firstLine="482" w:firstLineChars="200"/>
        <w:outlineLvl w:val="0"/>
        <w:rPr>
          <w:rFonts w:ascii="宋体" w:hAnsi="宋体" w:cs="宋体"/>
          <w:b/>
          <w:sz w:val="24"/>
        </w:rPr>
      </w:pPr>
      <w:bookmarkStart w:id="511" w:name="_Toc8298"/>
      <w:bookmarkStart w:id="512" w:name="_Toc259093687"/>
      <w:bookmarkStart w:id="513" w:name="_Toc7102"/>
      <w:bookmarkStart w:id="514" w:name="_Toc487900368"/>
      <w:bookmarkStart w:id="515" w:name="_Toc279701258"/>
      <w:bookmarkStart w:id="516" w:name="_Toc16959"/>
      <w:r>
        <w:rPr>
          <w:rFonts w:hint="eastAsia" w:ascii="宋体" w:hAnsi="宋体" w:cs="宋体"/>
          <w:b/>
          <w:sz w:val="24"/>
        </w:rPr>
        <w:t>2.14乙方破产</w:t>
      </w:r>
      <w:bookmarkEnd w:id="511"/>
      <w:bookmarkEnd w:id="512"/>
      <w:bookmarkEnd w:id="513"/>
      <w:bookmarkEnd w:id="514"/>
      <w:bookmarkEnd w:id="515"/>
      <w:bookmarkEnd w:id="516"/>
    </w:p>
    <w:p>
      <w:pPr>
        <w:spacing w:line="560" w:lineRule="exact"/>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宋体" w:hAnsi="宋体" w:cs="宋体"/>
          <w:b/>
          <w:sz w:val="24"/>
        </w:rPr>
      </w:pPr>
      <w:bookmarkStart w:id="517" w:name="_Toc29333"/>
      <w:bookmarkStart w:id="518" w:name="_Toc15387"/>
      <w:bookmarkStart w:id="519" w:name="_Toc6134"/>
      <w:r>
        <w:rPr>
          <w:rFonts w:hint="eastAsia" w:ascii="宋体" w:hAnsi="宋体" w:cs="宋体"/>
          <w:b/>
          <w:sz w:val="24"/>
        </w:rPr>
        <w:t>2.15 合同中止、终止</w:t>
      </w:r>
      <w:bookmarkEnd w:id="517"/>
      <w:bookmarkEnd w:id="518"/>
      <w:bookmarkEnd w:id="519"/>
    </w:p>
    <w:p>
      <w:pPr>
        <w:spacing w:line="560" w:lineRule="exact"/>
        <w:ind w:firstLine="480" w:firstLineChars="200"/>
        <w:rPr>
          <w:rFonts w:ascii="宋体" w:hAnsi="宋体" w:cs="宋体"/>
          <w:sz w:val="24"/>
        </w:rPr>
      </w:pPr>
      <w:r>
        <w:rPr>
          <w:rFonts w:hint="eastAsia" w:ascii="宋体" w:hAnsi="宋体" w:cs="宋体"/>
          <w:sz w:val="24"/>
        </w:rPr>
        <w:t>2.15.1 双方当事人不得擅自中止或者终止合同；</w:t>
      </w:r>
    </w:p>
    <w:p>
      <w:pPr>
        <w:spacing w:line="560" w:lineRule="exact"/>
        <w:ind w:firstLine="480" w:firstLineChars="200"/>
        <w:rPr>
          <w:rFonts w:ascii="宋体" w:hAnsi="宋体" w:cs="宋体"/>
          <w:sz w:val="24"/>
        </w:rPr>
      </w:pPr>
      <w:r>
        <w:rPr>
          <w:rFonts w:hint="eastAsia" w:ascii="宋体" w:hAnsi="宋体" w:cs="宋体"/>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cs="宋体"/>
          <w:b/>
          <w:sz w:val="24"/>
        </w:rPr>
      </w:pPr>
      <w:bookmarkStart w:id="520" w:name="_Toc1125"/>
      <w:bookmarkStart w:id="521" w:name="_Toc6596"/>
      <w:bookmarkStart w:id="522" w:name="_Toc14563"/>
      <w:r>
        <w:rPr>
          <w:rFonts w:hint="eastAsia" w:ascii="宋体" w:hAnsi="宋体" w:cs="宋体"/>
          <w:b/>
          <w:sz w:val="24"/>
        </w:rPr>
        <w:t>2.16检验和验收</w:t>
      </w:r>
      <w:bookmarkEnd w:id="520"/>
      <w:bookmarkEnd w:id="521"/>
      <w:bookmarkEnd w:id="522"/>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2.16.1货物交付前，乙方应对货物的质量、数量等方面进行详细、全面的检验，并向甲方出具证明货物符合合同约定的文件；货物交付时，甲方在</w:t>
      </w:r>
      <w:r>
        <w:rPr>
          <w:rFonts w:hint="eastAsia" w:ascii="宋体" w:hAnsi="宋体" w:cs="宋体"/>
          <w:b/>
          <w:i/>
          <w:sz w:val="24"/>
          <w:u w:val="single"/>
        </w:rPr>
        <w:t>合同专用条款</w:t>
      </w:r>
      <w:r>
        <w:rPr>
          <w:rFonts w:hint="eastAsia" w:ascii="宋体" w:hAnsi="宋体" w:cs="宋体"/>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2.16.3 检验和验收标准、程序等具体内容以及前述验收书的效力详见</w:t>
      </w:r>
      <w:r>
        <w:rPr>
          <w:rFonts w:hint="eastAsia" w:ascii="宋体" w:hAnsi="宋体" w:cs="宋体"/>
          <w:b/>
          <w:i/>
          <w:sz w:val="24"/>
          <w:u w:val="single"/>
        </w:rPr>
        <w:t>合同专用条款</w:t>
      </w:r>
      <w:r>
        <w:rPr>
          <w:rFonts w:hint="eastAsia" w:ascii="宋体" w:hAnsi="宋体" w:cs="宋体"/>
          <w:i/>
          <w:sz w:val="24"/>
        </w:rPr>
        <w:t>。</w:t>
      </w:r>
    </w:p>
    <w:bookmarkEnd w:id="492"/>
    <w:bookmarkEnd w:id="493"/>
    <w:bookmarkEnd w:id="494"/>
    <w:bookmarkEnd w:id="495"/>
    <w:p>
      <w:pPr>
        <w:spacing w:line="560" w:lineRule="exact"/>
        <w:ind w:firstLine="482" w:firstLineChars="200"/>
        <w:outlineLvl w:val="0"/>
        <w:rPr>
          <w:rFonts w:ascii="宋体" w:hAnsi="宋体" w:cs="宋体"/>
          <w:b/>
          <w:sz w:val="24"/>
        </w:rPr>
      </w:pPr>
      <w:bookmarkStart w:id="523" w:name="_Toc487900371"/>
      <w:bookmarkStart w:id="524" w:name="_Toc279701261"/>
      <w:bookmarkStart w:id="525" w:name="_Toc259093690"/>
      <w:bookmarkStart w:id="526" w:name="_Toc11284"/>
      <w:bookmarkStart w:id="527" w:name="_Toc25182"/>
      <w:bookmarkStart w:id="528" w:name="_Toc19604"/>
      <w:r>
        <w:rPr>
          <w:rFonts w:hint="eastAsia" w:ascii="宋体" w:hAnsi="宋体" w:cs="宋体"/>
          <w:b/>
          <w:sz w:val="24"/>
        </w:rPr>
        <w:t>2.17 通知</w:t>
      </w:r>
      <w:bookmarkEnd w:id="523"/>
      <w:bookmarkEnd w:id="524"/>
      <w:bookmarkEnd w:id="525"/>
      <w:r>
        <w:rPr>
          <w:rFonts w:hint="eastAsia" w:ascii="宋体" w:hAnsi="宋体" w:cs="宋体"/>
          <w:b/>
          <w:sz w:val="24"/>
        </w:rPr>
        <w:t>和送达</w:t>
      </w:r>
      <w:bookmarkEnd w:id="526"/>
      <w:bookmarkEnd w:id="527"/>
      <w:bookmarkEnd w:id="528"/>
    </w:p>
    <w:p>
      <w:pPr>
        <w:spacing w:line="560" w:lineRule="exact"/>
        <w:ind w:firstLine="480" w:firstLineChars="200"/>
        <w:rPr>
          <w:rFonts w:ascii="宋体" w:hAnsi="宋体" w:cs="宋体"/>
          <w:sz w:val="24"/>
        </w:rPr>
      </w:pPr>
      <w:bookmarkStart w:id="529" w:name="_Toc6698"/>
      <w:bookmarkStart w:id="530" w:name="_Toc3135"/>
      <w:bookmarkStart w:id="531" w:name="_Toc487900372"/>
      <w:bookmarkStart w:id="532" w:name="_Toc279701262"/>
      <w:bookmarkStart w:id="533" w:name="_Toc259093691"/>
      <w:r>
        <w:rPr>
          <w:rFonts w:hint="eastAsia" w:ascii="宋体" w:hAnsi="宋体" w:cs="宋体"/>
          <w:sz w:val="24"/>
        </w:rPr>
        <w:t xml:space="preserve">2.17.1任何一方因履行合同而以合同第一部分尾部所列明的传真或电子邮件 </w:t>
      </w:r>
      <w:r>
        <w:rPr>
          <w:rFonts w:hint="eastAsia" w:ascii="宋体" w:hAnsi="宋体" w:cs="宋体"/>
          <w:sz w:val="24"/>
          <w:u w:val="single"/>
        </w:rPr>
        <w:t xml:space="preserve">       </w:t>
      </w:r>
      <w:r>
        <w:rPr>
          <w:rFonts w:hint="eastAsia" w:ascii="宋体" w:hAnsi="宋体" w:cs="宋体"/>
          <w:sz w:val="24"/>
        </w:rPr>
        <w:t>发出的所有通知、文件、材料，均视为已向对方当事人送达；任何一方变更上述送达方式或者地址的，应于</w:t>
      </w:r>
      <w:r>
        <w:rPr>
          <w:rFonts w:hint="eastAsia" w:ascii="宋体" w:hAnsi="宋体" w:cs="宋体"/>
          <w:sz w:val="24"/>
          <w:u w:val="single"/>
        </w:rPr>
        <w:t>3</w:t>
      </w:r>
      <w:r>
        <w:rPr>
          <w:rFonts w:hint="eastAsia" w:ascii="宋体" w:hAnsi="宋体" w:cs="宋体"/>
          <w:sz w:val="24"/>
        </w:rPr>
        <w:t>个工作日内书面通知对方当事人，在对方当事人收到有关变更通知之前，变更前的约定送达方式或者地址仍视为有效。</w:t>
      </w:r>
      <w:bookmarkEnd w:id="529"/>
      <w:bookmarkEnd w:id="530"/>
    </w:p>
    <w:p>
      <w:pPr>
        <w:spacing w:line="560" w:lineRule="exact"/>
        <w:ind w:firstLine="480" w:firstLineChars="200"/>
        <w:rPr>
          <w:rFonts w:ascii="宋体" w:hAnsi="宋体" w:cs="宋体"/>
          <w:sz w:val="24"/>
        </w:rPr>
      </w:pPr>
      <w:bookmarkStart w:id="534" w:name="_Toc23294"/>
      <w:bookmarkStart w:id="535" w:name="_Toc23128"/>
      <w:r>
        <w:rPr>
          <w:rFonts w:hint="eastAsia" w:ascii="宋体" w:hAnsi="宋体" w:cs="宋体"/>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4"/>
      <w:bookmarkEnd w:id="535"/>
    </w:p>
    <w:p>
      <w:pPr>
        <w:spacing w:line="560" w:lineRule="exact"/>
        <w:ind w:firstLine="482" w:firstLineChars="200"/>
        <w:outlineLvl w:val="0"/>
        <w:rPr>
          <w:rFonts w:ascii="宋体" w:hAnsi="宋体" w:cs="宋体"/>
          <w:b/>
          <w:sz w:val="24"/>
        </w:rPr>
      </w:pPr>
      <w:bookmarkStart w:id="536" w:name="_Toc30599"/>
      <w:bookmarkStart w:id="537" w:name="_Toc4355"/>
      <w:bookmarkStart w:id="538" w:name="_Toc18540"/>
      <w:r>
        <w:rPr>
          <w:rFonts w:hint="eastAsia" w:ascii="宋体" w:hAnsi="宋体" w:cs="宋体"/>
          <w:b/>
          <w:sz w:val="24"/>
        </w:rPr>
        <w:t>2.18 计量单位</w:t>
      </w:r>
      <w:bookmarkEnd w:id="531"/>
      <w:bookmarkEnd w:id="532"/>
      <w:bookmarkEnd w:id="533"/>
      <w:bookmarkEnd w:id="536"/>
      <w:bookmarkEnd w:id="537"/>
      <w:bookmarkEnd w:id="538"/>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outlineLvl w:val="0"/>
        <w:rPr>
          <w:rFonts w:ascii="宋体" w:hAnsi="宋体" w:cs="宋体"/>
          <w:b/>
          <w:sz w:val="24"/>
        </w:rPr>
      </w:pPr>
      <w:bookmarkStart w:id="539" w:name="_Toc487900373"/>
      <w:bookmarkStart w:id="540" w:name="_Toc259093692"/>
      <w:bookmarkStart w:id="541" w:name="_Toc12773"/>
      <w:bookmarkStart w:id="542" w:name="_Toc10330"/>
      <w:bookmarkStart w:id="543" w:name="_Toc18567"/>
      <w:bookmarkStart w:id="544" w:name="_Toc279701263"/>
      <w:r>
        <w:rPr>
          <w:rFonts w:hint="eastAsia" w:ascii="宋体" w:hAnsi="宋体" w:cs="宋体"/>
          <w:b/>
          <w:sz w:val="24"/>
        </w:rPr>
        <w:t>2.19 合同使用的文字和适用的法律</w:t>
      </w:r>
      <w:bookmarkEnd w:id="539"/>
      <w:bookmarkEnd w:id="540"/>
      <w:bookmarkEnd w:id="541"/>
      <w:bookmarkEnd w:id="542"/>
      <w:bookmarkEnd w:id="543"/>
      <w:bookmarkEnd w:id="544"/>
    </w:p>
    <w:p>
      <w:pPr>
        <w:spacing w:line="560" w:lineRule="exact"/>
        <w:ind w:firstLine="480" w:firstLineChars="200"/>
        <w:rPr>
          <w:rFonts w:ascii="宋体" w:hAnsi="宋体" w:cs="宋体"/>
          <w:sz w:val="24"/>
        </w:rPr>
      </w:pPr>
      <w:r>
        <w:rPr>
          <w:rFonts w:hint="eastAsia" w:ascii="宋体" w:hAnsi="宋体" w:cs="宋体"/>
          <w:sz w:val="24"/>
        </w:rPr>
        <w:t>2.19.1 合同使用汉语书就、变更和解释；</w:t>
      </w:r>
    </w:p>
    <w:p>
      <w:pPr>
        <w:spacing w:line="560" w:lineRule="exact"/>
        <w:ind w:firstLine="480" w:firstLineChars="200"/>
        <w:rPr>
          <w:rFonts w:ascii="宋体" w:hAnsi="宋体" w:cs="宋体"/>
          <w:sz w:val="24"/>
        </w:rPr>
      </w:pPr>
      <w:r>
        <w:rPr>
          <w:rFonts w:hint="eastAsia" w:ascii="宋体" w:hAnsi="宋体" w:cs="宋体"/>
          <w:sz w:val="24"/>
        </w:rPr>
        <w:t>2.19.2 合同适用中华人民共和国法律。</w:t>
      </w:r>
    </w:p>
    <w:p>
      <w:pPr>
        <w:spacing w:line="560" w:lineRule="exact"/>
        <w:ind w:firstLine="482" w:firstLineChars="200"/>
        <w:outlineLvl w:val="0"/>
        <w:rPr>
          <w:rFonts w:ascii="宋体" w:hAnsi="宋体" w:cs="宋体"/>
          <w:b/>
          <w:sz w:val="24"/>
        </w:rPr>
      </w:pPr>
      <w:bookmarkStart w:id="545" w:name="_Toc6885"/>
      <w:bookmarkStart w:id="546" w:name="_Toc19890"/>
      <w:bookmarkStart w:id="547" w:name="_Toc14001"/>
      <w:r>
        <w:rPr>
          <w:rFonts w:hint="eastAsia" w:ascii="宋体" w:hAnsi="宋体" w:cs="宋体"/>
          <w:b/>
          <w:sz w:val="24"/>
        </w:rPr>
        <w:t>2.20 合同份数</w:t>
      </w:r>
      <w:bookmarkEnd w:id="545"/>
      <w:bookmarkEnd w:id="546"/>
      <w:bookmarkEnd w:id="547"/>
    </w:p>
    <w:p>
      <w:pPr>
        <w:spacing w:line="560" w:lineRule="exact"/>
        <w:ind w:firstLine="480" w:firstLineChars="200"/>
        <w:rPr>
          <w:rFonts w:ascii="宋体" w:hAnsi="宋体" w:cs="宋体"/>
          <w:sz w:val="24"/>
        </w:rPr>
      </w:pPr>
      <w:r>
        <w:rPr>
          <w:rFonts w:hint="eastAsia" w:ascii="宋体" w:hAnsi="宋体" w:cs="宋体"/>
          <w:sz w:val="24"/>
        </w:rPr>
        <w:t>合同份数按</w:t>
      </w:r>
      <w:r>
        <w:rPr>
          <w:rFonts w:hint="eastAsia" w:ascii="宋体" w:hAnsi="宋体" w:cs="宋体"/>
          <w:b/>
          <w:i/>
          <w:sz w:val="24"/>
          <w:u w:val="single"/>
        </w:rPr>
        <w:t>合同专用条款</w:t>
      </w:r>
      <w:r>
        <w:rPr>
          <w:rFonts w:hint="eastAsia" w:ascii="宋体" w:hAnsi="宋体" w:cs="宋体"/>
          <w:sz w:val="24"/>
        </w:rPr>
        <w:t>规定，每份均具有同等法律效力。</w:t>
      </w:r>
    </w:p>
    <w:p>
      <w:pPr>
        <w:adjustRightInd/>
        <w:spacing w:line="360" w:lineRule="auto"/>
        <w:ind w:firstLine="2513" w:firstLineChars="1197"/>
        <w:outlineLvl w:val="0"/>
        <w:rPr>
          <w:rFonts w:ascii="宋体" w:hAnsi="宋体" w:cs="宋体"/>
          <w:b/>
        </w:rPr>
      </w:pPr>
      <w:r>
        <w:rPr>
          <w:rFonts w:hint="eastAsia" w:ascii="宋体" w:hAnsi="宋体" w:cs="宋体"/>
          <w:kern w:val="0"/>
        </w:rPr>
        <w:br w:type="page"/>
      </w:r>
      <w:r>
        <w:rPr>
          <w:rFonts w:hint="eastAsia" w:ascii="宋体" w:hAnsi="宋体" w:cs="宋体"/>
          <w:b/>
          <w:sz w:val="32"/>
          <w:szCs w:val="20"/>
        </w:rPr>
        <w:t xml:space="preserve"> 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49"/>
        <w:gridCol w:w="82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5" w:type="pct"/>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4534" w:type="pct"/>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1.4.2</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1.5.1</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1.5.2 </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1.5.3</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1.6.2</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1.7.3</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1.8.6</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4534" w:type="pct"/>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2.4.1</w:t>
            </w:r>
          </w:p>
        </w:tc>
        <w:tc>
          <w:tcPr>
            <w:tcW w:w="4534" w:type="pct"/>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2.4.3</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tcPr>
          <w:p>
            <w:pPr>
              <w:spacing w:line="360" w:lineRule="auto"/>
              <w:rPr>
                <w:rFonts w:ascii="宋体" w:hAnsi="宋体" w:cs="宋体"/>
                <w:sz w:val="24"/>
              </w:rPr>
            </w:pPr>
            <w:r>
              <w:rPr>
                <w:rFonts w:hint="eastAsia" w:ascii="宋体" w:hAnsi="宋体" w:cs="宋体"/>
                <w:sz w:val="24"/>
              </w:rPr>
              <w:t xml:space="preserve">2.8 </w:t>
            </w:r>
          </w:p>
        </w:tc>
        <w:tc>
          <w:tcPr>
            <w:tcW w:w="4534" w:type="pct"/>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2.12.3</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2.12.4</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2.16.1</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2.16.3</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5" w:type="pct"/>
            <w:tcBorders>
              <w:left w:val="single" w:color="auto" w:sz="4" w:space="0"/>
            </w:tcBorders>
            <w:vAlign w:val="center"/>
          </w:tcPr>
          <w:p>
            <w:pPr>
              <w:spacing w:line="360" w:lineRule="auto"/>
              <w:ind w:left="-420" w:leftChars="-200" w:right="-420" w:rightChars="-200" w:firstLine="480" w:firstLineChars="200"/>
              <w:outlineLvl w:val="0"/>
              <w:rPr>
                <w:rFonts w:ascii="宋体" w:hAnsi="宋体" w:cs="宋体"/>
                <w:sz w:val="24"/>
              </w:rPr>
            </w:pPr>
            <w:r>
              <w:rPr>
                <w:rFonts w:hint="eastAsia" w:ascii="宋体" w:hAnsi="宋体" w:cs="宋体"/>
                <w:sz w:val="24"/>
              </w:rPr>
              <w:t xml:space="preserve">2.20 </w:t>
            </w:r>
          </w:p>
        </w:tc>
        <w:tc>
          <w:tcPr>
            <w:tcW w:w="4534" w:type="pct"/>
            <w:vAlign w:val="center"/>
          </w:tcPr>
          <w:p>
            <w:pPr>
              <w:spacing w:line="360" w:lineRule="auto"/>
              <w:rPr>
                <w:rFonts w:ascii="宋体" w:hAnsi="宋体" w:cs="宋体"/>
                <w:sz w:val="24"/>
              </w:rPr>
            </w:pPr>
          </w:p>
        </w:tc>
      </w:tr>
    </w:tbl>
    <w:p>
      <w:pPr>
        <w:spacing w:line="360" w:lineRule="auto"/>
        <w:ind w:left="-420" w:leftChars="-200" w:right="-420" w:rightChars="-200" w:firstLine="480" w:firstLineChars="200"/>
        <w:rPr>
          <w:rFonts w:ascii="宋体" w:hAnsi="宋体" w:cs="宋体"/>
          <w:sz w:val="24"/>
        </w:rPr>
      </w:pPr>
    </w:p>
    <w:p>
      <w:pPr>
        <w:spacing w:line="360" w:lineRule="auto"/>
        <w:ind w:left="-420" w:leftChars="-200" w:right="-420" w:rightChars="-200"/>
        <w:rPr>
          <w:rFonts w:ascii="宋体" w:hAnsi="宋体" w:cs="宋体"/>
          <w:sz w:val="24"/>
        </w:rPr>
      </w:pPr>
    </w:p>
    <w:p>
      <w:pPr>
        <w:pStyle w:val="2"/>
      </w:pPr>
    </w:p>
    <w:p/>
    <w:p>
      <w:pPr>
        <w:spacing w:line="360" w:lineRule="auto"/>
        <w:ind w:left="-420" w:leftChars="-200" w:right="-420" w:rightChars="-200"/>
        <w:rPr>
          <w:rFonts w:ascii="宋体" w:hAnsi="宋体" w:cs="宋体"/>
          <w:sz w:val="24"/>
        </w:rPr>
      </w:pPr>
    </w:p>
    <w:p>
      <w:pPr>
        <w:pStyle w:val="2"/>
      </w:pPr>
    </w:p>
    <w:p/>
    <w:bookmarkEnd w:id="397"/>
    <w:bookmarkEnd w:id="398"/>
    <w:p>
      <w:pPr>
        <w:spacing w:line="360" w:lineRule="auto"/>
        <w:ind w:left="720" w:firstLine="723" w:firstLineChars="200"/>
        <w:outlineLvl w:val="0"/>
        <w:rPr>
          <w:rFonts w:ascii="宋体" w:hAnsi="宋体" w:cs="宋体"/>
          <w:b/>
          <w:sz w:val="36"/>
          <w:szCs w:val="20"/>
        </w:rPr>
      </w:pPr>
      <w:r>
        <w:rPr>
          <w:rFonts w:hint="eastAsia" w:ascii="宋体" w:hAnsi="宋体" w:cs="宋体"/>
          <w:b/>
          <w:sz w:val="36"/>
          <w:szCs w:val="20"/>
        </w:rPr>
        <w:t>第六部分 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color w:val="0000FF"/>
          <w:sz w:val="24"/>
        </w:rPr>
        <w:t>（采购人）</w:t>
      </w:r>
      <w:r>
        <w:rPr>
          <w:rFonts w:hint="eastAsia" w:ascii="宋体" w:hAnsi="宋体" w:cs="宋体"/>
          <w:sz w:val="24"/>
        </w:rPr>
        <w:t>、（采购代理机构）：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我方参与</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spacing w:line="360" w:lineRule="auto"/>
        <w:ind w:firstLine="643" w:firstLineChars="200"/>
        <w:jc w:val="center"/>
        <w:rPr>
          <w:rFonts w:ascii="宋体" w:hAnsi="宋体" w:cs="宋体"/>
          <w:b/>
          <w:kern w:val="0"/>
          <w:sz w:val="32"/>
          <w:szCs w:val="32"/>
        </w:rPr>
      </w:pP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w:t>
      </w:r>
      <w:r>
        <w:rPr>
          <w:rFonts w:hint="eastAsia" w:ascii="宋体" w:hAnsi="宋体" w:cs="宋体"/>
          <w:b/>
          <w:color w:val="FF0000"/>
          <w:kern w:val="0"/>
          <w:sz w:val="32"/>
          <w:szCs w:val="32"/>
        </w:rPr>
        <w:t>（如果有）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.专门面向中小企业，货物全部由符合政策要求的中小企业（或小微企业）制造的，提供相应的中小企业声明函（附件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），联合协议中中小企业合同金额应当达到招标公告载明的比例；如果供应商本身提供所有标的均由中小企业制造的，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），分包意向协议中中小企业合同金额应当达到招标公告载明的比例；如果供应商本身提供所有标的均由中小企业制造的，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rPr>
          <w:rFonts w:ascii="宋体" w:hAnsi="宋体" w:cs="宋体"/>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pStyle w:val="2"/>
        <w:rPr>
          <w:lang w:val="en-US"/>
        </w:rPr>
      </w:pPr>
    </w:p>
    <w:p/>
    <w:p>
      <w:pPr>
        <w:snapToGrid w:val="0"/>
        <w:spacing w:line="360" w:lineRule="auto"/>
        <w:ind w:firstLine="3855" w:firstLineChars="1200"/>
        <w:outlineLvl w:val="0"/>
        <w:rPr>
          <w:rFonts w:ascii="宋体" w:hAnsi="宋体" w:cs="宋体"/>
          <w:b/>
          <w:kern w:val="0"/>
          <w:sz w:val="32"/>
          <w:szCs w:val="32"/>
        </w:rPr>
      </w:pPr>
    </w:p>
    <w:p>
      <w:pPr>
        <w:snapToGrid w:val="0"/>
        <w:spacing w:line="360" w:lineRule="auto"/>
        <w:ind w:firstLine="3855" w:firstLineChars="1200"/>
        <w:outlineLvl w:val="0"/>
        <w:rPr>
          <w:rFonts w:ascii="宋体" w:hAnsi="宋体" w:cs="宋体"/>
          <w:b/>
          <w:kern w:val="0"/>
          <w:sz w:val="32"/>
          <w:szCs w:val="32"/>
        </w:rPr>
      </w:pPr>
    </w:p>
    <w:p>
      <w:pPr>
        <w:snapToGrid w:val="0"/>
        <w:spacing w:line="360" w:lineRule="auto"/>
        <w:ind w:firstLine="3855" w:firstLineChars="1200"/>
        <w:outlineLvl w:val="0"/>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ind w:firstLine="3855" w:firstLineChars="1200"/>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color w:val="0000FF"/>
          <w:sz w:val="24"/>
        </w:rPr>
        <w:t>（采购人）</w:t>
      </w:r>
      <w:r>
        <w:rPr>
          <w:rFonts w:hint="eastAsia" w:ascii="宋体" w:hAnsi="宋体" w:cs="宋体"/>
          <w:sz w:val="24"/>
        </w:rPr>
        <w:t>、（采购代理机构）：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w:t>
      </w:r>
      <w:r>
        <w:rPr>
          <w:rFonts w:hint="eastAsia" w:ascii="宋体" w:hAnsi="宋体" w:cs="宋体"/>
          <w:snapToGrid w:val="0"/>
          <w:color w:val="FF0000"/>
          <w:kern w:val="28"/>
          <w:sz w:val="24"/>
          <w:szCs w:val="20"/>
        </w:rPr>
        <w:t>（如果有)</w:t>
      </w:r>
      <w:r>
        <w:rPr>
          <w:rFonts w:hint="eastAsia" w:ascii="宋体" w:hAnsi="宋体" w:cs="宋体"/>
          <w:snapToGrid w:val="0"/>
          <w:kern w:val="28"/>
          <w:sz w:val="24"/>
          <w:szCs w:val="20"/>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w:t>
      </w:r>
      <w:r>
        <w:rPr>
          <w:rFonts w:ascii="宋体" w:hAnsi="宋体" w:cs="宋体"/>
          <w:sz w:val="24"/>
        </w:rPr>
        <w:t>.1.3</w:t>
      </w:r>
      <w:r>
        <w:rPr>
          <w:rFonts w:hint="eastAsia" w:ascii="宋体" w:hAnsi="宋体" w:cs="宋体"/>
          <w:sz w:val="24"/>
        </w:rPr>
        <w:t>落实政府采购政策需满足的资格要求</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6</w:t>
      </w:r>
      <w:r>
        <w:rPr>
          <w:rFonts w:hint="eastAsia" w:ascii="宋体" w:hAnsi="宋体" w:cs="宋体"/>
          <w:sz w:val="24"/>
        </w:rPr>
        <w:t>投标标的清单；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7</w:t>
      </w:r>
      <w:r>
        <w:rPr>
          <w:rFonts w:hint="eastAsia" w:ascii="宋体" w:hAnsi="宋体" w:cs="宋体"/>
          <w:sz w:val="24"/>
        </w:rPr>
        <w:t>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left="420" w:leftChars="200" w:firstLine="480" w:firstLineChars="200"/>
        <w:rPr>
          <w:rFonts w:ascii="宋体" w:hAnsi="宋体" w:cs="宋体"/>
          <w:color w:val="FF0000"/>
          <w:sz w:val="24"/>
        </w:rPr>
      </w:pPr>
      <w:r>
        <w:rPr>
          <w:rFonts w:hint="eastAsia" w:ascii="宋体" w:hAnsi="宋体" w:cs="宋体"/>
          <w:color w:val="FF0000"/>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snapToGrid w:val="0"/>
        <w:spacing w:line="360" w:lineRule="auto"/>
        <w:rPr>
          <w:rFonts w:ascii="宋体" w:hAnsi="宋体" w:cs="宋体"/>
          <w:sz w:val="24"/>
        </w:rPr>
      </w:pP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47"/>
        <w:spacing w:line="360" w:lineRule="auto"/>
        <w:rPr>
          <w:rFonts w:hAnsi="宋体" w:cs="宋体"/>
          <w:bCs/>
          <w:sz w:val="24"/>
        </w:rPr>
      </w:pPr>
      <w:r>
        <w:rPr>
          <w:rFonts w:hint="eastAsia" w:hAnsi="宋体" w:cs="宋体"/>
          <w:bCs/>
          <w:sz w:val="24"/>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7"/>
              <w:adjustRightInd w:val="0"/>
              <w:spacing w:line="360" w:lineRule="auto"/>
              <w:rPr>
                <w:rFonts w:hAnsi="宋体" w:cs="宋体"/>
                <w:bCs/>
                <w:sz w:val="24"/>
              </w:rPr>
            </w:pPr>
            <w:r>
              <w:rPr>
                <w:rFonts w:hint="eastAsia" w:hAnsi="宋体" w:cs="宋体"/>
                <w:bCs/>
                <w:sz w:val="24"/>
              </w:rPr>
              <w:t>正面：                                 反面：</w:t>
            </w:r>
          </w:p>
          <w:p>
            <w:pPr>
              <w:pStyle w:val="147"/>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宋体" w:hAnsi="宋体" w:cs="宋体"/>
          <w:b/>
          <w:kern w:val="0"/>
          <w:sz w:val="32"/>
          <w:szCs w:val="32"/>
        </w:rPr>
      </w:pPr>
      <w:r>
        <w:rPr>
          <w:rFonts w:hint="eastAsia" w:ascii="宋体" w:hAnsi="宋体" w:cs="宋体"/>
          <w:b/>
          <w:kern w:val="0"/>
          <w:sz w:val="32"/>
          <w:szCs w:val="32"/>
        </w:rPr>
        <w:t>三、分包意向协议</w:t>
      </w:r>
      <w:r>
        <w:rPr>
          <w:rFonts w:hint="eastAsia" w:ascii="宋体" w:hAnsi="宋体" w:cs="宋体"/>
          <w:b/>
          <w:color w:val="FF0000"/>
          <w:kern w:val="0"/>
          <w:sz w:val="32"/>
          <w:szCs w:val="32"/>
        </w:rPr>
        <w:t>（如果有）</w:t>
      </w:r>
    </w:p>
    <w:p>
      <w:pPr>
        <w:widowControl/>
        <w:spacing w:line="360" w:lineRule="auto"/>
        <w:ind w:firstLine="120" w:firstLineChars="50"/>
        <w:jc w:val="left"/>
        <w:rPr>
          <w:rFonts w:ascii="宋体" w:hAnsi="宋体" w:cs="宋体"/>
          <w:sz w:val="24"/>
        </w:rPr>
      </w:pPr>
      <w:bookmarkStart w:id="548" w:name="_Hlk101169080"/>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bookmarkEnd w:id="548"/>
    <w:p>
      <w:pPr>
        <w:snapToGrid w:val="0"/>
        <w:spacing w:line="360" w:lineRule="auto"/>
        <w:rPr>
          <w:rFonts w:ascii="宋体" w:hAnsi="宋体" w:cs="宋体"/>
          <w:kern w:val="0"/>
          <w:sz w:val="24"/>
        </w:rPr>
      </w:pPr>
    </w:p>
    <w:p>
      <w:pPr>
        <w:jc w:val="center"/>
        <w:rPr>
          <w:rFonts w:ascii="宋体" w:hAnsi="宋体" w:cs="宋体"/>
          <w:b/>
          <w:kern w:val="0"/>
          <w:sz w:val="32"/>
          <w:szCs w:val="32"/>
        </w:rPr>
      </w:pPr>
    </w:p>
    <w:p>
      <w:pPr>
        <w:pStyle w:val="2"/>
        <w:rPr>
          <w:lang w:val="en-US"/>
        </w:rPr>
      </w:pPr>
    </w:p>
    <w:p/>
    <w:p>
      <w:pPr>
        <w:pStyle w:val="2"/>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3"/>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1"/>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0000FF"/>
          <w:sz w:val="24"/>
        </w:rPr>
        <w:t>（项目名称）</w:t>
      </w:r>
      <w:r>
        <w:rPr>
          <w:rFonts w:hint="eastAsia" w:ascii="宋体" w:hAnsi="宋体" w:cs="宋体"/>
          <w:kern w:val="0"/>
          <w:sz w:val="24"/>
          <w:lang w:val="zh-CN"/>
        </w:rPr>
        <w:t>【招标编号：</w:t>
      </w:r>
      <w:r>
        <w:rPr>
          <w:rFonts w:hint="eastAsia" w:ascii="宋体" w:hAnsi="宋体" w:cs="宋体"/>
          <w:color w:val="FF0000"/>
          <w:sz w:val="24"/>
        </w:rPr>
        <w:t>（采购编号）</w:t>
      </w:r>
      <w:r>
        <w:rPr>
          <w:rFonts w:hint="eastAsia" w:ascii="宋体" w:hAnsi="宋体" w:cs="宋体"/>
          <w:sz w:val="24"/>
        </w:rPr>
        <w:t>】的实施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1417" w:type="dxa"/>
            <w:vAlign w:val="center"/>
          </w:tcPr>
          <w:p>
            <w:pPr>
              <w:spacing w:line="360" w:lineRule="auto"/>
              <w:jc w:val="center"/>
              <w:rPr>
                <w:rFonts w:ascii="宋体" w:hAnsi="宋体" w:cs="宋体"/>
                <w:b/>
                <w:sz w:val="24"/>
              </w:rPr>
            </w:pPr>
            <w:r>
              <w:rPr>
                <w:rFonts w:hint="eastAsia" w:ascii="宋体" w:hAnsi="宋体" w:cs="宋体"/>
                <w:b/>
                <w:sz w:val="24"/>
              </w:rPr>
              <w:t>名称</w:t>
            </w:r>
          </w:p>
        </w:tc>
        <w:tc>
          <w:tcPr>
            <w:tcW w:w="1843"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品牌（如果有）</w:t>
            </w:r>
          </w:p>
        </w:tc>
        <w:tc>
          <w:tcPr>
            <w:tcW w:w="3118" w:type="dxa"/>
            <w:vAlign w:val="center"/>
          </w:tcPr>
          <w:p>
            <w:pPr>
              <w:spacing w:line="360" w:lineRule="auto"/>
              <w:jc w:val="center"/>
              <w:rPr>
                <w:rFonts w:ascii="宋体" w:hAnsi="宋体" w:cs="宋体"/>
                <w:b/>
                <w:sz w:val="24"/>
              </w:rPr>
            </w:pPr>
            <w:r>
              <w:rPr>
                <w:rFonts w:hint="eastAsia" w:ascii="宋体" w:hAnsi="宋体" w:cs="宋体"/>
                <w:b/>
                <w:sz w:val="24"/>
              </w:rPr>
              <w:t>规格型号</w:t>
            </w:r>
          </w:p>
        </w:tc>
        <w:tc>
          <w:tcPr>
            <w:tcW w:w="993" w:type="dxa"/>
            <w:vAlign w:val="center"/>
          </w:tcPr>
          <w:p>
            <w:pPr>
              <w:spacing w:line="360" w:lineRule="auto"/>
              <w:jc w:val="center"/>
              <w:rPr>
                <w:rFonts w:ascii="宋体" w:hAnsi="宋体" w:cs="宋体"/>
                <w:b/>
                <w:sz w:val="24"/>
              </w:rPr>
            </w:pPr>
            <w:r>
              <w:rPr>
                <w:rFonts w:hint="eastAsia" w:ascii="宋体" w:hAnsi="宋体" w:cs="宋体"/>
                <w:b/>
                <w:sz w:val="24"/>
              </w:rPr>
              <w:t>数量</w:t>
            </w:r>
          </w:p>
        </w:tc>
        <w:tc>
          <w:tcPr>
            <w:tcW w:w="1559" w:type="dxa"/>
            <w:vAlign w:val="center"/>
          </w:tcPr>
          <w:p>
            <w:pPr>
              <w:spacing w:line="360" w:lineRule="auto"/>
              <w:jc w:val="center"/>
              <w:rPr>
                <w:rFonts w:ascii="宋体" w:hAnsi="宋体" w:cs="宋体"/>
                <w:b/>
                <w:sz w:val="24"/>
              </w:rPr>
            </w:pPr>
            <w:r>
              <w:rPr>
                <w:rFonts w:hint="eastAsia" w:ascii="宋体" w:hAnsi="宋体" w:cs="宋体"/>
                <w:b/>
                <w:sz w:val="24"/>
              </w:rPr>
              <w:t>单价</w:t>
            </w:r>
          </w:p>
        </w:tc>
        <w:tc>
          <w:tcPr>
            <w:tcW w:w="1984" w:type="dxa"/>
            <w:vAlign w:val="center"/>
          </w:tcPr>
          <w:p>
            <w:pPr>
              <w:spacing w:line="360" w:lineRule="auto"/>
              <w:jc w:val="center"/>
              <w:rPr>
                <w:rFonts w:ascii="宋体" w:hAnsi="宋体" w:cs="宋体"/>
                <w:b/>
                <w:sz w:val="24"/>
              </w:rPr>
            </w:pPr>
            <w:r>
              <w:rPr>
                <w:rFonts w:hint="eastAsia" w:ascii="宋体" w:hAnsi="宋体" w:cs="宋体"/>
                <w:b/>
                <w:sz w:val="24"/>
              </w:rPr>
              <w:t>合计</w:t>
            </w:r>
          </w:p>
        </w:tc>
        <w:tc>
          <w:tcPr>
            <w:tcW w:w="3119"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1</w:t>
            </w:r>
          </w:p>
        </w:tc>
        <w:tc>
          <w:tcPr>
            <w:tcW w:w="1417" w:type="dxa"/>
            <w:vAlign w:val="center"/>
          </w:tcPr>
          <w:p>
            <w:pPr>
              <w:snapToGrid w:val="0"/>
              <w:spacing w:line="360" w:lineRule="auto"/>
              <w:jc w:val="center"/>
              <w:rPr>
                <w:rFonts w:ascii="宋体" w:hAnsi="宋体" w:cs="宋体"/>
                <w:color w:val="0000FF"/>
                <w:sz w:val="24"/>
              </w:rPr>
            </w:pPr>
            <w:r>
              <w:rPr>
                <w:rFonts w:hint="eastAsia" w:ascii="宋体" w:hAnsi="宋体" w:cs="宋体"/>
                <w:color w:val="0000FF"/>
                <w:sz w:val="24"/>
              </w:rPr>
              <w:t>X</w:t>
            </w:r>
            <w:r>
              <w:rPr>
                <w:rFonts w:ascii="宋体" w:hAnsi="宋体" w:cs="宋体"/>
                <w:color w:val="0000FF"/>
                <w:sz w:val="24"/>
              </w:rPr>
              <w:t>X</w:t>
            </w:r>
          </w:p>
        </w:tc>
        <w:tc>
          <w:tcPr>
            <w:tcW w:w="1843" w:type="dxa"/>
            <w:vAlign w:val="center"/>
          </w:tcPr>
          <w:p>
            <w:pPr>
              <w:snapToGrid w:val="0"/>
              <w:spacing w:line="360" w:lineRule="auto"/>
              <w:jc w:val="center"/>
              <w:rPr>
                <w:rFonts w:ascii="宋体" w:hAnsi="宋体" w:cs="宋体"/>
                <w:color w:val="0000FF"/>
                <w:sz w:val="24"/>
              </w:rPr>
            </w:pPr>
          </w:p>
        </w:tc>
        <w:tc>
          <w:tcPr>
            <w:tcW w:w="3118" w:type="dxa"/>
            <w:vAlign w:val="center"/>
          </w:tcPr>
          <w:p>
            <w:pPr>
              <w:snapToGrid w:val="0"/>
              <w:spacing w:line="360" w:lineRule="auto"/>
              <w:jc w:val="center"/>
              <w:rPr>
                <w:rFonts w:ascii="宋体" w:hAnsi="宋体" w:cs="宋体"/>
                <w:color w:val="0000FF"/>
                <w:sz w:val="24"/>
              </w:rPr>
            </w:pPr>
          </w:p>
        </w:tc>
        <w:tc>
          <w:tcPr>
            <w:tcW w:w="993" w:type="dxa"/>
            <w:vAlign w:val="center"/>
          </w:tcPr>
          <w:p>
            <w:pPr>
              <w:snapToGrid w:val="0"/>
              <w:spacing w:line="360" w:lineRule="auto"/>
              <w:jc w:val="center"/>
              <w:rPr>
                <w:rFonts w:ascii="宋体" w:hAnsi="宋体" w:cs="宋体"/>
                <w:color w:val="0000FF"/>
                <w:sz w:val="24"/>
              </w:rPr>
            </w:pPr>
          </w:p>
        </w:tc>
        <w:tc>
          <w:tcPr>
            <w:tcW w:w="1559" w:type="dxa"/>
            <w:vAlign w:val="center"/>
          </w:tcPr>
          <w:p>
            <w:pPr>
              <w:spacing w:line="360" w:lineRule="auto"/>
              <w:jc w:val="center"/>
              <w:rPr>
                <w:rFonts w:ascii="宋体" w:hAnsi="宋体" w:cs="宋体"/>
                <w:color w:val="0000FF"/>
                <w:sz w:val="24"/>
              </w:rPr>
            </w:pPr>
          </w:p>
        </w:tc>
        <w:tc>
          <w:tcPr>
            <w:tcW w:w="1984" w:type="dxa"/>
            <w:vAlign w:val="center"/>
          </w:tcPr>
          <w:p>
            <w:pPr>
              <w:spacing w:line="360" w:lineRule="auto"/>
              <w:jc w:val="center"/>
              <w:rPr>
                <w:rFonts w:ascii="宋体" w:hAnsi="宋体" w:cs="宋体"/>
                <w:color w:val="0000FF"/>
                <w:sz w:val="24"/>
              </w:rPr>
            </w:pPr>
          </w:p>
        </w:tc>
        <w:tc>
          <w:tcPr>
            <w:tcW w:w="3119" w:type="dxa"/>
            <w:vAlign w:val="center"/>
          </w:tcPr>
          <w:p>
            <w:pPr>
              <w:spacing w:line="360" w:lineRule="auto"/>
              <w:jc w:val="center"/>
              <w:rPr>
                <w:rFonts w:ascii="宋体" w:hAnsi="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2</w:t>
            </w:r>
          </w:p>
        </w:tc>
        <w:tc>
          <w:tcPr>
            <w:tcW w:w="1417" w:type="dxa"/>
            <w:vAlign w:val="center"/>
          </w:tcPr>
          <w:p>
            <w:pPr>
              <w:snapToGrid w:val="0"/>
              <w:spacing w:line="360" w:lineRule="auto"/>
              <w:jc w:val="center"/>
              <w:rPr>
                <w:rFonts w:ascii="宋体" w:hAnsi="宋体" w:cs="宋体"/>
                <w:color w:val="0000FF"/>
                <w:sz w:val="24"/>
              </w:rPr>
            </w:pPr>
            <w:r>
              <w:rPr>
                <w:rFonts w:hint="eastAsia" w:ascii="宋体" w:hAnsi="宋体" w:cs="宋体"/>
                <w:color w:val="0000FF"/>
                <w:sz w:val="24"/>
              </w:rPr>
              <w:t>X</w:t>
            </w:r>
            <w:r>
              <w:rPr>
                <w:rFonts w:ascii="宋体" w:hAnsi="宋体" w:cs="宋体"/>
                <w:color w:val="0000FF"/>
                <w:sz w:val="24"/>
              </w:rPr>
              <w:t>X</w:t>
            </w:r>
          </w:p>
        </w:tc>
        <w:tc>
          <w:tcPr>
            <w:tcW w:w="1843" w:type="dxa"/>
            <w:vAlign w:val="center"/>
          </w:tcPr>
          <w:p>
            <w:pPr>
              <w:snapToGrid w:val="0"/>
              <w:spacing w:line="360" w:lineRule="auto"/>
              <w:jc w:val="center"/>
              <w:rPr>
                <w:rFonts w:ascii="宋体" w:hAnsi="宋体" w:cs="宋体"/>
                <w:color w:val="0000FF"/>
                <w:sz w:val="24"/>
              </w:rPr>
            </w:pPr>
          </w:p>
        </w:tc>
        <w:tc>
          <w:tcPr>
            <w:tcW w:w="3118" w:type="dxa"/>
            <w:vAlign w:val="center"/>
          </w:tcPr>
          <w:p>
            <w:pPr>
              <w:snapToGrid w:val="0"/>
              <w:spacing w:line="360" w:lineRule="auto"/>
              <w:jc w:val="center"/>
              <w:rPr>
                <w:rFonts w:ascii="宋体" w:hAnsi="宋体" w:cs="宋体"/>
                <w:color w:val="0000FF"/>
                <w:sz w:val="24"/>
              </w:rPr>
            </w:pPr>
          </w:p>
        </w:tc>
        <w:tc>
          <w:tcPr>
            <w:tcW w:w="993" w:type="dxa"/>
            <w:vAlign w:val="center"/>
          </w:tcPr>
          <w:p>
            <w:pPr>
              <w:snapToGrid w:val="0"/>
              <w:spacing w:line="360" w:lineRule="auto"/>
              <w:jc w:val="center"/>
              <w:rPr>
                <w:rFonts w:ascii="宋体" w:hAnsi="宋体" w:cs="宋体"/>
                <w:color w:val="0000FF"/>
                <w:sz w:val="24"/>
              </w:rPr>
            </w:pPr>
          </w:p>
        </w:tc>
        <w:tc>
          <w:tcPr>
            <w:tcW w:w="1559" w:type="dxa"/>
            <w:vAlign w:val="center"/>
          </w:tcPr>
          <w:p>
            <w:pPr>
              <w:spacing w:line="360" w:lineRule="auto"/>
              <w:jc w:val="center"/>
              <w:rPr>
                <w:rFonts w:ascii="宋体" w:hAnsi="宋体" w:cs="宋体"/>
                <w:color w:val="0000FF"/>
                <w:sz w:val="24"/>
              </w:rPr>
            </w:pPr>
          </w:p>
        </w:tc>
        <w:tc>
          <w:tcPr>
            <w:tcW w:w="1984" w:type="dxa"/>
            <w:vAlign w:val="center"/>
          </w:tcPr>
          <w:p>
            <w:pPr>
              <w:spacing w:line="360" w:lineRule="auto"/>
              <w:jc w:val="center"/>
              <w:rPr>
                <w:rFonts w:ascii="宋体" w:hAnsi="宋体" w:cs="宋体"/>
                <w:color w:val="0000FF"/>
                <w:sz w:val="24"/>
              </w:rPr>
            </w:pPr>
          </w:p>
        </w:tc>
        <w:tc>
          <w:tcPr>
            <w:tcW w:w="3119" w:type="dxa"/>
            <w:vAlign w:val="center"/>
          </w:tcPr>
          <w:p>
            <w:pPr>
              <w:spacing w:line="360" w:lineRule="auto"/>
              <w:jc w:val="center"/>
              <w:rPr>
                <w:rFonts w:ascii="宋体" w:hAnsi="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w:t>
            </w:r>
          </w:p>
        </w:tc>
        <w:tc>
          <w:tcPr>
            <w:tcW w:w="1417" w:type="dxa"/>
            <w:vAlign w:val="center"/>
          </w:tcPr>
          <w:p>
            <w:pPr>
              <w:snapToGrid w:val="0"/>
              <w:spacing w:line="360" w:lineRule="auto"/>
              <w:jc w:val="center"/>
              <w:rPr>
                <w:rFonts w:ascii="宋体" w:hAnsi="宋体" w:cs="宋体"/>
                <w:color w:val="0000FF"/>
                <w:sz w:val="24"/>
              </w:rPr>
            </w:pPr>
          </w:p>
        </w:tc>
        <w:tc>
          <w:tcPr>
            <w:tcW w:w="1843" w:type="dxa"/>
            <w:vAlign w:val="center"/>
          </w:tcPr>
          <w:p>
            <w:pPr>
              <w:snapToGrid w:val="0"/>
              <w:spacing w:line="360" w:lineRule="auto"/>
              <w:jc w:val="center"/>
              <w:rPr>
                <w:rFonts w:ascii="宋体" w:hAnsi="宋体" w:cs="宋体"/>
                <w:color w:val="0000FF"/>
                <w:sz w:val="24"/>
              </w:rPr>
            </w:pPr>
          </w:p>
        </w:tc>
        <w:tc>
          <w:tcPr>
            <w:tcW w:w="3118" w:type="dxa"/>
            <w:vAlign w:val="center"/>
          </w:tcPr>
          <w:p>
            <w:pPr>
              <w:snapToGrid w:val="0"/>
              <w:spacing w:line="360" w:lineRule="auto"/>
              <w:jc w:val="center"/>
              <w:rPr>
                <w:rFonts w:ascii="宋体" w:hAnsi="宋体" w:cs="宋体"/>
                <w:color w:val="0000FF"/>
                <w:sz w:val="24"/>
              </w:rPr>
            </w:pPr>
          </w:p>
        </w:tc>
        <w:tc>
          <w:tcPr>
            <w:tcW w:w="993" w:type="dxa"/>
            <w:vAlign w:val="center"/>
          </w:tcPr>
          <w:p>
            <w:pPr>
              <w:snapToGrid w:val="0"/>
              <w:spacing w:line="360" w:lineRule="auto"/>
              <w:jc w:val="center"/>
              <w:rPr>
                <w:rFonts w:ascii="宋体" w:hAnsi="宋体" w:cs="宋体"/>
                <w:color w:val="0000FF"/>
                <w:sz w:val="24"/>
              </w:rPr>
            </w:pPr>
          </w:p>
        </w:tc>
        <w:tc>
          <w:tcPr>
            <w:tcW w:w="1559" w:type="dxa"/>
            <w:vAlign w:val="center"/>
          </w:tcPr>
          <w:p>
            <w:pPr>
              <w:spacing w:line="360" w:lineRule="auto"/>
              <w:jc w:val="center"/>
              <w:rPr>
                <w:rFonts w:ascii="宋体" w:hAnsi="宋体" w:cs="宋体"/>
                <w:color w:val="0000FF"/>
                <w:sz w:val="24"/>
              </w:rPr>
            </w:pPr>
          </w:p>
        </w:tc>
        <w:tc>
          <w:tcPr>
            <w:tcW w:w="1984" w:type="dxa"/>
            <w:vAlign w:val="center"/>
          </w:tcPr>
          <w:p>
            <w:pPr>
              <w:spacing w:line="360" w:lineRule="auto"/>
              <w:jc w:val="center"/>
              <w:rPr>
                <w:rFonts w:ascii="宋体" w:hAnsi="宋体" w:cs="宋体"/>
                <w:color w:val="0000FF"/>
                <w:sz w:val="24"/>
              </w:rPr>
            </w:pPr>
          </w:p>
        </w:tc>
        <w:tc>
          <w:tcPr>
            <w:tcW w:w="3119" w:type="dxa"/>
            <w:vAlign w:val="center"/>
          </w:tcPr>
          <w:p>
            <w:pPr>
              <w:spacing w:line="360" w:lineRule="auto"/>
              <w:jc w:val="center"/>
              <w:rPr>
                <w:rFonts w:ascii="宋体" w:hAnsi="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7655" w:type="dxa"/>
            <w:gridSpan w:val="4"/>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7655" w:type="dxa"/>
            <w:gridSpan w:val="4"/>
            <w:vAlign w:val="center"/>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3、特别提示：采购代理机构将对项目名称和项目编号，中标供应商名称、地址和中标金额，主要中标标的名称、品牌（如果有）、规格型号、数量、单价等予以公示。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宋体" w:hAnsi="宋体" w:cs="宋体"/>
          <w:color w:val="FF0000"/>
          <w:kern w:val="0"/>
          <w:sz w:val="24"/>
          <w:lang w:val="zh-CN"/>
        </w:rPr>
      </w:pPr>
      <w:r>
        <w:rPr>
          <w:rFonts w:ascii="宋体" w:hAnsi="宋体" w:cs="宋体"/>
          <w:color w:val="FF0000"/>
          <w:kern w:val="0"/>
          <w:sz w:val="24"/>
          <w:szCs w:val="22"/>
          <w:lang w:val="zh-CN"/>
        </w:rPr>
        <w:t>4</w:t>
      </w:r>
      <w:r>
        <w:rPr>
          <w:rFonts w:hint="eastAsia" w:ascii="宋体" w:hAnsi="宋体" w:cs="宋体"/>
          <w:color w:val="FF0000"/>
          <w:kern w:val="0"/>
          <w:sz w:val="24"/>
          <w:szCs w:val="22"/>
          <w:lang w:val="zh-CN"/>
        </w:rPr>
        <w:t>、</w:t>
      </w:r>
      <w:r>
        <w:rPr>
          <w:rFonts w:hint="eastAsia" w:ascii="宋体" w:hAnsi="宋体" w:cs="宋体"/>
          <w:color w:val="FF0000"/>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kern w:val="0"/>
          <w:sz w:val="24"/>
        </w:rPr>
      </w:pPr>
    </w:p>
    <w:p>
      <w:pPr>
        <w:pStyle w:val="691"/>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pStyle w:val="691"/>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宋体" w:hAnsi="宋体" w:eastAsia="宋体" w:cs="宋体"/>
          <w:color w:val="FF0000"/>
          <w:sz w:val="32"/>
          <w:szCs w:val="32"/>
        </w:rPr>
      </w:pPr>
      <w:r>
        <w:rPr>
          <w:rFonts w:hint="eastAsia" w:ascii="宋体" w:hAnsi="宋体" w:eastAsia="宋体" w:cs="宋体"/>
          <w:color w:val="FF0000"/>
          <w:kern w:val="2"/>
          <w:sz w:val="32"/>
          <w:szCs w:val="32"/>
        </w:rPr>
        <w:t>二、</w:t>
      </w:r>
      <w:r>
        <w:rPr>
          <w:rFonts w:hint="eastAsia" w:ascii="宋体" w:hAnsi="宋体" w:eastAsia="宋体" w:cs="宋体"/>
          <w:color w:val="FF0000"/>
          <w:sz w:val="32"/>
          <w:szCs w:val="32"/>
        </w:rPr>
        <w:t>中小企业声明函</w:t>
      </w:r>
      <w:bookmarkStart w:id="549" w:name="_Hlk101259491"/>
      <w:r>
        <w:rPr>
          <w:rFonts w:hint="eastAsia" w:ascii="宋体" w:hAnsi="宋体" w:eastAsia="宋体" w:cs="宋体"/>
          <w:color w:val="FF0000"/>
          <w:sz w:val="32"/>
          <w:szCs w:val="32"/>
        </w:rPr>
        <w:t>（如果有）</w:t>
      </w:r>
      <w:bookmarkEnd w:id="549"/>
    </w:p>
    <w:p>
      <w:pPr>
        <w:widowControl/>
        <w:spacing w:line="360" w:lineRule="auto"/>
        <w:ind w:firstLine="120" w:firstLineChars="50"/>
        <w:jc w:val="left"/>
        <w:rPr>
          <w:rFonts w:ascii="宋体" w:hAnsi="宋体" w:cs="宋体"/>
          <w:b/>
          <w:color w:val="FF0000"/>
          <w:sz w:val="24"/>
        </w:rPr>
      </w:pPr>
      <w:r>
        <w:rPr>
          <w:rFonts w:hint="eastAsia" w:ascii="宋体" w:hAnsi="宋体" w:cs="宋体"/>
          <w:b/>
          <w:color w:val="FF0000"/>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FF0000"/>
          <w:sz w:val="24"/>
        </w:rPr>
        <w:t>7</w:t>
      </w:r>
      <w:r>
        <w:rPr>
          <w:rFonts w:hint="eastAsia" w:ascii="宋体" w:hAnsi="宋体" w:cs="宋体"/>
          <w:b/>
          <w:color w:val="FF0000"/>
          <w:sz w:val="24"/>
        </w:rPr>
        <w:t>）。]</w:t>
      </w:r>
    </w:p>
    <w:p>
      <w:pPr>
        <w:pStyle w:val="691"/>
        <w:keepNext w:val="0"/>
        <w:pageBreakBefore w:val="0"/>
        <w:tabs>
          <w:tab w:val="clear" w:pos="720"/>
        </w:tabs>
        <w:snapToGrid w:val="0"/>
        <w:spacing w:before="120" w:after="120"/>
        <w:ind w:firstLine="643"/>
        <w:outlineLvl w:val="9"/>
        <w:rPr>
          <w:rFonts w:ascii="宋体" w:hAnsi="宋体" w:eastAsia="宋体" w:cs="宋体"/>
          <w:b w:val="0"/>
          <w:color w:val="FF000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rPr>
      </w:pPr>
      <w:bookmarkStart w:id="550" w:name="_Toc465665161"/>
      <w:r>
        <w:rPr>
          <w:rFonts w:hint="eastAsia" w:ascii="宋体" w:hAnsi="宋体" w:cs="宋体"/>
        </w:rPr>
        <w:t>附件</w:t>
      </w:r>
      <w:bookmarkEnd w:id="550"/>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551" w:name="OLE_LINK14"/>
      <w:bookmarkStart w:id="552" w:name="OLE_LINK13"/>
      <w:r>
        <w:rPr>
          <w:rFonts w:hint="eastAsia" w:ascii="宋体" w:hAnsi="宋体" w:cs="宋体"/>
          <w:b/>
          <w:spacing w:val="6"/>
          <w:sz w:val="32"/>
          <w:szCs w:val="32"/>
        </w:rPr>
        <w:t>残疾人福利性单位声明函</w:t>
      </w:r>
    </w:p>
    <w:bookmarkEnd w:id="551"/>
    <w:bookmarkEnd w:id="552"/>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0000FF"/>
          <w:sz w:val="24"/>
          <w:u w:val="single"/>
        </w:rPr>
        <w:t>（采购人）</w:t>
      </w:r>
      <w:r>
        <w:rPr>
          <w:rFonts w:hint="eastAsia" w:ascii="宋体" w:hAnsi="宋体" w:cs="宋体"/>
          <w:sz w:val="24"/>
        </w:rPr>
        <w:t>_单位的_</w:t>
      </w:r>
      <w:r>
        <w:rPr>
          <w:rFonts w:hint="eastAsia" w:ascii="宋体" w:hAnsi="宋体" w:cs="宋体"/>
          <w:color w:val="0000FF"/>
          <w:sz w:val="24"/>
          <w:u w:val="single"/>
        </w:rPr>
        <w:t>（项目名称）</w:t>
      </w:r>
      <w:r>
        <w:rPr>
          <w:rFonts w:hint="eastAsia" w:ascii="宋体" w:hAnsi="宋体" w:cs="宋体"/>
          <w:color w:val="0000FF"/>
          <w:sz w:val="24"/>
        </w:rPr>
        <w:t>_</w:t>
      </w:r>
      <w:r>
        <w:rPr>
          <w:rFonts w:hint="eastAsia" w:ascii="宋体" w:hAnsi="宋体" w:cs="宋体"/>
          <w:sz w:val="24"/>
        </w:rPr>
        <w:t>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color w:val="0000FF"/>
          <w:sz w:val="24"/>
          <w:u w:val="single"/>
        </w:rPr>
      </w:pPr>
    </w:p>
    <w:p>
      <w:pPr>
        <w:spacing w:line="360" w:lineRule="auto"/>
        <w:rPr>
          <w:rFonts w:ascii="宋体" w:hAnsi="宋体" w:cs="宋体"/>
          <w:sz w:val="24"/>
        </w:rPr>
      </w:pPr>
      <w:r>
        <w:rPr>
          <w:rFonts w:hint="eastAsia" w:ascii="宋体" w:hAnsi="宋体" w:cs="宋体"/>
          <w:color w:val="0000FF"/>
          <w:sz w:val="24"/>
          <w:u w:val="single"/>
        </w:rPr>
        <w:t>（采购人）</w:t>
      </w:r>
      <w:r>
        <w:rPr>
          <w:rFonts w:hint="eastAsia" w:ascii="宋体" w:hAnsi="宋体" w:cs="宋体"/>
          <w:sz w:val="24"/>
          <w:u w:val="single"/>
        </w:rPr>
        <w:t>、（采购代理机构）：</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jc w:val="center"/>
        <w:outlineLvl w:val="0"/>
        <w:rPr>
          <w:rFonts w:ascii="宋体" w:hAnsi="宋体" w:cs="宋体"/>
          <w:b/>
          <w:kern w:val="0"/>
          <w:sz w:val="32"/>
          <w:szCs w:val="32"/>
        </w:rPr>
      </w:pPr>
      <w:r>
        <w:rPr>
          <w:rFonts w:hint="eastAsia" w:ascii="宋体" w:hAnsi="宋体" w:cs="宋体"/>
          <w:b/>
          <w:kern w:val="0"/>
          <w:sz w:val="32"/>
          <w:szCs w:val="32"/>
        </w:rPr>
        <w:t>附件</w:t>
      </w:r>
      <w:r>
        <w:rPr>
          <w:rFonts w:ascii="宋体" w:hAnsi="宋体" w:cs="宋体"/>
          <w:b/>
          <w:kern w:val="0"/>
          <w:sz w:val="32"/>
          <w:szCs w:val="32"/>
        </w:rPr>
        <w:t>5</w:t>
      </w:r>
      <w:r>
        <w:rPr>
          <w:rFonts w:hint="eastAsia" w:ascii="宋体" w:hAnsi="宋体" w:cs="宋体"/>
          <w:b/>
          <w:kern w:val="0"/>
          <w:sz w:val="32"/>
          <w:szCs w:val="32"/>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bookmarkStart w:id="553" w:name="_Hlk101134295"/>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bookmarkEnd w:id="553"/>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（联合体成员</w:t>
      </w:r>
      <w:r>
        <w:rPr>
          <w:rFonts w:ascii="宋体" w:hAnsi="宋体" w:cs="宋体"/>
          <w:kern w:val="0"/>
          <w:sz w:val="24"/>
          <w:u w:val="single"/>
        </w:rPr>
        <w:t>X,</w:t>
      </w:r>
      <w:r>
        <w:rPr>
          <w:rFonts w:hint="eastAsia" w:ascii="宋体" w:hAnsi="宋体" w:cs="宋体"/>
          <w:kern w:val="0"/>
          <w:sz w:val="24"/>
          <w:u w:val="single"/>
        </w:rPr>
        <w:t>……）</w:t>
      </w:r>
      <w:r>
        <w:rPr>
          <w:rFonts w:hint="eastAsia" w:ascii="宋体" w:hAnsi="宋体" w:cs="宋体"/>
          <w:kern w:val="0"/>
          <w:sz w:val="24"/>
        </w:rPr>
        <w:t>提供的全部货物由小微企业制造，其合同份额占到合同总金额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%，其中小微企业合同金额达到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jc w:val="center"/>
        <w:outlineLvl w:val="0"/>
        <w:rPr>
          <w:rFonts w:ascii="宋体" w:hAnsi="宋体" w:cs="宋体"/>
          <w:b/>
          <w:kern w:val="0"/>
          <w:sz w:val="32"/>
          <w:szCs w:val="32"/>
        </w:rPr>
      </w:pPr>
      <w:r>
        <w:rPr>
          <w:rFonts w:hint="eastAsia" w:ascii="宋体" w:hAnsi="宋体" w:cs="宋体"/>
          <w:b/>
          <w:kern w:val="0"/>
          <w:sz w:val="32"/>
          <w:szCs w:val="32"/>
        </w:rPr>
        <w:t>附件</w:t>
      </w:r>
      <w:r>
        <w:rPr>
          <w:rFonts w:ascii="宋体" w:hAnsi="宋体" w:cs="宋体"/>
          <w:b/>
          <w:kern w:val="0"/>
          <w:sz w:val="32"/>
          <w:szCs w:val="32"/>
        </w:rPr>
        <w:t>6</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（分包供应商1名称），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2"/>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……）提供的货物全部由小微企业制造，</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554"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%，其中小微企业合同金额达到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bookmarkEnd w:id="554"/>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outlineLvl w:val="0"/>
        <w:rPr>
          <w:rFonts w:ascii="宋体" w:hAnsi="宋体" w:cs="宋体"/>
          <w:b/>
          <w:kern w:val="0"/>
          <w:sz w:val="44"/>
          <w:szCs w:val="44"/>
        </w:rPr>
      </w:pPr>
      <w:r>
        <w:rPr>
          <w:rFonts w:hint="eastAsia" w:ascii="宋体" w:hAnsi="宋体" w:cs="宋体"/>
          <w:b/>
          <w:kern w:val="0"/>
          <w:sz w:val="44"/>
          <w:szCs w:val="44"/>
        </w:rPr>
        <w:t>附件</w:t>
      </w:r>
      <w:r>
        <w:rPr>
          <w:rFonts w:ascii="宋体" w:hAnsi="宋体" w:cs="宋体"/>
          <w:b/>
          <w:kern w:val="0"/>
          <w:sz w:val="44"/>
          <w:szCs w:val="44"/>
        </w:rPr>
        <w:t>7</w:t>
      </w:r>
      <w:r>
        <w:rPr>
          <w:rFonts w:hint="eastAsia" w:ascii="宋体" w:hAnsi="宋体" w:cs="宋体"/>
          <w:b/>
          <w:kern w:val="0"/>
          <w:sz w:val="44"/>
          <w:szCs w:val="44"/>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中小企业声明函（货物）</w:t>
      </w:r>
    </w:p>
    <w:p>
      <w:pPr>
        <w:spacing w:line="360" w:lineRule="auto"/>
        <w:ind w:firstLine="480" w:firstLineChars="200"/>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color w:val="0000FF"/>
          <w:sz w:val="24"/>
          <w:u w:val="single"/>
        </w:rPr>
        <w:t>（采购人）</w:t>
      </w:r>
      <w:r>
        <w:rPr>
          <w:rFonts w:hint="eastAsia" w:ascii="宋体" w:hAnsi="宋体" w:cs="宋体"/>
          <w:sz w:val="24"/>
          <w:u w:val="single"/>
        </w:rPr>
        <w:t xml:space="preserve"> </w:t>
      </w:r>
      <w:r>
        <w:rPr>
          <w:rFonts w:hint="eastAsia" w:ascii="宋体" w:hAnsi="宋体" w:cs="宋体"/>
          <w:sz w:val="24"/>
        </w:rPr>
        <w:t xml:space="preserve">的 </w:t>
      </w:r>
      <w:r>
        <w:rPr>
          <w:rFonts w:hint="eastAsia" w:ascii="宋体" w:hAnsi="宋体" w:cs="宋体"/>
          <w:color w:val="0000FF"/>
          <w:sz w:val="24"/>
          <w:u w:val="single"/>
        </w:rPr>
        <w:t>（项目名称）</w:t>
      </w:r>
      <w:r>
        <w:rPr>
          <w:rFonts w:hint="eastAsia" w:ascii="宋体" w:hAnsi="宋体" w:cs="宋体"/>
          <w:sz w:val="24"/>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color w:val="0000FF"/>
          <w:sz w:val="24"/>
          <w:u w:val="single"/>
        </w:rPr>
        <w:t>（标的名称）</w:t>
      </w:r>
      <w:r>
        <w:rPr>
          <w:rFonts w:hint="eastAsia" w:ascii="宋体" w:hAnsi="宋体" w:cs="宋体"/>
          <w:sz w:val="24"/>
        </w:rPr>
        <w:t xml:space="preserve"> ，属于</w:t>
      </w:r>
      <w:r>
        <w:rPr>
          <w:rFonts w:hint="eastAsia" w:ascii="宋体" w:hAnsi="宋体" w:cs="宋体"/>
          <w:color w:val="0000FF"/>
          <w:sz w:val="24"/>
        </w:rPr>
        <w:t xml:space="preserve"> </w:t>
      </w:r>
      <w:r>
        <w:rPr>
          <w:rFonts w:hint="eastAsia" w:ascii="宋体" w:hAnsi="宋体" w:cs="宋体"/>
          <w:color w:val="0000FF"/>
          <w:sz w:val="24"/>
          <w:u w:val="single"/>
        </w:rPr>
        <w:t>（采购文件中明确的所属行业）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rPr>
        <w:t xml:space="preserve"> </w:t>
      </w:r>
      <w:r>
        <w:rPr>
          <w:rFonts w:hint="eastAsia" w:ascii="宋体" w:hAnsi="宋体" w:cs="宋体"/>
          <w:color w:val="0000FF"/>
          <w:sz w:val="24"/>
          <w:u w:val="single"/>
        </w:rPr>
        <w:t>（标的名称）</w:t>
      </w:r>
      <w:r>
        <w:rPr>
          <w:rFonts w:hint="eastAsia" w:ascii="宋体" w:hAnsi="宋体" w:cs="宋体"/>
          <w:sz w:val="24"/>
        </w:rPr>
        <w:t xml:space="preserve"> ，属于 </w:t>
      </w:r>
      <w:r>
        <w:rPr>
          <w:rFonts w:hint="eastAsia" w:ascii="宋体" w:hAnsi="宋体" w:cs="宋体"/>
          <w:color w:val="0000FF"/>
          <w:sz w:val="24"/>
          <w:u w:val="single"/>
        </w:rPr>
        <w:t>（采购文件中明确的所属行业）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snapToGrid w:val="0"/>
        <w:spacing w:line="360" w:lineRule="auto"/>
        <w:ind w:firstLine="5160" w:firstLineChars="215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pacing w:line="360" w:lineRule="auto"/>
        <w:jc w:val="left"/>
        <w:rPr>
          <w:rFonts w:ascii="宋体" w:hAnsi="宋体" w:cs="宋体"/>
          <w:sz w:val="18"/>
          <w:szCs w:val="18"/>
        </w:rPr>
      </w:pPr>
      <w:r>
        <w:rPr>
          <w:rFonts w:hint="eastAsia" w:ascii="宋体" w:hAnsi="宋体" w:cs="宋体"/>
          <w:sz w:val="18"/>
          <w:szCs w:val="18"/>
        </w:rPr>
        <w:t>从业人员、营业收入、资产总额填报上一年度数据，无上一年度数据的新成立企业可不填报。</w:t>
      </w:r>
    </w:p>
    <w:p>
      <w:pPr>
        <w:spacing w:line="360" w:lineRule="auto"/>
        <w:ind w:right="420" w:firstLine="480" w:firstLineChars="200"/>
        <w:rPr>
          <w:rFonts w:ascii="宋体" w:hAnsi="宋体" w:cs="宋体"/>
          <w:sz w:val="24"/>
        </w:rPr>
      </w:pPr>
      <w:r>
        <w:rPr>
          <w:rFonts w:hint="eastAsia" w:ascii="宋体" w:hAnsi="宋体" w:cs="宋体"/>
          <w:sz w:val="24"/>
        </w:rPr>
        <w:t>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rPr>
          <w:rFonts w:ascii="宋体" w:hAnsi="宋体" w:cs="宋体"/>
          <w:bCs/>
          <w:sz w:val="24"/>
        </w:rPr>
      </w:pPr>
    </w:p>
    <w:p>
      <w:pPr>
        <w:spacing w:line="360" w:lineRule="auto"/>
        <w:rPr>
          <w:rFonts w:ascii="宋体" w:hAnsi="宋体" w:cs="宋体"/>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5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bookmarkStart w:id="555" w:name="_Toc131845147"/>
    <w:bookmarkStart w:id="556" w:name="_Toc36110187"/>
    <w:bookmarkStart w:id="557" w:name="_Toc164085800"/>
    <w:bookmarkStart w:id="558" w:name="_Toc91899912"/>
    <w:r>
      <w:rPr>
        <w:rFonts w:hint="eastAsia" w:ascii="仿宋_GB2312" w:eastAsia="仿宋_GB2312"/>
        <w:kern w:val="0"/>
        <w:szCs w:val="21"/>
      </w:rPr>
      <w:t xml:space="preserve"> 页</w:t>
    </w:r>
    <w:bookmarkEnd w:id="555"/>
    <w:bookmarkEnd w:id="556"/>
    <w:bookmarkEnd w:id="557"/>
    <w:bookmarkEnd w:id="55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t></w:t>
    </w:r>
    <w:r>
      <w:rPr>
        <w:rFonts w:hint="eastAsia"/>
      </w:rPr>
      <w:t xml:space="preserve">                                </w:t>
    </w:r>
    <w: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FC1981"/>
    <w:multiLevelType w:val="singleLevel"/>
    <w:tmpl w:val="40FC1981"/>
    <w:lvl w:ilvl="0" w:tentative="0">
      <w:start w:val="2"/>
      <w:numFmt w:val="chineseCounting"/>
      <w:suff w:val="nothing"/>
      <w:lvlText w:val="%1、"/>
      <w:lvlJc w:val="left"/>
      <w:rPr>
        <w:rFonts w:hint="eastAsia"/>
      </w:rPr>
    </w:lvl>
  </w:abstractNum>
  <w:abstractNum w:abstractNumId="1">
    <w:nsid w:val="69220963"/>
    <w:multiLevelType w:val="singleLevel"/>
    <w:tmpl w:val="69220963"/>
    <w:lvl w:ilvl="0" w:tentative="0">
      <w:start w:val="1"/>
      <w:numFmt w:val="decimal"/>
      <w:suff w:val="nothing"/>
      <w:lvlText w:val="%1）"/>
      <w:lvlJc w:val="left"/>
      <w:rPr>
        <w:rFonts w:hint="default"/>
        <w:b w:val="0"/>
        <w:bCs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JjYjRhYzg0OWNkNGQ2ZGJlZDAwNDBlOWE3NDIzNmM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78E"/>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3AF1"/>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0B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0E1A"/>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460"/>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6F4"/>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AB1"/>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85"/>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0D18"/>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6BCF"/>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3B49"/>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144"/>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25C"/>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999"/>
    <w:rsid w:val="00962FB8"/>
    <w:rsid w:val="00963183"/>
    <w:rsid w:val="0096373F"/>
    <w:rsid w:val="00964007"/>
    <w:rsid w:val="00964283"/>
    <w:rsid w:val="009642A4"/>
    <w:rsid w:val="009643F4"/>
    <w:rsid w:val="009645A6"/>
    <w:rsid w:val="00964F5A"/>
    <w:rsid w:val="0096527F"/>
    <w:rsid w:val="009653ED"/>
    <w:rsid w:val="00965B85"/>
    <w:rsid w:val="0096639A"/>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1FA"/>
    <w:rsid w:val="00AA634D"/>
    <w:rsid w:val="00AA6F6C"/>
    <w:rsid w:val="00AA721D"/>
    <w:rsid w:val="00AA7519"/>
    <w:rsid w:val="00AA790A"/>
    <w:rsid w:val="00AB02EA"/>
    <w:rsid w:val="00AB110C"/>
    <w:rsid w:val="00AB227A"/>
    <w:rsid w:val="00AB22BF"/>
    <w:rsid w:val="00AB2461"/>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1EE"/>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0FE"/>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1DD3"/>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A08"/>
    <w:rsid w:val="00E64B7B"/>
    <w:rsid w:val="00E6514D"/>
    <w:rsid w:val="00E65161"/>
    <w:rsid w:val="00E652C9"/>
    <w:rsid w:val="00E6593B"/>
    <w:rsid w:val="00E65D74"/>
    <w:rsid w:val="00E66E11"/>
    <w:rsid w:val="00E672C6"/>
    <w:rsid w:val="00E67F3B"/>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717"/>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248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654"/>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70F11"/>
    <w:rsid w:val="0D8A00E9"/>
    <w:rsid w:val="0D8D589E"/>
    <w:rsid w:val="0DA01C73"/>
    <w:rsid w:val="0DD63300"/>
    <w:rsid w:val="0DDD376C"/>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260591"/>
    <w:rsid w:val="10646583"/>
    <w:rsid w:val="107D4B15"/>
    <w:rsid w:val="108A3C80"/>
    <w:rsid w:val="10C26171"/>
    <w:rsid w:val="10F33360"/>
    <w:rsid w:val="10FC16EA"/>
    <w:rsid w:val="110F1D40"/>
    <w:rsid w:val="11266F33"/>
    <w:rsid w:val="118963A1"/>
    <w:rsid w:val="11C6522A"/>
    <w:rsid w:val="11E104CC"/>
    <w:rsid w:val="11E20309"/>
    <w:rsid w:val="12255233"/>
    <w:rsid w:val="123E4294"/>
    <w:rsid w:val="12530213"/>
    <w:rsid w:val="12584072"/>
    <w:rsid w:val="127723A9"/>
    <w:rsid w:val="12862074"/>
    <w:rsid w:val="12883966"/>
    <w:rsid w:val="129E45B4"/>
    <w:rsid w:val="12D81596"/>
    <w:rsid w:val="13072A44"/>
    <w:rsid w:val="135F4BE2"/>
    <w:rsid w:val="1365190C"/>
    <w:rsid w:val="136D219D"/>
    <w:rsid w:val="139B1A0A"/>
    <w:rsid w:val="139D25C7"/>
    <w:rsid w:val="13BF3CE4"/>
    <w:rsid w:val="13FD23BE"/>
    <w:rsid w:val="141008D8"/>
    <w:rsid w:val="14125FE6"/>
    <w:rsid w:val="141F1715"/>
    <w:rsid w:val="146D271E"/>
    <w:rsid w:val="14982588"/>
    <w:rsid w:val="149A5AD9"/>
    <w:rsid w:val="14A7619D"/>
    <w:rsid w:val="150536C3"/>
    <w:rsid w:val="150C1963"/>
    <w:rsid w:val="151447A0"/>
    <w:rsid w:val="154A6454"/>
    <w:rsid w:val="15762120"/>
    <w:rsid w:val="16A8729C"/>
    <w:rsid w:val="16B33777"/>
    <w:rsid w:val="16BC70A7"/>
    <w:rsid w:val="16C36889"/>
    <w:rsid w:val="16C6339E"/>
    <w:rsid w:val="172F2D79"/>
    <w:rsid w:val="174B2FAF"/>
    <w:rsid w:val="17557BEF"/>
    <w:rsid w:val="17810A74"/>
    <w:rsid w:val="17D349C1"/>
    <w:rsid w:val="18244F26"/>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051CD9"/>
    <w:rsid w:val="1E3D060F"/>
    <w:rsid w:val="1E3F7D2E"/>
    <w:rsid w:val="1E4134E4"/>
    <w:rsid w:val="1E5062B3"/>
    <w:rsid w:val="1E523514"/>
    <w:rsid w:val="1E652DD8"/>
    <w:rsid w:val="1E6D68DA"/>
    <w:rsid w:val="1E714A66"/>
    <w:rsid w:val="1E802593"/>
    <w:rsid w:val="1E8B6156"/>
    <w:rsid w:val="1EA703CC"/>
    <w:rsid w:val="1EB7330C"/>
    <w:rsid w:val="1ECE02C7"/>
    <w:rsid w:val="1F0A0FF3"/>
    <w:rsid w:val="1F3233D2"/>
    <w:rsid w:val="1F524ABA"/>
    <w:rsid w:val="1F5771FF"/>
    <w:rsid w:val="1FD52574"/>
    <w:rsid w:val="1FE868A9"/>
    <w:rsid w:val="20034907"/>
    <w:rsid w:val="20173E4B"/>
    <w:rsid w:val="204E48BC"/>
    <w:rsid w:val="208921B3"/>
    <w:rsid w:val="20973DEB"/>
    <w:rsid w:val="20B26522"/>
    <w:rsid w:val="20B44310"/>
    <w:rsid w:val="211116EB"/>
    <w:rsid w:val="216133FC"/>
    <w:rsid w:val="21D40771"/>
    <w:rsid w:val="21D56769"/>
    <w:rsid w:val="21E52EF3"/>
    <w:rsid w:val="21FB5D7B"/>
    <w:rsid w:val="22015E94"/>
    <w:rsid w:val="220B1C3D"/>
    <w:rsid w:val="221D1D20"/>
    <w:rsid w:val="22334A87"/>
    <w:rsid w:val="223C00C4"/>
    <w:rsid w:val="22BE6801"/>
    <w:rsid w:val="233500BF"/>
    <w:rsid w:val="23377FF7"/>
    <w:rsid w:val="236B425F"/>
    <w:rsid w:val="23836192"/>
    <w:rsid w:val="23901F29"/>
    <w:rsid w:val="239C0061"/>
    <w:rsid w:val="23B908A4"/>
    <w:rsid w:val="23E95BEF"/>
    <w:rsid w:val="23FD0064"/>
    <w:rsid w:val="245375B0"/>
    <w:rsid w:val="24642C0A"/>
    <w:rsid w:val="24835002"/>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7E2029"/>
    <w:rsid w:val="289F7086"/>
    <w:rsid w:val="28BB34DF"/>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BF346BB"/>
    <w:rsid w:val="2C09049E"/>
    <w:rsid w:val="2C0A653C"/>
    <w:rsid w:val="2C191F85"/>
    <w:rsid w:val="2CE82D6F"/>
    <w:rsid w:val="2D343236"/>
    <w:rsid w:val="2D575011"/>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0E3F62"/>
    <w:rsid w:val="319C6071"/>
    <w:rsid w:val="31AC537E"/>
    <w:rsid w:val="31E3679B"/>
    <w:rsid w:val="31E732FD"/>
    <w:rsid w:val="32303D39"/>
    <w:rsid w:val="32517576"/>
    <w:rsid w:val="32BE5C2C"/>
    <w:rsid w:val="32FB6478"/>
    <w:rsid w:val="33263B3F"/>
    <w:rsid w:val="336963EB"/>
    <w:rsid w:val="33816EEB"/>
    <w:rsid w:val="33BE1AB1"/>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6EE2153"/>
    <w:rsid w:val="37007A67"/>
    <w:rsid w:val="373F410B"/>
    <w:rsid w:val="37EE7094"/>
    <w:rsid w:val="38296C89"/>
    <w:rsid w:val="383002EB"/>
    <w:rsid w:val="38586797"/>
    <w:rsid w:val="385D15DF"/>
    <w:rsid w:val="38BC0149"/>
    <w:rsid w:val="38D87D1C"/>
    <w:rsid w:val="38EB69D2"/>
    <w:rsid w:val="39636459"/>
    <w:rsid w:val="396B7F6C"/>
    <w:rsid w:val="39B417A9"/>
    <w:rsid w:val="39FC5695"/>
    <w:rsid w:val="3A006D8E"/>
    <w:rsid w:val="3A3651E5"/>
    <w:rsid w:val="3A744481"/>
    <w:rsid w:val="3A8C7BEF"/>
    <w:rsid w:val="3A906246"/>
    <w:rsid w:val="3AE315CD"/>
    <w:rsid w:val="3B2349B7"/>
    <w:rsid w:val="3B616CFF"/>
    <w:rsid w:val="3B6259F6"/>
    <w:rsid w:val="3B6F38D1"/>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616B6A"/>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B97746"/>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2610E6"/>
    <w:rsid w:val="434B790E"/>
    <w:rsid w:val="4360274F"/>
    <w:rsid w:val="43977AB6"/>
    <w:rsid w:val="43A3342B"/>
    <w:rsid w:val="43C77C27"/>
    <w:rsid w:val="43DE09EE"/>
    <w:rsid w:val="44002FAD"/>
    <w:rsid w:val="449101DD"/>
    <w:rsid w:val="44B462C1"/>
    <w:rsid w:val="44DE1391"/>
    <w:rsid w:val="451B225C"/>
    <w:rsid w:val="452410C9"/>
    <w:rsid w:val="45317DFB"/>
    <w:rsid w:val="456D3CE4"/>
    <w:rsid w:val="4579042C"/>
    <w:rsid w:val="457F0571"/>
    <w:rsid w:val="45851176"/>
    <w:rsid w:val="45A100BA"/>
    <w:rsid w:val="45C63B94"/>
    <w:rsid w:val="460E7DA5"/>
    <w:rsid w:val="46422483"/>
    <w:rsid w:val="4659254A"/>
    <w:rsid w:val="465B0637"/>
    <w:rsid w:val="465E3F0D"/>
    <w:rsid w:val="466A16E6"/>
    <w:rsid w:val="46893F2B"/>
    <w:rsid w:val="46A27D1F"/>
    <w:rsid w:val="46C4686E"/>
    <w:rsid w:val="477B778F"/>
    <w:rsid w:val="478203EC"/>
    <w:rsid w:val="47B025FA"/>
    <w:rsid w:val="47FA6D6B"/>
    <w:rsid w:val="4809698F"/>
    <w:rsid w:val="4811697D"/>
    <w:rsid w:val="487A3E25"/>
    <w:rsid w:val="488B5503"/>
    <w:rsid w:val="48935830"/>
    <w:rsid w:val="48937E21"/>
    <w:rsid w:val="489A0361"/>
    <w:rsid w:val="48B94FF3"/>
    <w:rsid w:val="48E37AAB"/>
    <w:rsid w:val="48FD4B4C"/>
    <w:rsid w:val="490A68E0"/>
    <w:rsid w:val="491055FE"/>
    <w:rsid w:val="495F5B3E"/>
    <w:rsid w:val="496F77D7"/>
    <w:rsid w:val="497654FD"/>
    <w:rsid w:val="49A857C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10116"/>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D525EC"/>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D4CD2"/>
    <w:rsid w:val="526F4DE4"/>
    <w:rsid w:val="52977FD4"/>
    <w:rsid w:val="52A25790"/>
    <w:rsid w:val="52A96B6F"/>
    <w:rsid w:val="52B45975"/>
    <w:rsid w:val="52D94AA4"/>
    <w:rsid w:val="52EA3A62"/>
    <w:rsid w:val="52F50BB8"/>
    <w:rsid w:val="5302663C"/>
    <w:rsid w:val="53097272"/>
    <w:rsid w:val="53544462"/>
    <w:rsid w:val="5397158E"/>
    <w:rsid w:val="54013861"/>
    <w:rsid w:val="54487265"/>
    <w:rsid w:val="544D6070"/>
    <w:rsid w:val="54605E1E"/>
    <w:rsid w:val="54B329EF"/>
    <w:rsid w:val="54B3506A"/>
    <w:rsid w:val="54B55930"/>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1E4445"/>
    <w:rsid w:val="566B6D1E"/>
    <w:rsid w:val="57032A2C"/>
    <w:rsid w:val="570F5219"/>
    <w:rsid w:val="57575653"/>
    <w:rsid w:val="575D12B5"/>
    <w:rsid w:val="57610A87"/>
    <w:rsid w:val="577B1140"/>
    <w:rsid w:val="577B7F21"/>
    <w:rsid w:val="577F181B"/>
    <w:rsid w:val="57921984"/>
    <w:rsid w:val="579737F0"/>
    <w:rsid w:val="57AB7B30"/>
    <w:rsid w:val="57AF5251"/>
    <w:rsid w:val="57B26373"/>
    <w:rsid w:val="57B63F04"/>
    <w:rsid w:val="57CD20C2"/>
    <w:rsid w:val="57D675AB"/>
    <w:rsid w:val="57D73717"/>
    <w:rsid w:val="57D95FDD"/>
    <w:rsid w:val="58917D2F"/>
    <w:rsid w:val="5894085C"/>
    <w:rsid w:val="58AE4F0C"/>
    <w:rsid w:val="58B85899"/>
    <w:rsid w:val="58E363A9"/>
    <w:rsid w:val="59166304"/>
    <w:rsid w:val="595E1678"/>
    <w:rsid w:val="596D5BD4"/>
    <w:rsid w:val="597E3DD8"/>
    <w:rsid w:val="59F80043"/>
    <w:rsid w:val="5A09252F"/>
    <w:rsid w:val="5A0B2778"/>
    <w:rsid w:val="5A2A7C7B"/>
    <w:rsid w:val="5A3E2560"/>
    <w:rsid w:val="5A5D3B6E"/>
    <w:rsid w:val="5A637A76"/>
    <w:rsid w:val="5A6D33BA"/>
    <w:rsid w:val="5A792B1F"/>
    <w:rsid w:val="5A874767"/>
    <w:rsid w:val="5A8C74D0"/>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7917FD"/>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99124D"/>
    <w:rsid w:val="5FCC5339"/>
    <w:rsid w:val="5FE34A5B"/>
    <w:rsid w:val="5FFE1E36"/>
    <w:rsid w:val="60232584"/>
    <w:rsid w:val="604F4E8B"/>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A7F13"/>
    <w:rsid w:val="64CE2EAA"/>
    <w:rsid w:val="653C3090"/>
    <w:rsid w:val="65854376"/>
    <w:rsid w:val="658767BE"/>
    <w:rsid w:val="65892531"/>
    <w:rsid w:val="66195831"/>
    <w:rsid w:val="662E75B1"/>
    <w:rsid w:val="66342C2E"/>
    <w:rsid w:val="663E784C"/>
    <w:rsid w:val="668B6A45"/>
    <w:rsid w:val="66E532A3"/>
    <w:rsid w:val="672F3F24"/>
    <w:rsid w:val="673E055F"/>
    <w:rsid w:val="67551CE3"/>
    <w:rsid w:val="67A22552"/>
    <w:rsid w:val="67B22DCC"/>
    <w:rsid w:val="67BE71AA"/>
    <w:rsid w:val="67D90273"/>
    <w:rsid w:val="67DE5875"/>
    <w:rsid w:val="67E55852"/>
    <w:rsid w:val="67EB1AB4"/>
    <w:rsid w:val="67FA1285"/>
    <w:rsid w:val="681E67BE"/>
    <w:rsid w:val="68551F4F"/>
    <w:rsid w:val="687C10C9"/>
    <w:rsid w:val="68840C16"/>
    <w:rsid w:val="68876EFB"/>
    <w:rsid w:val="68884654"/>
    <w:rsid w:val="689F444F"/>
    <w:rsid w:val="68B96DBB"/>
    <w:rsid w:val="68CA2805"/>
    <w:rsid w:val="68E937A3"/>
    <w:rsid w:val="693E15D3"/>
    <w:rsid w:val="69627681"/>
    <w:rsid w:val="6977531D"/>
    <w:rsid w:val="69CC2BFF"/>
    <w:rsid w:val="69D65CD5"/>
    <w:rsid w:val="69FD55B8"/>
    <w:rsid w:val="6A0212C3"/>
    <w:rsid w:val="6A0B1C62"/>
    <w:rsid w:val="6A220F1A"/>
    <w:rsid w:val="6A2406C8"/>
    <w:rsid w:val="6A5F5DC5"/>
    <w:rsid w:val="6ADE0BD1"/>
    <w:rsid w:val="6AE96859"/>
    <w:rsid w:val="6B147746"/>
    <w:rsid w:val="6B24787C"/>
    <w:rsid w:val="6B2F38EF"/>
    <w:rsid w:val="6B573233"/>
    <w:rsid w:val="6B5B6274"/>
    <w:rsid w:val="6B935D53"/>
    <w:rsid w:val="6C196F71"/>
    <w:rsid w:val="6C226FCB"/>
    <w:rsid w:val="6C31226F"/>
    <w:rsid w:val="6C3A69EF"/>
    <w:rsid w:val="6C552F0B"/>
    <w:rsid w:val="6C8C67B7"/>
    <w:rsid w:val="6C9D744C"/>
    <w:rsid w:val="6CA359F1"/>
    <w:rsid w:val="6D167928"/>
    <w:rsid w:val="6D26299B"/>
    <w:rsid w:val="6D4772EC"/>
    <w:rsid w:val="6D9078AF"/>
    <w:rsid w:val="6DAA3FEF"/>
    <w:rsid w:val="6DC0172B"/>
    <w:rsid w:val="6DCB690C"/>
    <w:rsid w:val="6DD41A5B"/>
    <w:rsid w:val="6DF43C2E"/>
    <w:rsid w:val="6DF51CA3"/>
    <w:rsid w:val="6E790116"/>
    <w:rsid w:val="6E8335BD"/>
    <w:rsid w:val="6E8E12EF"/>
    <w:rsid w:val="6E972936"/>
    <w:rsid w:val="6ED446C5"/>
    <w:rsid w:val="6F2A7D94"/>
    <w:rsid w:val="6F8331F1"/>
    <w:rsid w:val="6FAE1A09"/>
    <w:rsid w:val="6FD75BF8"/>
    <w:rsid w:val="707723D0"/>
    <w:rsid w:val="70F5661B"/>
    <w:rsid w:val="71360107"/>
    <w:rsid w:val="713B688E"/>
    <w:rsid w:val="7164006A"/>
    <w:rsid w:val="71C034F3"/>
    <w:rsid w:val="71D43752"/>
    <w:rsid w:val="71F1796A"/>
    <w:rsid w:val="72154626"/>
    <w:rsid w:val="72262B5D"/>
    <w:rsid w:val="72283FF7"/>
    <w:rsid w:val="722E7212"/>
    <w:rsid w:val="723A0474"/>
    <w:rsid w:val="725923E4"/>
    <w:rsid w:val="72864BF7"/>
    <w:rsid w:val="729023FC"/>
    <w:rsid w:val="73B774C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25115"/>
    <w:rsid w:val="77052AA4"/>
    <w:rsid w:val="77136511"/>
    <w:rsid w:val="77340A39"/>
    <w:rsid w:val="77351FD0"/>
    <w:rsid w:val="77472422"/>
    <w:rsid w:val="777F31F2"/>
    <w:rsid w:val="77D1700D"/>
    <w:rsid w:val="77E60AC3"/>
    <w:rsid w:val="77EC04CC"/>
    <w:rsid w:val="78603E77"/>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15E8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05F94"/>
    <w:rsid w:val="7D6E6D43"/>
    <w:rsid w:val="7DB57A34"/>
    <w:rsid w:val="7DBD2FDC"/>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1"/>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5"/>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91"/>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7"/>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0"/>
    <w:qFormat/>
    <w:uiPriority w:val="0"/>
    <w:pPr>
      <w:shd w:val="clear" w:color="auto" w:fill="000080"/>
    </w:pPr>
  </w:style>
  <w:style w:type="paragraph" w:styleId="19">
    <w:name w:val="annotation text"/>
    <w:basedOn w:val="1"/>
    <w:link w:val="342"/>
    <w:qFormat/>
    <w:uiPriority w:val="99"/>
    <w:pPr>
      <w:jc w:val="left"/>
    </w:pPr>
  </w:style>
  <w:style w:type="paragraph" w:styleId="20">
    <w:name w:val="Salutation"/>
    <w:basedOn w:val="1"/>
    <w:next w:val="1"/>
    <w:link w:val="296"/>
    <w:qFormat/>
    <w:uiPriority w:val="0"/>
    <w:rPr>
      <w:rFonts w:ascii="仿宋_GB2312" w:eastAsia="仿宋_GB2312"/>
      <w:sz w:val="28"/>
      <w:szCs w:val="20"/>
    </w:rPr>
  </w:style>
  <w:style w:type="paragraph" w:styleId="21">
    <w:name w:val="Body Text 3"/>
    <w:basedOn w:val="1"/>
    <w:link w:val="328"/>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link w:val="428"/>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next w:val="25"/>
    <w:link w:val="263"/>
    <w:qFormat/>
    <w:uiPriority w:val="0"/>
    <w:pPr>
      <w:spacing w:line="480" w:lineRule="exact"/>
      <w:ind w:firstLine="480" w:firstLineChars="200"/>
    </w:pPr>
    <w:rPr>
      <w:rFonts w:ascii="宋体" w:hAnsi="宋体"/>
      <w:sz w:val="24"/>
    </w:rPr>
  </w:style>
  <w:style w:type="paragraph" w:customStyle="1" w:styleId="25">
    <w:name w:val="正文文本首行缩进 21"/>
    <w:basedOn w:val="24"/>
    <w:qFormat/>
    <w:uiPriority w:val="99"/>
    <w:pPr>
      <w:spacing w:line="200" w:lineRule="atLeast"/>
      <w:ind w:firstLine="420"/>
    </w:pPr>
    <w:rPr>
      <w:rFonts w:hAnsi="Courier New"/>
      <w:spacing w:val="-4"/>
      <w:sz w:val="18"/>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3"/>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79"/>
    <w:qFormat/>
    <w:uiPriority w:val="0"/>
    <w:pPr>
      <w:ind w:left="100" w:leftChars="2500"/>
    </w:pPr>
    <w:rPr>
      <w:rFonts w:ascii="宋体"/>
      <w:sz w:val="24"/>
      <w:szCs w:val="21"/>
      <w:lang w:val="zh-CN"/>
    </w:rPr>
  </w:style>
  <w:style w:type="paragraph" w:styleId="37">
    <w:name w:val="Body Text Indent 2"/>
    <w:basedOn w:val="1"/>
    <w:link w:val="306"/>
    <w:qFormat/>
    <w:uiPriority w:val="0"/>
    <w:pPr>
      <w:spacing w:line="360" w:lineRule="auto"/>
      <w:ind w:firstLine="601"/>
      <w:textAlignment w:val="baseline"/>
    </w:pPr>
    <w:rPr>
      <w:rFonts w:ascii="宋体"/>
      <w:kern w:val="0"/>
      <w:sz w:val="28"/>
      <w:szCs w:val="20"/>
    </w:rPr>
  </w:style>
  <w:style w:type="paragraph" w:styleId="38">
    <w:name w:val="endnote text"/>
    <w:basedOn w:val="1"/>
    <w:link w:val="930"/>
    <w:qFormat/>
    <w:uiPriority w:val="0"/>
    <w:rPr>
      <w:lang w:val="zh-CN"/>
    </w:rPr>
  </w:style>
  <w:style w:type="paragraph" w:styleId="39">
    <w:name w:val="Balloon Text"/>
    <w:basedOn w:val="1"/>
    <w:link w:val="186"/>
    <w:qFormat/>
    <w:uiPriority w:val="0"/>
    <w:rPr>
      <w:sz w:val="18"/>
      <w:szCs w:val="18"/>
    </w:rPr>
  </w:style>
  <w:style w:type="paragraph" w:styleId="40">
    <w:name w:val="footer"/>
    <w:basedOn w:val="1"/>
    <w:link w:val="381"/>
    <w:qFormat/>
    <w:uiPriority w:val="99"/>
    <w:pPr>
      <w:tabs>
        <w:tab w:val="center" w:pos="4153"/>
        <w:tab w:val="right" w:pos="8306"/>
      </w:tabs>
      <w:snapToGrid w:val="0"/>
      <w:jc w:val="left"/>
    </w:pPr>
    <w:rPr>
      <w:sz w:val="18"/>
      <w:szCs w:val="18"/>
    </w:rPr>
  </w:style>
  <w:style w:type="paragraph" w:styleId="41">
    <w:name w:val="header"/>
    <w:basedOn w:val="1"/>
    <w:link w:val="390"/>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3"/>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5"/>
    <w:link w:val="308"/>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3"/>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0"/>
    <w:qFormat/>
    <w:uiPriority w:val="0"/>
    <w:pPr>
      <w:spacing w:after="120" w:line="480" w:lineRule="auto"/>
    </w:pPr>
  </w:style>
  <w:style w:type="paragraph" w:styleId="57">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4"/>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19"/>
    <w:next w:val="19"/>
    <w:link w:val="94"/>
    <w:qFormat/>
    <w:uiPriority w:val="0"/>
    <w:rPr>
      <w:b/>
      <w:bCs/>
    </w:rPr>
  </w:style>
  <w:style w:type="paragraph" w:styleId="61">
    <w:name w:val="Body Text First Indent"/>
    <w:basedOn w:val="23"/>
    <w:link w:val="319"/>
    <w:qFormat/>
    <w:uiPriority w:val="0"/>
    <w:pPr>
      <w:ind w:firstLine="420"/>
    </w:pPr>
    <w:rPr>
      <w:rFonts w:hAnsi="Calibri" w:cs="Times New Roman"/>
      <w:snapToGrid/>
      <w:szCs w:val="20"/>
    </w:rPr>
  </w:style>
  <w:style w:type="paragraph" w:styleId="62">
    <w:name w:val="Body Text First Indent 2"/>
    <w:basedOn w:val="24"/>
    <w:link w:val="119"/>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character" w:customStyle="1" w:styleId="80">
    <w:name w:val="表格非标题文字 Char"/>
    <w:link w:val="81"/>
    <w:qFormat/>
    <w:uiPriority w:val="0"/>
    <w:rPr>
      <w:rFonts w:ascii="Futura Bk" w:hAnsi="Futura Bk"/>
      <w:kern w:val="2"/>
      <w:sz w:val="18"/>
      <w:szCs w:val="21"/>
      <w:lang w:val="en-US" w:eastAsia="zh-CN" w:bidi="ar-SA"/>
    </w:rPr>
  </w:style>
  <w:style w:type="paragraph" w:customStyle="1" w:styleId="81">
    <w:name w:val="表格非标题文字"/>
    <w:link w:val="8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qFormat/>
    <w:locked/>
    <w:uiPriority w:val="0"/>
    <w:rPr>
      <w:rFonts w:ascii="宋体" w:hAnsi="宋体"/>
      <w:sz w:val="24"/>
    </w:rPr>
  </w:style>
  <w:style w:type="paragraph" w:customStyle="1" w:styleId="83">
    <w:name w:val="*正文"/>
    <w:basedOn w:val="1"/>
    <w:link w:val="82"/>
    <w:qFormat/>
    <w:uiPriority w:val="0"/>
    <w:pPr>
      <w:snapToGrid w:val="0"/>
      <w:spacing w:line="360" w:lineRule="auto"/>
      <w:ind w:firstLine="482"/>
      <w:jc w:val="left"/>
    </w:pPr>
    <w:rPr>
      <w:rFonts w:ascii="宋体" w:hAnsi="宋体"/>
      <w:kern w:val="0"/>
      <w:sz w:val="24"/>
      <w:szCs w:val="20"/>
    </w:rPr>
  </w:style>
  <w:style w:type="character" w:customStyle="1" w:styleId="84">
    <w:name w:val="Char Char71"/>
    <w:semiHidden/>
    <w:qFormat/>
    <w:uiPriority w:val="0"/>
    <w:rPr>
      <w:rFonts w:eastAsia="宋体"/>
      <w:kern w:val="2"/>
      <w:sz w:val="21"/>
      <w:szCs w:val="24"/>
      <w:lang w:val="en-US" w:eastAsia="zh-CN" w:bidi="ar-SA"/>
    </w:rPr>
  </w:style>
  <w:style w:type="character" w:customStyle="1" w:styleId="85">
    <w:name w:val="Char Char6"/>
    <w:qFormat/>
    <w:uiPriority w:val="0"/>
    <w:rPr>
      <w:rFonts w:eastAsia="宋体"/>
      <w:kern w:val="2"/>
      <w:sz w:val="21"/>
      <w:szCs w:val="24"/>
      <w:lang w:val="en-US" w:eastAsia="zh-CN" w:bidi="ar-SA"/>
    </w:rPr>
  </w:style>
  <w:style w:type="character" w:customStyle="1" w:styleId="86">
    <w:name w:val="正文缩进 Char"/>
    <w:qFormat/>
    <w:uiPriority w:val="0"/>
    <w:rPr>
      <w:rFonts w:eastAsia="宋体"/>
      <w:kern w:val="2"/>
      <w:sz w:val="21"/>
      <w:lang w:val="en-US" w:eastAsia="zh-CN"/>
    </w:rPr>
  </w:style>
  <w:style w:type="character" w:customStyle="1" w:styleId="87">
    <w:name w:val="正文首行缩进 Char1"/>
    <w:qFormat/>
    <w:uiPriority w:val="0"/>
    <w:rPr>
      <w:rFonts w:ascii="宋体" w:hAnsi="Times New Roman" w:eastAsia="宋体" w:cs="Times New Roman"/>
      <w:snapToGrid w:val="0"/>
      <w:kern w:val="2"/>
      <w:sz w:val="24"/>
      <w:szCs w:val="21"/>
      <w:lang w:val="zh-CN"/>
    </w:rPr>
  </w:style>
  <w:style w:type="character" w:customStyle="1" w:styleId="88">
    <w:name w:val="Char Char28"/>
    <w:qFormat/>
    <w:uiPriority w:val="6"/>
    <w:rPr>
      <w:rFonts w:ascii="仿宋_GB2312" w:hAnsi="仿宋_GB2312" w:eastAsia="仿宋_GB2312"/>
      <w:kern w:val="1"/>
      <w:sz w:val="28"/>
    </w:rPr>
  </w:style>
  <w:style w:type="character" w:customStyle="1" w:styleId="8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qFormat/>
    <w:uiPriority w:val="6"/>
    <w:rPr>
      <w:rFonts w:ascii="Times New Roman" w:hAnsi="Times New Roman" w:eastAsia="黑体" w:cs="Times New Roman"/>
      <w:b/>
      <w:kern w:val="0"/>
      <w:sz w:val="24"/>
      <w:szCs w:val="24"/>
    </w:rPr>
  </w:style>
  <w:style w:type="character" w:customStyle="1" w:styleId="91">
    <w:name w:val="U_正文 Char"/>
    <w:link w:val="92"/>
    <w:qFormat/>
    <w:uiPriority w:val="0"/>
    <w:rPr>
      <w:sz w:val="24"/>
      <w:szCs w:val="24"/>
    </w:rPr>
  </w:style>
  <w:style w:type="paragraph" w:customStyle="1" w:styleId="92">
    <w:name w:val="U_正文"/>
    <w:basedOn w:val="1"/>
    <w:link w:val="91"/>
    <w:qFormat/>
    <w:uiPriority w:val="0"/>
    <w:pPr>
      <w:adjustRightInd/>
      <w:spacing w:beforeLines="20" w:afterLines="20" w:line="300" w:lineRule="auto"/>
      <w:ind w:firstLine="200" w:firstLineChars="200"/>
    </w:pPr>
    <w:rPr>
      <w:kern w:val="0"/>
      <w:sz w:val="24"/>
    </w:rPr>
  </w:style>
  <w:style w:type="character" w:customStyle="1" w:styleId="93">
    <w:name w:val="HTML 地址 Char1"/>
    <w:qFormat/>
    <w:uiPriority w:val="0"/>
    <w:rPr>
      <w:rFonts w:ascii="Times New Roman" w:hAnsi="Times New Roman" w:eastAsia="宋体" w:cs="Times New Roman"/>
      <w:i/>
      <w:iCs/>
      <w:szCs w:val="24"/>
    </w:rPr>
  </w:style>
  <w:style w:type="character" w:customStyle="1" w:styleId="94">
    <w:name w:val="批注主题 字符"/>
    <w:link w:val="60"/>
    <w:qFormat/>
    <w:uiPriority w:val="0"/>
    <w:rPr>
      <w:b/>
      <w:bCs/>
      <w:kern w:val="2"/>
      <w:sz w:val="21"/>
      <w:szCs w:val="24"/>
    </w:rPr>
  </w:style>
  <w:style w:type="character" w:customStyle="1" w:styleId="95">
    <w:name w:val="Char Char51"/>
    <w:qFormat/>
    <w:uiPriority w:val="0"/>
    <w:rPr>
      <w:rFonts w:ascii="宋体" w:hAnsi="Courier New" w:eastAsia="宋体"/>
      <w:kern w:val="2"/>
      <w:sz w:val="21"/>
      <w:lang w:val="en-US" w:eastAsia="zh-CN"/>
    </w:rPr>
  </w:style>
  <w:style w:type="character" w:customStyle="1" w:styleId="96">
    <w:name w:val="表正文 Char"/>
    <w:qFormat/>
    <w:uiPriority w:val="0"/>
    <w:rPr>
      <w:rFonts w:ascii="宋体" w:eastAsia="宋体"/>
      <w:snapToGrid w:val="0"/>
      <w:color w:val="000000"/>
      <w:kern w:val="28"/>
      <w:sz w:val="28"/>
      <w:lang w:val="en-US" w:eastAsia="zh-CN" w:bidi="ar-SA"/>
    </w:rPr>
  </w:style>
  <w:style w:type="character" w:customStyle="1" w:styleId="97">
    <w:name w:val="Char Char34"/>
    <w:qFormat/>
    <w:uiPriority w:val="6"/>
    <w:rPr>
      <w:b/>
      <w:kern w:val="1"/>
      <w:sz w:val="28"/>
      <w:szCs w:val="28"/>
    </w:rPr>
  </w:style>
  <w:style w:type="character" w:customStyle="1" w:styleId="9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qFormat/>
    <w:uiPriority w:val="0"/>
    <w:rPr>
      <w:rFonts w:ascii="宋体" w:hAnsi="宋体" w:eastAsia="宋体"/>
      <w:kern w:val="2"/>
      <w:sz w:val="24"/>
      <w:lang w:bidi="ar-SA"/>
    </w:rPr>
  </w:style>
  <w:style w:type="paragraph" w:customStyle="1" w:styleId="100">
    <w:name w:val="哈哈正文"/>
    <w:basedOn w:val="1"/>
    <w:link w:val="99"/>
    <w:qFormat/>
    <w:uiPriority w:val="0"/>
    <w:pPr>
      <w:adjustRightInd/>
      <w:spacing w:line="360" w:lineRule="auto"/>
      <w:ind w:firstLine="200" w:firstLineChars="200"/>
    </w:pPr>
    <w:rPr>
      <w:rFonts w:ascii="宋体" w:hAnsi="宋体"/>
      <w:sz w:val="24"/>
      <w:szCs w:val="20"/>
    </w:rPr>
  </w:style>
  <w:style w:type="character" w:customStyle="1" w:styleId="101">
    <w:name w:val="未处理的提及1"/>
    <w:qFormat/>
    <w:uiPriority w:val="0"/>
    <w:rPr>
      <w:color w:val="808080"/>
      <w:shd w:val="clear" w:color="auto" w:fill="E6E6E6"/>
    </w:rPr>
  </w:style>
  <w:style w:type="character" w:customStyle="1" w:styleId="102">
    <w:name w:val="txt"/>
    <w:qFormat/>
    <w:uiPriority w:val="0"/>
    <w:rPr>
      <w:rFonts w:ascii="仿宋_GB2312" w:eastAsia="微软雅黑"/>
      <w:b/>
      <w:kern w:val="2"/>
      <w:sz w:val="32"/>
      <w:szCs w:val="32"/>
      <w:lang w:val="en-US" w:eastAsia="zh-CN" w:bidi="ar-SA"/>
    </w:rPr>
  </w:style>
  <w:style w:type="character" w:customStyle="1" w:styleId="103">
    <w:name w:val="二级标题 Char Char"/>
    <w:qFormat/>
    <w:uiPriority w:val="0"/>
    <w:rPr>
      <w:rFonts w:ascii="宋体" w:hAnsi="宋体" w:eastAsia="宋体"/>
      <w:b/>
      <w:snapToGrid w:val="0"/>
      <w:kern w:val="2"/>
      <w:sz w:val="24"/>
      <w:szCs w:val="24"/>
      <w:lang w:val="en-US" w:eastAsia="zh-CN" w:bidi="ar-SA"/>
    </w:rPr>
  </w:style>
  <w:style w:type="character" w:customStyle="1" w:styleId="104">
    <w:name w:val="Char Char32"/>
    <w:qFormat/>
    <w:uiPriority w:val="6"/>
    <w:rPr>
      <w:b/>
      <w:kern w:val="1"/>
      <w:sz w:val="24"/>
      <w:szCs w:val="24"/>
    </w:rPr>
  </w:style>
  <w:style w:type="character" w:customStyle="1" w:styleId="105">
    <w:name w:val="PI Char1"/>
    <w:qFormat/>
    <w:uiPriority w:val="0"/>
    <w:rPr>
      <w:rFonts w:ascii="宋体" w:hAnsi="宋体"/>
      <w:kern w:val="2"/>
      <w:sz w:val="24"/>
      <w:szCs w:val="24"/>
    </w:rPr>
  </w:style>
  <w:style w:type="character" w:customStyle="1" w:styleId="106">
    <w:name w:val="tw4winTerm"/>
    <w:qFormat/>
    <w:uiPriority w:val="0"/>
    <w:rPr>
      <w:color w:val="0000FF"/>
    </w:rPr>
  </w:style>
  <w:style w:type="character" w:customStyle="1" w:styleId="107">
    <w:name w:val="Footer Char"/>
    <w:qFormat/>
    <w:locked/>
    <w:uiPriority w:val="0"/>
    <w:rPr>
      <w:rFonts w:eastAsia="宋体"/>
      <w:kern w:val="2"/>
      <w:sz w:val="18"/>
      <w:lang w:val="en-US" w:eastAsia="zh-CN" w:bidi="ar-SA"/>
    </w:rPr>
  </w:style>
  <w:style w:type="character" w:customStyle="1" w:styleId="108">
    <w:name w:val="普通文字 Char Char1"/>
    <w:qFormat/>
    <w:uiPriority w:val="0"/>
    <w:rPr>
      <w:rFonts w:ascii="宋体" w:hAnsi="Courier New"/>
      <w:kern w:val="2"/>
      <w:sz w:val="21"/>
    </w:rPr>
  </w:style>
  <w:style w:type="character" w:customStyle="1" w:styleId="109">
    <w:name w:val="Char Char101"/>
    <w:qFormat/>
    <w:uiPriority w:val="6"/>
    <w:rPr>
      <w:rFonts w:ascii="宋体" w:hAnsi="宋体"/>
      <w:kern w:val="2"/>
      <w:sz w:val="21"/>
      <w:szCs w:val="24"/>
      <w:lang w:val="en-US" w:eastAsia="zh-CN"/>
    </w:rPr>
  </w:style>
  <w:style w:type="character" w:customStyle="1" w:styleId="110">
    <w:name w:val="标题 4 Char"/>
    <w:qFormat/>
    <w:uiPriority w:val="0"/>
    <w:rPr>
      <w:rFonts w:ascii="Arial" w:hAnsi="Arial" w:eastAsia="黑体"/>
      <w:b/>
      <w:kern w:val="2"/>
      <w:sz w:val="28"/>
    </w:rPr>
  </w:style>
  <w:style w:type="character" w:customStyle="1" w:styleId="111">
    <w:name w:val="链接"/>
    <w:qFormat/>
    <w:uiPriority w:val="0"/>
    <w:rPr>
      <w:color w:val="0000FF"/>
      <w:sz w:val="21"/>
      <w:szCs w:val="21"/>
      <w:u w:val="single"/>
    </w:rPr>
  </w:style>
  <w:style w:type="character" w:customStyle="1" w:styleId="112">
    <w:name w:val="h4 Char"/>
    <w:qFormat/>
    <w:uiPriority w:val="0"/>
    <w:rPr>
      <w:rFonts w:ascii="Arial" w:hAnsi="Arial" w:eastAsia="黑体"/>
      <w:b/>
      <w:bCs/>
      <w:kern w:val="2"/>
      <w:sz w:val="28"/>
      <w:szCs w:val="28"/>
      <w:lang w:val="zh-CN" w:eastAsia="zh-CN" w:bidi="ar-SA"/>
    </w:rPr>
  </w:style>
  <w:style w:type="character" w:customStyle="1" w:styleId="113">
    <w:name w:val="5正文 Char"/>
    <w:link w:val="114"/>
    <w:qFormat/>
    <w:uiPriority w:val="0"/>
    <w:rPr>
      <w:rFonts w:ascii="仿宋_GB2312" w:hAnsi="微软雅黑" w:eastAsia="仿宋_GB2312"/>
      <w:sz w:val="28"/>
      <w:szCs w:val="21"/>
    </w:rPr>
  </w:style>
  <w:style w:type="paragraph" w:customStyle="1" w:styleId="114">
    <w:name w:val="5正文"/>
    <w:basedOn w:val="1"/>
    <w:link w:val="11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qFormat/>
    <w:uiPriority w:val="9"/>
    <w:rPr>
      <w:b/>
      <w:bCs/>
      <w:kern w:val="2"/>
      <w:sz w:val="32"/>
      <w:szCs w:val="32"/>
    </w:rPr>
  </w:style>
  <w:style w:type="character" w:customStyle="1" w:styleId="116">
    <w:name w:val="样式6 Char"/>
    <w:qFormat/>
    <w:uiPriority w:val="0"/>
    <w:rPr>
      <w:rFonts w:ascii="仿宋_GB2312" w:hAnsi="宋体" w:eastAsia="仿宋_GB2312"/>
      <w:b/>
      <w:bCs/>
      <w:kern w:val="2"/>
      <w:sz w:val="24"/>
      <w:szCs w:val="24"/>
      <w:lang w:val="en-US" w:eastAsia="zh-CN" w:bidi="ar-SA"/>
    </w:rPr>
  </w:style>
  <w:style w:type="character" w:customStyle="1" w:styleId="117">
    <w:name w:val="Char Char14"/>
    <w:qFormat/>
    <w:uiPriority w:val="6"/>
    <w:rPr>
      <w:rFonts w:ascii="黑体" w:hAnsi="黑体" w:eastAsia="黑体"/>
    </w:rPr>
  </w:style>
  <w:style w:type="character" w:customStyle="1" w:styleId="118">
    <w:name w:val="Heading 2 Hidden Char"/>
    <w:qFormat/>
    <w:uiPriority w:val="0"/>
    <w:rPr>
      <w:rFonts w:ascii="仿宋_GB2312" w:eastAsia="仿宋_GB2312"/>
      <w:b/>
      <w:bCs/>
      <w:kern w:val="2"/>
      <w:sz w:val="24"/>
      <w:szCs w:val="24"/>
      <w:lang w:val="zh-CN" w:eastAsia="zh-CN" w:bidi="ar-SA"/>
    </w:rPr>
  </w:style>
  <w:style w:type="character" w:customStyle="1" w:styleId="119">
    <w:name w:val="正文文本首行缩进 2 字符"/>
    <w:link w:val="62"/>
    <w:qFormat/>
    <w:uiPriority w:val="0"/>
    <w:rPr>
      <w:rFonts w:ascii="宋体" w:hAnsi="宋体"/>
      <w:kern w:val="2"/>
      <w:sz w:val="21"/>
      <w:szCs w:val="24"/>
    </w:rPr>
  </w:style>
  <w:style w:type="character" w:customStyle="1" w:styleId="120">
    <w:name w:val="font11"/>
    <w:qFormat/>
    <w:uiPriority w:val="0"/>
    <w:rPr>
      <w:rFonts w:hint="default" w:ascii="Times New Roman" w:hAnsi="Times New Roman" w:cs="Times New Roman"/>
      <w:color w:val="000000"/>
      <w:sz w:val="22"/>
      <w:szCs w:val="22"/>
      <w:u w:val="none"/>
    </w:rPr>
  </w:style>
  <w:style w:type="character" w:customStyle="1" w:styleId="121">
    <w:name w:val="表正文 Char1"/>
    <w:qFormat/>
    <w:uiPriority w:val="0"/>
    <w:rPr>
      <w:rFonts w:ascii="宋体" w:eastAsia="宋体"/>
      <w:snapToGrid w:val="0"/>
      <w:color w:val="000000"/>
      <w:kern w:val="28"/>
      <w:sz w:val="28"/>
    </w:rPr>
  </w:style>
  <w:style w:type="character" w:customStyle="1" w:styleId="122">
    <w:name w:val="blue1"/>
    <w:basedOn w:val="70"/>
    <w:qFormat/>
    <w:uiPriority w:val="0"/>
    <w:rPr>
      <w:rFonts w:ascii="Arial" w:hAnsi="Arial" w:eastAsia="黑体" w:cs="Arial"/>
      <w:snapToGrid w:val="0"/>
      <w:kern w:val="0"/>
      <w:szCs w:val="21"/>
    </w:rPr>
  </w:style>
  <w:style w:type="character" w:customStyle="1" w:styleId="123">
    <w:name w:val="纯文本 字符1"/>
    <w:link w:val="33"/>
    <w:qFormat/>
    <w:uiPriority w:val="0"/>
    <w:rPr>
      <w:rFonts w:ascii="宋体" w:hAnsi="Courier New" w:eastAsia="宋体" w:cs="Arial"/>
      <w:snapToGrid w:val="0"/>
      <w:kern w:val="2"/>
      <w:sz w:val="21"/>
      <w:szCs w:val="21"/>
      <w:lang w:val="en-US" w:eastAsia="zh-CN" w:bidi="ar-SA"/>
    </w:rPr>
  </w:style>
  <w:style w:type="character" w:customStyle="1" w:styleId="124">
    <w:name w:val="标书1 Char"/>
    <w:qFormat/>
    <w:uiPriority w:val="0"/>
    <w:rPr>
      <w:rFonts w:eastAsia="宋体"/>
      <w:b/>
      <w:bCs/>
      <w:kern w:val="44"/>
      <w:sz w:val="44"/>
      <w:szCs w:val="44"/>
      <w:lang w:val="en-US" w:eastAsia="zh-CN" w:bidi="ar-SA"/>
    </w:rPr>
  </w:style>
  <w:style w:type="character" w:customStyle="1" w:styleId="125">
    <w:name w:val="样式5 Char"/>
    <w:qFormat/>
    <w:uiPriority w:val="0"/>
    <w:rPr>
      <w:rFonts w:ascii="仿宋_GB2312" w:hAnsi="仿宋" w:eastAsia="仿宋_GB2312"/>
      <w:kern w:val="2"/>
      <w:sz w:val="24"/>
      <w:szCs w:val="24"/>
    </w:rPr>
  </w:style>
  <w:style w:type="character" w:customStyle="1" w:styleId="126">
    <w:name w:val="样式4 Char"/>
    <w:qFormat/>
    <w:uiPriority w:val="0"/>
    <w:rPr>
      <w:rFonts w:ascii="仿宋_GB2312" w:hAnsi="仿宋" w:eastAsia="仿宋_GB2312"/>
      <w:b/>
      <w:kern w:val="2"/>
      <w:sz w:val="32"/>
      <w:szCs w:val="32"/>
      <w:lang w:bidi="ar-SA"/>
    </w:rPr>
  </w:style>
  <w:style w:type="character" w:customStyle="1" w:styleId="127">
    <w:name w:val="插图说明 Char"/>
    <w:qFormat/>
    <w:uiPriority w:val="0"/>
    <w:rPr>
      <w:rFonts w:eastAsia="黑体"/>
      <w:sz w:val="24"/>
      <w:lang w:val="en-US" w:eastAsia="zh-CN"/>
    </w:rPr>
  </w:style>
  <w:style w:type="character" w:customStyle="1" w:styleId="128">
    <w:name w:val="正文2 Char Char"/>
    <w:link w:val="129"/>
    <w:qFormat/>
    <w:uiPriority w:val="0"/>
    <w:rPr>
      <w:rFonts w:eastAsia="宋体"/>
      <w:kern w:val="2"/>
      <w:sz w:val="24"/>
      <w:lang w:val="en-US" w:eastAsia="zh-CN" w:bidi="ar-SA"/>
    </w:rPr>
  </w:style>
  <w:style w:type="paragraph" w:customStyle="1" w:styleId="129">
    <w:name w:val="正文2"/>
    <w:basedOn w:val="1"/>
    <w:link w:val="128"/>
    <w:qFormat/>
    <w:uiPriority w:val="0"/>
    <w:pPr>
      <w:spacing w:before="156" w:line="360" w:lineRule="auto"/>
      <w:ind w:firstLine="510" w:firstLineChars="200"/>
    </w:pPr>
    <w:rPr>
      <w:sz w:val="24"/>
      <w:szCs w:val="20"/>
    </w:rPr>
  </w:style>
  <w:style w:type="character" w:customStyle="1" w:styleId="130">
    <w:name w:val="Char Char24"/>
    <w:qFormat/>
    <w:uiPriority w:val="6"/>
    <w:rPr>
      <w:kern w:val="1"/>
      <w:sz w:val="21"/>
    </w:rPr>
  </w:style>
  <w:style w:type="character" w:customStyle="1" w:styleId="131">
    <w:name w:val="副标题 字符"/>
    <w:link w:val="47"/>
    <w:qFormat/>
    <w:uiPriority w:val="0"/>
    <w:rPr>
      <w:rFonts w:ascii="Arial" w:hAnsi="Arial" w:eastAsia="隶书"/>
      <w:b/>
      <w:bCs/>
      <w:kern w:val="28"/>
      <w:sz w:val="44"/>
      <w:szCs w:val="32"/>
      <w:lang w:val="en-US" w:eastAsia="zh-CN" w:bidi="ar-SA"/>
    </w:rPr>
  </w:style>
  <w:style w:type="character" w:customStyle="1" w:styleId="132">
    <w:name w:val="普通文字 Char1 Char"/>
    <w:qFormat/>
    <w:uiPriority w:val="0"/>
    <w:rPr>
      <w:rFonts w:ascii="宋体" w:hAnsi="Courier New" w:eastAsia="宋体"/>
      <w:kern w:val="2"/>
      <w:sz w:val="21"/>
      <w:szCs w:val="24"/>
      <w:lang w:val="en-US" w:eastAsia="zh-CN" w:bidi="ar-SA"/>
    </w:rPr>
  </w:style>
  <w:style w:type="character" w:customStyle="1" w:styleId="133">
    <w:name w:val="h3 Char1"/>
    <w:qFormat/>
    <w:uiPriority w:val="0"/>
    <w:rPr>
      <w:rFonts w:eastAsia="宋体"/>
      <w:b/>
      <w:bCs/>
      <w:kern w:val="2"/>
      <w:sz w:val="32"/>
      <w:szCs w:val="32"/>
      <w:lang w:bidi="ar-SA"/>
    </w:rPr>
  </w:style>
  <w:style w:type="character" w:customStyle="1" w:styleId="134">
    <w:name w:val="标题 Char1"/>
    <w:qFormat/>
    <w:uiPriority w:val="0"/>
    <w:rPr>
      <w:rFonts w:ascii="Cambria" w:hAnsi="Cambria" w:eastAsia="宋体" w:cs="Times New Roman"/>
      <w:b/>
      <w:bCs/>
      <w:sz w:val="32"/>
      <w:szCs w:val="32"/>
      <w:lang w:bidi="ar-SA"/>
    </w:rPr>
  </w:style>
  <w:style w:type="character" w:customStyle="1" w:styleId="135">
    <w:name w:val="gf正文1 Char"/>
    <w:qFormat/>
    <w:uiPriority w:val="0"/>
    <w:rPr>
      <w:rFonts w:ascii="宋体" w:hAnsi="宋体" w:eastAsia="宋体" w:cs="宋体"/>
      <w:kern w:val="2"/>
      <w:sz w:val="24"/>
      <w:szCs w:val="24"/>
      <w:lang w:val="en-US" w:eastAsia="zh-CN" w:bidi="ar-SA"/>
    </w:rPr>
  </w:style>
  <w:style w:type="character" w:customStyle="1" w:styleId="136">
    <w:name w:val="正文文本缩进 Char1"/>
    <w:qFormat/>
    <w:uiPriority w:val="0"/>
    <w:rPr>
      <w:rFonts w:ascii="Calibri" w:hAnsi="Calibri"/>
      <w:sz w:val="28"/>
    </w:rPr>
  </w:style>
  <w:style w:type="character" w:customStyle="1" w:styleId="137">
    <w:name w:val="No Spacing Char"/>
    <w:link w:val="138"/>
    <w:qFormat/>
    <w:uiPriority w:val="1"/>
    <w:rPr>
      <w:sz w:val="22"/>
      <w:szCs w:val="22"/>
      <w:lang w:val="en-US" w:eastAsia="zh-CN" w:bidi="ar-SA"/>
    </w:rPr>
  </w:style>
  <w:style w:type="paragraph" w:customStyle="1" w:styleId="138">
    <w:name w:val="无间隔1"/>
    <w:link w:val="137"/>
    <w:qFormat/>
    <w:uiPriority w:val="1"/>
    <w:rPr>
      <w:rFonts w:ascii="Times New Roman" w:hAnsi="Times New Roman" w:eastAsia="宋体" w:cs="Times New Roman"/>
      <w:sz w:val="22"/>
      <w:szCs w:val="22"/>
      <w:lang w:val="en-US" w:eastAsia="zh-CN" w:bidi="ar-SA"/>
    </w:rPr>
  </w:style>
  <w:style w:type="character" w:customStyle="1" w:styleId="139">
    <w:name w:val="样式7 Char"/>
    <w:qFormat/>
    <w:uiPriority w:val="0"/>
    <w:rPr>
      <w:rFonts w:ascii="仿宋_GB2312" w:hAnsi="仿宋" w:eastAsia="仿宋_GB2312"/>
      <w:b/>
      <w:kern w:val="2"/>
      <w:sz w:val="24"/>
      <w:szCs w:val="24"/>
    </w:rPr>
  </w:style>
  <w:style w:type="character" w:customStyle="1" w:styleId="140">
    <w:name w:val="font12gray1"/>
    <w:qFormat/>
    <w:uiPriority w:val="0"/>
    <w:rPr>
      <w:rFonts w:ascii="仿宋_GB2312" w:eastAsia="微软雅黑"/>
      <w:b/>
      <w:spacing w:val="300"/>
      <w:kern w:val="2"/>
      <w:sz w:val="18"/>
      <w:szCs w:val="18"/>
      <w:lang w:val="en-US" w:eastAsia="zh-CN" w:bidi="ar-SA"/>
    </w:rPr>
  </w:style>
  <w:style w:type="character" w:customStyle="1" w:styleId="141">
    <w:name w:val="Char Char7"/>
    <w:semiHidden/>
    <w:qFormat/>
    <w:uiPriority w:val="0"/>
    <w:rPr>
      <w:rFonts w:eastAsia="宋体"/>
      <w:kern w:val="2"/>
      <w:sz w:val="21"/>
      <w:szCs w:val="24"/>
      <w:lang w:val="en-US" w:eastAsia="zh-CN" w:bidi="ar-SA"/>
    </w:rPr>
  </w:style>
  <w:style w:type="character" w:customStyle="1" w:styleId="142">
    <w:name w:val="表名 Char"/>
    <w:qFormat/>
    <w:uiPriority w:val="0"/>
    <w:rPr>
      <w:rFonts w:eastAsia="宋体"/>
      <w:b/>
      <w:bCs/>
      <w:kern w:val="2"/>
      <w:sz w:val="24"/>
      <w:szCs w:val="24"/>
      <w:lang w:val="en-US" w:eastAsia="zh-CN" w:bidi="ar-SA"/>
    </w:rPr>
  </w:style>
  <w:style w:type="character" w:customStyle="1" w:styleId="143">
    <w:name w:val="Document Map Char"/>
    <w:qFormat/>
    <w:locked/>
    <w:uiPriority w:val="0"/>
    <w:rPr>
      <w:rFonts w:eastAsia="宋体"/>
      <w:kern w:val="2"/>
      <w:sz w:val="21"/>
      <w:szCs w:val="24"/>
      <w:lang w:val="en-US" w:eastAsia="zh-CN" w:bidi="ar-SA"/>
    </w:rPr>
  </w:style>
  <w:style w:type="character" w:customStyle="1" w:styleId="144">
    <w:name w:val="font41"/>
    <w:basedOn w:val="70"/>
    <w:qFormat/>
    <w:uiPriority w:val="0"/>
    <w:rPr>
      <w:rFonts w:hint="eastAsia" w:ascii="仿宋_GB2312" w:eastAsia="仿宋_GB2312" w:cs="仿宋_GB2312"/>
      <w:color w:val="000000"/>
      <w:sz w:val="22"/>
      <w:szCs w:val="22"/>
      <w:u w:val="none"/>
    </w:rPr>
  </w:style>
  <w:style w:type="character" w:customStyle="1" w:styleId="145">
    <w:name w:val="标题 6 字符"/>
    <w:link w:val="8"/>
    <w:qFormat/>
    <w:uiPriority w:val="0"/>
    <w:rPr>
      <w:rFonts w:ascii="Arial" w:hAnsi="Arial" w:eastAsia="黑体"/>
      <w:b/>
      <w:bCs/>
      <w:kern w:val="2"/>
      <w:sz w:val="24"/>
      <w:szCs w:val="24"/>
    </w:rPr>
  </w:style>
  <w:style w:type="character" w:customStyle="1" w:styleId="146">
    <w:name w:val="纯文本 Char_0"/>
    <w:link w:val="147"/>
    <w:qFormat/>
    <w:uiPriority w:val="0"/>
    <w:rPr>
      <w:rFonts w:ascii="宋体" w:hAnsi="Courier New"/>
      <w:kern w:val="2"/>
      <w:sz w:val="21"/>
      <w:szCs w:val="21"/>
      <w:lang w:val="en-US" w:eastAsia="zh-CN"/>
    </w:rPr>
  </w:style>
  <w:style w:type="paragraph" w:customStyle="1" w:styleId="147">
    <w:name w:val="纯文本_0_0"/>
    <w:basedOn w:val="148"/>
    <w:link w:val="146"/>
    <w:qFormat/>
    <w:uiPriority w:val="0"/>
    <w:rPr>
      <w:rFonts w:ascii="宋体" w:hAnsi="Courier New"/>
      <w:szCs w:val="21"/>
    </w:rPr>
  </w:style>
  <w:style w:type="paragraph" w:customStyle="1" w:styleId="1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qFormat/>
    <w:locked/>
    <w:uiPriority w:val="0"/>
    <w:rPr>
      <w:rFonts w:eastAsia="宋体"/>
      <w:kern w:val="2"/>
      <w:sz w:val="18"/>
      <w:szCs w:val="18"/>
      <w:lang w:val="en-US" w:eastAsia="zh-CN" w:bidi="ar-SA"/>
    </w:rPr>
  </w:style>
  <w:style w:type="character" w:customStyle="1" w:styleId="150">
    <w:name w:val="正文 项目2 Char"/>
    <w:basedOn w:val="151"/>
    <w:qFormat/>
    <w:uiPriority w:val="0"/>
    <w:rPr>
      <w:rFonts w:ascii="仿宋_GB2312" w:hAnsi="仿宋_GB2312" w:eastAsia="仿宋_GB2312"/>
      <w:kern w:val="2"/>
      <w:sz w:val="24"/>
      <w:lang w:bidi="ar-SA"/>
    </w:rPr>
  </w:style>
  <w:style w:type="character" w:customStyle="1" w:styleId="151">
    <w:name w:val="正文 项目 Char"/>
    <w:qFormat/>
    <w:uiPriority w:val="0"/>
    <w:rPr>
      <w:rFonts w:ascii="仿宋_GB2312" w:hAnsi="仿宋_GB2312" w:eastAsia="仿宋_GB2312"/>
      <w:kern w:val="2"/>
      <w:sz w:val="24"/>
      <w:lang w:bidi="ar-SA"/>
    </w:rPr>
  </w:style>
  <w:style w:type="character" w:customStyle="1" w:styleId="152">
    <w:name w:val="h Char Char1"/>
    <w:qFormat/>
    <w:uiPriority w:val="0"/>
    <w:rPr>
      <w:rFonts w:eastAsia="宋体"/>
      <w:kern w:val="2"/>
      <w:sz w:val="18"/>
      <w:szCs w:val="18"/>
      <w:lang w:val="en-US" w:eastAsia="zh-CN" w:bidi="ar-SA"/>
    </w:rPr>
  </w:style>
  <w:style w:type="character" w:customStyle="1" w:styleId="153">
    <w:name w:val="Char Char27"/>
    <w:qFormat/>
    <w:uiPriority w:val="6"/>
    <w:rPr>
      <w:rFonts w:ascii="宋体" w:hAnsi="宋体" w:eastAsia="宋体"/>
      <w:color w:val="000000"/>
      <w:kern w:val="1"/>
      <w:sz w:val="28"/>
      <w:lang w:val="en-US" w:eastAsia="zh-CN" w:bidi="ar-SA"/>
    </w:rPr>
  </w:style>
  <w:style w:type="character" w:customStyle="1" w:styleId="154">
    <w:name w:val="px14"/>
    <w:qFormat/>
    <w:uiPriority w:val="0"/>
    <w:rPr>
      <w:rFonts w:ascii="仿宋_GB2312" w:eastAsia="微软雅黑" w:cs="Times New Roman"/>
      <w:b/>
      <w:kern w:val="2"/>
      <w:sz w:val="32"/>
      <w:szCs w:val="32"/>
      <w:lang w:val="en-US" w:eastAsia="zh-CN" w:bidi="ar-SA"/>
    </w:rPr>
  </w:style>
  <w:style w:type="character" w:customStyle="1" w:styleId="155">
    <w:name w:val="HTML 预设格式 Char1"/>
    <w:qFormat/>
    <w:uiPriority w:val="0"/>
    <w:rPr>
      <w:rFonts w:ascii="Courier New" w:hAnsi="Courier New" w:eastAsia="宋体" w:cs="Courier New"/>
      <w:sz w:val="20"/>
      <w:szCs w:val="20"/>
    </w:rPr>
  </w:style>
  <w:style w:type="character" w:customStyle="1" w:styleId="156">
    <w:name w:val="普通文字 Char1"/>
    <w:qFormat/>
    <w:uiPriority w:val="0"/>
    <w:rPr>
      <w:rFonts w:ascii="宋体" w:hAnsi="Courier New" w:eastAsia="宋体"/>
      <w:kern w:val="2"/>
      <w:sz w:val="21"/>
      <w:lang w:val="en-US" w:eastAsia="zh-CN"/>
    </w:rPr>
  </w:style>
  <w:style w:type="character" w:customStyle="1" w:styleId="157">
    <w:name w:val="hei16b1"/>
    <w:qFormat/>
    <w:uiPriority w:val="0"/>
    <w:rPr>
      <w:rFonts w:hint="default" w:ascii="Arial" w:hAnsi="Arial" w:cs="Arial"/>
      <w:b/>
      <w:bCs/>
      <w:color w:val="000000"/>
      <w:sz w:val="24"/>
      <w:szCs w:val="24"/>
    </w:rPr>
  </w:style>
  <w:style w:type="character" w:customStyle="1" w:styleId="158">
    <w:name w:val="正文（绿盟科技） Char"/>
    <w:link w:val="159"/>
    <w:qFormat/>
    <w:uiPriority w:val="0"/>
    <w:rPr>
      <w:rFonts w:ascii="Arial" w:hAnsi="Arial"/>
      <w:sz w:val="21"/>
      <w:szCs w:val="21"/>
    </w:rPr>
  </w:style>
  <w:style w:type="paragraph" w:customStyle="1" w:styleId="159">
    <w:name w:val="正文（绿盟科技）"/>
    <w:link w:val="158"/>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qFormat/>
    <w:uiPriority w:val="6"/>
    <w:rPr>
      <w:rFonts w:ascii="宋体" w:hAnsi="宋体"/>
      <w:i/>
      <w:sz w:val="24"/>
      <w:szCs w:val="24"/>
    </w:rPr>
  </w:style>
  <w:style w:type="character" w:customStyle="1" w:styleId="161">
    <w:name w:val="页脚 Char"/>
    <w:qFormat/>
    <w:uiPriority w:val="0"/>
    <w:rPr>
      <w:rFonts w:eastAsia="仿宋_GB2312"/>
      <w:kern w:val="2"/>
      <w:sz w:val="18"/>
      <w:lang w:val="en-US" w:eastAsia="zh-CN"/>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Comment Text Char"/>
    <w:qFormat/>
    <w:locked/>
    <w:uiPriority w:val="0"/>
    <w:rPr>
      <w:rFonts w:ascii="宋体" w:hAnsi="宋体" w:eastAsia="宋体"/>
      <w:kern w:val="2"/>
      <w:sz w:val="24"/>
      <w:lang w:val="en-US" w:eastAsia="zh-CN" w:bidi="ar-SA"/>
    </w:rPr>
  </w:style>
  <w:style w:type="character" w:customStyle="1" w:styleId="164">
    <w:name w:val="标题 2 字符"/>
    <w:qFormat/>
    <w:uiPriority w:val="1"/>
    <w:rPr>
      <w:rFonts w:ascii="仿宋_GB2312" w:hAnsi="Times New Roman" w:eastAsia="仿宋_GB2312" w:cs="Times New Roman"/>
      <w:b/>
      <w:kern w:val="2"/>
      <w:sz w:val="24"/>
      <w:lang w:val="zh-CN"/>
    </w:rPr>
  </w:style>
  <w:style w:type="character" w:customStyle="1" w:styleId="165">
    <w:name w:val="Char Char72"/>
    <w:qFormat/>
    <w:uiPriority w:val="0"/>
    <w:rPr>
      <w:rFonts w:eastAsia="宋体"/>
      <w:kern w:val="2"/>
      <w:sz w:val="21"/>
      <w:szCs w:val="24"/>
      <w:lang w:val="en-US" w:eastAsia="zh-CN" w:bidi="ar-SA"/>
    </w:rPr>
  </w:style>
  <w:style w:type="character" w:customStyle="1" w:styleId="166">
    <w:name w:val="正文文本缩进 Char2"/>
    <w:qFormat/>
    <w:uiPriority w:val="0"/>
    <w:rPr>
      <w:rFonts w:ascii="Times New Roman" w:hAnsi="Times New Roman" w:eastAsia="宋体" w:cs="Times New Roman"/>
      <w:snapToGrid w:val="0"/>
      <w:kern w:val="0"/>
      <w:szCs w:val="24"/>
    </w:rPr>
  </w:style>
  <w:style w:type="character" w:customStyle="1" w:styleId="167">
    <w:name w:val="样式2 Char"/>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qFormat/>
    <w:uiPriority w:val="0"/>
    <w:rPr>
      <w:sz w:val="32"/>
    </w:rPr>
  </w:style>
  <w:style w:type="paragraph" w:customStyle="1" w:styleId="169">
    <w:name w:val="表格名称"/>
    <w:basedOn w:val="2"/>
    <w:link w:val="16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qFormat/>
    <w:uiPriority w:val="0"/>
    <w:rPr>
      <w:rFonts w:eastAsia="宋体"/>
      <w:b/>
      <w:sz w:val="24"/>
      <w:lang w:val="en-GB" w:eastAsia="zh-CN" w:bidi="ar-SA"/>
    </w:rPr>
  </w:style>
  <w:style w:type="character" w:customStyle="1" w:styleId="171">
    <w:name w:val="c7 style3"/>
    <w:qFormat/>
    <w:uiPriority w:val="0"/>
  </w:style>
  <w:style w:type="character" w:customStyle="1" w:styleId="172">
    <w:name w:val="正文文本 3 Char1"/>
    <w:semiHidden/>
    <w:qFormat/>
    <w:uiPriority w:val="99"/>
    <w:rPr>
      <w:rFonts w:ascii="Times New Roman" w:hAnsi="Times New Roman" w:eastAsia="宋体" w:cs="Times New Roman"/>
      <w:sz w:val="16"/>
      <w:szCs w:val="16"/>
    </w:rPr>
  </w:style>
  <w:style w:type="character" w:customStyle="1" w:styleId="173">
    <w:name w:val="tw4winInternal"/>
    <w:qFormat/>
    <w:uiPriority w:val="0"/>
    <w:rPr>
      <w:rFonts w:ascii="Courier New" w:hAnsi="Courier New" w:cs="Courier New"/>
      <w:color w:val="FF0000"/>
      <w:lang w:val="en-US" w:eastAsia="zh-CN"/>
    </w:rPr>
  </w:style>
  <w:style w:type="character" w:customStyle="1" w:styleId="174">
    <w:name w:val="Char Char10"/>
    <w:semiHidden/>
    <w:qFormat/>
    <w:uiPriority w:val="0"/>
    <w:rPr>
      <w:rFonts w:ascii="宋体" w:hAnsi="宋体"/>
      <w:kern w:val="2"/>
      <w:sz w:val="21"/>
      <w:szCs w:val="24"/>
      <w:lang w:val="en-US" w:eastAsia="zh-CN"/>
    </w:rPr>
  </w:style>
  <w:style w:type="character" w:customStyle="1" w:styleId="175">
    <w:name w:val="shadow11"/>
    <w:qFormat/>
    <w:uiPriority w:val="0"/>
    <w:rPr>
      <w:color w:val="000000"/>
      <w:sz w:val="21"/>
    </w:rPr>
  </w:style>
  <w:style w:type="character" w:customStyle="1" w:styleId="176">
    <w:name w:val="正文非缩进 Char3"/>
    <w:qFormat/>
    <w:uiPriority w:val="0"/>
    <w:rPr>
      <w:rFonts w:ascii="宋体" w:eastAsia="宋体"/>
      <w:snapToGrid w:val="0"/>
      <w:color w:val="000000"/>
      <w:kern w:val="28"/>
      <w:sz w:val="28"/>
      <w:lang w:val="en-US" w:eastAsia="zh-CN" w:bidi="ar-SA"/>
    </w:rPr>
  </w:style>
  <w:style w:type="character" w:customStyle="1" w:styleId="177">
    <w:name w:val="Char Char"/>
    <w:qFormat/>
    <w:uiPriority w:val="0"/>
    <w:rPr>
      <w:rFonts w:ascii="宋体" w:hAnsi="Courier New" w:eastAsia="宋体"/>
      <w:kern w:val="2"/>
      <w:sz w:val="21"/>
      <w:lang w:val="en-US" w:eastAsia="zh-CN" w:bidi="ar-SA"/>
    </w:rPr>
  </w:style>
  <w:style w:type="character" w:customStyle="1" w:styleId="178">
    <w:name w:val="签名 Char1"/>
    <w:qFormat/>
    <w:uiPriority w:val="0"/>
    <w:rPr>
      <w:rFonts w:ascii="Times New Roman" w:hAnsi="Times New Roman" w:eastAsia="宋体" w:cs="Times New Roman"/>
      <w:szCs w:val="24"/>
    </w:rPr>
  </w:style>
  <w:style w:type="character" w:customStyle="1" w:styleId="179">
    <w:name w:val="日期 字符"/>
    <w:link w:val="36"/>
    <w:qFormat/>
    <w:uiPriority w:val="0"/>
    <w:rPr>
      <w:rFonts w:ascii="宋体"/>
      <w:kern w:val="2"/>
      <w:sz w:val="24"/>
      <w:szCs w:val="21"/>
      <w:lang w:val="zh-CN"/>
    </w:rPr>
  </w:style>
  <w:style w:type="character" w:customStyle="1" w:styleId="180">
    <w:name w:val="标题 9 字符"/>
    <w:link w:val="11"/>
    <w:qFormat/>
    <w:uiPriority w:val="0"/>
    <w:rPr>
      <w:rFonts w:ascii="Arial" w:hAnsi="Arial" w:eastAsia="黑体"/>
      <w:kern w:val="2"/>
      <w:sz w:val="21"/>
      <w:szCs w:val="21"/>
    </w:rPr>
  </w:style>
  <w:style w:type="character" w:customStyle="1" w:styleId="181">
    <w:name w:val="Char Char18"/>
    <w:qFormat/>
    <w:uiPriority w:val="6"/>
    <w:rPr>
      <w:rFonts w:ascii="宋体" w:hAnsi="宋体"/>
      <w:sz w:val="28"/>
    </w:rPr>
  </w:style>
  <w:style w:type="character" w:customStyle="1" w:styleId="182">
    <w:name w:val="批注文字 Char"/>
    <w:qFormat/>
    <w:uiPriority w:val="0"/>
    <w:rPr>
      <w:kern w:val="2"/>
      <w:sz w:val="21"/>
      <w:szCs w:val="24"/>
    </w:rPr>
  </w:style>
  <w:style w:type="character" w:customStyle="1" w:styleId="183">
    <w:name w:val="Char Char22"/>
    <w:qFormat/>
    <w:uiPriority w:val="6"/>
    <w:rPr>
      <w:rFonts w:ascii="宋体" w:hAnsi="宋体"/>
      <w:kern w:val="1"/>
      <w:sz w:val="24"/>
      <w:szCs w:val="24"/>
    </w:rPr>
  </w:style>
  <w:style w:type="character" w:customStyle="1" w:styleId="184">
    <w:name w:val="pt141"/>
    <w:qFormat/>
    <w:uiPriority w:val="0"/>
    <w:rPr>
      <w:color w:val="330066"/>
      <w:sz w:val="22"/>
      <w:szCs w:val="22"/>
    </w:rPr>
  </w:style>
  <w:style w:type="character" w:customStyle="1" w:styleId="185">
    <w:name w:val="正文文本缩进 2 Char1"/>
    <w:semiHidden/>
    <w:qFormat/>
    <w:uiPriority w:val="99"/>
    <w:rPr>
      <w:rFonts w:ascii="Times New Roman" w:hAnsi="Times New Roman" w:eastAsia="宋体" w:cs="Times New Roman"/>
      <w:szCs w:val="24"/>
    </w:rPr>
  </w:style>
  <w:style w:type="character" w:customStyle="1" w:styleId="186">
    <w:name w:val="批注框文本 字符1"/>
    <w:link w:val="39"/>
    <w:qFormat/>
    <w:uiPriority w:val="0"/>
    <w:rPr>
      <w:kern w:val="2"/>
      <w:sz w:val="18"/>
      <w:szCs w:val="18"/>
    </w:rPr>
  </w:style>
  <w:style w:type="character" w:customStyle="1" w:styleId="187">
    <w:name w:val="Char Char611"/>
    <w:qFormat/>
    <w:uiPriority w:val="0"/>
    <w:rPr>
      <w:rFonts w:eastAsia="宋体"/>
      <w:kern w:val="2"/>
      <w:sz w:val="21"/>
      <w:szCs w:val="24"/>
      <w:lang w:val="en-US" w:eastAsia="zh-CN" w:bidi="ar-SA"/>
    </w:rPr>
  </w:style>
  <w:style w:type="character" w:customStyle="1" w:styleId="188">
    <w:name w:val="highlight1"/>
    <w:qFormat/>
    <w:uiPriority w:val="0"/>
    <w:rPr>
      <w:rFonts w:ascii="仿宋_GB2312" w:eastAsia="微软雅黑"/>
      <w:b/>
      <w:kern w:val="2"/>
      <w:sz w:val="23"/>
      <w:szCs w:val="23"/>
      <w:lang w:val="en-US" w:eastAsia="zh-CN" w:bidi="ar-SA"/>
    </w:rPr>
  </w:style>
  <w:style w:type="character" w:customStyle="1" w:styleId="189">
    <w:name w:val="my正文 Char"/>
    <w:link w:val="190"/>
    <w:qFormat/>
    <w:locked/>
    <w:uiPriority w:val="0"/>
    <w:rPr>
      <w:rFonts w:ascii="Tahoma" w:hAnsi="Tahoma"/>
      <w:sz w:val="24"/>
      <w:szCs w:val="24"/>
    </w:rPr>
  </w:style>
  <w:style w:type="paragraph" w:customStyle="1" w:styleId="190">
    <w:name w:val="my正文"/>
    <w:basedOn w:val="1"/>
    <w:link w:val="189"/>
    <w:qFormat/>
    <w:uiPriority w:val="0"/>
    <w:pPr>
      <w:adjustRightInd/>
      <w:spacing w:line="360" w:lineRule="auto"/>
      <w:ind w:firstLine="480" w:firstLineChars="200"/>
    </w:pPr>
    <w:rPr>
      <w:rFonts w:ascii="Tahoma" w:hAnsi="Tahoma"/>
      <w:kern w:val="0"/>
      <w:sz w:val="24"/>
    </w:rPr>
  </w:style>
  <w:style w:type="character" w:customStyle="1" w:styleId="191">
    <w:name w:val="正文缩进 字符2"/>
    <w:link w:val="5"/>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qFormat/>
    <w:uiPriority w:val="0"/>
    <w:rPr>
      <w:color w:val="0000FF"/>
      <w:sz w:val="21"/>
    </w:rPr>
  </w:style>
  <w:style w:type="character" w:customStyle="1" w:styleId="193">
    <w:name w:val="页眉 Char"/>
    <w:qFormat/>
    <w:uiPriority w:val="0"/>
    <w:rPr>
      <w:rFonts w:eastAsia="仿宋_GB2312"/>
      <w:kern w:val="2"/>
      <w:sz w:val="18"/>
      <w:lang w:val="en-US" w:eastAsia="zh-CN"/>
    </w:rPr>
  </w:style>
  <w:style w:type="character" w:customStyle="1" w:styleId="194">
    <w:name w:val="FA正文 Char Char"/>
    <w:qFormat/>
    <w:uiPriority w:val="0"/>
    <w:rPr>
      <w:rFonts w:hAnsi="宋体"/>
      <w:kern w:val="2"/>
      <w:sz w:val="24"/>
      <w:lang w:bidi="ar-SA"/>
    </w:rPr>
  </w:style>
  <w:style w:type="character" w:customStyle="1" w:styleId="195">
    <w:name w:val="纯文本 字符"/>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qFormat/>
    <w:uiPriority w:val="0"/>
    <w:rPr>
      <w:rFonts w:ascii="宋体" w:hAnsi="宋体"/>
      <w:b/>
      <w:bCs/>
      <w:snapToGrid/>
      <w:sz w:val="28"/>
    </w:rPr>
  </w:style>
  <w:style w:type="paragraph" w:customStyle="1" w:styleId="197">
    <w:name w:val="3级"/>
    <w:basedOn w:val="198"/>
    <w:link w:val="196"/>
    <w:qFormat/>
    <w:uiPriority w:val="0"/>
    <w:pPr>
      <w:ind w:left="0" w:right="466" w:firstLine="288"/>
    </w:pPr>
    <w:rPr>
      <w:rFonts w:hAnsi="宋体"/>
      <w:snapToGrid/>
    </w:rPr>
  </w:style>
  <w:style w:type="paragraph" w:customStyle="1" w:styleId="198">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qFormat/>
    <w:uiPriority w:val="0"/>
    <w:rPr>
      <w:rFonts w:ascii="仿宋_GB2312" w:eastAsia="微软雅黑"/>
      <w:b/>
      <w:kern w:val="2"/>
      <w:sz w:val="32"/>
      <w:szCs w:val="32"/>
      <w:lang w:val="en-US" w:eastAsia="zh-CN" w:bidi="ar-SA"/>
    </w:rPr>
  </w:style>
  <w:style w:type="character" w:customStyle="1" w:styleId="200">
    <w:name w:val="文档结构图 字符"/>
    <w:link w:val="18"/>
    <w:qFormat/>
    <w:uiPriority w:val="0"/>
    <w:rPr>
      <w:kern w:val="2"/>
      <w:sz w:val="21"/>
      <w:szCs w:val="24"/>
      <w:shd w:val="clear" w:color="auto" w:fill="000080"/>
    </w:rPr>
  </w:style>
  <w:style w:type="character" w:customStyle="1" w:styleId="201">
    <w:name w:val="H6 Char"/>
    <w:qFormat/>
    <w:uiPriority w:val="0"/>
    <w:rPr>
      <w:rFonts w:ascii="Arial" w:hAnsi="Arial" w:eastAsia="黑体"/>
      <w:b/>
      <w:bCs/>
      <w:kern w:val="2"/>
      <w:sz w:val="24"/>
      <w:szCs w:val="24"/>
    </w:rPr>
  </w:style>
  <w:style w:type="character" w:customStyle="1" w:styleId="202">
    <w:name w:val="Char Char91"/>
    <w:qFormat/>
    <w:uiPriority w:val="0"/>
    <w:rPr>
      <w:rFonts w:eastAsia="宋体"/>
      <w:kern w:val="2"/>
      <w:sz w:val="18"/>
      <w:szCs w:val="18"/>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font61"/>
    <w:qFormat/>
    <w:uiPriority w:val="0"/>
    <w:rPr>
      <w:rFonts w:hint="eastAsia" w:ascii="仿宋" w:hAnsi="仿宋" w:eastAsia="仿宋" w:cs="仿宋"/>
      <w:color w:val="000000"/>
      <w:sz w:val="20"/>
      <w:szCs w:val="20"/>
      <w:u w:val="none"/>
    </w:rPr>
  </w:style>
  <w:style w:type="character" w:customStyle="1" w:styleId="20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qFormat/>
    <w:uiPriority w:val="0"/>
    <w:rPr>
      <w:rFonts w:eastAsia="宋体"/>
      <w:b/>
      <w:bCs/>
      <w:kern w:val="2"/>
      <w:sz w:val="21"/>
      <w:szCs w:val="24"/>
      <w:lang w:val="en-US" w:eastAsia="zh-CN" w:bidi="ar-SA"/>
    </w:rPr>
  </w:style>
  <w:style w:type="character" w:customStyle="1" w:styleId="207">
    <w:name w:val="标题 2 Char"/>
    <w:qFormat/>
    <w:uiPriority w:val="0"/>
    <w:rPr>
      <w:rFonts w:ascii="Arial" w:hAnsi="Arial" w:eastAsia="黑体"/>
      <w:b/>
      <w:kern w:val="2"/>
      <w:sz w:val="32"/>
      <w:lang w:val="en-US" w:eastAsia="zh-CN"/>
    </w:rPr>
  </w:style>
  <w:style w:type="character" w:customStyle="1" w:styleId="208">
    <w:name w:val="maywed421"/>
    <w:qFormat/>
    <w:uiPriority w:val="0"/>
    <w:rPr>
      <w:color w:val="366FB6"/>
      <w:u w:val="none"/>
    </w:rPr>
  </w:style>
  <w:style w:type="character" w:customStyle="1" w:styleId="209">
    <w:name w:val="正文文本缩进 Char"/>
    <w:qFormat/>
    <w:uiPriority w:val="0"/>
    <w:rPr>
      <w:rFonts w:ascii="宋体" w:hAnsi="宋体"/>
      <w:kern w:val="2"/>
      <w:sz w:val="24"/>
      <w:szCs w:val="24"/>
    </w:rPr>
  </w:style>
  <w:style w:type="character" w:customStyle="1" w:styleId="210">
    <w:name w:val="Char Char102"/>
    <w:semiHidden/>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70"/>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7"/>
    <w:qFormat/>
    <w:uiPriority w:val="0"/>
    <w:rPr>
      <w:rFonts w:ascii="仿宋_GB2312" w:hAnsi="仿宋" w:eastAsia="仿宋_GB2312" w:cs="仿宋_GB2312"/>
      <w:sz w:val="32"/>
      <w:szCs w:val="30"/>
      <w:lang w:val="zh-CN"/>
    </w:rPr>
  </w:style>
  <w:style w:type="character" w:customStyle="1" w:styleId="217">
    <w:name w:val="HTML 地址 字符"/>
    <w:link w:val="30"/>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6"/>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qFormat/>
    <w:locked/>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字符"/>
    <w:link w:val="16"/>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233"/>
    <w:qFormat/>
    <w:uiPriority w:val="0"/>
    <w:rPr>
      <w:rFonts w:ascii="仿宋_GB2312" w:eastAsia="仿宋_GB2312" w:cs="仿宋_GB2312"/>
      <w:color w:val="000000"/>
      <w:sz w:val="24"/>
      <w:szCs w:val="24"/>
      <w:lang w:val="en-US" w:eastAsia="zh-CN" w:bidi="ar-SA"/>
    </w:rPr>
  </w:style>
  <w:style w:type="paragraph" w:customStyle="1" w:styleId="233">
    <w:name w:val="Default"/>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qFormat/>
    <w:uiPriority w:val="0"/>
    <w:rPr>
      <w:color w:val="333333"/>
    </w:rPr>
  </w:style>
  <w:style w:type="character" w:customStyle="1" w:styleId="235">
    <w:name w:val="列出段落 Char2"/>
    <w:qFormat/>
    <w:uiPriority w:val="34"/>
    <w:rPr>
      <w:rFonts w:ascii="Calibri" w:hAnsi="Calibri"/>
      <w:kern w:val="2"/>
      <w:sz w:val="28"/>
    </w:rPr>
  </w:style>
  <w:style w:type="character" w:customStyle="1" w:styleId="236">
    <w:name w:val="mdeck"/>
    <w:qFormat/>
    <w:uiPriority w:val="0"/>
    <w:rPr>
      <w:rFonts w:ascii="仿宋_GB2312" w:eastAsia="微软雅黑"/>
      <w:b/>
      <w:kern w:val="2"/>
      <w:sz w:val="32"/>
      <w:szCs w:val="32"/>
      <w:lang w:val="en-US" w:eastAsia="zh-CN" w:bidi="ar-SA"/>
    </w:rPr>
  </w:style>
  <w:style w:type="character" w:customStyle="1" w:styleId="237">
    <w:name w:val="unnamed11"/>
    <w:qFormat/>
    <w:uiPriority w:val="0"/>
    <w:rPr>
      <w:sz w:val="20"/>
      <w:szCs w:val="20"/>
    </w:rPr>
  </w:style>
  <w:style w:type="character" w:customStyle="1" w:styleId="238">
    <w:name w:val="正文文本 Char2"/>
    <w:semiHidden/>
    <w:qFormat/>
    <w:uiPriority w:val="99"/>
    <w:rPr>
      <w:rFonts w:ascii="Times New Roman" w:hAnsi="Times New Roman" w:eastAsia="宋体" w:cs="Times New Roman"/>
      <w:snapToGrid w:val="0"/>
      <w:kern w:val="0"/>
      <w:szCs w:val="24"/>
    </w:rPr>
  </w:style>
  <w:style w:type="character" w:customStyle="1" w:styleId="239">
    <w:name w:val="标书正文格式 Char"/>
    <w:qFormat/>
    <w:uiPriority w:val="0"/>
    <w:rPr>
      <w:rFonts w:eastAsia="楷体_GB2312"/>
      <w:kern w:val="2"/>
      <w:sz w:val="24"/>
      <w:szCs w:val="24"/>
      <w:lang w:bidi="ar-SA"/>
    </w:rPr>
  </w:style>
  <w:style w:type="character" w:customStyle="1" w:styleId="240">
    <w:name w:val="Char Char11"/>
    <w:qFormat/>
    <w:locked/>
    <w:uiPriority w:val="0"/>
    <w:rPr>
      <w:rFonts w:ascii="宋体" w:hAnsi="宋体" w:eastAsia="宋体"/>
      <w:b/>
      <w:kern w:val="2"/>
      <w:sz w:val="24"/>
      <w:szCs w:val="24"/>
      <w:lang w:val="en-US" w:eastAsia="zh-CN" w:bidi="ar-SA"/>
    </w:rPr>
  </w:style>
  <w:style w:type="character" w:customStyle="1" w:styleId="241">
    <w:name w:val="ca-131"/>
    <w:qFormat/>
    <w:uiPriority w:val="0"/>
    <w:rPr>
      <w:rFonts w:hint="eastAsia" w:ascii="仿宋_GB2312" w:eastAsia="仿宋_GB2312"/>
      <w:b/>
      <w:bCs/>
      <w:color w:val="000000"/>
      <w:spacing w:val="-20"/>
      <w:sz w:val="24"/>
      <w:szCs w:val="24"/>
    </w:rPr>
  </w:style>
  <w:style w:type="character" w:customStyle="1" w:styleId="242">
    <w:name w:val="tw4winMark"/>
    <w:qFormat/>
    <w:uiPriority w:val="0"/>
    <w:rPr>
      <w:rFonts w:ascii="Courier New" w:hAnsi="Courier New" w:cs="Courier New"/>
      <w:vanish/>
      <w:color w:val="800080"/>
      <w:sz w:val="24"/>
      <w:szCs w:val="24"/>
      <w:vertAlign w:val="subscript"/>
    </w:rPr>
  </w:style>
  <w:style w:type="character" w:customStyle="1" w:styleId="243">
    <w:name w:val="正文样式 Char"/>
    <w:link w:val="244"/>
    <w:qFormat/>
    <w:uiPriority w:val="0"/>
    <w:rPr>
      <w:rFonts w:ascii="Calibri" w:hAnsi="Calibri"/>
      <w:sz w:val="24"/>
      <w:szCs w:val="24"/>
    </w:rPr>
  </w:style>
  <w:style w:type="paragraph" w:customStyle="1" w:styleId="244">
    <w:name w:val="正文样式"/>
    <w:basedOn w:val="1"/>
    <w:link w:val="243"/>
    <w:qFormat/>
    <w:uiPriority w:val="0"/>
    <w:pPr>
      <w:adjustRightInd/>
      <w:spacing w:line="360" w:lineRule="auto"/>
      <w:ind w:firstLine="480" w:firstLineChars="200"/>
    </w:pPr>
    <w:rPr>
      <w:kern w:val="0"/>
      <w:sz w:val="24"/>
    </w:rPr>
  </w:style>
  <w:style w:type="character" w:customStyle="1" w:styleId="245">
    <w:name w:val="表正文 Char3"/>
    <w:qFormat/>
    <w:uiPriority w:val="0"/>
    <w:rPr>
      <w:rFonts w:eastAsia="宋体"/>
    </w:rPr>
  </w:style>
  <w:style w:type="character" w:customStyle="1" w:styleId="246">
    <w:name w:val="H5 Char"/>
    <w:qFormat/>
    <w:uiPriority w:val="0"/>
    <w:rPr>
      <w:b/>
      <w:bCs/>
      <w:kern w:val="2"/>
      <w:sz w:val="28"/>
      <w:szCs w:val="28"/>
    </w:rPr>
  </w:style>
  <w:style w:type="character" w:customStyle="1" w:styleId="247">
    <w:name w:val="Char Char3"/>
    <w:qFormat/>
    <w:uiPriority w:val="0"/>
    <w:rPr>
      <w:rFonts w:eastAsia="宋体"/>
      <w:kern w:val="2"/>
      <w:sz w:val="21"/>
      <w:szCs w:val="24"/>
      <w:lang w:val="en-US" w:eastAsia="zh-CN" w:bidi="ar-SA"/>
    </w:rPr>
  </w:style>
  <w:style w:type="character" w:customStyle="1" w:styleId="248">
    <w:name w:val="正文 编号 Char"/>
    <w:qFormat/>
    <w:uiPriority w:val="0"/>
    <w:rPr>
      <w:rFonts w:ascii="仿宋_GB2312" w:hAnsi="仿宋_GB2312" w:eastAsia="仿宋_GB2312"/>
      <w:kern w:val="2"/>
      <w:sz w:val="24"/>
      <w:lang w:bidi="ar-SA"/>
    </w:rPr>
  </w:style>
  <w:style w:type="character" w:customStyle="1" w:styleId="249">
    <w:name w:val="question-title2"/>
    <w:qFormat/>
    <w:uiPriority w:val="6"/>
    <w:rPr>
      <w:rFonts w:ascii="Arial" w:hAnsi="Arial" w:eastAsia="黑体" w:cs="Arial"/>
      <w:snapToGrid w:val="0"/>
      <w:kern w:val="0"/>
      <w:szCs w:val="21"/>
    </w:rPr>
  </w:style>
  <w:style w:type="character" w:customStyle="1" w:styleId="250">
    <w:name w:val="gf正文1 Char Char"/>
    <w:link w:val="251"/>
    <w:qFormat/>
    <w:uiPriority w:val="0"/>
    <w:rPr>
      <w:rFonts w:ascii="宋体" w:hAnsi="宋体" w:cs="宋体"/>
      <w:kern w:val="2"/>
      <w:sz w:val="24"/>
      <w:szCs w:val="24"/>
    </w:rPr>
  </w:style>
  <w:style w:type="paragraph" w:customStyle="1" w:styleId="251">
    <w:name w:val="gf正文1"/>
    <w:basedOn w:val="1"/>
    <w:link w:val="250"/>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qFormat/>
    <w:uiPriority w:val="6"/>
    <w:rPr>
      <w:rFonts w:ascii="宋体" w:hAnsi="宋体"/>
      <w:kern w:val="1"/>
      <w:sz w:val="21"/>
    </w:rPr>
  </w:style>
  <w:style w:type="character" w:customStyle="1" w:styleId="253">
    <w:name w:val="正文缩进 Char3"/>
    <w:qFormat/>
    <w:uiPriority w:val="0"/>
    <w:rPr>
      <w:rFonts w:ascii="宋体" w:eastAsia="宋体"/>
      <w:snapToGrid w:val="0"/>
      <w:color w:val="000000"/>
      <w:kern w:val="28"/>
      <w:sz w:val="28"/>
      <w:lang w:val="en-US" w:eastAsia="zh-CN" w:bidi="ar-SA"/>
    </w:rPr>
  </w:style>
  <w:style w:type="character" w:customStyle="1" w:styleId="254">
    <w:name w:val="列出段落 Char1"/>
    <w:link w:val="255"/>
    <w:qFormat/>
    <w:uiPriority w:val="0"/>
    <w:rPr>
      <w:rFonts w:ascii="Calibri" w:hAnsi="Calibri"/>
      <w:sz w:val="24"/>
      <w:lang w:eastAsia="en-US"/>
    </w:rPr>
  </w:style>
  <w:style w:type="paragraph" w:customStyle="1" w:styleId="255">
    <w:name w:val="列表1"/>
    <w:basedOn w:val="1"/>
    <w:next w:val="256"/>
    <w:link w:val="254"/>
    <w:qFormat/>
    <w:uiPriority w:val="0"/>
    <w:pPr>
      <w:widowControl/>
      <w:adjustRightInd/>
      <w:spacing w:after="200" w:line="360" w:lineRule="auto"/>
      <w:ind w:left="720" w:firstLine="200" w:firstLineChars="200"/>
      <w:jc w:val="left"/>
    </w:pPr>
    <w:rPr>
      <w:kern w:val="0"/>
      <w:sz w:val="24"/>
      <w:szCs w:val="20"/>
      <w:lang w:eastAsia="en-US"/>
    </w:rPr>
  </w:style>
  <w:style w:type="paragraph" w:styleId="256">
    <w:name w:val="List Paragraph"/>
    <w:basedOn w:val="1"/>
    <w:qFormat/>
    <w:uiPriority w:val="34"/>
    <w:pPr>
      <w:spacing w:line="360" w:lineRule="auto"/>
      <w:ind w:firstLine="200" w:firstLineChars="200"/>
    </w:pPr>
    <w:rPr>
      <w:rFonts w:eastAsia="楷体_GB2312" w:cs="Lucida Sans"/>
      <w:sz w:val="24"/>
    </w:rPr>
  </w:style>
  <w:style w:type="character" w:customStyle="1" w:styleId="257">
    <w:name w:val="Char Char8"/>
    <w:qFormat/>
    <w:uiPriority w:val="0"/>
    <w:rPr>
      <w:rFonts w:eastAsia="宋体"/>
      <w:b/>
      <w:sz w:val="24"/>
      <w:lang w:val="en-GB" w:eastAsia="zh-CN"/>
    </w:rPr>
  </w:style>
  <w:style w:type="character" w:customStyle="1" w:styleId="258">
    <w:name w:val="Normal Indent Char Char"/>
    <w:qFormat/>
    <w:uiPriority w:val="0"/>
    <w:rPr>
      <w:rFonts w:eastAsia="宋体"/>
      <w:kern w:val="2"/>
      <w:sz w:val="21"/>
      <w:lang w:val="en-US" w:eastAsia="zh-CN" w:bidi="ar-SA"/>
    </w:rPr>
  </w:style>
  <w:style w:type="character" w:customStyle="1" w:styleId="259">
    <w:name w:val="列表段落 字符"/>
    <w:qFormat/>
    <w:uiPriority w:val="99"/>
  </w:style>
  <w:style w:type="character" w:customStyle="1" w:styleId="260">
    <w:name w:val="Ò³Ã¼ Char Char1"/>
    <w:qFormat/>
    <w:uiPriority w:val="0"/>
    <w:rPr>
      <w:rFonts w:eastAsia="宋体"/>
      <w:kern w:val="2"/>
      <w:sz w:val="18"/>
      <w:szCs w:val="18"/>
      <w:lang w:val="en-US" w:eastAsia="zh-CN" w:bidi="ar-SA"/>
    </w:rPr>
  </w:style>
  <w:style w:type="character" w:customStyle="1" w:styleId="261">
    <w:name w:val="方案正文 Char"/>
    <w:qFormat/>
    <w:uiPriority w:val="0"/>
    <w:rPr>
      <w:rFonts w:ascii="仿宋_GB2312" w:eastAsia="仿宋_GB2312"/>
      <w:b/>
      <w:color w:val="000000"/>
      <w:kern w:val="2"/>
      <w:sz w:val="24"/>
      <w:lang w:val="en-US" w:eastAsia="zh-CN" w:bidi="ar-SA"/>
    </w:rPr>
  </w:style>
  <w:style w:type="character" w:customStyle="1" w:styleId="262">
    <w:name w:val="Char Char30"/>
    <w:qFormat/>
    <w:uiPriority w:val="6"/>
    <w:rPr>
      <w:rFonts w:ascii="Arial" w:hAnsi="Arial" w:eastAsia="黑体"/>
      <w:kern w:val="1"/>
      <w:sz w:val="21"/>
      <w:szCs w:val="21"/>
    </w:rPr>
  </w:style>
  <w:style w:type="character" w:customStyle="1" w:styleId="263">
    <w:name w:val="正文文本缩进 字符1"/>
    <w:link w:val="24"/>
    <w:qFormat/>
    <w:uiPriority w:val="0"/>
    <w:rPr>
      <w:rFonts w:ascii="宋体" w:hAnsi="宋体"/>
      <w:kern w:val="2"/>
      <w:sz w:val="24"/>
      <w:szCs w:val="24"/>
    </w:rPr>
  </w:style>
  <w:style w:type="character" w:customStyle="1" w:styleId="264">
    <w:name w:val="font01"/>
    <w:qFormat/>
    <w:uiPriority w:val="0"/>
    <w:rPr>
      <w:rFonts w:hint="eastAsia" w:ascii="微软雅黑" w:hAnsi="微软雅黑" w:eastAsia="微软雅黑" w:cs="微软雅黑"/>
      <w:color w:val="000000"/>
      <w:sz w:val="20"/>
      <w:szCs w:val="20"/>
      <w:u w:val="none"/>
    </w:rPr>
  </w:style>
  <w:style w:type="character" w:customStyle="1" w:styleId="265">
    <w:name w:val="Char Char20"/>
    <w:qFormat/>
    <w:uiPriority w:val="6"/>
    <w:rPr>
      <w:kern w:val="1"/>
      <w:sz w:val="24"/>
    </w:rPr>
  </w:style>
  <w:style w:type="character" w:customStyle="1" w:styleId="266">
    <w:name w:val="tw4winExternal"/>
    <w:qFormat/>
    <w:uiPriority w:val="0"/>
    <w:rPr>
      <w:rFonts w:ascii="Courier New" w:hAnsi="Courier New" w:cs="Courier New"/>
      <w:color w:val="808080"/>
      <w:lang w:val="en-US" w:eastAsia="zh-CN"/>
    </w:rPr>
  </w:style>
  <w:style w:type="character" w:customStyle="1" w:styleId="267">
    <w:name w:val="标题 4 Char1"/>
    <w:qFormat/>
    <w:uiPriority w:val="9"/>
    <w:rPr>
      <w:rFonts w:ascii="Cambria" w:hAnsi="Cambria" w:eastAsia="宋体" w:cs="Times New Roman"/>
      <w:b/>
      <w:bCs/>
      <w:kern w:val="2"/>
      <w:sz w:val="28"/>
      <w:szCs w:val="28"/>
    </w:rPr>
  </w:style>
  <w:style w:type="character" w:customStyle="1" w:styleId="268">
    <w:name w:val="批注文字 Char2"/>
    <w:qFormat/>
    <w:uiPriority w:val="99"/>
    <w:rPr>
      <w:rFonts w:ascii="Times New Roman" w:hAnsi="Times New Roman" w:eastAsia="宋体" w:cs="Times New Roman"/>
      <w:snapToGrid w:val="0"/>
      <w:kern w:val="0"/>
      <w:szCs w:val="24"/>
    </w:rPr>
  </w:style>
  <w:style w:type="character" w:customStyle="1" w:styleId="269">
    <w:name w:val="正文文本 2 Char"/>
    <w:qFormat/>
    <w:uiPriority w:val="0"/>
    <w:rPr>
      <w:rFonts w:eastAsia="宋体"/>
      <w:kern w:val="2"/>
      <w:sz w:val="21"/>
      <w:szCs w:val="24"/>
      <w:lang w:val="en-US" w:eastAsia="zh-CN" w:bidi="ar-SA"/>
    </w:rPr>
  </w:style>
  <w:style w:type="character" w:customStyle="1" w:styleId="270">
    <w:name w:val="Ò³Ã¼ Char Char"/>
    <w:qFormat/>
    <w:uiPriority w:val="0"/>
    <w:rPr>
      <w:rFonts w:eastAsia="宋体"/>
      <w:kern w:val="2"/>
      <w:sz w:val="18"/>
      <w:lang w:val="en-US" w:eastAsia="zh-CN" w:bidi="ar-SA"/>
    </w:rPr>
  </w:style>
  <w:style w:type="character" w:customStyle="1" w:styleId="271">
    <w:name w:val="message1"/>
    <w:qFormat/>
    <w:uiPriority w:val="0"/>
    <w:rPr>
      <w:rFonts w:hint="default" w:ascii="Tahoma" w:hAnsi="Tahoma" w:cs="Tahoma"/>
      <w:sz w:val="18"/>
      <w:szCs w:val="18"/>
    </w:rPr>
  </w:style>
  <w:style w:type="character" w:customStyle="1" w:styleId="272">
    <w:name w:val="Char Char23"/>
    <w:qFormat/>
    <w:uiPriority w:val="6"/>
    <w:rPr>
      <w:color w:val="0000FF"/>
      <w:sz w:val="21"/>
    </w:rPr>
  </w:style>
  <w:style w:type="character" w:customStyle="1" w:styleId="273">
    <w:name w:val="批注框文本 字符"/>
    <w:qFormat/>
    <w:uiPriority w:val="0"/>
    <w:rPr>
      <w:rFonts w:ascii="Arial" w:hAnsi="Arial" w:eastAsia="黑体" w:cs="Arial"/>
      <w:snapToGrid w:val="0"/>
      <w:kern w:val="0"/>
      <w:sz w:val="18"/>
      <w:szCs w:val="18"/>
    </w:rPr>
  </w:style>
  <w:style w:type="character" w:customStyle="1" w:styleId="274">
    <w:name w:val="纯文本 Char2"/>
    <w:semiHidden/>
    <w:qFormat/>
    <w:uiPriority w:val="99"/>
    <w:rPr>
      <w:rFonts w:ascii="宋体" w:hAnsi="Courier New" w:eastAsia="宋体" w:cs="Courier New"/>
    </w:rPr>
  </w:style>
  <w:style w:type="character" w:customStyle="1" w:styleId="275">
    <w:name w:val="Char Char25"/>
    <w:qFormat/>
    <w:uiPriority w:val="6"/>
    <w:rPr>
      <w:rFonts w:ascii="宋体" w:hAnsi="宋体"/>
      <w:kern w:val="1"/>
      <w:sz w:val="24"/>
      <w:lang w:val="zh-CN"/>
    </w:rPr>
  </w:style>
  <w:style w:type="character" w:customStyle="1" w:styleId="276">
    <w:name w:val="Char Char411"/>
    <w:qFormat/>
    <w:uiPriority w:val="0"/>
    <w:rPr>
      <w:rFonts w:eastAsia="宋体"/>
      <w:b/>
      <w:sz w:val="24"/>
      <w:lang w:val="en-GB" w:eastAsia="zh-CN" w:bidi="ar-SA"/>
    </w:rPr>
  </w:style>
  <w:style w:type="character" w:customStyle="1" w:styleId="277">
    <w:name w:val="Heading 7 Char"/>
    <w:qFormat/>
    <w:locked/>
    <w:uiPriority w:val="0"/>
    <w:rPr>
      <w:rFonts w:ascii="宋体" w:hAnsi="宋体" w:eastAsia="宋体"/>
      <w:b/>
      <w:bCs/>
      <w:kern w:val="2"/>
      <w:sz w:val="24"/>
      <w:szCs w:val="24"/>
      <w:lang w:val="en-US" w:eastAsia="zh-CN" w:bidi="ar-SA"/>
    </w:rPr>
  </w:style>
  <w:style w:type="character" w:customStyle="1" w:styleId="278">
    <w:name w:val="此正文 Char"/>
    <w:link w:val="279"/>
    <w:qFormat/>
    <w:uiPriority w:val="0"/>
    <w:rPr>
      <w:kern w:val="2"/>
      <w:sz w:val="24"/>
      <w:szCs w:val="24"/>
    </w:rPr>
  </w:style>
  <w:style w:type="paragraph" w:customStyle="1" w:styleId="279">
    <w:name w:val="此正文"/>
    <w:basedOn w:val="1"/>
    <w:link w:val="278"/>
    <w:qFormat/>
    <w:uiPriority w:val="0"/>
    <w:pPr>
      <w:adjustRightInd/>
      <w:spacing w:line="360" w:lineRule="auto"/>
      <w:ind w:firstLine="200" w:firstLineChars="200"/>
    </w:pPr>
    <w:rPr>
      <w:sz w:val="24"/>
    </w:rPr>
  </w:style>
  <w:style w:type="character" w:customStyle="1" w:styleId="280">
    <w:name w:val="Char Char2"/>
    <w:qFormat/>
    <w:uiPriority w:val="0"/>
    <w:rPr>
      <w:rFonts w:eastAsia="宋体"/>
      <w:b/>
      <w:bCs/>
      <w:kern w:val="2"/>
      <w:sz w:val="21"/>
      <w:szCs w:val="24"/>
      <w:lang w:val="en-US" w:eastAsia="zh-CN" w:bidi="ar-SA"/>
    </w:rPr>
  </w:style>
  <w:style w:type="character" w:customStyle="1" w:styleId="281">
    <w:name w:val="标题 1 字符1"/>
    <w:link w:val="3"/>
    <w:qFormat/>
    <w:uiPriority w:val="9"/>
    <w:rPr>
      <w:b/>
      <w:bCs/>
      <w:kern w:val="44"/>
      <w:sz w:val="44"/>
      <w:szCs w:val="44"/>
    </w:rPr>
  </w:style>
  <w:style w:type="character" w:customStyle="1" w:styleId="282">
    <w:name w:val="Footer-Even Char1"/>
    <w:qFormat/>
    <w:uiPriority w:val="0"/>
    <w:rPr>
      <w:rFonts w:eastAsia="宋体"/>
      <w:kern w:val="2"/>
      <w:sz w:val="18"/>
      <w:szCs w:val="18"/>
      <w:lang w:val="en-US" w:eastAsia="zh-CN" w:bidi="ar-SA"/>
    </w:rPr>
  </w:style>
  <w:style w:type="character" w:customStyle="1" w:styleId="283">
    <w:name w:val="Char Char29"/>
    <w:qFormat/>
    <w:uiPriority w:val="6"/>
    <w:rPr>
      <w:rFonts w:ascii="Arial" w:hAnsi="Arial" w:eastAsia="微软雅黑"/>
      <w:b/>
      <w:kern w:val="1"/>
      <w:sz w:val="44"/>
      <w:szCs w:val="32"/>
      <w:lang w:val="en-US" w:eastAsia="zh-CN" w:bidi="ar-SA"/>
    </w:rPr>
  </w:style>
  <w:style w:type="character" w:customStyle="1" w:styleId="284">
    <w:name w:val="标题 字符"/>
    <w:link w:val="59"/>
    <w:qFormat/>
    <w:uiPriority w:val="10"/>
    <w:rPr>
      <w:b/>
      <w:sz w:val="24"/>
      <w:lang w:val="en-GB"/>
    </w:rPr>
  </w:style>
  <w:style w:type="character" w:customStyle="1" w:styleId="285">
    <w:name w:val="font81"/>
    <w:qFormat/>
    <w:uiPriority w:val="0"/>
    <w:rPr>
      <w:rFonts w:ascii="微软雅黑" w:hAnsi="微软雅黑" w:eastAsia="微软雅黑" w:cs="微软雅黑"/>
      <w:color w:val="000000"/>
      <w:sz w:val="20"/>
      <w:szCs w:val="20"/>
      <w:u w:val="none"/>
    </w:rPr>
  </w:style>
  <w:style w:type="character" w:customStyle="1" w:styleId="286">
    <w:name w:val="Char Char312"/>
    <w:qFormat/>
    <w:uiPriority w:val="0"/>
    <w:rPr>
      <w:rFonts w:ascii="Times New Roman" w:hAnsi="Times New Roman" w:eastAsia="宋体" w:cs="Times New Roman"/>
      <w:b/>
      <w:kern w:val="2"/>
      <w:sz w:val="32"/>
      <w:szCs w:val="24"/>
      <w:lang w:val="en-US" w:eastAsia="zh-CN" w:bidi="ar-SA"/>
    </w:rPr>
  </w:style>
  <w:style w:type="character" w:customStyle="1" w:styleId="287">
    <w:name w:val="t21"/>
    <w:qFormat/>
    <w:uiPriority w:val="0"/>
    <w:rPr>
      <w:rFonts w:ascii="仿宋_GB2312" w:eastAsia="微软雅黑"/>
      <w:b/>
      <w:kern w:val="2"/>
      <w:sz w:val="23"/>
      <w:szCs w:val="23"/>
      <w:lang w:val="en-US" w:eastAsia="zh-CN" w:bidi="ar-SA"/>
    </w:rPr>
  </w:style>
  <w:style w:type="character" w:customStyle="1" w:styleId="288">
    <w:name w:val="样式8 Char"/>
    <w:qFormat/>
    <w:uiPriority w:val="0"/>
    <w:rPr>
      <w:rFonts w:ascii="仿宋_GB2312" w:hAnsi="宋体" w:eastAsia="仿宋_GB2312"/>
      <w:b/>
      <w:bCs/>
      <w:kern w:val="2"/>
      <w:sz w:val="24"/>
      <w:szCs w:val="24"/>
    </w:rPr>
  </w:style>
  <w:style w:type="character" w:customStyle="1" w:styleId="289">
    <w:name w:val="表格 Char Char"/>
    <w:qFormat/>
    <w:uiPriority w:val="0"/>
    <w:rPr>
      <w:rFonts w:ascii="宋体" w:hAnsi="宋体" w:eastAsia="宋体"/>
      <w:lang w:bidi="ar-SA"/>
    </w:rPr>
  </w:style>
  <w:style w:type="character" w:customStyle="1" w:styleId="290">
    <w:name w:val="正文文本 字符1"/>
    <w:qFormat/>
    <w:uiPriority w:val="0"/>
    <w:rPr>
      <w:rFonts w:ascii="Calibri" w:hAnsi="Calibri" w:eastAsia="黑体" w:cs="Arial"/>
      <w:snapToGrid w:val="0"/>
      <w:kern w:val="2"/>
      <w:sz w:val="28"/>
      <w:szCs w:val="21"/>
    </w:rPr>
  </w:style>
  <w:style w:type="character" w:customStyle="1" w:styleId="291">
    <w:name w:val="标题 5 字符"/>
    <w:link w:val="7"/>
    <w:qFormat/>
    <w:uiPriority w:val="9"/>
    <w:rPr>
      <w:b/>
      <w:bCs/>
      <w:kern w:val="2"/>
      <w:sz w:val="28"/>
      <w:szCs w:val="28"/>
    </w:rPr>
  </w:style>
  <w:style w:type="character" w:customStyle="1" w:styleId="292">
    <w:name w:val="标题 6 Char1"/>
    <w:qFormat/>
    <w:uiPriority w:val="0"/>
    <w:rPr>
      <w:rFonts w:ascii="Arial" w:hAnsi="Arial" w:eastAsia="黑体" w:cs="Times New Roman"/>
      <w:b/>
      <w:sz w:val="24"/>
      <w:szCs w:val="20"/>
      <w:lang w:bidi="ar-SA"/>
    </w:rPr>
  </w:style>
  <w:style w:type="character" w:customStyle="1" w:styleId="293">
    <w:name w:val="带编号样式 Char"/>
    <w:qFormat/>
    <w:uiPriority w:val="0"/>
    <w:rPr>
      <w:rFonts w:ascii="仿宋_GB2312" w:eastAsia="仿宋_GB2312"/>
      <w:color w:val="000000"/>
      <w:sz w:val="24"/>
      <w:lang w:bidi="ar-SA"/>
    </w:rPr>
  </w:style>
  <w:style w:type="character" w:customStyle="1" w:styleId="294">
    <w:name w:val="unnamed31"/>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qFormat/>
    <w:uiPriority w:val="0"/>
    <w:rPr>
      <w:rFonts w:ascii="宋体" w:eastAsia="宋体"/>
      <w:kern w:val="2"/>
      <w:sz w:val="24"/>
      <w:szCs w:val="24"/>
      <w:lang w:val="zh-CN" w:bidi="ar-SA"/>
    </w:rPr>
  </w:style>
  <w:style w:type="character" w:customStyle="1" w:styleId="296">
    <w:name w:val="称呼 字符"/>
    <w:link w:val="20"/>
    <w:qFormat/>
    <w:uiPriority w:val="0"/>
    <w:rPr>
      <w:rFonts w:ascii="仿宋_GB2312" w:eastAsia="仿宋_GB2312"/>
      <w:kern w:val="2"/>
      <w:sz w:val="28"/>
    </w:rPr>
  </w:style>
  <w:style w:type="character" w:customStyle="1" w:styleId="297">
    <w:name w:val="文本正文 Char Char"/>
    <w:qFormat/>
    <w:locked/>
    <w:uiPriority w:val="0"/>
    <w:rPr>
      <w:sz w:val="24"/>
      <w:lang w:bidi="ar-SA"/>
    </w:rPr>
  </w:style>
  <w:style w:type="character" w:customStyle="1" w:styleId="298">
    <w:name w:val="正文缩进 字符"/>
    <w:qFormat/>
    <w:uiPriority w:val="0"/>
    <w:rPr>
      <w:rFonts w:ascii="宋体" w:eastAsia="宋体"/>
      <w:snapToGrid w:val="0"/>
      <w:color w:val="000000"/>
      <w:kern w:val="28"/>
      <w:sz w:val="28"/>
      <w:lang w:val="en-US" w:eastAsia="zh-CN" w:bidi="ar-SA"/>
    </w:rPr>
  </w:style>
  <w:style w:type="character" w:customStyle="1" w:styleId="299">
    <w:name w:val="HTML 预设格式 字符"/>
    <w:link w:val="57"/>
    <w:qFormat/>
    <w:uiPriority w:val="0"/>
    <w:rPr>
      <w:rFonts w:ascii="黑体" w:hAnsi="Courier New" w:eastAsia="黑体"/>
    </w:rPr>
  </w:style>
  <w:style w:type="character" w:customStyle="1" w:styleId="300">
    <w:name w:val="正文文本 2 字符1"/>
    <w:link w:val="56"/>
    <w:qFormat/>
    <w:uiPriority w:val="0"/>
    <w:rPr>
      <w:kern w:val="2"/>
      <w:sz w:val="21"/>
      <w:szCs w:val="24"/>
    </w:rPr>
  </w:style>
  <w:style w:type="character" w:customStyle="1" w:styleId="301">
    <w:name w:val="样式 样式 标题 4h4H4Fab-4T5Ref Heading 1rh1Heading sqlsect 1.2.3.... +... Char"/>
    <w:link w:val="302"/>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qFormat/>
    <w:uiPriority w:val="0"/>
    <w:pPr>
      <w:tabs>
        <w:tab w:val="left" w:pos="2356"/>
      </w:tabs>
    </w:pPr>
  </w:style>
  <w:style w:type="paragraph" w:customStyle="1" w:styleId="303">
    <w:name w:val="样式 标题 4h4H4Fab-4T5Ref Heading 1rh1Heading sqlsect 1.2.3...."/>
    <w:basedOn w:val="6"/>
    <w:link w:val="41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qFormat/>
    <w:uiPriority w:val="0"/>
    <w:rPr>
      <w:rFonts w:ascii="宋体" w:eastAsia="宋体"/>
      <w:snapToGrid w:val="0"/>
      <w:color w:val="000000"/>
      <w:kern w:val="28"/>
      <w:sz w:val="28"/>
      <w:lang w:val="en-US" w:eastAsia="zh-CN" w:bidi="ar-SA"/>
    </w:rPr>
  </w:style>
  <w:style w:type="character" w:customStyle="1" w:styleId="305">
    <w:name w:val="标题 7 字符"/>
    <w:link w:val="9"/>
    <w:qFormat/>
    <w:uiPriority w:val="0"/>
    <w:rPr>
      <w:b/>
      <w:bCs/>
      <w:kern w:val="2"/>
      <w:sz w:val="24"/>
      <w:szCs w:val="24"/>
    </w:rPr>
  </w:style>
  <w:style w:type="character" w:customStyle="1" w:styleId="306">
    <w:name w:val="正文文本缩进 2 字符"/>
    <w:link w:val="37"/>
    <w:qFormat/>
    <w:uiPriority w:val="0"/>
    <w:rPr>
      <w:rFonts w:ascii="宋体"/>
      <w:sz w:val="28"/>
    </w:rPr>
  </w:style>
  <w:style w:type="character" w:customStyle="1" w:styleId="307">
    <w:name w:val="Char Char5"/>
    <w:qFormat/>
    <w:uiPriority w:val="0"/>
    <w:rPr>
      <w:rFonts w:ascii="宋体" w:hAnsi="Courier New" w:eastAsia="宋体"/>
      <w:kern w:val="2"/>
      <w:sz w:val="21"/>
      <w:lang w:val="en-US" w:eastAsia="zh-CN"/>
    </w:rPr>
  </w:style>
  <w:style w:type="character" w:customStyle="1" w:styleId="308">
    <w:name w:val="脚注文本 字符"/>
    <w:link w:val="50"/>
    <w:qFormat/>
    <w:uiPriority w:val="0"/>
    <w:rPr>
      <w:color w:val="0000FF"/>
      <w:sz w:val="21"/>
    </w:rPr>
  </w:style>
  <w:style w:type="character" w:customStyle="1" w:styleId="309">
    <w:name w:val="称呼 Char1"/>
    <w:qFormat/>
    <w:uiPriority w:val="0"/>
    <w:rPr>
      <w:rFonts w:ascii="Times New Roman" w:hAnsi="Times New Roman" w:eastAsia="宋体" w:cs="Times New Roman"/>
      <w:szCs w:val="24"/>
    </w:rPr>
  </w:style>
  <w:style w:type="character" w:customStyle="1" w:styleId="310">
    <w:name w:val="正文1 Char"/>
    <w:qFormat/>
    <w:uiPriority w:val="0"/>
    <w:rPr>
      <w:rFonts w:ascii="宋体" w:eastAsia="宋体"/>
      <w:snapToGrid w:val="0"/>
      <w:color w:val="000000"/>
      <w:kern w:val="28"/>
      <w:sz w:val="28"/>
      <w:lang w:val="en-US" w:eastAsia="zh-CN" w:bidi="ar-SA"/>
    </w:rPr>
  </w:style>
  <w:style w:type="character" w:customStyle="1" w:styleId="311">
    <w:name w:val="正文缩进 Char1"/>
    <w:qFormat/>
    <w:uiPriority w:val="0"/>
    <w:rPr>
      <w:rFonts w:ascii="宋体" w:eastAsia="宋体"/>
      <w:snapToGrid w:val="0"/>
      <w:color w:val="000000"/>
      <w:kern w:val="28"/>
      <w:sz w:val="28"/>
      <w:lang w:val="en-US" w:eastAsia="zh-CN" w:bidi="ar-SA"/>
    </w:rPr>
  </w:style>
  <w:style w:type="character" w:customStyle="1" w:styleId="312">
    <w:name w:val="font21"/>
    <w:basedOn w:val="70"/>
    <w:qFormat/>
    <w:uiPriority w:val="0"/>
    <w:rPr>
      <w:rFonts w:hint="eastAsia" w:ascii="宋体" w:hAnsi="宋体" w:eastAsia="宋体"/>
      <w:kern w:val="2"/>
      <w:sz w:val="28"/>
      <w:szCs w:val="28"/>
      <w:lang w:val="en-US" w:eastAsia="zh-CN" w:bidi="ar-SA"/>
    </w:rPr>
  </w:style>
  <w:style w:type="character" w:customStyle="1" w:styleId="313">
    <w:name w:val="Char Char26"/>
    <w:qFormat/>
    <w:uiPriority w:val="6"/>
    <w:rPr>
      <w:kern w:val="1"/>
      <w:sz w:val="21"/>
      <w:szCs w:val="24"/>
    </w:rPr>
  </w:style>
  <w:style w:type="character" w:customStyle="1" w:styleId="314">
    <w:name w:val="Item List Char"/>
    <w:link w:val="315"/>
    <w:qFormat/>
    <w:uiPriority w:val="0"/>
    <w:rPr>
      <w:rFonts w:ascii="Arial"/>
      <w:bCs/>
      <w:sz w:val="21"/>
      <w:szCs w:val="21"/>
      <w:lang w:val="en-US" w:eastAsia="zh-CN" w:bidi="ar-SA"/>
    </w:rPr>
  </w:style>
  <w:style w:type="paragraph" w:customStyle="1" w:styleId="315">
    <w:name w:val="Item List"/>
    <w:link w:val="31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qFormat/>
    <w:uiPriority w:val="0"/>
    <w:rPr>
      <w:rFonts w:ascii="Times New Roman" w:hAnsi="Times New Roman" w:eastAsia="宋体" w:cs="Times New Roman"/>
      <w:sz w:val="18"/>
      <w:szCs w:val="18"/>
    </w:rPr>
  </w:style>
  <w:style w:type="character" w:customStyle="1" w:styleId="317">
    <w:name w:val="纯文本 Char1"/>
    <w:link w:val="318"/>
    <w:qFormat/>
    <w:uiPriority w:val="0"/>
    <w:rPr>
      <w:rFonts w:ascii="宋体" w:hAnsi="Courier New"/>
    </w:rPr>
  </w:style>
  <w:style w:type="paragraph" w:customStyle="1" w:styleId="318">
    <w:name w:val="纯文本1"/>
    <w:basedOn w:val="1"/>
    <w:link w:val="317"/>
    <w:qFormat/>
    <w:uiPriority w:val="0"/>
    <w:pPr>
      <w:adjustRightInd/>
    </w:pPr>
    <w:rPr>
      <w:rFonts w:ascii="宋体" w:hAnsi="Courier New"/>
      <w:kern w:val="0"/>
      <w:sz w:val="20"/>
      <w:szCs w:val="20"/>
    </w:rPr>
  </w:style>
  <w:style w:type="character" w:customStyle="1" w:styleId="319">
    <w:name w:val="正文文本首行缩进 字符"/>
    <w:link w:val="61"/>
    <w:qFormat/>
    <w:uiPriority w:val="0"/>
    <w:rPr>
      <w:rFonts w:ascii="宋体"/>
      <w:kern w:val="2"/>
      <w:sz w:val="24"/>
      <w:lang w:val="zh-CN"/>
    </w:rPr>
  </w:style>
  <w:style w:type="character" w:customStyle="1" w:styleId="320">
    <w:name w:val="h3 Char"/>
    <w:qFormat/>
    <w:uiPriority w:val="0"/>
    <w:rPr>
      <w:rFonts w:eastAsia="宋体"/>
      <w:b/>
      <w:kern w:val="2"/>
      <w:sz w:val="32"/>
      <w:lang w:val="en-US" w:eastAsia="zh-CN" w:bidi="ar-SA"/>
    </w:rPr>
  </w:style>
  <w:style w:type="character" w:customStyle="1" w:styleId="321">
    <w:name w:val="dandyren_title1"/>
    <w:qFormat/>
    <w:uiPriority w:val="0"/>
    <w:rPr>
      <w:b/>
      <w:bCs/>
      <w:color w:val="FF6633"/>
      <w:sz w:val="18"/>
      <w:szCs w:val="18"/>
    </w:rPr>
  </w:style>
  <w:style w:type="character" w:customStyle="1" w:styleId="322">
    <w:name w:val="Char Char31"/>
    <w:qFormat/>
    <w:uiPriority w:val="6"/>
    <w:rPr>
      <w:rFonts w:ascii="Arial" w:hAnsi="Arial" w:eastAsia="黑体"/>
      <w:kern w:val="1"/>
      <w:sz w:val="24"/>
      <w:szCs w:val="24"/>
    </w:rPr>
  </w:style>
  <w:style w:type="character" w:customStyle="1" w:styleId="323">
    <w:name w:val="h Char1"/>
    <w:qFormat/>
    <w:uiPriority w:val="0"/>
    <w:rPr>
      <w:sz w:val="18"/>
      <w:szCs w:val="18"/>
    </w:rPr>
  </w:style>
  <w:style w:type="character" w:customStyle="1" w:styleId="324">
    <w:name w:val="solutionfonts"/>
    <w:qFormat/>
    <w:uiPriority w:val="0"/>
  </w:style>
  <w:style w:type="character" w:customStyle="1" w:styleId="325">
    <w:name w:val="标题 4 字符1"/>
    <w:link w:val="6"/>
    <w:qFormat/>
    <w:uiPriority w:val="9"/>
    <w:rPr>
      <w:rFonts w:ascii="Arial" w:hAnsi="Arial" w:eastAsia="黑体"/>
      <w:b/>
      <w:bCs/>
      <w:kern w:val="2"/>
      <w:sz w:val="28"/>
      <w:szCs w:val="28"/>
      <w:lang w:val="zh-CN"/>
    </w:rPr>
  </w:style>
  <w:style w:type="character" w:customStyle="1" w:styleId="326">
    <w:name w:val="首行缩进 Char"/>
    <w:qFormat/>
    <w:uiPriority w:val="0"/>
    <w:rPr>
      <w:rFonts w:ascii="宋体" w:eastAsia="宋体"/>
      <w:kern w:val="2"/>
      <w:sz w:val="24"/>
      <w:lang w:val="en-US" w:eastAsia="zh-CN" w:bidi="ar-SA"/>
    </w:rPr>
  </w:style>
  <w:style w:type="character" w:customStyle="1" w:styleId="327">
    <w:name w:val="Char Char52"/>
    <w:qFormat/>
    <w:uiPriority w:val="0"/>
    <w:rPr>
      <w:rFonts w:ascii="宋体" w:hAnsi="Courier New" w:eastAsia="宋体"/>
      <w:kern w:val="2"/>
      <w:sz w:val="21"/>
      <w:lang w:val="en-US" w:eastAsia="zh-CN"/>
    </w:rPr>
  </w:style>
  <w:style w:type="character" w:customStyle="1" w:styleId="328">
    <w:name w:val="正文文本 3 字符"/>
    <w:link w:val="21"/>
    <w:qFormat/>
    <w:uiPriority w:val="0"/>
    <w:rPr>
      <w:kern w:val="2"/>
      <w:sz w:val="21"/>
    </w:rPr>
  </w:style>
  <w:style w:type="character" w:customStyle="1" w:styleId="329">
    <w:name w:val="font31"/>
    <w:qFormat/>
    <w:uiPriority w:val="0"/>
    <w:rPr>
      <w:rFonts w:hint="eastAsia" w:ascii="仿宋" w:hAnsi="仿宋" w:eastAsia="仿宋" w:cs="仿宋"/>
      <w:color w:val="000000"/>
      <w:sz w:val="20"/>
      <w:szCs w:val="20"/>
      <w:u w:val="none"/>
    </w:rPr>
  </w:style>
  <w:style w:type="character" w:customStyle="1" w:styleId="330">
    <w:name w:val="正文说明 Char"/>
    <w:link w:val="331"/>
    <w:qFormat/>
    <w:uiPriority w:val="0"/>
    <w:rPr>
      <w:sz w:val="24"/>
      <w:szCs w:val="24"/>
    </w:rPr>
  </w:style>
  <w:style w:type="paragraph" w:customStyle="1" w:styleId="331">
    <w:name w:val="正文说明"/>
    <w:basedOn w:val="1"/>
    <w:link w:val="330"/>
    <w:qFormat/>
    <w:uiPriority w:val="0"/>
    <w:pPr>
      <w:adjustRightInd/>
      <w:spacing w:line="360" w:lineRule="auto"/>
    </w:pPr>
    <w:rPr>
      <w:kern w:val="0"/>
      <w:sz w:val="24"/>
    </w:rPr>
  </w:style>
  <w:style w:type="character" w:customStyle="1" w:styleId="332">
    <w:name w:val="脚注文本 Char1"/>
    <w:qFormat/>
    <w:uiPriority w:val="0"/>
    <w:rPr>
      <w:rFonts w:ascii="Times New Roman" w:hAnsi="Times New Roman" w:eastAsia="宋体" w:cs="Times New Roman"/>
      <w:sz w:val="18"/>
      <w:szCs w:val="18"/>
    </w:rPr>
  </w:style>
  <w:style w:type="character" w:customStyle="1" w:styleId="333">
    <w:name w:val="Char Char1211"/>
    <w:qFormat/>
    <w:uiPriority w:val="0"/>
    <w:rPr>
      <w:rFonts w:ascii="仿宋_GB2312" w:eastAsia="仿宋_GB2312"/>
      <w:b/>
      <w:bCs/>
      <w:kern w:val="2"/>
      <w:sz w:val="24"/>
      <w:szCs w:val="24"/>
      <w:lang w:val="zh-CN" w:eastAsia="zh-CN" w:bidi="ar-SA"/>
    </w:rPr>
  </w:style>
  <w:style w:type="character" w:customStyle="1" w:styleId="334">
    <w:name w:val="标题 Char"/>
    <w:qFormat/>
    <w:uiPriority w:val="0"/>
    <w:rPr>
      <w:rFonts w:eastAsia="宋体"/>
      <w:b/>
      <w:sz w:val="24"/>
      <w:lang w:val="en-GB" w:eastAsia="zh-CN" w:bidi="ar-SA"/>
    </w:rPr>
  </w:style>
  <w:style w:type="character" w:customStyle="1" w:styleId="335">
    <w:name w:val="Char Char35"/>
    <w:qFormat/>
    <w:uiPriority w:val="6"/>
    <w:rPr>
      <w:rFonts w:ascii="Arial" w:hAnsi="Arial" w:eastAsia="黑体"/>
      <w:b/>
      <w:kern w:val="1"/>
      <w:sz w:val="28"/>
      <w:szCs w:val="28"/>
      <w:lang w:val="zh-CN"/>
    </w:rPr>
  </w:style>
  <w:style w:type="character" w:customStyle="1" w:styleId="336">
    <w:name w:val="纯文本 Char Char Char"/>
    <w:qFormat/>
    <w:uiPriority w:val="0"/>
    <w:rPr>
      <w:rFonts w:ascii="宋体" w:hAnsi="Courier New" w:eastAsia="宋体"/>
      <w:kern w:val="2"/>
      <w:sz w:val="21"/>
      <w:lang w:val="en-US" w:eastAsia="zh-CN" w:bidi="ar-SA"/>
    </w:rPr>
  </w:style>
  <w:style w:type="character" w:customStyle="1" w:styleId="337">
    <w:name w:val="Table Text Char"/>
    <w:link w:val="338"/>
    <w:qFormat/>
    <w:uiPriority w:val="0"/>
    <w:rPr>
      <w:sz w:val="24"/>
      <w:szCs w:val="24"/>
    </w:rPr>
  </w:style>
  <w:style w:type="paragraph" w:customStyle="1" w:styleId="338">
    <w:name w:val="Table Text"/>
    <w:basedOn w:val="1"/>
    <w:link w:val="337"/>
    <w:qFormat/>
    <w:uiPriority w:val="0"/>
    <w:pPr>
      <w:widowControl/>
      <w:spacing w:before="60" w:after="60"/>
      <w:jc w:val="left"/>
    </w:pPr>
    <w:rPr>
      <w:kern w:val="0"/>
      <w:sz w:val="24"/>
    </w:rPr>
  </w:style>
  <w:style w:type="character" w:customStyle="1" w:styleId="339">
    <w:name w:val="正文1 Char1"/>
    <w:qFormat/>
    <w:uiPriority w:val="0"/>
    <w:rPr>
      <w:rFonts w:ascii="仿宋_GB2312" w:hAnsi="Courier New" w:eastAsia="仿宋_GB2312"/>
      <w:kern w:val="28"/>
      <w:sz w:val="24"/>
      <w:szCs w:val="24"/>
      <w:lang w:val="en-US" w:eastAsia="zh-CN"/>
    </w:rPr>
  </w:style>
  <w:style w:type="character" w:customStyle="1" w:styleId="340">
    <w:name w:val="页脚 Char1"/>
    <w:qFormat/>
    <w:uiPriority w:val="0"/>
    <w:rPr>
      <w:rFonts w:eastAsia="宋体"/>
      <w:kern w:val="2"/>
      <w:sz w:val="18"/>
      <w:szCs w:val="18"/>
      <w:lang w:val="en-US" w:eastAsia="zh-CN" w:bidi="ar-SA"/>
    </w:rPr>
  </w:style>
  <w:style w:type="character" w:customStyle="1" w:styleId="341">
    <w:name w:val="Bold"/>
    <w:qFormat/>
    <w:uiPriority w:val="0"/>
    <w:rPr>
      <w:rFonts w:ascii="Arial" w:hAnsi="Arial" w:eastAsia="黑体" w:cs="Times New Roman"/>
      <w:b/>
      <w:kern w:val="2"/>
      <w:sz w:val="32"/>
      <w:szCs w:val="32"/>
      <w:lang w:val="en-US" w:eastAsia="zh-CN" w:bidi="ar-SA"/>
    </w:rPr>
  </w:style>
  <w:style w:type="character" w:customStyle="1" w:styleId="342">
    <w:name w:val="批注文字 字符1"/>
    <w:link w:val="19"/>
    <w:qFormat/>
    <w:uiPriority w:val="0"/>
    <w:rPr>
      <w:kern w:val="2"/>
      <w:sz w:val="21"/>
      <w:szCs w:val="24"/>
    </w:rPr>
  </w:style>
  <w:style w:type="character" w:customStyle="1" w:styleId="343">
    <w:name w:val="签名 字符"/>
    <w:link w:val="42"/>
    <w:qFormat/>
    <w:uiPriority w:val="0"/>
    <w:rPr>
      <w:rFonts w:eastAsia="仿宋_GB2312"/>
      <w:sz w:val="24"/>
    </w:rPr>
  </w:style>
  <w:style w:type="character" w:customStyle="1" w:styleId="344">
    <w:name w:val="hui3"/>
    <w:qFormat/>
    <w:uiPriority w:val="0"/>
    <w:rPr>
      <w:color w:val="333333"/>
    </w:rPr>
  </w:style>
  <w:style w:type="character" w:customStyle="1" w:styleId="345">
    <w:name w:val="Char Char17"/>
    <w:qFormat/>
    <w:uiPriority w:val="6"/>
    <w:rPr>
      <w:rFonts w:eastAsia="仿宋_GB2312"/>
      <w:sz w:val="24"/>
    </w:rPr>
  </w:style>
  <w:style w:type="character" w:customStyle="1" w:styleId="346">
    <w:name w:val="标题 4 字符"/>
    <w:qFormat/>
    <w:uiPriority w:val="9"/>
    <w:rPr>
      <w:rFonts w:ascii="等线 Light" w:hAnsi="等线 Light" w:eastAsia="等线 Light" w:cs="Times New Roman"/>
      <w:b/>
      <w:bCs/>
      <w:snapToGrid w:val="0"/>
      <w:kern w:val="0"/>
      <w:sz w:val="28"/>
      <w:szCs w:val="28"/>
    </w:rPr>
  </w:style>
  <w:style w:type="character" w:customStyle="1" w:styleId="347">
    <w:name w:val="Char Char37"/>
    <w:qFormat/>
    <w:uiPriority w:val="6"/>
    <w:rPr>
      <w:b/>
      <w:kern w:val="1"/>
      <w:sz w:val="44"/>
      <w:szCs w:val="44"/>
    </w:rPr>
  </w:style>
  <w:style w:type="character" w:customStyle="1" w:styleId="348">
    <w:name w:val="列出段落 Char"/>
    <w:qFormat/>
    <w:uiPriority w:val="0"/>
    <w:rPr>
      <w:rFonts w:eastAsia="楷体_GB2312" w:cs="Lucida Sans"/>
      <w:kern w:val="2"/>
      <w:sz w:val="24"/>
      <w:szCs w:val="24"/>
      <w:lang w:val="en-US" w:eastAsia="zh-CN" w:bidi="ar-SA"/>
    </w:rPr>
  </w:style>
  <w:style w:type="character" w:customStyle="1" w:styleId="349">
    <w:name w:val="正文文本缩进 3 Char1"/>
    <w:semiHidden/>
    <w:qFormat/>
    <w:uiPriority w:val="99"/>
    <w:rPr>
      <w:rFonts w:ascii="Times New Roman" w:hAnsi="Times New Roman" w:eastAsia="宋体" w:cs="Times New Roman"/>
      <w:sz w:val="16"/>
      <w:szCs w:val="16"/>
    </w:rPr>
  </w:style>
  <w:style w:type="character" w:customStyle="1" w:styleId="350">
    <w:name w:val="公文正文 Char Char"/>
    <w:link w:val="351"/>
    <w:qFormat/>
    <w:uiPriority w:val="0"/>
    <w:rPr>
      <w:rFonts w:ascii="仿宋_GB2312" w:eastAsia="仿宋_GB2312"/>
      <w:kern w:val="2"/>
      <w:sz w:val="24"/>
      <w:szCs w:val="24"/>
    </w:rPr>
  </w:style>
  <w:style w:type="paragraph" w:customStyle="1" w:styleId="351">
    <w:name w:val="公文正文"/>
    <w:basedOn w:val="1"/>
    <w:link w:val="350"/>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qFormat/>
    <w:uiPriority w:val="0"/>
    <w:rPr>
      <w:rFonts w:eastAsia="宋体"/>
      <w:sz w:val="24"/>
      <w:szCs w:val="24"/>
      <w:lang w:val="en-US" w:eastAsia="zh-CN" w:bidi="ar-SA"/>
    </w:rPr>
  </w:style>
  <w:style w:type="character" w:customStyle="1" w:styleId="353">
    <w:name w:val="标题 1 Char Char"/>
    <w:qFormat/>
    <w:uiPriority w:val="0"/>
    <w:rPr>
      <w:rFonts w:hint="eastAsia" w:ascii="宋体" w:hAnsi="宋体" w:eastAsia="宋体"/>
      <w:b/>
      <w:spacing w:val="-2"/>
      <w:sz w:val="24"/>
      <w:lang w:val="en-US" w:eastAsia="zh-CN" w:bidi="ar-SA"/>
    </w:rPr>
  </w:style>
  <w:style w:type="character" w:customStyle="1" w:styleId="354">
    <w:name w:val="正文（缩进2汉字） Char"/>
    <w:link w:val="355"/>
    <w:qFormat/>
    <w:uiPriority w:val="0"/>
    <w:rPr>
      <w:rFonts w:ascii="宋体"/>
    </w:rPr>
  </w:style>
  <w:style w:type="paragraph" w:customStyle="1" w:styleId="355">
    <w:name w:val="正文（缩进2汉字）"/>
    <w:basedOn w:val="1"/>
    <w:link w:val="3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字符"/>
    <w:link w:val="10"/>
    <w:qFormat/>
    <w:uiPriority w:val="0"/>
    <w:rPr>
      <w:rFonts w:ascii="Arial" w:hAnsi="Arial" w:eastAsia="黑体"/>
      <w:kern w:val="2"/>
      <w:sz w:val="24"/>
      <w:szCs w:val="24"/>
    </w:rPr>
  </w:style>
  <w:style w:type="character" w:customStyle="1" w:styleId="357">
    <w:name w:val="标书表格字体格式 Char"/>
    <w:qFormat/>
    <w:uiPriority w:val="0"/>
    <w:rPr>
      <w:kern w:val="2"/>
      <w:sz w:val="21"/>
      <w:szCs w:val="24"/>
      <w:lang w:bidi="ar-SA"/>
    </w:rPr>
  </w:style>
  <w:style w:type="character" w:customStyle="1" w:styleId="358">
    <w:name w:val="tw4winError"/>
    <w:qFormat/>
    <w:uiPriority w:val="0"/>
    <w:rPr>
      <w:rFonts w:ascii="Courier New" w:hAnsi="Courier New" w:cs="Courier New"/>
      <w:color w:val="00FF00"/>
      <w:sz w:val="40"/>
      <w:szCs w:val="40"/>
    </w:rPr>
  </w:style>
  <w:style w:type="character" w:customStyle="1" w:styleId="359">
    <w:name w:val="Body Text(ch) Char Char"/>
    <w:qFormat/>
    <w:uiPriority w:val="0"/>
    <w:rPr>
      <w:rFonts w:ascii="宋体"/>
      <w:kern w:val="2"/>
      <w:sz w:val="24"/>
      <w:szCs w:val="21"/>
      <w:lang w:val="zh-CN"/>
    </w:rPr>
  </w:style>
  <w:style w:type="character" w:customStyle="1" w:styleId="360">
    <w:name w:val="正文首行缩进两字 Char"/>
    <w:qFormat/>
    <w:uiPriority w:val="0"/>
    <w:rPr>
      <w:sz w:val="24"/>
      <w:szCs w:val="24"/>
      <w:lang w:val="en-US" w:eastAsia="zh-CN" w:bidi="ar-SA"/>
    </w:rPr>
  </w:style>
  <w:style w:type="character" w:customStyle="1" w:styleId="361">
    <w:name w:val="正文文本 Char"/>
    <w:qFormat/>
    <w:uiPriority w:val="0"/>
    <w:rPr>
      <w:rFonts w:eastAsia="宋体"/>
      <w:kern w:val="2"/>
      <w:sz w:val="24"/>
      <w:szCs w:val="24"/>
      <w:lang w:val="en-US" w:eastAsia="zh-CN" w:bidi="ar-SA"/>
    </w:rPr>
  </w:style>
  <w:style w:type="character" w:customStyle="1" w:styleId="362">
    <w:name w:val="文档结构图 字符1"/>
    <w:qFormat/>
    <w:uiPriority w:val="0"/>
    <w:rPr>
      <w:rFonts w:ascii="宋体" w:hAnsi="Calibri" w:eastAsia="黑体" w:cs="Arial"/>
      <w:snapToGrid w:val="0"/>
      <w:kern w:val="2"/>
      <w:sz w:val="18"/>
      <w:szCs w:val="18"/>
    </w:rPr>
  </w:style>
  <w:style w:type="character" w:customStyle="1" w:styleId="363">
    <w:name w:val="content"/>
    <w:qFormat/>
    <w:uiPriority w:val="0"/>
  </w:style>
  <w:style w:type="character" w:customStyle="1" w:styleId="364">
    <w:name w:val="tw4winPopup"/>
    <w:qFormat/>
    <w:uiPriority w:val="0"/>
    <w:rPr>
      <w:rFonts w:ascii="Courier New" w:hAnsi="Courier New" w:cs="Courier New"/>
      <w:color w:val="008000"/>
      <w:lang w:val="en-US" w:eastAsia="zh-CN"/>
    </w:rPr>
  </w:style>
  <w:style w:type="character" w:customStyle="1" w:styleId="365">
    <w:name w:val="param-name"/>
    <w:qFormat/>
    <w:uiPriority w:val="99"/>
    <w:rPr>
      <w:rFonts w:ascii="Arial" w:hAnsi="Arial" w:eastAsia="黑体" w:cs="Arial"/>
      <w:snapToGrid w:val="0"/>
      <w:kern w:val="0"/>
      <w:szCs w:val="21"/>
    </w:rPr>
  </w:style>
  <w:style w:type="character" w:customStyle="1" w:styleId="366">
    <w:name w:val="标准正文格式 Char"/>
    <w:qFormat/>
    <w:uiPriority w:val="0"/>
    <w:rPr>
      <w:rFonts w:ascii="宋体" w:eastAsia="仿宋_GB2312" w:cs="宋体"/>
      <w:color w:val="000000"/>
      <w:sz w:val="24"/>
      <w:lang w:val="en-US" w:eastAsia="zh-CN" w:bidi="ar-SA"/>
    </w:rPr>
  </w:style>
  <w:style w:type="character" w:customStyle="1" w:styleId="367">
    <w:name w:val="Char Char212"/>
    <w:qFormat/>
    <w:uiPriority w:val="0"/>
    <w:rPr>
      <w:rFonts w:eastAsia="宋体"/>
      <w:b/>
      <w:bCs/>
      <w:kern w:val="2"/>
      <w:sz w:val="21"/>
      <w:szCs w:val="24"/>
      <w:lang w:val="en-US" w:eastAsia="zh-CN" w:bidi="ar-SA"/>
    </w:rPr>
  </w:style>
  <w:style w:type="character" w:customStyle="1" w:styleId="368">
    <w:name w:val="文档结构图 Char"/>
    <w:qFormat/>
    <w:uiPriority w:val="0"/>
    <w:rPr>
      <w:rFonts w:eastAsia="宋体"/>
      <w:kern w:val="2"/>
      <w:sz w:val="21"/>
      <w:szCs w:val="24"/>
      <w:lang w:val="en-US" w:eastAsia="zh-CN" w:bidi="ar-SA"/>
    </w:rPr>
  </w:style>
  <w:style w:type="character" w:customStyle="1" w:styleId="369">
    <w:name w:val="zbggmain style9"/>
    <w:qFormat/>
    <w:uiPriority w:val="0"/>
  </w:style>
  <w:style w:type="character" w:customStyle="1" w:styleId="370">
    <w:name w:val="Char Char16"/>
    <w:qFormat/>
    <w:uiPriority w:val="6"/>
    <w:rPr>
      <w:kern w:val="1"/>
      <w:sz w:val="18"/>
      <w:szCs w:val="18"/>
    </w:rPr>
  </w:style>
  <w:style w:type="character" w:customStyle="1" w:styleId="371">
    <w:name w:val="font51"/>
    <w:qFormat/>
    <w:uiPriority w:val="0"/>
    <w:rPr>
      <w:rFonts w:hint="eastAsia" w:ascii="仿宋" w:hAnsi="仿宋" w:eastAsia="仿宋" w:cs="仿宋"/>
      <w:color w:val="000000"/>
      <w:sz w:val="20"/>
      <w:szCs w:val="20"/>
      <w:u w:val="none"/>
    </w:rPr>
  </w:style>
  <w:style w:type="character" w:customStyle="1" w:styleId="372">
    <w:name w:val="Char Char82"/>
    <w:qFormat/>
    <w:uiPriority w:val="0"/>
    <w:rPr>
      <w:rFonts w:eastAsia="宋体"/>
      <w:b/>
      <w:sz w:val="24"/>
      <w:lang w:val="en-GB" w:eastAsia="zh-CN"/>
    </w:rPr>
  </w:style>
  <w:style w:type="character" w:customStyle="1" w:styleId="373">
    <w:name w:val="正文文本缩进 3 字符"/>
    <w:link w:val="53"/>
    <w:qFormat/>
    <w:uiPriority w:val="0"/>
    <w:rPr>
      <w:kern w:val="2"/>
      <w:sz w:val="24"/>
    </w:rPr>
  </w:style>
  <w:style w:type="character" w:customStyle="1" w:styleId="374">
    <w:name w:val="日期 Char1"/>
    <w:semiHidden/>
    <w:qFormat/>
    <w:uiPriority w:val="99"/>
    <w:rPr>
      <w:rFonts w:ascii="Times New Roman" w:hAnsi="Times New Roman" w:eastAsia="宋体" w:cs="Times New Roman"/>
      <w:szCs w:val="24"/>
    </w:rPr>
  </w:style>
  <w:style w:type="character" w:customStyle="1" w:styleId="375">
    <w:name w:val="页眉 字符"/>
    <w:qFormat/>
    <w:uiPriority w:val="99"/>
    <w:rPr>
      <w:kern w:val="2"/>
      <w:sz w:val="18"/>
      <w:szCs w:val="18"/>
    </w:rPr>
  </w:style>
  <w:style w:type="character" w:customStyle="1" w:styleId="376">
    <w:name w:val="Char Char33"/>
    <w:qFormat/>
    <w:uiPriority w:val="6"/>
    <w:rPr>
      <w:rFonts w:ascii="Arial" w:hAnsi="Arial" w:eastAsia="黑体"/>
      <w:b/>
      <w:kern w:val="1"/>
      <w:sz w:val="24"/>
      <w:szCs w:val="24"/>
    </w:rPr>
  </w:style>
  <w:style w:type="character" w:customStyle="1" w:styleId="377">
    <w:name w:val="b11_01b Char"/>
    <w:link w:val="378"/>
    <w:qFormat/>
    <w:uiPriority w:val="0"/>
    <w:rPr>
      <w:rFonts w:ascii="Verdana" w:hAnsi="Verdana"/>
      <w:b/>
      <w:bCs/>
      <w:color w:val="4A82CA"/>
      <w:sz w:val="17"/>
      <w:szCs w:val="17"/>
    </w:rPr>
  </w:style>
  <w:style w:type="paragraph" w:customStyle="1" w:styleId="378">
    <w:name w:val="b11_01b"/>
    <w:basedOn w:val="1"/>
    <w:next w:val="1"/>
    <w:link w:val="37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qFormat/>
    <w:uiPriority w:val="6"/>
    <w:rPr>
      <w:rFonts w:ascii="仿宋_GB2312" w:eastAsia="仿宋_GB2312"/>
      <w:b/>
      <w:bCs/>
      <w:kern w:val="2"/>
      <w:sz w:val="24"/>
      <w:szCs w:val="24"/>
      <w:lang w:val="zh-CN" w:eastAsia="zh-CN" w:bidi="ar-SA"/>
    </w:rPr>
  </w:style>
  <w:style w:type="character" w:customStyle="1" w:styleId="380">
    <w:name w:val="Footer-Even Char"/>
    <w:qFormat/>
    <w:uiPriority w:val="0"/>
    <w:rPr>
      <w:rFonts w:eastAsia="宋体"/>
      <w:kern w:val="2"/>
      <w:sz w:val="18"/>
      <w:lang w:val="en-US" w:eastAsia="zh-CN" w:bidi="ar-SA"/>
    </w:rPr>
  </w:style>
  <w:style w:type="character" w:customStyle="1" w:styleId="381">
    <w:name w:val="页脚 字符2"/>
    <w:link w:val="40"/>
    <w:qFormat/>
    <w:locked/>
    <w:uiPriority w:val="99"/>
    <w:rPr>
      <w:kern w:val="2"/>
      <w:sz w:val="18"/>
      <w:szCs w:val="18"/>
    </w:rPr>
  </w:style>
  <w:style w:type="character" w:customStyle="1" w:styleId="382">
    <w:name w:val="Char Char36"/>
    <w:qFormat/>
    <w:uiPriority w:val="6"/>
    <w:rPr>
      <w:rFonts w:ascii="仿宋_GB2312" w:hAnsi="仿宋_GB2312" w:eastAsia="仿宋_GB2312" w:cs="Arial"/>
      <w:b/>
      <w:kern w:val="1"/>
      <w:sz w:val="32"/>
      <w:szCs w:val="32"/>
      <w:lang w:val="zh-CN" w:eastAsia="zh-CN" w:bidi="ar-SA"/>
    </w:rPr>
  </w:style>
  <w:style w:type="character" w:customStyle="1" w:styleId="383">
    <w:name w:val="Char Char61"/>
    <w:qFormat/>
    <w:uiPriority w:val="6"/>
    <w:rPr>
      <w:rFonts w:eastAsia="宋体"/>
      <w:kern w:val="2"/>
      <w:sz w:val="21"/>
      <w:szCs w:val="24"/>
      <w:lang w:val="en-US" w:eastAsia="zh-CN" w:bidi="ar-SA"/>
    </w:rPr>
  </w:style>
  <w:style w:type="character" w:customStyle="1" w:styleId="384">
    <w:name w:val="正文文字缩进 2 Char Char"/>
    <w:qFormat/>
    <w:uiPriority w:val="0"/>
    <w:rPr>
      <w:rFonts w:ascii="宋体"/>
      <w:sz w:val="28"/>
    </w:rPr>
  </w:style>
  <w:style w:type="character" w:customStyle="1" w:styleId="385">
    <w:name w:val="f141"/>
    <w:qFormat/>
    <w:uiPriority w:val="0"/>
    <w:rPr>
      <w:rFonts w:ascii="Tahoma" w:hAnsi="Tahoma" w:eastAsia="宋体"/>
      <w:b/>
      <w:kern w:val="2"/>
      <w:sz w:val="21"/>
      <w:szCs w:val="21"/>
      <w:lang w:val="en-US" w:eastAsia="zh-CN" w:bidi="ar-SA"/>
    </w:rPr>
  </w:style>
  <w:style w:type="character" w:customStyle="1" w:styleId="386">
    <w:name w:val="段落 Char Char"/>
    <w:link w:val="387"/>
    <w:qFormat/>
    <w:uiPriority w:val="0"/>
    <w:rPr>
      <w:rFonts w:ascii="宋体" w:hAnsi="宋体"/>
      <w:sz w:val="24"/>
    </w:rPr>
  </w:style>
  <w:style w:type="paragraph" w:customStyle="1" w:styleId="387">
    <w:name w:val="段落"/>
    <w:basedOn w:val="1"/>
    <w:link w:val="386"/>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qFormat/>
    <w:uiPriority w:val="0"/>
    <w:rPr>
      <w:rFonts w:eastAsia="宋体"/>
      <w:b/>
      <w:bCs/>
      <w:kern w:val="2"/>
      <w:sz w:val="32"/>
      <w:szCs w:val="32"/>
      <w:lang w:val="en-US" w:eastAsia="zh-CN" w:bidi="ar-SA"/>
    </w:rPr>
  </w:style>
  <w:style w:type="character" w:customStyle="1" w:styleId="389">
    <w:name w:val="apple-converted-space"/>
    <w:qFormat/>
    <w:uiPriority w:val="0"/>
  </w:style>
  <w:style w:type="character" w:customStyle="1" w:styleId="390">
    <w:name w:val="页眉 字符2"/>
    <w:link w:val="41"/>
    <w:qFormat/>
    <w:uiPriority w:val="99"/>
    <w:rPr>
      <w:kern w:val="2"/>
      <w:sz w:val="18"/>
      <w:szCs w:val="18"/>
    </w:rPr>
  </w:style>
  <w:style w:type="character" w:customStyle="1" w:styleId="391">
    <w:name w:val="Char Char9"/>
    <w:qFormat/>
    <w:uiPriority w:val="0"/>
    <w:rPr>
      <w:rFonts w:eastAsia="宋体"/>
      <w:kern w:val="2"/>
      <w:sz w:val="18"/>
      <w:szCs w:val="18"/>
      <w:lang w:val="en-US" w:eastAsia="zh-CN" w:bidi="ar-SA"/>
    </w:rPr>
  </w:style>
  <w:style w:type="character" w:customStyle="1" w:styleId="392">
    <w:name w:val="Char Char41"/>
    <w:qFormat/>
    <w:uiPriority w:val="0"/>
    <w:rPr>
      <w:rFonts w:eastAsia="宋体"/>
      <w:b/>
      <w:sz w:val="24"/>
      <w:lang w:val="en-GB" w:eastAsia="zh-CN" w:bidi="ar-SA"/>
    </w:rPr>
  </w:style>
  <w:style w:type="character" w:customStyle="1" w:styleId="393">
    <w:name w:val="large1"/>
    <w:qFormat/>
    <w:uiPriority w:val="0"/>
    <w:rPr>
      <w:rFonts w:hint="eastAsia" w:ascii="宋体" w:hAnsi="宋体" w:eastAsia="宋体"/>
      <w:sz w:val="21"/>
      <w:szCs w:val="21"/>
    </w:rPr>
  </w:style>
  <w:style w:type="character" w:customStyle="1" w:styleId="394">
    <w:name w:val="正文段 Char"/>
    <w:link w:val="395"/>
    <w:qFormat/>
    <w:uiPriority w:val="0"/>
    <w:rPr>
      <w:sz w:val="24"/>
    </w:rPr>
  </w:style>
  <w:style w:type="paragraph" w:customStyle="1" w:styleId="395">
    <w:name w:val="正文段"/>
    <w:basedOn w:val="1"/>
    <w:link w:val="394"/>
    <w:qFormat/>
    <w:uiPriority w:val="0"/>
    <w:pPr>
      <w:widowControl/>
      <w:snapToGrid w:val="0"/>
      <w:spacing w:after="156" w:afterLines="50"/>
      <w:ind w:firstLine="200" w:firstLineChars="200"/>
    </w:pPr>
    <w:rPr>
      <w:kern w:val="0"/>
      <w:sz w:val="24"/>
      <w:szCs w:val="20"/>
    </w:rPr>
  </w:style>
  <w:style w:type="character" w:customStyle="1" w:styleId="396">
    <w:name w:val="Char Char13"/>
    <w:qFormat/>
    <w:uiPriority w:val="6"/>
    <w:rPr>
      <w:rFonts w:ascii="宋体" w:hAnsi="宋体"/>
      <w:kern w:val="1"/>
      <w:sz w:val="21"/>
      <w:szCs w:val="24"/>
    </w:rPr>
  </w:style>
  <w:style w:type="character" w:customStyle="1" w:styleId="39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qFormat/>
    <w:uiPriority w:val="0"/>
    <w:rPr>
      <w:rFonts w:ascii="宋体" w:hAnsi="宋体"/>
      <w:kern w:val="2"/>
      <w:sz w:val="24"/>
      <w:szCs w:val="22"/>
    </w:rPr>
  </w:style>
  <w:style w:type="paragraph" w:customStyle="1" w:styleId="399">
    <w:name w:val="冯广丽"/>
    <w:basedOn w:val="1"/>
    <w:link w:val="398"/>
    <w:qFormat/>
    <w:uiPriority w:val="0"/>
    <w:pPr>
      <w:adjustRightInd/>
      <w:spacing w:line="360" w:lineRule="auto"/>
      <w:ind w:firstLine="480" w:firstLineChars="200"/>
    </w:pPr>
    <w:rPr>
      <w:rFonts w:ascii="宋体" w:hAnsi="宋体"/>
      <w:sz w:val="24"/>
      <w:szCs w:val="22"/>
    </w:rPr>
  </w:style>
  <w:style w:type="character" w:customStyle="1" w:styleId="400">
    <w:name w:val="批注文字 字符"/>
    <w:qFormat/>
    <w:uiPriority w:val="0"/>
    <w:rPr>
      <w:rFonts w:ascii="Arial" w:hAnsi="Arial" w:eastAsia="黑体" w:cs="Arial"/>
      <w:snapToGrid w:val="0"/>
      <w:kern w:val="0"/>
      <w:szCs w:val="21"/>
    </w:rPr>
  </w:style>
  <w:style w:type="character" w:customStyle="1" w:styleId="401">
    <w:name w:val="Char Char161"/>
    <w:qFormat/>
    <w:uiPriority w:val="0"/>
    <w:rPr>
      <w:rFonts w:eastAsia="宋体"/>
      <w:b/>
      <w:kern w:val="2"/>
      <w:sz w:val="32"/>
      <w:lang w:val="en-US" w:eastAsia="zh-CN"/>
    </w:rPr>
  </w:style>
  <w:style w:type="character" w:customStyle="1" w:styleId="402">
    <w:name w:val="javascript"/>
    <w:qFormat/>
    <w:uiPriority w:val="0"/>
  </w:style>
  <w:style w:type="character" w:customStyle="1" w:styleId="403">
    <w:name w:val="图名 Char"/>
    <w:qFormat/>
    <w:uiPriority w:val="0"/>
    <w:rPr>
      <w:rFonts w:ascii="Arial" w:hAnsi="Arial" w:eastAsia="黑体"/>
      <w:kern w:val="2"/>
      <w:sz w:val="24"/>
      <w:szCs w:val="24"/>
      <w:lang w:val="en-US" w:eastAsia="zh-CN" w:bidi="ar-SA"/>
    </w:rPr>
  </w:style>
  <w:style w:type="character" w:customStyle="1" w:styleId="404">
    <w:name w:val="Used by Word for text of Help footnotes Char Char"/>
    <w:qFormat/>
    <w:uiPriority w:val="0"/>
    <w:rPr>
      <w:rFonts w:ascii="Times New Roman" w:hAnsi="Times New Roman" w:eastAsia="宋体" w:cs="Times New Roman"/>
      <w:sz w:val="20"/>
      <w:szCs w:val="20"/>
    </w:rPr>
  </w:style>
  <w:style w:type="character" w:customStyle="1" w:styleId="405">
    <w:name w:val="编号，小四 Char"/>
    <w:link w:val="406"/>
    <w:qFormat/>
    <w:uiPriority w:val="0"/>
    <w:rPr>
      <w:rFonts w:ascii="Arial" w:hAnsi="Arial"/>
      <w:sz w:val="24"/>
    </w:rPr>
  </w:style>
  <w:style w:type="paragraph" w:customStyle="1" w:styleId="406">
    <w:name w:val="编号，小四"/>
    <w:basedOn w:val="1"/>
    <w:link w:val="405"/>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qFormat/>
    <w:uiPriority w:val="99"/>
    <w:rPr>
      <w:rFonts w:ascii="宋体" w:eastAsia="宋体" w:cs="宋体"/>
      <w:color w:val="000000"/>
      <w:sz w:val="14"/>
      <w:szCs w:val="14"/>
    </w:rPr>
  </w:style>
  <w:style w:type="character" w:customStyle="1" w:styleId="408">
    <w:name w:val="标题 2 Char Char"/>
    <w:qFormat/>
    <w:uiPriority w:val="0"/>
    <w:rPr>
      <w:rFonts w:ascii="楷体_GB2312" w:hAnsi="Arial" w:eastAsia="楷体_GB2312"/>
      <w:b/>
      <w:bCs/>
      <w:kern w:val="2"/>
      <w:sz w:val="24"/>
      <w:szCs w:val="32"/>
      <w:lang w:val="en-US" w:eastAsia="zh-CN" w:bidi="ar-SA"/>
    </w:rPr>
  </w:style>
  <w:style w:type="character" w:customStyle="1" w:styleId="409">
    <w:name w:val="未用 Char"/>
    <w:qFormat/>
    <w:uiPriority w:val="0"/>
    <w:rPr>
      <w:rFonts w:ascii="Arial" w:hAnsi="Arial" w:eastAsia="黑体"/>
      <w:kern w:val="2"/>
      <w:sz w:val="21"/>
      <w:szCs w:val="21"/>
      <w:lang w:val="en-US" w:eastAsia="zh-CN" w:bidi="ar-SA"/>
    </w:rPr>
  </w:style>
  <w:style w:type="character" w:customStyle="1" w:styleId="410">
    <w:name w:val="myp1111"/>
    <w:qFormat/>
    <w:uiPriority w:val="0"/>
    <w:rPr>
      <w:rFonts w:hint="default" w:ascii="ˎ̥" w:hAnsi="ˎ̥"/>
      <w:color w:val="000000"/>
      <w:sz w:val="20"/>
      <w:szCs w:val="20"/>
      <w:u w:val="none"/>
    </w:rPr>
  </w:style>
  <w:style w:type="character" w:customStyle="1" w:styleId="411">
    <w:name w:val="样式 标题 4h4H4Fab-4T5Ref Heading 1rh1Heading sqlsect 1.2.3.... Char"/>
    <w:link w:val="303"/>
    <w:qFormat/>
    <w:uiPriority w:val="0"/>
    <w:rPr>
      <w:rFonts w:ascii="微软雅黑" w:hAnsi="微软雅黑" w:eastAsia="微软雅黑"/>
      <w:b/>
      <w:bCs/>
      <w:kern w:val="2"/>
      <w:sz w:val="24"/>
      <w:szCs w:val="28"/>
    </w:rPr>
  </w:style>
  <w:style w:type="character" w:customStyle="1" w:styleId="412">
    <w:name w:val="h Char Char"/>
    <w:qFormat/>
    <w:uiPriority w:val="0"/>
    <w:rPr>
      <w:rFonts w:eastAsia="宋体"/>
      <w:kern w:val="2"/>
      <w:sz w:val="18"/>
      <w:lang w:val="en-US" w:eastAsia="zh-CN" w:bidi="ar-SA"/>
    </w:rPr>
  </w:style>
  <w:style w:type="character" w:customStyle="1" w:styleId="413">
    <w:name w:val="仿宋正文 Char"/>
    <w:link w:val="414"/>
    <w:qFormat/>
    <w:uiPriority w:val="0"/>
    <w:rPr>
      <w:rFonts w:ascii="仿宋_GB2312" w:eastAsia="仿宋_GB2312"/>
      <w:kern w:val="2"/>
      <w:sz w:val="24"/>
      <w:lang w:val="en-US" w:eastAsia="zh-CN" w:bidi="ar-SA"/>
    </w:rPr>
  </w:style>
  <w:style w:type="paragraph" w:customStyle="1" w:styleId="414">
    <w:name w:val="仿宋正文"/>
    <w:basedOn w:val="1"/>
    <w:link w:val="413"/>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qFormat/>
    <w:uiPriority w:val="0"/>
    <w:rPr>
      <w:rFonts w:ascii="宋体" w:eastAsia="宋体"/>
      <w:kern w:val="2"/>
      <w:sz w:val="24"/>
      <w:lang w:val="zh-CN" w:bidi="ar-SA"/>
    </w:rPr>
  </w:style>
  <w:style w:type="character" w:customStyle="1" w:styleId="416">
    <w:name w:val="样式 宋体"/>
    <w:qFormat/>
    <w:uiPriority w:val="0"/>
    <w:rPr>
      <w:rFonts w:ascii="宋体" w:hAnsi="宋体"/>
      <w:sz w:val="24"/>
    </w:rPr>
  </w:style>
  <w:style w:type="character" w:customStyle="1" w:styleId="417">
    <w:name w:val="tw4winJump"/>
    <w:qFormat/>
    <w:uiPriority w:val="0"/>
    <w:rPr>
      <w:rFonts w:ascii="Courier New" w:hAnsi="Courier New" w:cs="Courier New"/>
      <w:color w:val="008080"/>
      <w:lang w:val="en-US" w:eastAsia="zh-CN"/>
    </w:rPr>
  </w:style>
  <w:style w:type="character" w:customStyle="1" w:styleId="418">
    <w:name w:val="标题 1 字符"/>
    <w:qFormat/>
    <w:uiPriority w:val="9"/>
    <w:rPr>
      <w:rFonts w:ascii="Arial" w:hAnsi="Arial" w:eastAsia="黑体" w:cs="Arial"/>
      <w:b/>
      <w:bCs/>
      <w:snapToGrid w:val="0"/>
      <w:kern w:val="44"/>
      <w:sz w:val="44"/>
      <w:szCs w:val="44"/>
    </w:rPr>
  </w:style>
  <w:style w:type="character" w:customStyle="1" w:styleId="419">
    <w:name w:val="style36"/>
    <w:basedOn w:val="70"/>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5"/>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字符"/>
    <w:link w:val="23"/>
    <w:qFormat/>
    <w:uiPriority w:val="0"/>
    <w:rPr>
      <w:rFonts w:ascii="宋体" w:hAnsi="Arial" w:eastAsia="宋体" w:cs="Arial"/>
      <w:snapToGrid w:val="0"/>
      <w:kern w:val="2"/>
      <w:sz w:val="24"/>
      <w:szCs w:val="21"/>
      <w:lang w:val="zh-CN" w:eastAsia="zh-CN" w:bidi="ar-SA"/>
    </w:rPr>
  </w:style>
  <w:style w:type="character" w:customStyle="1" w:styleId="429">
    <w:name w:val="gray6"/>
    <w:basedOn w:val="70"/>
    <w:qFormat/>
    <w:uiPriority w:val="0"/>
    <w:rPr>
      <w:rFonts w:ascii="Arial" w:hAnsi="Arial" w:eastAsia="黑体" w:cs="Arial"/>
      <w:snapToGrid w:val="0"/>
      <w:kern w:val="0"/>
      <w:szCs w:val="21"/>
    </w:rPr>
  </w:style>
  <w:style w:type="character" w:customStyle="1" w:styleId="430">
    <w:name w:val="hui"/>
    <w:basedOn w:val="70"/>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6"/>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 w:val="24"/>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qFormat/>
    <w:uiPriority w:val="0"/>
    <w:pPr>
      <w:tabs>
        <w:tab w:val="left" w:pos="360"/>
      </w:tabs>
    </w:pPr>
    <w:rPr>
      <w:sz w:val="24"/>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312" w:beforeLines="100"/>
      <w:jc w:val="left"/>
    </w:pPr>
  </w:style>
  <w:style w:type="paragraph" w:customStyle="1" w:styleId="45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spacing w:before="0" w:after="0"/>
      <w:outlineLvl w:val="5"/>
    </w:pPr>
  </w:style>
  <w:style w:type="paragraph" w:customStyle="1" w:styleId="472">
    <w:name w:val="5级标题"/>
    <w:basedOn w:val="473"/>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3">
    <w:name w:val="4级标题"/>
    <w:basedOn w:val="25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1"/>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2"/>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4"/>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7"/>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4"/>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61"/>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6"/>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3"/>
    <w:next w:val="233"/>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3"/>
    <w:next w:val="233"/>
    <w:qFormat/>
    <w:uiPriority w:val="0"/>
    <w:rPr>
      <w:rFonts w:ascii="宋体" w:eastAsia="宋体" w:cs="Times New Roman"/>
      <w:color w:val="auto"/>
    </w:rPr>
  </w:style>
  <w:style w:type="paragraph" w:customStyle="1" w:styleId="548">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156"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6"/>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4">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3"/>
    <w:qFormat/>
    <w:uiPriority w:val="0"/>
    <w:pPr>
      <w:tabs>
        <w:tab w:val="left" w:pos="840"/>
      </w:tabs>
      <w:adjustRightInd/>
      <w:ind w:left="840" w:hanging="420"/>
    </w:pPr>
  </w:style>
  <w:style w:type="paragraph" w:customStyle="1" w:styleId="624">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156"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0" w:beforeLines="0" w:after="0" w:afterLines="0"/>
      <w:ind w:left="1680"/>
      <w:outlineLvl w:val="2"/>
    </w:pPr>
  </w:style>
  <w:style w:type="paragraph" w:customStyle="1" w:styleId="656">
    <w:name w:val="章标题"/>
    <w:next w:val="638"/>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6"/>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7"/>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4"/>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4"/>
    <w:next w:val="53"/>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2"/>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18"/>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6"/>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6"/>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7"/>
    <w:qFormat/>
    <w:uiPriority w:val="0"/>
    <w:rPr>
      <w:b w:val="0"/>
      <w:sz w:val="20"/>
    </w:rPr>
  </w:style>
  <w:style w:type="paragraph" w:customStyle="1" w:styleId="892">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7"/>
    <w:next w:val="1"/>
    <w:qFormat/>
    <w:uiPriority w:val="0"/>
    <w:pPr>
      <w:tabs>
        <w:tab w:val="left" w:pos="1080"/>
      </w:tabs>
      <w:ind w:left="1080" w:hanging="1080"/>
    </w:pPr>
  </w:style>
  <w:style w:type="paragraph" w:customStyle="1" w:styleId="895">
    <w:name w:val="数字标题1"/>
    <w:basedOn w:val="3"/>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1"/>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字符"/>
    <w:link w:val="38"/>
    <w:qFormat/>
    <w:uiPriority w:val="0"/>
    <w:rPr>
      <w:kern w:val="2"/>
      <w:sz w:val="21"/>
      <w:szCs w:val="24"/>
      <w:lang w:val="zh-CN"/>
    </w:rPr>
  </w:style>
  <w:style w:type="character" w:customStyle="1" w:styleId="931">
    <w:name w:val="无间隔 字符"/>
    <w:link w:val="481"/>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6"/>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70"/>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paragraph" w:customStyle="1" w:styleId="962">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963">
    <w:name w:val="font101"/>
    <w:basedOn w:val="70"/>
    <w:qFormat/>
    <w:uiPriority w:val="0"/>
    <w:rPr>
      <w:rFonts w:hint="eastAsia" w:ascii="宋体" w:hAnsi="宋体" w:eastAsia="宋体" w:cs="宋体"/>
      <w:color w:val="FF0000"/>
      <w:sz w:val="18"/>
      <w:szCs w:val="18"/>
      <w:u w:val="none"/>
    </w:rPr>
  </w:style>
  <w:style w:type="character" w:customStyle="1" w:styleId="964">
    <w:name w:val="font111"/>
    <w:basedOn w:val="70"/>
    <w:qFormat/>
    <w:uiPriority w:val="0"/>
    <w:rPr>
      <w:rFonts w:hint="eastAsia" w:ascii="宋体" w:hAnsi="宋体" w:eastAsia="宋体" w:cs="宋体"/>
      <w:color w:val="000000"/>
      <w:sz w:val="18"/>
      <w:szCs w:val="18"/>
      <w:u w:val="none"/>
    </w:rPr>
  </w:style>
  <w:style w:type="character" w:customStyle="1" w:styleId="965">
    <w:name w:val="font112"/>
    <w:basedOn w:val="70"/>
    <w:qFormat/>
    <w:uiPriority w:val="0"/>
    <w:rPr>
      <w:rFonts w:hint="eastAsia" w:ascii="宋体" w:hAnsi="宋体" w:eastAsia="宋体" w:cs="宋体"/>
      <w:color w:val="FF0000"/>
      <w:sz w:val="18"/>
      <w:szCs w:val="18"/>
      <w:u w:val="none"/>
    </w:rPr>
  </w:style>
  <w:style w:type="character" w:customStyle="1" w:styleId="966">
    <w:name w:val="font181"/>
    <w:basedOn w:val="70"/>
    <w:qFormat/>
    <w:uiPriority w:val="0"/>
    <w:rPr>
      <w:rFonts w:ascii="微软雅黑" w:hAnsi="微软雅黑" w:eastAsia="微软雅黑" w:cs="微软雅黑"/>
      <w:color w:val="000000"/>
      <w:sz w:val="20"/>
      <w:szCs w:val="20"/>
      <w:u w:val="none"/>
    </w:rPr>
  </w:style>
  <w:style w:type="character" w:customStyle="1" w:styleId="967">
    <w:name w:val="font171"/>
    <w:basedOn w:val="70"/>
    <w:qFormat/>
    <w:uiPriority w:val="0"/>
    <w:rPr>
      <w:rFonts w:ascii="微软雅黑" w:hAnsi="微软雅黑" w:eastAsia="微软雅黑" w:cs="微软雅黑"/>
      <w:color w:val="000000"/>
      <w:sz w:val="20"/>
      <w:szCs w:val="20"/>
      <w:u w:val="none"/>
    </w:rPr>
  </w:style>
  <w:style w:type="paragraph" w:customStyle="1" w:styleId="968">
    <w:name w:val="修订5"/>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9" Type="http://schemas.openxmlformats.org/officeDocument/2006/relationships/fontTable" Target="fontTable.xml"/><Relationship Id="rId38" Type="http://schemas.openxmlformats.org/officeDocument/2006/relationships/customXml" Target="../customXml/item2.xml"/><Relationship Id="rId37" Type="http://schemas.openxmlformats.org/officeDocument/2006/relationships/numbering" Target="numbering.xml"/><Relationship Id="rId36" Type="http://schemas.openxmlformats.org/officeDocument/2006/relationships/customXml" Target="../customXml/item1.xml"/><Relationship Id="rId35" Type="http://schemas.openxmlformats.org/officeDocument/2006/relationships/image" Target="media/image10.png"/><Relationship Id="rId34" Type="http://schemas.openxmlformats.org/officeDocument/2006/relationships/image" Target="media/image9.png"/><Relationship Id="rId33" Type="http://schemas.openxmlformats.org/officeDocument/2006/relationships/image" Target="media/image8.png"/><Relationship Id="rId32" Type="http://schemas.openxmlformats.org/officeDocument/2006/relationships/image" Target="media/image7.png"/><Relationship Id="rId31" Type="http://schemas.openxmlformats.org/officeDocument/2006/relationships/image" Target="media/image6.png"/><Relationship Id="rId30" Type="http://schemas.openxmlformats.org/officeDocument/2006/relationships/image" Target="media/image5.png"/><Relationship Id="rId3" Type="http://schemas.openxmlformats.org/officeDocument/2006/relationships/header" Target="header1.xml"/><Relationship Id="rId29" Type="http://schemas.openxmlformats.org/officeDocument/2006/relationships/image" Target="media/image4.png"/><Relationship Id="rId28" Type="http://schemas.openxmlformats.org/officeDocument/2006/relationships/image" Target="media/image3.png"/><Relationship Id="rId27" Type="http://schemas.openxmlformats.org/officeDocument/2006/relationships/image" Target="media/image2.png"/><Relationship Id="rId26" Type="http://schemas.openxmlformats.org/officeDocument/2006/relationships/image" Target="media/image1.png"/><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A3A002-D60B-4717-974F-6E6B9E493DB0}">
  <ds:schemaRefs/>
</ds:datastoreItem>
</file>

<file path=docProps/app.xml><?xml version="1.0" encoding="utf-8"?>
<Properties xmlns="http://schemas.openxmlformats.org/officeDocument/2006/extended-properties" xmlns:vt="http://schemas.openxmlformats.org/officeDocument/2006/docPropsVTypes">
  <Template>Normal</Template>
  <Pages>100</Pages>
  <Words>53432</Words>
  <Characters>59282</Characters>
  <Lines>499</Lines>
  <Paragraphs>140</Paragraphs>
  <TotalTime>1</TotalTime>
  <ScaleCrop>false</ScaleCrop>
  <LinksUpToDate>false</LinksUpToDate>
  <CharactersWithSpaces>66503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2023-07-31T03:32:00Z</dcterms:created>
  <dc:creator>ouyy18</dc:creator>
  <cp:lastModifiedBy>姜</cp:lastModifiedBy>
  <cp:lastPrinted>2023-04-18T08:30:00Z</cp:lastPrinted>
  <dcterms:modified xsi:type="dcterms:W3CDTF">2023-08-24T14:20:46Z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BD3123FC23CB4A6CBDCC9C2DBDD6F0C8_13</vt:lpwstr>
  </property>
</Properties>
</file>