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both"/>
        <w:rPr>
          <w:rFonts w:ascii="仿宋_GB2312" w:hAnsi="仿宋" w:eastAsia="仿宋_GB2312" w:cs="仿宋_GB2312"/>
          <w:b/>
          <w:sz w:val="48"/>
          <w:szCs w:val="48"/>
        </w:rPr>
      </w:pPr>
    </w:p>
    <w:p>
      <w:pPr>
        <w:adjustRightInd/>
        <w:spacing w:line="360" w:lineRule="auto"/>
        <w:jc w:val="center"/>
        <w:rPr>
          <w:rFonts w:hint="eastAsia" w:ascii="宋体" w:hAnsi="宋体" w:cs="宋体"/>
          <w:b/>
          <w:bCs/>
          <w:color w:val="000000"/>
          <w:sz w:val="40"/>
          <w:szCs w:val="40"/>
          <w:highlight w:val="none"/>
        </w:rPr>
      </w:pPr>
      <w:r>
        <w:rPr>
          <w:rFonts w:hint="eastAsia" w:ascii="宋体" w:hAnsi="宋体" w:cs="宋体"/>
          <w:b/>
          <w:bCs/>
          <w:color w:val="000000"/>
          <w:sz w:val="40"/>
          <w:szCs w:val="40"/>
          <w:highlight w:val="none"/>
        </w:rPr>
        <w:t>仁和街道美丽城镇项目-东塘集镇更新改造小品雕塑采购项目</w:t>
      </w:r>
    </w:p>
    <w:p>
      <w:pPr>
        <w:adjustRightInd/>
        <w:spacing w:line="360" w:lineRule="auto"/>
        <w:jc w:val="center"/>
        <w:rPr>
          <w:rFonts w:ascii="仿宋_GB2312" w:hAnsi="仿宋" w:eastAsia="仿宋_GB2312" w:cs="仿宋_GB2312"/>
          <w:b/>
          <w:sz w:val="48"/>
          <w:szCs w:val="48"/>
        </w:rPr>
      </w:pPr>
      <w:r>
        <w:rPr>
          <w:rFonts w:hint="eastAsia" w:ascii="仿宋_GB2312" w:hAnsi="仿宋" w:eastAsia="仿宋_GB2312" w:cs="仿宋_GB2312"/>
          <w:b/>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JSCG</w:t>
      </w:r>
      <w:r>
        <w:rPr>
          <w:rFonts w:hint="eastAsia" w:ascii="仿宋" w:hAnsi="仿宋" w:eastAsia="仿宋" w:cs="仿宋_GB2312"/>
          <w:sz w:val="30"/>
          <w:szCs w:val="30"/>
          <w:lang w:val="en-US" w:eastAsia="zh-CN"/>
        </w:rPr>
        <w:t>JJ</w:t>
      </w:r>
      <w:r>
        <w:rPr>
          <w:rFonts w:hint="eastAsia" w:ascii="仿宋" w:hAnsi="仿宋" w:eastAsia="仿宋" w:cs="仿宋_GB2312"/>
          <w:sz w:val="30"/>
          <w:szCs w:val="30"/>
        </w:rPr>
        <w:t>-202</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-00</w:t>
      </w:r>
      <w:r>
        <w:rPr>
          <w:rFonts w:hint="eastAsia" w:ascii="仿宋" w:hAnsi="仿宋" w:eastAsia="仿宋" w:cs="仿宋_GB2312"/>
          <w:sz w:val="30"/>
          <w:szCs w:val="30"/>
          <w:lang w:val="en-US" w:eastAsia="zh-CN"/>
        </w:rPr>
        <w:t>2</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hd w:val="clear" w:color="auto" w:fill="FFFFFF"/>
        <w:snapToGrid w:val="0"/>
        <w:spacing w:line="360" w:lineRule="auto"/>
        <w:ind w:firstLine="425"/>
        <w:jc w:val="center"/>
        <w:textAlignment w:val="bottom"/>
        <w:rPr>
          <w:rFonts w:ascii="宋体" w:hAnsi="宋体" w:cs="宋体"/>
          <w:b/>
          <w:bCs/>
          <w:color w:val="000000"/>
          <w:sz w:val="36"/>
          <w:szCs w:val="36"/>
        </w:rPr>
      </w:pPr>
      <w:r>
        <w:rPr>
          <w:rFonts w:hint="eastAsia" w:ascii="宋体" w:hAnsi="宋体" w:cs="宋体"/>
          <w:b/>
          <w:bCs/>
          <w:color w:val="000000"/>
          <w:sz w:val="36"/>
          <w:szCs w:val="36"/>
        </w:rPr>
        <w:t>招标人：杭州市</w:t>
      </w:r>
      <w:r>
        <w:rPr>
          <w:rFonts w:hint="eastAsia" w:ascii="宋体" w:hAnsi="宋体" w:cs="宋体"/>
          <w:b/>
          <w:bCs/>
          <w:color w:val="000000"/>
          <w:sz w:val="36"/>
          <w:szCs w:val="36"/>
          <w:lang w:eastAsia="zh-CN"/>
        </w:rPr>
        <w:t>余杭</w:t>
      </w:r>
      <w:r>
        <w:rPr>
          <w:rFonts w:hint="eastAsia" w:ascii="宋体" w:hAnsi="宋体" w:cs="宋体"/>
          <w:b/>
          <w:bCs/>
          <w:color w:val="000000"/>
          <w:sz w:val="36"/>
          <w:szCs w:val="36"/>
        </w:rPr>
        <w:t>区人民政府</w:t>
      </w:r>
      <w:r>
        <w:rPr>
          <w:rFonts w:hint="eastAsia" w:ascii="宋体" w:hAnsi="宋体" w:cs="宋体"/>
          <w:b/>
          <w:bCs/>
          <w:color w:val="000000"/>
          <w:sz w:val="36"/>
          <w:szCs w:val="36"/>
          <w:lang w:eastAsia="zh-CN"/>
        </w:rPr>
        <w:t>仁和</w:t>
      </w:r>
      <w:r>
        <w:rPr>
          <w:rFonts w:hint="eastAsia" w:ascii="宋体" w:hAnsi="宋体" w:cs="宋体"/>
          <w:b/>
          <w:bCs/>
          <w:color w:val="000000"/>
          <w:sz w:val="36"/>
          <w:szCs w:val="36"/>
        </w:rPr>
        <w:t>街道办事处</w:t>
      </w:r>
    </w:p>
    <w:p>
      <w:pPr>
        <w:shd w:val="clear" w:color="auto" w:fill="FFFFFF"/>
        <w:snapToGrid w:val="0"/>
        <w:spacing w:line="360" w:lineRule="auto"/>
        <w:ind w:firstLine="425"/>
        <w:jc w:val="center"/>
        <w:textAlignment w:val="bottom"/>
        <w:rPr>
          <w:rFonts w:ascii="宋体" w:hAnsi="宋体" w:cs="宋体"/>
          <w:b/>
          <w:bCs/>
          <w:color w:val="000000"/>
          <w:sz w:val="36"/>
          <w:szCs w:val="36"/>
        </w:rPr>
      </w:pPr>
      <w:r>
        <w:rPr>
          <w:rFonts w:hint="eastAsia" w:ascii="宋体" w:hAnsi="宋体" w:cs="宋体"/>
          <w:b/>
          <w:bCs/>
          <w:color w:val="000000"/>
          <w:sz w:val="36"/>
          <w:szCs w:val="36"/>
        </w:rPr>
        <w:t>招标代理机构：杭州市建设工程管理集团有限公司</w:t>
      </w:r>
    </w:p>
    <w:p>
      <w:pPr>
        <w:spacing w:line="360" w:lineRule="auto"/>
        <w:jc w:val="center"/>
        <w:rPr>
          <w:rFonts w:ascii="仿宋" w:hAnsi="仿宋" w:eastAsia="仿宋" w:cs="仿宋_GB2312"/>
          <w:sz w:val="24"/>
        </w:rPr>
      </w:pPr>
      <w:r>
        <w:rPr>
          <w:rFonts w:hint="eastAsia" w:ascii="宋体" w:hAnsi="宋体" w:cs="宋体"/>
          <w:b/>
          <w:bCs/>
          <w:color w:val="auto"/>
          <w:sz w:val="36"/>
          <w:szCs w:val="36"/>
          <w:highlight w:val="none"/>
        </w:rPr>
        <w:t>日  期：二O二</w:t>
      </w:r>
      <w:r>
        <w:rPr>
          <w:rFonts w:hint="eastAsia" w:ascii="宋体" w:hAnsi="宋体" w:cs="宋体"/>
          <w:b/>
          <w:bCs/>
          <w:color w:val="auto"/>
          <w:sz w:val="36"/>
          <w:szCs w:val="36"/>
          <w:highlight w:val="none"/>
          <w:lang w:eastAsia="zh-CN"/>
        </w:rPr>
        <w:t>二</w:t>
      </w:r>
      <w:r>
        <w:rPr>
          <w:rFonts w:hint="eastAsia" w:ascii="宋体" w:hAnsi="宋体" w:cs="宋体"/>
          <w:b/>
          <w:bCs/>
          <w:color w:val="auto"/>
          <w:sz w:val="36"/>
          <w:szCs w:val="36"/>
          <w:highlight w:val="none"/>
        </w:rPr>
        <w:t>年</w:t>
      </w:r>
      <w:r>
        <w:rPr>
          <w:rFonts w:hint="eastAsia" w:ascii="宋体" w:hAnsi="宋体" w:cs="宋体"/>
          <w:b/>
          <w:bCs/>
          <w:color w:val="auto"/>
          <w:sz w:val="36"/>
          <w:szCs w:val="36"/>
          <w:highlight w:val="none"/>
          <w:lang w:eastAsia="zh-CN"/>
        </w:rPr>
        <w:t>一</w:t>
      </w:r>
      <w:r>
        <w:rPr>
          <w:rFonts w:hint="eastAsia" w:ascii="宋体" w:hAnsi="宋体" w:cs="宋体"/>
          <w:b/>
          <w:bCs/>
          <w:color w:val="auto"/>
          <w:sz w:val="36"/>
          <w:szCs w:val="36"/>
          <w:highlight w:val="none"/>
        </w:rPr>
        <w:t>月</w:t>
      </w:r>
      <w:r>
        <w:rPr>
          <w:rFonts w:hint="eastAsia" w:ascii="宋体" w:hAnsi="宋体" w:cs="宋体"/>
          <w:b/>
          <w:bCs/>
          <w:color w:val="auto"/>
          <w:sz w:val="36"/>
          <w:szCs w:val="36"/>
          <w:highlight w:val="none"/>
          <w:lang w:eastAsia="zh-CN"/>
        </w:rPr>
        <w:t>二十</w:t>
      </w:r>
      <w:r>
        <w:rPr>
          <w:rFonts w:hint="eastAsia" w:ascii="宋体" w:hAnsi="宋体" w:cs="宋体"/>
          <w:b/>
          <w:bCs/>
          <w:color w:val="auto"/>
          <w:sz w:val="36"/>
          <w:szCs w:val="36"/>
          <w:highlight w:val="none"/>
          <w:lang w:val="en-US" w:eastAsia="zh-CN"/>
        </w:rPr>
        <w:t>八</w:t>
      </w:r>
      <w:r>
        <w:rPr>
          <w:rFonts w:hint="eastAsia" w:ascii="宋体" w:hAnsi="宋体" w:cs="宋体"/>
          <w:b/>
          <w:bCs/>
          <w:color w:val="auto"/>
          <w:sz w:val="36"/>
          <w:szCs w:val="36"/>
          <w:highlight w:val="none"/>
        </w:rPr>
        <w:t>日</w:t>
      </w: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Times New Roman"/>
          <w:sz w:val="24"/>
          <w:u w:val="single"/>
        </w:rPr>
        <w:t>仁和街道美丽城镇项目-东塘集镇更新改造小品雕塑采购项目</w:t>
      </w:r>
      <w:r>
        <w:rPr>
          <w:rFonts w:hint="eastAsia" w:ascii="仿宋_GB2312" w:hAnsi="仿宋" w:eastAsia="仿宋_GB2312" w:cs="Times New Roman"/>
          <w:sz w:val="24"/>
          <w:u w:val="single"/>
          <w:lang w:val="en-US" w:eastAsia="zh-CN"/>
        </w:rPr>
        <w:t xml:space="preserve"> </w:t>
      </w:r>
      <w:r>
        <w:rPr>
          <w:rFonts w:hint="eastAsia" w:ascii="仿宋_GB2312" w:hAnsi="仿宋" w:eastAsia="仿宋_GB2312"/>
          <w:sz w:val="24"/>
        </w:rPr>
        <w:t>招标项目的潜在投标人应在政采云平台（</w:t>
      </w:r>
      <w:r>
        <w:fldChar w:fldCharType="begin"/>
      </w:r>
      <w:r>
        <w:instrText xml:space="preserve">HYPERLINK "https://www.zcygov.cn/）获取（下载）招标文件，并于2021年" </w:instrText>
      </w:r>
      <w:r>
        <w:fldChar w:fldCharType="separate"/>
      </w:r>
      <w:r>
        <w:rPr>
          <w:rStyle w:val="78"/>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color w:val="FF0000"/>
          <w:sz w:val="24"/>
          <w:highlight w:val="none"/>
          <w:u w:val="single"/>
        </w:rPr>
        <w:t>202</w:t>
      </w:r>
      <w:r>
        <w:rPr>
          <w:rFonts w:hint="eastAsia" w:ascii="仿宋_GB2312" w:hAnsi="仿宋" w:eastAsia="仿宋_GB2312"/>
          <w:color w:val="FF0000"/>
          <w:sz w:val="24"/>
          <w:highlight w:val="none"/>
          <w:u w:val="single"/>
          <w:lang w:val="en-US" w:eastAsia="zh-CN"/>
        </w:rPr>
        <w:t>2</w:t>
      </w:r>
      <w:r>
        <w:rPr>
          <w:rFonts w:ascii="仿宋_GB2312" w:hAnsi="仿宋" w:eastAsia="仿宋_GB2312"/>
          <w:color w:val="FF0000"/>
          <w:sz w:val="24"/>
          <w:highlight w:val="none"/>
          <w:u w:val="single"/>
        </w:rPr>
        <w:t>年</w:t>
      </w:r>
      <w:r>
        <w:rPr>
          <w:rFonts w:hint="eastAsia" w:ascii="仿宋_GB2312" w:hAnsi="仿宋" w:eastAsia="仿宋_GB2312"/>
          <w:color w:val="FF0000"/>
          <w:sz w:val="24"/>
          <w:highlight w:val="none"/>
          <w:u w:val="single"/>
          <w:lang w:val="en-US" w:eastAsia="zh-CN"/>
        </w:rPr>
        <w:t>2</w:t>
      </w:r>
      <w:r>
        <w:rPr>
          <w:rFonts w:hint="eastAsia" w:ascii="仿宋_GB2312" w:hAnsi="仿宋" w:eastAsia="仿宋_GB2312"/>
          <w:color w:val="FF0000"/>
          <w:sz w:val="24"/>
          <w:highlight w:val="none"/>
          <w:u w:val="single"/>
        </w:rPr>
        <w:t>月</w:t>
      </w:r>
      <w:r>
        <w:rPr>
          <w:rFonts w:hint="eastAsia" w:ascii="仿宋_GB2312" w:hAnsi="仿宋" w:eastAsia="仿宋_GB2312"/>
          <w:color w:val="FF0000"/>
          <w:sz w:val="24"/>
          <w:highlight w:val="none"/>
          <w:u w:val="single"/>
          <w:lang w:val="en-US" w:eastAsia="zh-CN"/>
        </w:rPr>
        <w:t>18</w:t>
      </w:r>
      <w:r>
        <w:rPr>
          <w:rFonts w:hint="eastAsia" w:ascii="仿宋_GB2312" w:hAnsi="仿宋" w:eastAsia="仿宋_GB2312"/>
          <w:color w:val="FF0000"/>
          <w:sz w:val="24"/>
          <w:highlight w:val="none"/>
          <w:u w:val="single"/>
        </w:rPr>
        <w:t>日</w:t>
      </w:r>
      <w:r>
        <w:rPr>
          <w:rFonts w:hint="eastAsia" w:ascii="仿宋_GB2312" w:hAnsi="仿宋" w:eastAsia="仿宋_GB2312"/>
          <w:color w:val="FF0000"/>
          <w:sz w:val="24"/>
          <w:highlight w:val="none"/>
          <w:u w:val="single"/>
          <w:lang w:val="en-US" w:eastAsia="zh-CN"/>
        </w:rPr>
        <w:t>13</w:t>
      </w:r>
      <w:r>
        <w:rPr>
          <w:rFonts w:hint="eastAsia" w:ascii="仿宋_GB2312" w:hAnsi="仿宋" w:eastAsia="仿宋_GB2312"/>
          <w:color w:val="FF0000"/>
          <w:sz w:val="24"/>
          <w:highlight w:val="none"/>
          <w:u w:val="single"/>
        </w:rPr>
        <w:t>点</w:t>
      </w:r>
      <w:r>
        <w:rPr>
          <w:rFonts w:hint="eastAsia" w:ascii="仿宋_GB2312" w:hAnsi="仿宋" w:eastAsia="仿宋_GB2312"/>
          <w:color w:val="FF0000"/>
          <w:sz w:val="24"/>
          <w:highlight w:val="none"/>
          <w:u w:val="single"/>
          <w:lang w:val="en-US" w:eastAsia="zh-CN"/>
        </w:rPr>
        <w:t>30</w:t>
      </w:r>
      <w:r>
        <w:rPr>
          <w:rFonts w:hint="eastAsia" w:ascii="仿宋_GB2312" w:hAnsi="仿宋" w:eastAsia="仿宋_GB2312"/>
          <w:color w:val="FF0000"/>
          <w:sz w:val="24"/>
          <w:highlight w:val="none"/>
          <w:u w:val="single"/>
        </w:rPr>
        <w:t>分</w:t>
      </w:r>
      <w:r>
        <w:rPr>
          <w:rFonts w:hint="eastAsia" w:ascii="仿宋_GB2312" w:hAnsi="仿宋" w:eastAsia="仿宋_GB2312"/>
          <w:bCs/>
          <w:color w:val="FF0000"/>
          <w:sz w:val="24"/>
          <w:highlight w:val="none"/>
          <w:u w:val="single"/>
        </w:rPr>
        <w:t>00</w:t>
      </w:r>
      <w:r>
        <w:rPr>
          <w:rFonts w:hint="eastAsia" w:ascii="仿宋_GB2312" w:hAnsi="仿宋" w:eastAsia="仿宋_GB2312"/>
          <w:bCs/>
          <w:color w:val="FF0000"/>
          <w:sz w:val="24"/>
          <w:u w:val="single"/>
        </w:rPr>
        <w:t>秒</w:t>
      </w:r>
      <w: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s="Times New Roman"/>
          <w:bCs/>
          <w:snapToGrid w:val="0"/>
          <w:color w:val="auto"/>
          <w:kern w:val="2"/>
          <w:sz w:val="24"/>
          <w:szCs w:val="24"/>
          <w:u w:val="single"/>
          <w:lang w:val="en-US" w:eastAsia="zh-CN" w:bidi="ar-SA"/>
        </w:rPr>
        <w:t>JSCGJJ-2022-002</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项目名称：</w:t>
      </w:r>
      <w:r>
        <w:rPr>
          <w:rFonts w:hint="eastAsia" w:ascii="仿宋_GB2312" w:hAnsi="仿宋" w:eastAsia="仿宋_GB2312" w:cs="Times New Roman"/>
          <w:bCs/>
          <w:snapToGrid w:val="0"/>
          <w:color w:val="auto"/>
          <w:kern w:val="2"/>
          <w:sz w:val="24"/>
          <w:szCs w:val="24"/>
          <w:highlight w:val="none"/>
          <w:u w:val="single"/>
          <w:lang w:val="en-US" w:eastAsia="zh-CN" w:bidi="ar-SA"/>
        </w:rPr>
        <w:t>仁和街道美丽城镇项目-东塘集镇更新改造小品雕塑采购项目</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b/>
          <w:sz w:val="24"/>
          <w:highlight w:val="none"/>
          <w:lang w:val="en-US" w:eastAsia="zh-CN"/>
        </w:rPr>
        <w:t>6700000元</w:t>
      </w: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最高限价（元）：</w:t>
      </w:r>
      <w:r>
        <w:rPr>
          <w:rFonts w:hint="eastAsia" w:ascii="仿宋_GB2312" w:hAnsi="仿宋" w:eastAsia="仿宋_GB2312"/>
          <w:b/>
          <w:sz w:val="24"/>
          <w:highlight w:val="none"/>
          <w:lang w:val="en-US" w:eastAsia="zh-CN"/>
        </w:rPr>
        <w:t>6700000元</w:t>
      </w: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p>
    <w:p>
      <w:pPr>
        <w:pStyle w:val="5"/>
        <w:spacing w:line="360" w:lineRule="auto"/>
        <w:ind w:firstLine="480"/>
        <w:rPr>
          <w:rFonts w:ascii="仿宋_GB2312" w:hAnsi="仿宋" w:eastAsia="仿宋_GB2312"/>
          <w:bCs/>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cs="Times New Roman"/>
          <w:bCs/>
          <w:snapToGrid w:val="0"/>
          <w:color w:val="auto"/>
          <w:kern w:val="2"/>
          <w:sz w:val="24"/>
          <w:szCs w:val="24"/>
          <w:highlight w:val="none"/>
          <w:u w:val="single"/>
          <w:lang w:val="en-US" w:eastAsia="zh-CN" w:bidi="ar-SA"/>
        </w:rPr>
        <w:t>仁和街道美丽城镇项目-东塘集镇更新改造小品雕塑采购项目</w:t>
      </w:r>
      <w:r>
        <w:rPr>
          <w:rFonts w:hint="eastAsia" w:ascii="仿宋_GB2312" w:hAnsi="仿宋" w:eastAsia="仿宋_GB2312"/>
          <w:bCs/>
          <w:color w:val="auto"/>
          <w:kern w:val="2"/>
          <w:sz w:val="24"/>
          <w:szCs w:val="24"/>
          <w:highlight w:val="none"/>
        </w:rPr>
        <w:t>主要内容：</w:t>
      </w:r>
      <w:r>
        <w:rPr>
          <w:rFonts w:hint="eastAsia" w:ascii="仿宋_GB2312" w:hAnsi="仿宋" w:eastAsia="仿宋_GB2312" w:cs="Times New Roman"/>
          <w:bCs/>
          <w:snapToGrid w:val="0"/>
          <w:color w:val="auto"/>
          <w:kern w:val="2"/>
          <w:sz w:val="24"/>
          <w:szCs w:val="24"/>
          <w:highlight w:val="none"/>
          <w:u w:val="single"/>
          <w:lang w:val="en-US" w:eastAsia="zh-CN" w:bidi="ar-SA"/>
        </w:rPr>
        <w:t>小品雕塑采购等</w:t>
      </w:r>
      <w:r>
        <w:rPr>
          <w:rFonts w:ascii="仿宋_GB2312" w:hAnsi="仿宋" w:eastAsia="仿宋_GB2312"/>
          <w:bCs/>
          <w:color w:val="auto"/>
          <w:kern w:val="2"/>
          <w:sz w:val="24"/>
          <w:szCs w:val="24"/>
          <w:highlight w:val="none"/>
        </w:rPr>
        <w:t>。</w:t>
      </w:r>
      <w:r>
        <w:rPr>
          <w:rFonts w:hint="eastAsia" w:ascii="仿宋_GB2312" w:hAnsi="仿宋" w:eastAsia="仿宋_GB2312"/>
          <w:bCs/>
          <w:color w:val="auto"/>
          <w:kern w:val="2"/>
          <w:sz w:val="24"/>
          <w:szCs w:val="24"/>
          <w:highlight w:val="none"/>
        </w:rPr>
        <w:t>详见招标文件第三部分采购需求。</w:t>
      </w:r>
    </w:p>
    <w:p>
      <w:pPr>
        <w:pStyle w:val="87"/>
        <w:ind w:firstLine="482"/>
        <w:outlineLvl w:val="2"/>
        <w:rPr>
          <w:rFonts w:hint="default" w:ascii="仿宋_GB2312" w:hAnsi="仿宋" w:eastAsia="仿宋_GB2312"/>
          <w:highlight w:val="none"/>
          <w:lang w:val="en-US" w:eastAsia="zh-CN"/>
        </w:rPr>
      </w:pPr>
      <w:r>
        <w:rPr>
          <w:rFonts w:hint="eastAsia" w:ascii="仿宋_GB2312" w:hAnsi="仿宋" w:eastAsia="仿宋_GB2312"/>
          <w:b/>
          <w:highlight w:val="none"/>
        </w:rPr>
        <w:t>合同履约期限：</w:t>
      </w:r>
      <w:r>
        <w:rPr>
          <w:rFonts w:hint="eastAsia" w:ascii="仿宋_GB2312" w:hAnsi="仿宋" w:eastAsia="仿宋_GB2312"/>
          <w:b/>
          <w:highlight w:val="none"/>
          <w:lang w:val="en-US" w:eastAsia="zh-CN"/>
        </w:rPr>
        <w:t xml:space="preserve">60日历天  </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r>
        <w:rPr>
          <w:rFonts w:ascii="MS Gothic" w:hAnsi="MS Gothic" w:eastAsia="MS Gothic" w:cs="Arial"/>
          <w:color w:val="auto"/>
          <w:kern w:val="0"/>
          <w:sz w:val="24"/>
        </w:rPr>
        <w:t>☐</w:t>
      </w:r>
      <w:r>
        <w:rPr>
          <w:rFonts w:hint="eastAsia" w:ascii="仿宋_GB2312" w:hAnsi="仿宋" w:eastAsia="仿宋_GB2312"/>
          <w:b/>
          <w:color w:val="auto"/>
          <w:sz w:val="24"/>
        </w:rPr>
        <w:t>是，</w:t>
      </w:r>
      <w:r>
        <w:rPr>
          <w:rFonts w:ascii="MS Gothic" w:hAnsi="MS Gothic" w:eastAsia="MS Gothic" w:cs="Arial"/>
          <w:color w:val="auto"/>
          <w:kern w:val="0"/>
          <w:sz w:val="24"/>
        </w:rPr>
        <w:sym w:font="Wingdings" w:char="F0FE"/>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color w:val="auto"/>
          <w:kern w:val="0"/>
          <w:sz w:val="24"/>
        </w:rPr>
        <w:sym w:font="Wingdings" w:char="F0FE"/>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w:t>
      </w:r>
      <w:r>
        <w:rPr>
          <w:rFonts w:ascii="仿宋_GB2312" w:hAnsi="仿宋" w:eastAsia="仿宋_GB2312"/>
          <w:color w:val="FF0000"/>
          <w:sz w:val="24"/>
        </w:rPr>
        <w:t>至</w:t>
      </w:r>
      <w:r>
        <w:rPr>
          <w:rFonts w:hint="eastAsia" w:ascii="仿宋_GB2312" w:hAnsi="仿宋" w:eastAsia="仿宋_GB2312"/>
          <w:color w:val="FF0000"/>
          <w:sz w:val="24"/>
          <w:u w:val="single"/>
        </w:rPr>
        <w:t>202</w:t>
      </w:r>
      <w:r>
        <w:rPr>
          <w:rFonts w:hint="eastAsia" w:ascii="仿宋_GB2312" w:hAnsi="仿宋" w:eastAsia="仿宋_GB2312"/>
          <w:color w:val="FF0000"/>
          <w:sz w:val="24"/>
          <w:u w:val="single"/>
          <w:lang w:val="en-US" w:eastAsia="zh-CN"/>
        </w:rPr>
        <w:t>2</w:t>
      </w:r>
      <w:r>
        <w:rPr>
          <w:rFonts w:ascii="仿宋_GB2312" w:hAnsi="仿宋" w:eastAsia="仿宋_GB2312"/>
          <w:color w:val="FF0000"/>
          <w:sz w:val="24"/>
          <w:u w:val="single"/>
        </w:rPr>
        <w:t>年</w:t>
      </w:r>
      <w:r>
        <w:rPr>
          <w:rFonts w:hint="eastAsia" w:ascii="仿宋_GB2312" w:hAnsi="仿宋" w:eastAsia="仿宋_GB2312"/>
          <w:color w:val="FF0000"/>
          <w:sz w:val="24"/>
          <w:u w:val="single"/>
          <w:lang w:val="en-US" w:eastAsia="zh-CN"/>
        </w:rPr>
        <w:t>2</w:t>
      </w:r>
      <w:r>
        <w:rPr>
          <w:rFonts w:ascii="仿宋_GB2312" w:hAnsi="仿宋" w:eastAsia="仿宋_GB2312"/>
          <w:color w:val="FF0000"/>
          <w:sz w:val="24"/>
          <w:u w:val="single"/>
        </w:rPr>
        <w:t>月</w:t>
      </w:r>
      <w:r>
        <w:rPr>
          <w:rFonts w:hint="eastAsia" w:ascii="仿宋_GB2312" w:hAnsi="仿宋" w:eastAsia="仿宋_GB2312"/>
          <w:color w:val="FF0000"/>
          <w:sz w:val="24"/>
          <w:u w:val="single"/>
          <w:lang w:val="en-US" w:eastAsia="zh-CN"/>
        </w:rPr>
        <w:t>18</w:t>
      </w:r>
      <w:r>
        <w:rPr>
          <w:rFonts w:ascii="仿宋_GB2312" w:hAnsi="仿宋" w:eastAsia="仿宋_GB2312"/>
          <w:color w:val="FF0000"/>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color w:val="FF0000"/>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color w:val="FF0000"/>
          <w:sz w:val="24"/>
          <w:u w:val="single"/>
        </w:rPr>
        <w:t>202</w:t>
      </w:r>
      <w:r>
        <w:rPr>
          <w:rFonts w:hint="eastAsia" w:ascii="仿宋_GB2312" w:hAnsi="仿宋" w:eastAsia="仿宋_GB2312"/>
          <w:color w:val="FF0000"/>
          <w:sz w:val="24"/>
          <w:u w:val="single"/>
          <w:lang w:val="en-US" w:eastAsia="zh-CN"/>
        </w:rPr>
        <w:t>2</w:t>
      </w:r>
      <w:r>
        <w:rPr>
          <w:rFonts w:ascii="仿宋_GB2312" w:hAnsi="仿宋" w:eastAsia="仿宋_GB2312"/>
          <w:color w:val="FF0000"/>
          <w:sz w:val="24"/>
          <w:u w:val="single"/>
        </w:rPr>
        <w:t>年</w:t>
      </w:r>
      <w:r>
        <w:rPr>
          <w:rFonts w:hint="eastAsia" w:ascii="仿宋_GB2312" w:hAnsi="仿宋" w:eastAsia="仿宋_GB2312"/>
          <w:color w:val="FF0000"/>
          <w:sz w:val="24"/>
          <w:u w:val="single"/>
          <w:lang w:val="en-US" w:eastAsia="zh-CN"/>
        </w:rPr>
        <w:t>2</w:t>
      </w:r>
      <w:r>
        <w:rPr>
          <w:rFonts w:hint="eastAsia" w:ascii="仿宋_GB2312" w:hAnsi="仿宋" w:eastAsia="仿宋_GB2312"/>
          <w:color w:val="FF0000"/>
          <w:sz w:val="24"/>
          <w:u w:val="single"/>
        </w:rPr>
        <w:t>月</w:t>
      </w:r>
      <w:r>
        <w:rPr>
          <w:rFonts w:hint="eastAsia" w:ascii="仿宋_GB2312" w:hAnsi="仿宋" w:eastAsia="仿宋_GB2312"/>
          <w:color w:val="FF0000"/>
          <w:sz w:val="24"/>
          <w:u w:val="single"/>
          <w:lang w:val="en-US" w:eastAsia="zh-CN"/>
        </w:rPr>
        <w:t>18</w:t>
      </w:r>
      <w:r>
        <w:rPr>
          <w:rFonts w:hint="eastAsia" w:ascii="仿宋_GB2312" w:hAnsi="仿宋" w:eastAsia="仿宋_GB2312"/>
          <w:color w:val="FF0000"/>
          <w:sz w:val="24"/>
          <w:u w:val="single"/>
        </w:rPr>
        <w:t>日</w:t>
      </w:r>
      <w:r>
        <w:rPr>
          <w:rFonts w:hint="eastAsia" w:ascii="仿宋_GB2312" w:hAnsi="仿宋" w:eastAsia="仿宋_GB2312"/>
          <w:color w:val="FF0000"/>
          <w:sz w:val="24"/>
          <w:u w:val="single"/>
          <w:lang w:val="en-US" w:eastAsia="zh-CN"/>
        </w:rPr>
        <w:t>13</w:t>
      </w:r>
      <w:r>
        <w:rPr>
          <w:rFonts w:hint="eastAsia" w:ascii="仿宋_GB2312" w:hAnsi="仿宋" w:eastAsia="仿宋_GB2312"/>
          <w:color w:val="FF0000"/>
          <w:sz w:val="24"/>
          <w:u w:val="single"/>
        </w:rPr>
        <w:t>点</w:t>
      </w:r>
      <w:r>
        <w:rPr>
          <w:rFonts w:hint="eastAsia" w:ascii="仿宋_GB2312" w:hAnsi="仿宋" w:eastAsia="仿宋_GB2312"/>
          <w:color w:val="FF0000"/>
          <w:sz w:val="24"/>
          <w:u w:val="single"/>
          <w:lang w:val="en-US" w:eastAsia="zh-CN"/>
        </w:rPr>
        <w:t>30</w:t>
      </w:r>
      <w:r>
        <w:rPr>
          <w:rFonts w:hint="eastAsia" w:ascii="仿宋_GB2312" w:hAnsi="仿宋" w:eastAsia="仿宋_GB2312"/>
          <w:color w:val="FF0000"/>
          <w:sz w:val="24"/>
          <w:u w:val="single"/>
        </w:rPr>
        <w:t>分</w:t>
      </w:r>
      <w:r>
        <w:rPr>
          <w:rFonts w:hint="eastAsia" w:ascii="仿宋_GB2312" w:hAnsi="仿宋" w:eastAsia="仿宋_GB2312"/>
          <w:bCs/>
          <w:color w:val="FF0000"/>
          <w:sz w:val="24"/>
          <w:u w:val="single"/>
        </w:rPr>
        <w:t xml:space="preserve"> </w:t>
      </w:r>
      <w:r>
        <w:rPr>
          <w:rFonts w:hint="eastAsia" w:ascii="仿宋_GB2312" w:hAnsi="仿宋" w:eastAsia="仿宋_GB2312"/>
          <w:color w:val="FF0000"/>
          <w:sz w:val="24"/>
        </w:rPr>
        <w:t>（北京时间）</w:t>
      </w:r>
    </w:p>
    <w:p>
      <w:pPr>
        <w:spacing w:line="360" w:lineRule="auto"/>
        <w:ind w:firstLine="482" w:firstLineChars="200"/>
        <w:rPr>
          <w:rFonts w:ascii="仿宋_GB2312" w:hAnsi="仿宋" w:eastAsia="仿宋_GB2312"/>
          <w:b/>
          <w:color w:val="FF0000"/>
          <w:sz w:val="24"/>
        </w:rPr>
      </w:pPr>
      <w:r>
        <w:rPr>
          <w:rFonts w:hint="eastAsia" w:ascii="仿宋_GB2312" w:hAnsi="仿宋" w:eastAsia="仿宋_GB2312"/>
          <w:b/>
          <w:color w:val="FF0000"/>
          <w:sz w:val="24"/>
        </w:rPr>
        <w:t>投标地点（网址）：</w:t>
      </w:r>
      <w:r>
        <w:rPr>
          <w:rFonts w:hint="eastAsia" w:ascii="仿宋_GB2312" w:hAnsi="仿宋" w:eastAsia="仿宋_GB2312"/>
          <w:color w:val="FF0000"/>
          <w:sz w:val="24"/>
        </w:rPr>
        <w:t>政采云平台（</w:t>
      </w:r>
      <w:r>
        <w:rPr>
          <w:rFonts w:ascii="仿宋_GB2312" w:hAnsi="仿宋" w:eastAsia="仿宋_GB2312"/>
          <w:color w:val="FF0000"/>
          <w:sz w:val="24"/>
        </w:rPr>
        <w:t xml:space="preserve">https://www.zcygov.cn/） </w:t>
      </w:r>
    </w:p>
    <w:p>
      <w:pPr>
        <w:spacing w:line="360" w:lineRule="auto"/>
        <w:ind w:firstLine="482" w:firstLineChars="200"/>
        <w:rPr>
          <w:rFonts w:ascii="仿宋_GB2312" w:hAnsi="仿宋" w:eastAsia="仿宋_GB2312"/>
          <w:bCs/>
          <w:color w:val="FF0000"/>
          <w:sz w:val="24"/>
          <w:u w:val="single"/>
        </w:rPr>
      </w:pPr>
      <w:r>
        <w:rPr>
          <w:rFonts w:hint="eastAsia" w:ascii="仿宋_GB2312" w:hAnsi="仿宋" w:eastAsia="仿宋_GB2312"/>
          <w:b/>
          <w:color w:val="FF0000"/>
          <w:sz w:val="24"/>
        </w:rPr>
        <w:t>开标时间：</w:t>
      </w:r>
      <w:r>
        <w:rPr>
          <w:rFonts w:hint="eastAsia" w:ascii="仿宋_GB2312" w:hAnsi="仿宋" w:eastAsia="仿宋_GB2312"/>
          <w:color w:val="FF0000"/>
          <w:sz w:val="24"/>
          <w:u w:val="single"/>
        </w:rPr>
        <w:t>202</w:t>
      </w:r>
      <w:r>
        <w:rPr>
          <w:rFonts w:hint="eastAsia" w:ascii="仿宋_GB2312" w:hAnsi="仿宋" w:eastAsia="仿宋_GB2312"/>
          <w:color w:val="FF0000"/>
          <w:sz w:val="24"/>
          <w:u w:val="single"/>
          <w:lang w:val="en-US" w:eastAsia="zh-CN"/>
        </w:rPr>
        <w:t>2</w:t>
      </w:r>
      <w:r>
        <w:rPr>
          <w:rFonts w:ascii="仿宋_GB2312" w:hAnsi="仿宋" w:eastAsia="仿宋_GB2312"/>
          <w:color w:val="FF0000"/>
          <w:sz w:val="24"/>
          <w:u w:val="single"/>
        </w:rPr>
        <w:t>年</w:t>
      </w:r>
      <w:r>
        <w:rPr>
          <w:rFonts w:hint="eastAsia" w:ascii="仿宋_GB2312" w:hAnsi="仿宋" w:eastAsia="仿宋_GB2312"/>
          <w:color w:val="FF0000"/>
          <w:sz w:val="24"/>
          <w:u w:val="single"/>
          <w:lang w:val="en-US" w:eastAsia="zh-CN"/>
        </w:rPr>
        <w:t>2</w:t>
      </w:r>
      <w:r>
        <w:rPr>
          <w:rFonts w:hint="eastAsia" w:ascii="仿宋_GB2312" w:hAnsi="仿宋" w:eastAsia="仿宋_GB2312"/>
          <w:color w:val="FF0000"/>
          <w:sz w:val="24"/>
          <w:u w:val="single"/>
        </w:rPr>
        <w:t>月</w:t>
      </w:r>
      <w:r>
        <w:rPr>
          <w:rFonts w:hint="eastAsia" w:ascii="仿宋_GB2312" w:hAnsi="仿宋" w:eastAsia="仿宋_GB2312"/>
          <w:color w:val="FF0000"/>
          <w:sz w:val="24"/>
          <w:u w:val="single"/>
          <w:lang w:val="en-US" w:eastAsia="zh-CN"/>
        </w:rPr>
        <w:t>18</w:t>
      </w:r>
      <w:r>
        <w:rPr>
          <w:rFonts w:hint="eastAsia" w:ascii="仿宋_GB2312" w:hAnsi="仿宋" w:eastAsia="仿宋_GB2312"/>
          <w:color w:val="FF0000"/>
          <w:sz w:val="24"/>
          <w:u w:val="single"/>
        </w:rPr>
        <w:t>日</w:t>
      </w:r>
      <w:r>
        <w:rPr>
          <w:rFonts w:hint="eastAsia" w:ascii="仿宋_GB2312" w:hAnsi="仿宋" w:eastAsia="仿宋_GB2312"/>
          <w:color w:val="FF0000"/>
          <w:sz w:val="24"/>
          <w:u w:val="single"/>
          <w:lang w:val="en-US" w:eastAsia="zh-CN"/>
        </w:rPr>
        <w:t>13</w:t>
      </w:r>
      <w:r>
        <w:rPr>
          <w:rFonts w:hint="eastAsia" w:ascii="仿宋_GB2312" w:hAnsi="仿宋" w:eastAsia="仿宋_GB2312"/>
          <w:color w:val="FF0000"/>
          <w:sz w:val="24"/>
          <w:u w:val="single"/>
        </w:rPr>
        <w:t>点</w:t>
      </w:r>
      <w:r>
        <w:rPr>
          <w:rFonts w:hint="eastAsia" w:ascii="仿宋_GB2312" w:hAnsi="仿宋" w:eastAsia="仿宋_GB2312"/>
          <w:color w:val="FF0000"/>
          <w:sz w:val="24"/>
          <w:u w:val="single"/>
          <w:lang w:val="en-US" w:eastAsia="zh-CN"/>
        </w:rPr>
        <w:t>30</w:t>
      </w:r>
      <w:r>
        <w:rPr>
          <w:rFonts w:hint="eastAsia" w:ascii="仿宋_GB2312" w:hAnsi="仿宋" w:eastAsia="仿宋_GB2312"/>
          <w:color w:val="FF0000"/>
          <w:sz w:val="24"/>
          <w:u w:val="single"/>
        </w:rPr>
        <w:t>分</w:t>
      </w:r>
      <w:r>
        <w:rPr>
          <w:rFonts w:hint="eastAsia" w:ascii="仿宋_GB2312" w:hAnsi="仿宋" w:eastAsia="仿宋_GB2312"/>
          <w:bCs/>
          <w:color w:val="FF0000"/>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ind w:firstLine="480" w:firstLineChars="200"/>
        <w:jc w:val="both"/>
        <w:rPr>
          <w:rFonts w:ascii="仿宋_GB2312" w:hAnsi="仿宋" w:eastAsia="仿宋_GB2312" w:cs="仿宋_GB2312"/>
          <w:sz w:val="24"/>
        </w:rPr>
      </w:pPr>
      <w:r>
        <w:rPr>
          <w:rFonts w:ascii="仿宋_GB2312" w:hAnsi="仿宋" w:eastAsia="仿宋_GB2312" w:cs="仿宋_GB2312"/>
          <w:sz w:val="24"/>
        </w:rPr>
        <w:t>名    称：</w:t>
      </w:r>
      <w:r>
        <w:rPr>
          <w:rFonts w:hint="eastAsia" w:ascii="仿宋_GB2312" w:hAnsi="仿宋" w:eastAsia="仿宋_GB2312" w:cs="仿宋_GB2312"/>
          <w:sz w:val="24"/>
        </w:rPr>
        <w:t>杭州市</w:t>
      </w:r>
      <w:r>
        <w:rPr>
          <w:rFonts w:hint="eastAsia" w:ascii="仿宋_GB2312" w:hAnsi="仿宋" w:eastAsia="仿宋_GB2312" w:cs="仿宋_GB2312"/>
          <w:sz w:val="24"/>
          <w:lang w:eastAsia="zh-CN"/>
        </w:rPr>
        <w:t>余杭</w:t>
      </w:r>
      <w:r>
        <w:rPr>
          <w:rFonts w:hint="eastAsia" w:ascii="仿宋_GB2312" w:hAnsi="仿宋" w:eastAsia="仿宋_GB2312" w:cs="仿宋_GB2312"/>
          <w:sz w:val="24"/>
        </w:rPr>
        <w:t>区人民政府</w:t>
      </w:r>
      <w:r>
        <w:rPr>
          <w:rFonts w:hint="eastAsia" w:ascii="仿宋_GB2312" w:hAnsi="仿宋" w:eastAsia="仿宋_GB2312" w:cs="仿宋_GB2312"/>
          <w:sz w:val="24"/>
          <w:lang w:eastAsia="zh-CN"/>
        </w:rPr>
        <w:t>仁和</w:t>
      </w:r>
      <w:r>
        <w:rPr>
          <w:rFonts w:hint="eastAsia" w:ascii="仿宋_GB2312" w:hAnsi="仿宋" w:eastAsia="仿宋_GB2312" w:cs="仿宋_GB2312"/>
          <w:sz w:val="24"/>
        </w:rPr>
        <w:t>街道办事处</w:t>
      </w:r>
    </w:p>
    <w:p>
      <w:pPr>
        <w:spacing w:line="360" w:lineRule="auto"/>
        <w:ind w:firstLine="480" w:firstLineChars="200"/>
        <w:jc w:val="both"/>
        <w:rPr>
          <w:rFonts w:ascii="仿宋_GB2312" w:hAnsi="仿宋" w:eastAsia="仿宋_GB2312"/>
          <w:sz w:val="24"/>
        </w:rPr>
      </w:pPr>
      <w:r>
        <w:rPr>
          <w:rFonts w:ascii="仿宋_GB2312" w:hAnsi="仿宋" w:eastAsia="仿宋_GB2312" w:cs="仿宋_GB2312"/>
          <w:sz w:val="24"/>
        </w:rPr>
        <w:t>地    址：</w:t>
      </w:r>
      <w:r>
        <w:rPr>
          <w:rFonts w:hint="eastAsia" w:ascii="仿宋_GB2312" w:hAnsi="仿宋" w:eastAsia="仿宋_GB2312" w:cs="仿宋_GB2312"/>
          <w:sz w:val="24"/>
        </w:rPr>
        <w:t>杭州市</w:t>
      </w:r>
      <w:r>
        <w:rPr>
          <w:rFonts w:hint="eastAsia" w:ascii="仿宋_GB2312" w:hAnsi="仿宋" w:eastAsia="仿宋_GB2312" w:cs="仿宋_GB2312"/>
          <w:sz w:val="24"/>
          <w:lang w:eastAsia="zh-CN"/>
        </w:rPr>
        <w:t>余杭</w:t>
      </w:r>
      <w:r>
        <w:rPr>
          <w:rFonts w:hint="eastAsia" w:ascii="仿宋_GB2312" w:hAnsi="仿宋" w:eastAsia="仿宋_GB2312" w:cs="仿宋_GB2312"/>
          <w:sz w:val="24"/>
        </w:rPr>
        <w:t>区</w:t>
      </w:r>
      <w:r>
        <w:rPr>
          <w:rFonts w:hint="eastAsia" w:ascii="仿宋_GB2312" w:hAnsi="仿宋" w:eastAsia="仿宋_GB2312" w:cs="仿宋_GB2312"/>
          <w:sz w:val="24"/>
          <w:lang w:eastAsia="zh-CN"/>
        </w:rPr>
        <w:t>仁和街道办事处</w:t>
      </w: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4"/>
        </w:rPr>
        <w:t xml:space="preserve"> </w:t>
      </w:r>
      <w:r>
        <w:rPr>
          <w:rFonts w:ascii="仿宋_GB2312" w:hAnsi="仿宋" w:eastAsia="仿宋_GB2312" w:cs="仿宋_GB2312"/>
          <w:sz w:val="24"/>
        </w:rPr>
        <w:t xml:space="preserve"> </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项目联系人（询问</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val="en-US" w:eastAsia="zh-CN"/>
        </w:rPr>
        <w:t xml:space="preserve"> 俞杭燕</w:t>
      </w:r>
      <w:r>
        <w:rPr>
          <w:rFonts w:hint="eastAsia" w:ascii="仿宋_GB2312" w:hAnsi="仿宋" w:eastAsia="仿宋_GB2312" w:cs="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w:t>
      </w:r>
      <w:r>
        <w:rPr>
          <w:rFonts w:hint="eastAsia" w:ascii="仿宋_GB2312" w:hAnsi="仿宋" w:eastAsia="仿宋_GB2312" w:cs="仿宋_GB2312"/>
          <w:sz w:val="24"/>
          <w:highlight w:val="none"/>
        </w:rPr>
        <w:t>问）：</w:t>
      </w:r>
      <w:r>
        <w:rPr>
          <w:rFonts w:hint="eastAsia" w:ascii="仿宋_GB2312" w:hAnsi="仿宋" w:eastAsia="仿宋_GB2312" w:cs="仿宋_GB2312"/>
          <w:sz w:val="24"/>
          <w:highlight w:val="none"/>
          <w:lang w:val="en-US" w:eastAsia="zh-CN"/>
        </w:rPr>
        <w:t xml:space="preserve">0571-86390301 </w:t>
      </w:r>
      <w:r>
        <w:rPr>
          <w:rFonts w:hint="eastAsia" w:ascii="仿宋_GB2312" w:hAnsi="仿宋" w:eastAsia="仿宋_GB2312" w:cs="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沈涛</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 xml:space="preserve">19817133915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仿宋_GB2312" w:hAnsi="仿宋" w:eastAsia="仿宋_GB2312" w:cs="Times New Roman"/>
          <w:sz w:val="24"/>
        </w:rPr>
        <w:t>杭州市建设工程管理集团有限公司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_GB2312" w:hAnsi="仿宋" w:eastAsia="仿宋_GB2312" w:cs="Times New Roman"/>
          <w:sz w:val="24"/>
        </w:rPr>
        <w:t xml:space="preserve">杭州市临平区临平北沙东路7号兄弟实业1#（里面那幢）三楼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lang w:eastAsia="zh-CN"/>
        </w:rPr>
        <w:t>姜君</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lang w:val="en-US" w:eastAsia="zh-CN"/>
        </w:rPr>
        <w:t>0571-86225768</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 w:hAnsi="仿宋" w:eastAsia="仿宋"/>
          <w:sz w:val="24"/>
        </w:rPr>
        <w:t xml:space="preserve"> </w:t>
      </w:r>
      <w:r>
        <w:rPr>
          <w:rFonts w:hint="eastAsia" w:ascii="仿宋" w:hAnsi="仿宋" w:eastAsia="仿宋"/>
          <w:sz w:val="24"/>
          <w:lang w:eastAsia="zh-CN"/>
        </w:rPr>
        <w:t>王肖艳</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lang w:val="en-US" w:eastAsia="zh-CN"/>
        </w:rPr>
        <w:t>18968070007</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ascii="仿宋_GB2312" w:hAnsi="仿宋" w:eastAsia="仿宋_GB2312" w:cs="Times New Roman"/>
          <w:sz w:val="24"/>
        </w:rPr>
        <w:t>杭州市</w:t>
      </w:r>
      <w:r>
        <w:rPr>
          <w:rFonts w:hint="eastAsia" w:ascii="仿宋_GB2312" w:hAnsi="仿宋" w:eastAsia="仿宋_GB2312" w:cs="Times New Roman"/>
          <w:sz w:val="24"/>
          <w:lang w:eastAsia="zh-CN"/>
        </w:rPr>
        <w:t>余杭</w:t>
      </w:r>
      <w:r>
        <w:rPr>
          <w:rFonts w:ascii="仿宋_GB2312" w:hAnsi="仿宋" w:eastAsia="仿宋_GB2312" w:cs="Times New Roman"/>
          <w:sz w:val="24"/>
        </w:rPr>
        <w:t>区财政局</w:t>
      </w:r>
      <w:r>
        <w:rPr>
          <w:rFonts w:hint="eastAsia" w:ascii="仿宋_GB2312" w:hAnsi="仿宋" w:eastAsia="仿宋_GB2312" w:cs="Times New Roman"/>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cs="Times New Roman"/>
          <w:sz w:val="24"/>
          <w:lang w:val="en-US" w:eastAsia="zh-CN"/>
        </w:rPr>
        <w:t xml:space="preserve"> 余杭区五常街道溪沁路8号中国电信浙江创新园1号楼</w:t>
      </w:r>
      <w:r>
        <w:rPr>
          <w:rFonts w:hint="eastAsia" w:ascii="仿宋_GB2312" w:hAnsi="仿宋" w:eastAsia="仿宋_GB2312" w:cs="Times New Roman"/>
          <w:sz w:val="24"/>
        </w:rPr>
        <w:t xml:space="preserve"> </w:t>
      </w:r>
    </w:p>
    <w:p>
      <w:pPr>
        <w:spacing w:line="360" w:lineRule="auto"/>
        <w:ind w:firstLine="240" w:firstLineChars="100"/>
        <w:rPr>
          <w:rFonts w:hint="eastAsia" w:ascii="仿宋_GB2312" w:hAnsi="仿宋" w:eastAsia="仿宋_GB2312"/>
          <w:sz w:val="24"/>
          <w:lang w:val="en-US" w:eastAsia="zh-CN"/>
        </w:rPr>
      </w:pPr>
      <w:r>
        <w:rPr>
          <w:rFonts w:ascii="仿宋_GB2312" w:hAnsi="仿宋" w:eastAsia="仿宋_GB2312"/>
          <w:sz w:val="24"/>
        </w:rPr>
        <w:t xml:space="preserve">  传    真：</w:t>
      </w:r>
      <w:r>
        <w:rPr>
          <w:rFonts w:hint="eastAsia" w:ascii="仿宋_GB2312" w:hAnsi="仿宋" w:eastAsia="仿宋_GB2312"/>
          <w:sz w:val="24"/>
        </w:rPr>
        <w:t xml:space="preserve"> </w:t>
      </w:r>
      <w:r>
        <w:rPr>
          <w:rFonts w:hint="eastAsia" w:ascii="仿宋_GB2312" w:hAnsi="仿宋" w:eastAsia="仿宋_GB2312"/>
          <w:sz w:val="24"/>
          <w:lang w:val="en-US" w:eastAsia="zh-CN"/>
        </w:rPr>
        <w:t>/</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lang w:eastAsia="zh-CN"/>
        </w:rPr>
        <w:t>杜国强</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lang w:val="en-US" w:eastAsia="zh-CN"/>
        </w:rPr>
        <w:t>0571-88728858</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r>
              <w:rPr>
                <w:rFonts w:ascii="MS Gothic" w:hAnsi="MS Gothic" w:eastAsia="MS Gothic" w:cs="Arial"/>
                <w:kern w:val="0"/>
                <w:sz w:val="24"/>
                <w:highlight w:val="none"/>
              </w:rPr>
              <w:t>☐</w:t>
            </w:r>
            <w:r>
              <w:rPr>
                <w:rFonts w:ascii="仿宋_GB2312" w:hAnsi="仿宋" w:eastAsia="仿宋_GB2312" w:cs="Arial"/>
                <w:kern w:val="0"/>
                <w:sz w:val="24"/>
                <w:highlight w:val="none"/>
              </w:rPr>
              <w:t>A</w:t>
            </w:r>
            <w:r>
              <w:rPr>
                <w:rFonts w:hint="eastAsia" w:ascii="仿宋_GB2312" w:hAnsi="仿宋" w:eastAsia="仿宋_GB2312"/>
                <w:sz w:val="24"/>
                <w:highlight w:val="none"/>
              </w:rPr>
              <w:t>不要求提供。</w:t>
            </w:r>
          </w:p>
          <w:p>
            <w:pPr>
              <w:spacing w:line="360" w:lineRule="auto"/>
              <w:rPr>
                <w:rFonts w:ascii="仿宋_GB2312" w:hAnsi="仿宋" w:eastAsia="仿宋_GB2312"/>
                <w:kern w:val="0"/>
                <w:sz w:val="24"/>
                <w:highlight w:val="none"/>
              </w:rPr>
            </w:pPr>
            <w:r>
              <w:rPr>
                <w:rFonts w:ascii="MS Gothic" w:hAnsi="MS Gothic" w:eastAsia="MS Gothic" w:cs="Arial"/>
                <w:kern w:val="0"/>
                <w:sz w:val="24"/>
                <w:highlight w:val="none"/>
              </w:rPr>
              <w:sym w:font="Wingdings" w:char="F0FE"/>
            </w:r>
            <w:r>
              <w:rPr>
                <w:rFonts w:ascii="仿宋_GB2312" w:hAnsi="仿宋" w:eastAsia="仿宋_GB2312"/>
                <w:kern w:val="0"/>
                <w:sz w:val="24"/>
                <w:highlight w:val="none"/>
              </w:rPr>
              <w:t>B</w:t>
            </w:r>
            <w:r>
              <w:rPr>
                <w:rFonts w:hint="eastAsia" w:ascii="仿宋_GB2312" w:hAnsi="仿宋" w:eastAsia="仿宋_GB2312"/>
                <w:kern w:val="0"/>
                <w:sz w:val="24"/>
                <w:highlight w:val="none"/>
              </w:rPr>
              <w:t>要求提供，</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w:t>
            </w:r>
            <w:r>
              <w:rPr>
                <w:rFonts w:hint="eastAsia" w:ascii="仿宋" w:hAnsi="仿宋" w:eastAsia="仿宋"/>
                <w:snapToGrid w:val="0"/>
                <w:kern w:val="28"/>
                <w:sz w:val="24"/>
                <w:highlight w:val="none"/>
              </w:rPr>
              <w:t>样品：</w:t>
            </w:r>
            <w:r>
              <w:rPr>
                <w:rFonts w:hint="eastAsia" w:ascii="仿宋_GB2312" w:hAnsi="仿宋" w:eastAsia="仿宋_GB2312" w:cs="Times New Roman"/>
                <w:b/>
                <w:bCs/>
                <w:sz w:val="24"/>
                <w:highlight w:val="none"/>
                <w:u w:val="single"/>
                <w:lang w:val="en-US" w:eastAsia="zh-CN"/>
              </w:rPr>
              <w:t>项目采购清单-序号-01、项目采购清单-序号-02、项目采购清单-序号-03、项目采购清单-序号-05、项目采购清单-序号-14、项目采购清单-序号-24、项目采购清单-序号-25、项目采购清单-序号-26，共8样 ；</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w:t>
            </w:r>
            <w:r>
              <w:rPr>
                <w:rFonts w:hint="eastAsia" w:ascii="仿宋" w:hAnsi="仿宋" w:eastAsia="仿宋"/>
                <w:snapToGrid w:val="0"/>
                <w:kern w:val="28"/>
                <w:sz w:val="24"/>
                <w:highlight w:val="none"/>
              </w:rPr>
              <w:t>样品制作的标准和要求：</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u w:val="single"/>
                <w:lang w:val="en-US" w:eastAsia="zh-CN"/>
              </w:rPr>
              <w:t>8种样品各一组，尺寸范围：高20-50cm*长40-110cm</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3）样品的评审方法以及评审标准</w:t>
            </w:r>
            <w:r>
              <w:rPr>
                <w:rFonts w:hint="eastAsia" w:ascii="仿宋" w:hAnsi="仿宋" w:eastAsia="仿宋"/>
                <w:snapToGrid w:val="0"/>
                <w:kern w:val="28"/>
                <w:sz w:val="24"/>
                <w:highlight w:val="none"/>
              </w:rPr>
              <w:t>：详见</w:t>
            </w:r>
            <w:r>
              <w:rPr>
                <w:rFonts w:hint="eastAsia" w:ascii="仿宋_GB2312" w:hAnsi="仿宋" w:eastAsia="仿宋_GB2312"/>
                <w:sz w:val="24"/>
                <w:highlight w:val="none"/>
                <w:u w:val="single"/>
              </w:rPr>
              <w:t>评标办法</w:t>
            </w:r>
            <w:r>
              <w:rPr>
                <w:rFonts w:hint="eastAsia" w:ascii="仿宋_GB2312" w:hAnsi="仿宋" w:eastAsia="仿宋_GB2312"/>
                <w:kern w:val="0"/>
                <w:sz w:val="24"/>
                <w:highlight w:val="none"/>
              </w:rPr>
              <w:t>；</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4）是否需要随样品提交检测报告</w:t>
            </w:r>
            <w:r>
              <w:rPr>
                <w:rFonts w:hint="eastAsia" w:ascii="仿宋_GB2312" w:hAnsi="仿宋" w:eastAsia="仿宋_GB2312"/>
                <w:kern w:val="0"/>
                <w:sz w:val="24"/>
                <w:highlight w:val="none"/>
              </w:rPr>
              <w:t>：</w:t>
            </w:r>
            <w:r>
              <w:rPr>
                <w:rFonts w:ascii="MS Gothic" w:hAnsi="MS Gothic" w:eastAsia="仿宋_GB2312" w:cs="Arial"/>
                <w:kern w:val="0"/>
                <w:sz w:val="24"/>
                <w:highlight w:val="none"/>
              </w:rPr>
              <w:sym w:font="Wingdings" w:char="F0FE"/>
            </w:r>
            <w:r>
              <w:rPr>
                <w:rFonts w:ascii="仿宋_GB2312" w:hAnsi="仿宋" w:eastAsia="仿宋_GB2312"/>
                <w:kern w:val="0"/>
                <w:sz w:val="24"/>
                <w:highlight w:val="none"/>
              </w:rPr>
              <w:t>否；</w:t>
            </w:r>
            <w:r>
              <w:rPr>
                <w:rFonts w:ascii="MS Gothic" w:hAnsi="MS Gothic" w:eastAsia="仿宋_GB2312" w:cs="Arial"/>
                <w:kern w:val="0"/>
                <w:sz w:val="24"/>
                <w:highlight w:val="none"/>
              </w:rPr>
              <w:t>☐</w:t>
            </w:r>
            <w:r>
              <w:rPr>
                <w:rFonts w:ascii="仿宋_GB2312" w:hAnsi="仿宋" w:eastAsia="仿宋_GB2312"/>
                <w:kern w:val="0"/>
                <w:sz w:val="24"/>
                <w:highlight w:val="none"/>
              </w:rPr>
              <w:t>是，检测机构的要求</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；检测内容</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5）提供样品的时间：</w:t>
            </w:r>
            <w:r>
              <w:rPr>
                <w:rFonts w:hint="eastAsia" w:ascii="仿宋_GB2312" w:hAnsi="仿宋" w:eastAsia="仿宋_GB2312" w:cs="Times New Roman"/>
                <w:b/>
                <w:bCs/>
                <w:sz w:val="24"/>
                <w:highlight w:val="none"/>
                <w:u w:val="single"/>
                <w:lang w:val="en-US" w:eastAsia="zh-CN"/>
              </w:rPr>
              <w:t xml:space="preserve"> </w:t>
            </w:r>
            <w:r>
              <w:rPr>
                <w:rFonts w:hint="eastAsia" w:ascii="仿宋_GB2312" w:hAnsi="仿宋" w:eastAsia="仿宋_GB2312" w:cs="Times New Roman"/>
                <w:b/>
                <w:bCs/>
                <w:color w:val="FF0000"/>
                <w:sz w:val="24"/>
                <w:highlight w:val="none"/>
                <w:u w:val="single"/>
                <w:lang w:val="en-US" w:eastAsia="zh-CN"/>
              </w:rPr>
              <w:t xml:space="preserve">2021年2月17日14：00至16：00 </w:t>
            </w:r>
            <w:r>
              <w:rPr>
                <w:rFonts w:hint="eastAsia" w:ascii="仿宋_GB2312" w:hAnsi="仿宋" w:eastAsia="仿宋_GB2312"/>
                <w:kern w:val="0"/>
                <w:sz w:val="24"/>
                <w:highlight w:val="none"/>
              </w:rPr>
              <w:t>；地点：</w:t>
            </w:r>
            <w:r>
              <w:rPr>
                <w:rFonts w:hint="eastAsia" w:ascii="仿宋_GB2312" w:hAnsi="仿宋" w:eastAsia="仿宋_GB2312"/>
                <w:sz w:val="24"/>
                <w:highlight w:val="none"/>
                <w:u w:val="single"/>
              </w:rPr>
              <w:t xml:space="preserve"> </w:t>
            </w:r>
            <w:r>
              <w:rPr>
                <w:rFonts w:hint="eastAsia" w:ascii="仿宋_GB2312" w:hAnsi="仿宋" w:eastAsia="仿宋_GB2312" w:cs="Times New Roman"/>
                <w:b/>
                <w:bCs/>
                <w:sz w:val="24"/>
                <w:highlight w:val="none"/>
                <w:u w:val="single"/>
                <w:lang w:val="en-US" w:eastAsia="zh-CN"/>
              </w:rPr>
              <w:t xml:space="preserve"> 杭州市临平区北沙东路7号兄弟实业1#（里面那幢）三楼代理部 </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；联系人</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cs="Times New Roman"/>
                <w:b/>
                <w:bCs/>
                <w:sz w:val="24"/>
                <w:highlight w:val="none"/>
                <w:u w:val="single"/>
                <w:lang w:val="en-US" w:eastAsia="zh-CN"/>
              </w:rPr>
              <w:t xml:space="preserve">胡丹红 </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w:t>
            </w:r>
            <w:r>
              <w:rPr>
                <w:rFonts w:hint="eastAsia" w:ascii="仿宋_GB2312" w:hAnsi="仿宋" w:eastAsia="仿宋_GB2312"/>
                <w:kern w:val="28"/>
                <w:sz w:val="24"/>
                <w:highlight w:val="none"/>
              </w:rPr>
              <w:t>联系电话：</w:t>
            </w:r>
            <w:r>
              <w:rPr>
                <w:rFonts w:hint="eastAsia" w:ascii="仿宋_GB2312" w:hAnsi="仿宋" w:eastAsia="仿宋_GB2312"/>
                <w:sz w:val="24"/>
                <w:highlight w:val="none"/>
                <w:u w:val="single"/>
              </w:rPr>
              <w:t xml:space="preserve">  </w:t>
            </w:r>
            <w:r>
              <w:rPr>
                <w:rFonts w:hint="eastAsia" w:ascii="仿宋_GB2312" w:hAnsi="仿宋" w:eastAsia="仿宋_GB2312" w:cs="Times New Roman"/>
                <w:b/>
                <w:bCs/>
                <w:sz w:val="24"/>
                <w:highlight w:val="none"/>
                <w:u w:val="single"/>
                <w:lang w:val="en-US" w:eastAsia="zh-CN"/>
              </w:rPr>
              <w:t xml:space="preserve">057186225768  </w:t>
            </w:r>
            <w:r>
              <w:rPr>
                <w:rFonts w:hint="eastAsia" w:ascii="仿宋_GB2312" w:hAnsi="仿宋" w:eastAsia="仿宋_GB2312"/>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(6)采购活动结束后，对于未中标人提供的样品，</w:t>
            </w:r>
            <w:r>
              <w:rPr>
                <w:rFonts w:hint="eastAsia" w:ascii="仿宋_GB2312" w:hAnsi="仿宋" w:eastAsia="仿宋_GB2312"/>
                <w:sz w:val="24"/>
                <w:highlight w:val="none"/>
              </w:rPr>
              <w:t>采购人、采购机构将通知</w:t>
            </w:r>
            <w:r>
              <w:rPr>
                <w:rFonts w:ascii="仿宋_GB2312" w:hAnsi="仿宋" w:eastAsia="仿宋_GB2312"/>
                <w:sz w:val="24"/>
                <w:highlight w:val="none"/>
              </w:rPr>
              <w:t>未中标人</w:t>
            </w:r>
            <w:r>
              <w:rPr>
                <w:rFonts w:hint="eastAsia" w:ascii="仿宋_GB2312" w:hAnsi="仿宋" w:eastAsia="仿宋_GB2312"/>
                <w:sz w:val="24"/>
                <w:highlight w:val="none"/>
              </w:rPr>
              <w:t>在规定的时间内取回，逾期未取回的，采购人、采购机构不负保管义务</w:t>
            </w:r>
            <w:r>
              <w:rPr>
                <w:rFonts w:ascii="仿宋_GB2312" w:hAnsi="仿宋" w:eastAsia="仿宋_GB2312"/>
                <w:sz w:val="24"/>
                <w:highlight w:val="none"/>
              </w:rPr>
              <w:t>；对于中标人提供的样品，</w:t>
            </w:r>
            <w:r>
              <w:rPr>
                <w:rFonts w:hint="eastAsia" w:ascii="仿宋_GB2312" w:hAnsi="仿宋" w:eastAsia="仿宋_GB2312"/>
                <w:sz w:val="24"/>
                <w:highlight w:val="none"/>
              </w:rPr>
              <w:t>采购人将进</w:t>
            </w:r>
            <w:r>
              <w:rPr>
                <w:rFonts w:ascii="仿宋_GB2312" w:hAnsi="仿宋" w:eastAsia="仿宋_GB2312"/>
                <w:sz w:val="24"/>
                <w:highlight w:val="none"/>
              </w:rPr>
              <w:t>行保管、封存，并作为履约验收的参考。</w:t>
            </w:r>
          </w:p>
          <w:p>
            <w:pPr>
              <w:spacing w:line="360" w:lineRule="auto"/>
              <w:rPr>
                <w:rFonts w:ascii="仿宋_GB2312" w:hAnsi="仿宋" w:eastAsia="仿宋_GB2312"/>
                <w:b/>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sym w:font="Wingdings" w:char="00FE"/>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仿宋_GB2312" w:hAnsi="仿宋" w:eastAsia="仿宋_GB2312" w:cs="Arial"/>
                <w:kern w:val="0"/>
                <w:sz w:val="24"/>
              </w:rPr>
              <w:sym w:font="Wingdings" w:char="00A8"/>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highlight w:val="none"/>
                <w:lang w:val="en-US"/>
              </w:rPr>
            </w:pPr>
            <w:r>
              <w:rPr>
                <w:rFonts w:hint="eastAsia" w:ascii="仿宋_GB2312" w:hAnsi="仿宋" w:eastAsia="仿宋_GB2312" w:cs="Arial"/>
                <w:kern w:val="0"/>
                <w:sz w:val="24"/>
                <w:highlight w:val="none"/>
              </w:rPr>
              <w:t>（</w:t>
            </w:r>
            <w:r>
              <w:rPr>
                <w:rFonts w:ascii="仿宋_GB2312" w:hAnsi="仿宋" w:eastAsia="仿宋_GB2312" w:cs="Arial"/>
                <w:kern w:val="0"/>
                <w:sz w:val="24"/>
                <w:highlight w:val="none"/>
              </w:rPr>
              <w:t>1</w:t>
            </w:r>
            <w:r>
              <w:rPr>
                <w:rFonts w:hint="eastAsia" w:ascii="仿宋_GB2312" w:hAnsi="仿宋" w:eastAsia="仿宋_GB2312" w:cs="Arial"/>
                <w:kern w:val="0"/>
                <w:sz w:val="24"/>
                <w:highlight w:val="none"/>
              </w:rPr>
              <w:t>）标的：</w:t>
            </w:r>
            <w:r>
              <w:rPr>
                <w:rFonts w:hint="eastAsia" w:ascii="仿宋_GB2312" w:hAnsi="仿宋" w:eastAsia="仿宋_GB2312" w:cs="Arial"/>
                <w:kern w:val="0"/>
                <w:sz w:val="24"/>
                <w:highlight w:val="none"/>
                <w:u w:val="single"/>
              </w:rPr>
              <w:t xml:space="preserve">  </w:t>
            </w:r>
            <w:r>
              <w:rPr>
                <w:rFonts w:hint="eastAsia" w:ascii="仿宋_GB2312" w:hAnsi="仿宋" w:eastAsia="仿宋_GB2312" w:cs="Arial"/>
                <w:kern w:val="0"/>
                <w:sz w:val="24"/>
                <w:highlight w:val="none"/>
                <w:u w:val="single"/>
                <w:lang w:eastAsia="zh-CN"/>
              </w:rPr>
              <w:t>小品雕塑采购</w:t>
            </w:r>
            <w:r>
              <w:rPr>
                <w:rFonts w:hint="eastAsia" w:eastAsia="仿宋_GB2312"/>
                <w:b/>
                <w:bCs/>
                <w:sz w:val="24"/>
                <w:highlight w:val="none"/>
                <w:u w:val="single" w:color="auto"/>
                <w:lang w:val="en-US" w:eastAsia="zh-CN"/>
              </w:rPr>
              <w:t xml:space="preserve"> </w:t>
            </w:r>
            <w:r>
              <w:rPr>
                <w:rFonts w:hint="eastAsia" w:ascii="仿宋_GB2312" w:hAnsi="仿宋" w:eastAsia="仿宋_GB2312" w:cs="Arial"/>
                <w:kern w:val="0"/>
                <w:sz w:val="24"/>
                <w:highlight w:val="none"/>
              </w:rPr>
              <w:t>，属于</w:t>
            </w:r>
            <w:r>
              <w:rPr>
                <w:rFonts w:hint="eastAsia" w:ascii="仿宋_GB2312" w:hAnsi="仿宋" w:eastAsia="仿宋_GB2312" w:cs="Arial"/>
                <w:kern w:val="0"/>
                <w:sz w:val="24"/>
                <w:highlight w:val="none"/>
                <w:u w:val="single"/>
              </w:rPr>
              <w:t xml:space="preserve">  </w:t>
            </w:r>
            <w:r>
              <w:rPr>
                <w:rFonts w:hint="eastAsia" w:ascii="仿宋_GB2312" w:hAnsi="仿宋" w:eastAsia="仿宋_GB2312" w:cs="Arial"/>
                <w:kern w:val="0"/>
                <w:sz w:val="24"/>
                <w:highlight w:val="none"/>
                <w:u w:val="single"/>
                <w:lang w:eastAsia="zh-CN"/>
              </w:rPr>
              <w:t>建筑业</w:t>
            </w:r>
            <w:r>
              <w:rPr>
                <w:rFonts w:hint="eastAsia" w:ascii="仿宋_GB2312" w:hAnsi="仿宋" w:eastAsia="仿宋_GB2312" w:cs="Arial"/>
                <w:kern w:val="0"/>
                <w:sz w:val="24"/>
                <w:highlight w:val="none"/>
                <w:u w:val="single"/>
                <w:lang w:val="en-US" w:eastAsia="zh-CN"/>
              </w:rPr>
              <w:t xml:space="preserve"> </w:t>
            </w:r>
            <w:r>
              <w:rPr>
                <w:rFonts w:hint="eastAsia" w:ascii="仿宋_GB2312" w:hAnsi="仿宋" w:eastAsia="仿宋_GB2312" w:cs="Arial"/>
                <w:kern w:val="0"/>
                <w:sz w:val="24"/>
                <w:highlight w:val="none"/>
                <w:u w:val="single"/>
                <w:lang w:eastAsia="zh-CN"/>
              </w:rPr>
              <w:t xml:space="preserve"> </w:t>
            </w:r>
            <w:r>
              <w:rPr>
                <w:rFonts w:hint="eastAsia" w:ascii="仿宋_GB2312" w:hAnsi="仿宋" w:eastAsia="仿宋_GB2312" w:cs="Arial"/>
                <w:kern w:val="0"/>
                <w:sz w:val="24"/>
                <w:highlight w:val="none"/>
                <w:u w:val="single"/>
              </w:rPr>
              <w:t xml:space="preserve"> </w:t>
            </w:r>
            <w:r>
              <w:rPr>
                <w:rFonts w:hint="eastAsia" w:ascii="仿宋_GB2312" w:hAnsi="仿宋" w:eastAsia="仿宋_GB2312" w:cs="Arial"/>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color w:val="FF000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color w:val="FF000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w:t>
            </w:r>
            <w:r>
              <w:rPr>
                <w:rFonts w:hint="eastAsia" w:ascii="仿宋_GB2312" w:hAnsi="仿宋" w:eastAsia="仿宋_GB2312"/>
                <w:b/>
                <w:bCs/>
                <w:sz w:val="24"/>
                <w:u w:val="single"/>
              </w:rPr>
              <w:t>杭州市</w:t>
            </w:r>
            <w:r>
              <w:rPr>
                <w:rFonts w:hint="eastAsia" w:ascii="仿宋_GB2312" w:hAnsi="仿宋" w:eastAsia="仿宋_GB2312"/>
                <w:b/>
                <w:bCs/>
                <w:sz w:val="24"/>
                <w:u w:val="single"/>
                <w:lang w:eastAsia="zh-CN"/>
              </w:rPr>
              <w:t>临平</w:t>
            </w:r>
            <w:r>
              <w:rPr>
                <w:rFonts w:hint="eastAsia" w:ascii="仿宋_GB2312" w:hAnsi="仿宋" w:eastAsia="仿宋_GB2312"/>
                <w:b/>
                <w:bCs/>
                <w:sz w:val="24"/>
                <w:u w:val="single"/>
              </w:rPr>
              <w:t>区临平北沙东路7号兄弟实业1#（里面那幢）三楼代理部</w:t>
            </w:r>
            <w:r>
              <w:rPr>
                <w:rFonts w:hint="eastAsia" w:ascii="仿宋_GB2312" w:hAnsi="仿宋" w:eastAsia="仿宋_GB2312"/>
                <w:sz w:val="24"/>
                <w:u w:val="single"/>
              </w:rPr>
              <w:t xml:space="preserve">  </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b/>
                <w:bCs/>
                <w:sz w:val="24"/>
                <w:u w:val="single"/>
              </w:rPr>
              <w:t xml:space="preserve">  姜君</w:t>
            </w:r>
            <w:r>
              <w:rPr>
                <w:rFonts w:hint="eastAsia" w:ascii="仿宋_GB2312" w:hAnsi="仿宋" w:eastAsia="仿宋_GB2312"/>
                <w:b/>
                <w:bCs/>
                <w:sz w:val="24"/>
                <w:u w:val="single"/>
                <w:lang w:eastAsia="zh-CN"/>
              </w:rPr>
              <w:t>、</w:t>
            </w:r>
            <w:r>
              <w:rPr>
                <w:rFonts w:hint="eastAsia" w:ascii="仿宋_GB2312" w:hAnsi="仿宋" w:eastAsia="仿宋_GB2312"/>
                <w:b/>
                <w:bCs/>
                <w:sz w:val="24"/>
                <w:u w:val="single"/>
                <w:lang w:val="en-US" w:eastAsia="zh-CN"/>
              </w:rPr>
              <w:t>18968070007</w:t>
            </w:r>
            <w:r>
              <w:rPr>
                <w:rFonts w:hint="eastAsia" w:ascii="仿宋_GB2312" w:hAnsi="仿宋" w:eastAsia="仿宋_GB2312"/>
                <w:b/>
                <w:bCs/>
                <w:sz w:val="24"/>
                <w:u w:val="single"/>
              </w:rPr>
              <w:t xml:space="preserve"> </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5"/>
              <w:spacing w:before="53" w:line="600" w:lineRule="exact"/>
              <w:ind w:right="170"/>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1、本项目样品采用暗标评审的方式；</w:t>
            </w:r>
          </w:p>
          <w:p>
            <w:pPr>
              <w:spacing w:line="360" w:lineRule="auto"/>
              <w:rPr>
                <w:rFonts w:ascii="仿宋_GB2312" w:hAnsi="仿宋" w:eastAsia="仿宋_GB2312"/>
                <w:snapToGrid w:val="0"/>
                <w:kern w:val="28"/>
                <w:sz w:val="24"/>
              </w:rPr>
            </w:pPr>
            <w:r>
              <w:rPr>
                <w:rFonts w:hint="eastAsia" w:ascii="仿宋_GB2312" w:hAnsi="仿宋" w:eastAsia="仿宋_GB2312" w:cs="Arial"/>
                <w:kern w:val="0"/>
                <w:sz w:val="24"/>
                <w:szCs w:val="24"/>
                <w:lang w:val="en-US" w:eastAsia="zh-CN" w:bidi="ar-SA"/>
              </w:rPr>
              <w:t xml:space="preserve">2、投标人样品不提供、提供不全或样品出现投标单位名称则样品分为0分。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szCs w:val="24"/>
              </w:rPr>
            </w:pPr>
            <w:r>
              <w:rPr>
                <w:rFonts w:hint="eastAsia" w:ascii="宋体" w:hAnsi="宋体" w:eastAsia="宋体" w:cs="宋体"/>
                <w:b/>
                <w:bCs/>
                <w:color w:val="000000"/>
                <w:sz w:val="24"/>
                <w:szCs w:val="24"/>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5"/>
              <w:spacing w:before="53" w:line="600" w:lineRule="exact"/>
              <w:ind w:right="170"/>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本次招标代理服务费、专家评审费由中标人支付，招标代理服务费按余财政（2018）24号文件收取，专家费按实结算。由中标人在领取中标通知书前支付给招标代理机构，投标人在报价时应综合考虑该笔费用，但不单列进投标总价。</w:t>
            </w:r>
          </w:p>
          <w:p>
            <w:pPr>
              <w:pStyle w:val="615"/>
              <w:spacing w:before="53" w:line="600" w:lineRule="exact"/>
              <w:ind w:right="170"/>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收款单位（户名）:杭州市建设工程管理集团有限公司余杭分公司</w:t>
            </w:r>
          </w:p>
          <w:p>
            <w:pPr>
              <w:pStyle w:val="615"/>
              <w:spacing w:before="53" w:line="600" w:lineRule="exact"/>
              <w:ind w:right="170"/>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开户银行：浙商银行临平支行    </w:t>
            </w:r>
          </w:p>
          <w:p>
            <w:pPr>
              <w:pStyle w:val="615"/>
              <w:spacing w:before="53" w:line="600" w:lineRule="exact"/>
              <w:ind w:right="170"/>
              <w:rPr>
                <w:rFonts w:hint="eastAsia"/>
                <w:sz w:val="24"/>
                <w:szCs w:val="24"/>
                <w:highlight w:val="none"/>
                <w:lang w:val="en-US" w:eastAsia="zh-CN"/>
              </w:rPr>
            </w:pPr>
            <w:r>
              <w:rPr>
                <w:rFonts w:hint="eastAsia" w:ascii="仿宋_GB2312" w:hAnsi="仿宋" w:eastAsia="仿宋_GB2312" w:cs="Arial"/>
                <w:kern w:val="0"/>
                <w:sz w:val="24"/>
                <w:szCs w:val="24"/>
                <w:lang w:val="en-US" w:eastAsia="zh-CN" w:bidi="ar-SA"/>
              </w:rPr>
              <w:t>银行账号：3310010210120100062318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color w:val="000000"/>
                <w:lang w:eastAsia="zh-CN"/>
              </w:rPr>
            </w:pPr>
            <w:r>
              <w:rPr>
                <w:rFonts w:hint="eastAsia" w:ascii="宋体" w:hAnsi="宋体" w:eastAsia="宋体" w:cs="宋体"/>
                <w:b/>
                <w:bCs/>
                <w:color w:val="000000"/>
                <w:lang w:eastAsia="zh-CN"/>
              </w:rPr>
              <w:t>其他</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Cs w:val="24"/>
              </w:rPr>
            </w:pPr>
            <w:r>
              <w:rPr>
                <w:rFonts w:hint="eastAsia" w:ascii="仿宋_GB2312" w:hAnsi="仿宋" w:eastAsia="仿宋_GB2312" w:cs="Arial"/>
                <w:b/>
                <w:bCs/>
                <w:kern w:val="0"/>
                <w:sz w:val="24"/>
                <w:szCs w:val="24"/>
                <w:lang w:val="en-US" w:eastAsia="zh-CN" w:bidi="ar-SA"/>
              </w:rPr>
              <w:t>中标单位需在领取中标通知书时，提供本项目纸质投标文件（资格文件”、“报价文件”和“商务技术文件”）四份（正本一份，副本三份）并提供电子投标文件与纸质投标文件内容一致承诺书三份。</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hint="eastAsia" w:ascii="仿宋_GB2312" w:hAnsi="仿宋" w:eastAsia="仿宋_GB2312" w:cs="仿宋_GB2312"/>
          <w:b/>
          <w:sz w:val="32"/>
          <w:szCs w:val="20"/>
        </w:rPr>
      </w:pPr>
      <w:bookmarkStart w:id="11" w:name="_Toc164416483"/>
      <w:bookmarkStart w:id="12" w:name="第三部分"/>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p>
    <w:p>
      <w:pPr>
        <w:spacing w:line="360" w:lineRule="auto"/>
        <w:ind w:firstLine="480" w:firstLineChars="200"/>
        <w:rPr>
          <w:rFonts w:ascii="仿宋_GB2312" w:hAnsi="仿宋" w:eastAsia="仿宋_GB2312"/>
          <w:b/>
          <w:sz w:val="24"/>
        </w:rPr>
      </w:pPr>
      <w:r>
        <w:rPr>
          <w:rFonts w:ascii="仿宋_GB2312" w:hAnsi="仿宋" w:eastAsia="仿宋_GB2312"/>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rPr>
        <w:t>登录</w:t>
      </w:r>
      <w:r>
        <w:rPr>
          <w:rFonts w:ascii="仿宋_GB2312" w:hAnsi="仿宋" w:eastAsia="仿宋_GB2312"/>
          <w:color w:val="auto"/>
          <w:sz w:val="24"/>
        </w:rPr>
        <w:t>杭州市政府采购网“中小企业信用融资”模块，查看信用融资政策文件及各相关银行服务方案。</w:t>
      </w:r>
      <w:r>
        <w:rPr>
          <w:rFonts w:ascii="仿宋_GB2312" w:hAnsi="仿宋" w:eastAsia="仿宋_GB2312"/>
          <w:color w:val="auto"/>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rPr>
        <w:t>2021〕17号）,</w:t>
      </w:r>
      <w:r>
        <w:rPr>
          <w:rFonts w:hint="eastAsia" w:ascii="仿宋_GB2312" w:hAnsi="仿宋" w:eastAsia="仿宋_GB2312"/>
          <w:color w:val="auto"/>
        </w:rPr>
        <w:t>采购人或者采购机构在质疑回复后</w:t>
      </w:r>
      <w:r>
        <w:rPr>
          <w:rFonts w:ascii="仿宋_GB2312" w:hAnsi="仿宋" w:eastAsia="仿宋_GB2312"/>
          <w:color w:val="auto"/>
        </w:rPr>
        <w:t>5个工作日内，在浙江政府采购网的“其他公告”栏目公开质疑答复，答复内容应当完整。质疑</w:t>
      </w:r>
      <w:r>
        <w:rPr>
          <w:rFonts w:hint="eastAsia" w:ascii="仿宋_GB2312" w:hAnsi="仿宋" w:eastAsia="仿宋_GB2312"/>
          <w:color w:val="auto"/>
        </w:rPr>
        <w:t>函作为附件上传。</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7"/>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7"/>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7"/>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color w:val="FF0000"/>
          <w:sz w:val="24"/>
        </w:rPr>
      </w:pPr>
      <w:r>
        <w:rPr>
          <w:rFonts w:ascii="仿宋_GB2312" w:hAnsi="仿宋" w:eastAsia="仿宋_GB2312" w:cs="仿宋_GB2312"/>
          <w:color w:val="FF0000"/>
          <w:sz w:val="24"/>
        </w:rPr>
        <w:t>11.1</w:t>
      </w:r>
      <w:r>
        <w:rPr>
          <w:rFonts w:hint="eastAsia" w:ascii="仿宋_GB2312" w:hAnsi="仿宋" w:eastAsia="仿宋_GB2312" w:cs="仿宋_GB2312"/>
          <w:b/>
          <w:color w:val="FF0000"/>
          <w:sz w:val="24"/>
        </w:rPr>
        <w:t>资格文件</w:t>
      </w:r>
      <w:r>
        <w:rPr>
          <w:rFonts w:hint="eastAsia" w:ascii="仿宋_GB2312" w:hAnsi="仿宋" w:eastAsia="仿宋_GB2312" w:cs="仿宋_GB2312"/>
          <w:color w:val="FF0000"/>
          <w:sz w:val="24"/>
        </w:rPr>
        <w:t>：</w:t>
      </w:r>
    </w:p>
    <w:p>
      <w:pPr>
        <w:snapToGrid w:val="0"/>
        <w:spacing w:line="360" w:lineRule="auto"/>
        <w:ind w:firstLine="960" w:firstLineChars="400"/>
        <w:rPr>
          <w:rFonts w:ascii="仿宋_GB2312" w:hAnsi="仿宋" w:eastAsia="仿宋_GB2312" w:cs="仿宋_GB2312"/>
          <w:color w:val="FF0000"/>
          <w:sz w:val="24"/>
        </w:rPr>
      </w:pPr>
      <w:r>
        <w:rPr>
          <w:rFonts w:ascii="仿宋_GB2312" w:hAnsi="仿宋" w:eastAsia="仿宋_GB2312" w:cs="仿宋_GB2312"/>
          <w:color w:val="FF0000"/>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FF0000"/>
          <w:sz w:val="24"/>
        </w:rPr>
      </w:pPr>
      <w:r>
        <w:rPr>
          <w:rFonts w:ascii="仿宋_GB2312" w:hAnsi="仿宋" w:eastAsia="仿宋_GB2312" w:cs="仿宋_GB2312"/>
          <w:color w:val="FF0000"/>
          <w:sz w:val="24"/>
        </w:rPr>
        <w:t>11.1.2落实政府采购政策需满足的资格要求；</w:t>
      </w:r>
    </w:p>
    <w:p>
      <w:pPr>
        <w:snapToGrid w:val="0"/>
        <w:spacing w:line="360" w:lineRule="auto"/>
        <w:ind w:firstLine="960" w:firstLineChars="400"/>
        <w:rPr>
          <w:rFonts w:ascii="仿宋_GB2312" w:hAnsi="仿宋" w:eastAsia="仿宋_GB2312" w:cs="仿宋_GB2312"/>
          <w:color w:val="FF0000"/>
          <w:sz w:val="24"/>
        </w:rPr>
      </w:pPr>
      <w:r>
        <w:rPr>
          <w:rFonts w:ascii="仿宋_GB2312" w:hAnsi="仿宋" w:eastAsia="仿宋_GB2312" w:cs="仿宋_GB2312"/>
          <w:color w:val="FF0000"/>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7"/>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7"/>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7"/>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7"/>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7"/>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7"/>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7"/>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7"/>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7"/>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ascii="仿宋_GB2312" w:hAnsi="仿宋" w:eastAsia="仿宋_GB2312" w:cs="仿宋_GB2312"/>
          <w:b/>
          <w:sz w:val="32"/>
        </w:rPr>
      </w:pPr>
    </w:p>
    <w:p>
      <w:pPr>
        <w:pStyle w:val="87"/>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2"/>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2"/>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7"/>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7"/>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7"/>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7"/>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7"/>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7"/>
        <w:spacing w:before="0"/>
        <w:ind w:firstLine="495" w:firstLineChars="0"/>
        <w:rPr>
          <w:rFonts w:ascii="仿宋_GB2312" w:hAnsi="仿宋" w:eastAsia="仿宋_GB2312" w:cs="Arial"/>
          <w:color w:val="FF0000"/>
          <w:kern w:val="0"/>
          <w:szCs w:val="24"/>
        </w:rPr>
      </w:pPr>
      <w:r>
        <w:rPr>
          <w:rFonts w:ascii="仿宋_GB2312" w:hAnsi="仿宋" w:eastAsia="仿宋_GB2312" w:cs="Arial"/>
          <w:color w:val="FF0000"/>
          <w:kern w:val="0"/>
          <w:szCs w:val="24"/>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7"/>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7"/>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7"/>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7"/>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7"/>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color w:val="FF0000"/>
          <w:sz w:val="24"/>
          <w:szCs w:val="20"/>
        </w:rPr>
      </w:pPr>
      <w:r>
        <w:rPr>
          <w:rFonts w:hint="eastAsia" w:ascii="仿宋_GB2312" w:hAnsi="仿宋" w:eastAsia="仿宋_GB2312" w:cs="仿宋_GB2312"/>
          <w:color w:val="FF0000"/>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7"/>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7"/>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7"/>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w:t>
      </w:r>
      <w:r>
        <w:rPr>
          <w:rFonts w:ascii="仿宋_GB2312" w:hAnsi="仿宋" w:eastAsia="仿宋_GB2312" w:cs="Helvetica"/>
          <w:color w:val="FF0000"/>
          <w:kern w:val="0"/>
          <w:sz w:val="24"/>
        </w:rPr>
        <w:t>采购合同的履行、违约责任和解决争议的方式等适用《中华人民共和国民法典》</w:t>
      </w:r>
      <w:r>
        <w:rPr>
          <w:rFonts w:ascii="仿宋_GB2312" w:hAnsi="仿宋" w:eastAsia="仿宋_GB2312" w:cs="Helvetica"/>
          <w:kern w:val="0"/>
          <w:sz w:val="24"/>
        </w:rPr>
        <w:t>。供应商在履约过程中有政府采购法律法规规定的违法违规情形的，采购人应当及时报告本级财政部门。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pPr>
      <w:bookmarkStart w:id="14" w:name="_Hlt75236290"/>
      <w:bookmarkEnd w:id="14"/>
      <w:bookmarkStart w:id="15" w:name="_Hlt74729768"/>
      <w:bookmarkEnd w:id="15"/>
      <w:bookmarkStart w:id="16" w:name="_Hlt68403820"/>
      <w:bookmarkEnd w:id="16"/>
      <w:bookmarkStart w:id="17" w:name="_Hlt74707468"/>
      <w:bookmarkEnd w:id="17"/>
      <w:bookmarkStart w:id="18" w:name="_Hlt68057669"/>
      <w:bookmarkEnd w:id="18"/>
      <w:bookmarkStart w:id="19" w:name="_Hlt68072998"/>
      <w:bookmarkEnd w:id="19"/>
      <w:bookmarkStart w:id="20" w:name="_Hlt68072990"/>
      <w:bookmarkEnd w:id="20"/>
      <w:bookmarkStart w:id="21" w:name="_Hlt75236011"/>
      <w:bookmarkEnd w:id="21"/>
      <w:bookmarkStart w:id="22" w:name="_Hlt74714665"/>
      <w:bookmarkEnd w:id="22"/>
      <w:bookmarkStart w:id="23" w:name="_Hlt75236101"/>
      <w:bookmarkEnd w:id="23"/>
      <w:bookmarkStart w:id="24" w:name="_Hlt74730295"/>
      <w:bookmarkEnd w:id="24"/>
      <w:bookmarkStart w:id="25" w:name="_Hlt68073093"/>
      <w:bookmarkEnd w:id="25"/>
    </w:p>
    <w:p>
      <w:pPr>
        <w:pStyle w:val="60"/>
        <w:rPr>
          <w:rFonts w:ascii="仿宋_GB2312" w:hAnsi="仿宋" w:eastAsia="仿宋_GB2312" w:cs="Helvetica"/>
          <w:kern w:val="0"/>
          <w:sz w:val="24"/>
        </w:rPr>
      </w:pPr>
    </w:p>
    <w:p>
      <w:pPr>
        <w:rPr>
          <w:rFonts w:ascii="仿宋_GB2312" w:hAnsi="仿宋" w:eastAsia="仿宋_GB2312" w:cs="Helvetica"/>
          <w:kern w:val="0"/>
          <w:sz w:val="24"/>
        </w:rPr>
      </w:pPr>
    </w:p>
    <w:p>
      <w:pPr>
        <w:pStyle w:val="60"/>
        <w:rPr>
          <w:rFonts w:ascii="仿宋_GB2312" w:hAnsi="仿宋" w:eastAsia="仿宋_GB2312" w:cs="Helvetica"/>
          <w:kern w:val="0"/>
          <w:sz w:val="24"/>
        </w:rPr>
      </w:pPr>
    </w:p>
    <w:p>
      <w:pPr>
        <w:rPr>
          <w:rFonts w:ascii="仿宋_GB2312" w:hAnsi="仿宋" w:eastAsia="仿宋_GB2312" w:cs="Helvetica"/>
          <w:kern w:val="0"/>
          <w:sz w:val="24"/>
        </w:rPr>
      </w:pPr>
    </w:p>
    <w:p>
      <w:pPr>
        <w:pStyle w:val="60"/>
        <w:rPr>
          <w:rFonts w:ascii="仿宋_GB2312" w:hAnsi="仿宋" w:eastAsia="仿宋_GB2312" w:cs="Helvetica"/>
          <w:kern w:val="0"/>
          <w:sz w:val="24"/>
        </w:rPr>
      </w:pPr>
    </w:p>
    <w:p>
      <w:pPr>
        <w:rPr>
          <w:rFonts w:ascii="仿宋_GB2312" w:hAnsi="仿宋" w:eastAsia="仿宋_GB2312" w:cs="Helvetica"/>
          <w:kern w:val="0"/>
          <w:sz w:val="24"/>
        </w:rPr>
      </w:pPr>
    </w:p>
    <w:p>
      <w:pPr>
        <w:pStyle w:val="60"/>
        <w:rPr>
          <w:rFonts w:ascii="仿宋_GB2312" w:hAnsi="仿宋" w:eastAsia="仿宋_GB2312" w:cs="Helvetica"/>
          <w:kern w:val="0"/>
          <w:sz w:val="24"/>
        </w:rPr>
      </w:pPr>
    </w:p>
    <w:p>
      <w:pPr>
        <w:rPr>
          <w:rFonts w:ascii="仿宋_GB2312" w:hAnsi="仿宋" w:eastAsia="仿宋_GB2312" w:cs="Helvetica"/>
          <w:kern w:val="0"/>
          <w:sz w:val="24"/>
        </w:rPr>
      </w:pPr>
    </w:p>
    <w:p>
      <w:pPr>
        <w:pStyle w:val="60"/>
        <w:rPr>
          <w:rFonts w:ascii="仿宋_GB2312" w:hAnsi="仿宋" w:eastAsia="仿宋_GB2312" w:cs="Helvetica"/>
          <w:kern w:val="0"/>
          <w:sz w:val="24"/>
        </w:rPr>
      </w:pPr>
    </w:p>
    <w:p>
      <w:pPr>
        <w:rPr>
          <w:rFonts w:ascii="仿宋_GB2312" w:hAnsi="仿宋" w:eastAsia="仿宋_GB2312" w:cs="Helvetica"/>
          <w:kern w:val="0"/>
          <w:sz w:val="24"/>
        </w:rPr>
      </w:pPr>
    </w:p>
    <w:p>
      <w:pPr>
        <w:pStyle w:val="60"/>
        <w:rPr>
          <w:rFonts w:ascii="仿宋_GB2312" w:hAnsi="仿宋" w:eastAsia="仿宋_GB2312" w:cs="Helvetica"/>
          <w:kern w:val="0"/>
          <w:sz w:val="24"/>
        </w:rPr>
      </w:pPr>
    </w:p>
    <w:p>
      <w:pPr>
        <w:rPr>
          <w:rFonts w:ascii="仿宋_GB2312" w:hAnsi="仿宋" w:eastAsia="仿宋_GB2312" w:cs="Helvetica"/>
          <w:kern w:val="0"/>
          <w:sz w:val="24"/>
        </w:rPr>
      </w:pPr>
    </w:p>
    <w:p>
      <w:pPr>
        <w:pStyle w:val="60"/>
        <w:rPr>
          <w:rFonts w:ascii="仿宋_GB2312" w:hAnsi="仿宋" w:eastAsia="仿宋_GB2312" w:cs="Helvetica"/>
          <w:kern w:val="0"/>
          <w:sz w:val="24"/>
        </w:rPr>
      </w:pPr>
    </w:p>
    <w:p>
      <w:pPr>
        <w:rPr>
          <w:rFonts w:ascii="仿宋_GB2312" w:hAnsi="仿宋" w:eastAsia="仿宋_GB2312" w:cs="Helvetica"/>
          <w:kern w:val="0"/>
          <w:sz w:val="24"/>
        </w:rPr>
      </w:pPr>
    </w:p>
    <w:p>
      <w:pPr>
        <w:pStyle w:val="6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
      <w:pPr>
        <w:numPr>
          <w:ilvl w:val="0"/>
          <w:numId w:val="1"/>
        </w:numPr>
        <w:spacing w:line="360" w:lineRule="auto"/>
        <w:jc w:val="center"/>
        <w:outlineLvl w:val="0"/>
        <w:rPr>
          <w:rFonts w:hint="eastAsia" w:ascii="仿宋" w:hAnsi="仿宋" w:eastAsia="仿宋" w:cs="仿宋_GB2312"/>
          <w:b/>
          <w:sz w:val="36"/>
          <w:szCs w:val="36"/>
          <w:highlight w:val="none"/>
        </w:rPr>
      </w:pPr>
      <w:bookmarkStart w:id="26" w:name="_Toc30043"/>
      <w:r>
        <w:rPr>
          <w:rFonts w:ascii="仿宋" w:hAnsi="仿宋" w:eastAsia="仿宋" w:cs="仿宋_GB2312"/>
          <w:b/>
          <w:sz w:val="36"/>
          <w:szCs w:val="36"/>
          <w:highlight w:val="none"/>
        </w:rPr>
        <w:t xml:space="preserve">  </w:t>
      </w:r>
      <w:r>
        <w:rPr>
          <w:rFonts w:hint="eastAsia" w:ascii="仿宋" w:hAnsi="仿宋" w:eastAsia="仿宋" w:cs="仿宋_GB2312"/>
          <w:b/>
          <w:sz w:val="36"/>
          <w:szCs w:val="36"/>
          <w:highlight w:val="none"/>
        </w:rPr>
        <w:t>采购需求</w:t>
      </w:r>
      <w:bookmarkEnd w:id="26"/>
    </w:p>
    <w:p>
      <w:pPr>
        <w:pStyle w:val="2"/>
        <w:numPr>
          <w:ilvl w:val="0"/>
          <w:numId w:val="0"/>
        </w:numPr>
        <w:tabs>
          <w:tab w:val="left" w:pos="706"/>
          <w:tab w:val="clear" w:pos="432"/>
        </w:tabs>
        <w:spacing w:line="360" w:lineRule="auto"/>
        <w:ind w:left="128" w:leftChars="0" w:firstLine="964" w:firstLineChars="400"/>
        <w:jc w:val="left"/>
        <w:rPr>
          <w:highlight w:val="none"/>
        </w:rPr>
      </w:pPr>
      <w:r>
        <w:rPr>
          <w:rFonts w:hint="eastAsia" w:ascii="宋体" w:hAnsi="宋体" w:cs="宋体"/>
          <w:b/>
          <w:bCs w:val="0"/>
          <w:sz w:val="24"/>
          <w:szCs w:val="40"/>
          <w:highlight w:val="none"/>
          <w:lang w:eastAsia="zh-CN"/>
        </w:rPr>
        <w:t>一、</w:t>
      </w:r>
      <w:r>
        <w:rPr>
          <w:rFonts w:hint="eastAsia" w:ascii="宋体" w:hAnsi="宋体" w:cs="宋体"/>
          <w:b/>
          <w:bCs w:val="0"/>
          <w:sz w:val="24"/>
          <w:szCs w:val="40"/>
          <w:highlight w:val="none"/>
        </w:rPr>
        <w:t>项目</w:t>
      </w:r>
      <w:r>
        <w:rPr>
          <w:rFonts w:hint="eastAsia" w:ascii="宋体" w:hAnsi="宋体" w:cs="宋体"/>
          <w:b/>
          <w:bCs w:val="0"/>
          <w:sz w:val="24"/>
          <w:szCs w:val="40"/>
          <w:highlight w:val="none"/>
          <w:lang w:eastAsia="zh-CN"/>
        </w:rPr>
        <w:t>采购清单</w:t>
      </w:r>
    </w:p>
    <w:p>
      <w:pPr>
        <w:rPr>
          <w:highlight w:val="none"/>
        </w:rPr>
      </w:pPr>
    </w:p>
    <w:tbl>
      <w:tblPr>
        <w:tblStyle w:val="64"/>
        <w:tblW w:w="138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5"/>
        <w:gridCol w:w="1635"/>
        <w:gridCol w:w="3195"/>
        <w:gridCol w:w="1786"/>
        <w:gridCol w:w="775"/>
        <w:gridCol w:w="775"/>
        <w:gridCol w:w="4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雕塑名称</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雕塑样式</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规格尺寸（mm）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数量</w:t>
            </w:r>
          </w:p>
        </w:tc>
        <w:tc>
          <w:tcPr>
            <w:tcW w:w="4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主要材料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特色景墙</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800080"/>
                <w:sz w:val="22"/>
                <w:szCs w:val="22"/>
                <w:highlight w:val="none"/>
                <w:u w:val="single"/>
              </w:rPr>
            </w:pPr>
            <w:r>
              <w:rPr>
                <w:rFonts w:hint="eastAsia" w:ascii="宋体" w:hAnsi="宋体" w:eastAsia="宋体" w:cs="宋体"/>
                <w:i w:val="0"/>
                <w:iCs w:val="0"/>
                <w:color w:val="800080"/>
                <w:kern w:val="0"/>
                <w:sz w:val="22"/>
                <w:szCs w:val="22"/>
                <w:highlight w:val="none"/>
                <w:u w:val="single"/>
                <w:bdr w:val="single" w:color="000000" w:sz="4" w:space="0"/>
                <w:shd w:val="clear" w:fill="FFFF00"/>
                <w:lang w:val="en-US" w:eastAsia="zh-CN" w:bidi="ar"/>
              </w:rPr>
              <w:drawing>
                <wp:anchor distT="0" distB="0" distL="114300" distR="114300" simplePos="0" relativeHeight="251659264" behindDoc="0" locked="0" layoutInCell="1" allowOverlap="1">
                  <wp:simplePos x="0" y="0"/>
                  <wp:positionH relativeFrom="column">
                    <wp:posOffset>218440</wp:posOffset>
                  </wp:positionH>
                  <wp:positionV relativeFrom="paragraph">
                    <wp:posOffset>115570</wp:posOffset>
                  </wp:positionV>
                  <wp:extent cx="1314450" cy="427990"/>
                  <wp:effectExtent l="0" t="0" r="0" b="10160"/>
                  <wp:wrapNone/>
                  <wp:docPr id="28" name="图片_32"/>
                  <wp:cNvGraphicFramePr/>
                  <a:graphic xmlns:a="http://schemas.openxmlformats.org/drawingml/2006/main">
                    <a:graphicData uri="http://schemas.openxmlformats.org/drawingml/2006/picture">
                      <pic:pic xmlns:pic="http://schemas.openxmlformats.org/drawingml/2006/picture">
                        <pic:nvPicPr>
                          <pic:cNvPr id="28" name="图片_32"/>
                          <pic:cNvPicPr/>
                        </pic:nvPicPr>
                        <pic:blipFill>
                          <a:blip r:embed="rId26"/>
                          <a:stretch>
                            <a:fillRect/>
                          </a:stretch>
                        </pic:blipFill>
                        <pic:spPr>
                          <a:xfrm>
                            <a:off x="0" y="0"/>
                            <a:ext cx="1314450" cy="42799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12000*2700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120x60x3镀锌钢管、 240x120x60厚青砖、300x220x50厚芝麻黑荔枝面花岗岩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9"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标志牌</w:t>
            </w:r>
          </w:p>
        </w:tc>
        <w:tc>
          <w:tcPr>
            <w:tcW w:w="3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408940</wp:posOffset>
                  </wp:positionH>
                  <wp:positionV relativeFrom="paragraph">
                    <wp:posOffset>65405</wp:posOffset>
                  </wp:positionV>
                  <wp:extent cx="753110" cy="1067435"/>
                  <wp:effectExtent l="0" t="0" r="8890" b="18415"/>
                  <wp:wrapNone/>
                  <wp:docPr id="29" name="图片_33"/>
                  <wp:cNvGraphicFramePr/>
                  <a:graphic xmlns:a="http://schemas.openxmlformats.org/drawingml/2006/main">
                    <a:graphicData uri="http://schemas.openxmlformats.org/drawingml/2006/picture">
                      <pic:pic xmlns:pic="http://schemas.openxmlformats.org/drawingml/2006/picture">
                        <pic:nvPicPr>
                          <pic:cNvPr id="29" name="图片_33"/>
                          <pic:cNvPicPr/>
                        </pic:nvPicPr>
                        <pic:blipFill>
                          <a:blip r:embed="rId27"/>
                          <a:stretch>
                            <a:fillRect/>
                          </a:stretch>
                        </pic:blipFill>
                        <pic:spPr>
                          <a:xfrm>
                            <a:off x="0" y="0"/>
                            <a:ext cx="753110" cy="106743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3360*3600</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150x60x2厚镀锌方钢、φ5不锈钢条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运河水乡特色景墙</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fill="FFFF00"/>
                <w:lang w:val="en-US" w:eastAsia="zh-CN" w:bidi="ar"/>
              </w:rPr>
              <w:drawing>
                <wp:anchor distT="0" distB="0" distL="114300" distR="114300" simplePos="0" relativeHeight="251659264" behindDoc="0" locked="0" layoutInCell="1" allowOverlap="1">
                  <wp:simplePos x="0" y="0"/>
                  <wp:positionH relativeFrom="column">
                    <wp:posOffset>257175</wp:posOffset>
                  </wp:positionH>
                  <wp:positionV relativeFrom="paragraph">
                    <wp:posOffset>74930</wp:posOffset>
                  </wp:positionV>
                  <wp:extent cx="1170940" cy="706120"/>
                  <wp:effectExtent l="0" t="0" r="10160" b="17780"/>
                  <wp:wrapNone/>
                  <wp:docPr id="30" name="图片_30"/>
                  <wp:cNvGraphicFramePr/>
                  <a:graphic xmlns:a="http://schemas.openxmlformats.org/drawingml/2006/main">
                    <a:graphicData uri="http://schemas.openxmlformats.org/drawingml/2006/picture">
                      <pic:pic xmlns:pic="http://schemas.openxmlformats.org/drawingml/2006/picture">
                        <pic:nvPicPr>
                          <pic:cNvPr id="30" name="图片_30"/>
                          <pic:cNvPicPr/>
                        </pic:nvPicPr>
                        <pic:blipFill>
                          <a:blip r:embed="rId28"/>
                          <a:stretch>
                            <a:fillRect/>
                          </a:stretch>
                        </pic:blipFill>
                        <pic:spPr>
                          <a:xfrm>
                            <a:off x="0" y="0"/>
                            <a:ext cx="1170940" cy="70612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17100*10000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30x30x2厚镀锌钢管、30厚1:2.5水泥砂浆、1.5厚不锈钢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东旺路入口景墙</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170815</wp:posOffset>
                  </wp:positionV>
                  <wp:extent cx="1285240" cy="439420"/>
                  <wp:effectExtent l="0" t="0" r="10160" b="17780"/>
                  <wp:wrapNone/>
                  <wp:docPr id="31" name="图片_31"/>
                  <wp:cNvGraphicFramePr/>
                  <a:graphic xmlns:a="http://schemas.openxmlformats.org/drawingml/2006/main">
                    <a:graphicData uri="http://schemas.openxmlformats.org/drawingml/2006/picture">
                      <pic:pic xmlns:pic="http://schemas.openxmlformats.org/drawingml/2006/picture">
                        <pic:nvPicPr>
                          <pic:cNvPr id="31" name="图片_31"/>
                          <pic:cNvPicPr/>
                        </pic:nvPicPr>
                        <pic:blipFill>
                          <a:blip r:embed="rId29"/>
                          <a:stretch>
                            <a:fillRect/>
                          </a:stretch>
                        </pic:blipFill>
                        <pic:spPr>
                          <a:xfrm>
                            <a:off x="0" y="0"/>
                            <a:ext cx="1285240" cy="43942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14095*3640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300x100x6厚方钢管、100x60x5厚方钢管、1.5厚不锈钢弯折、70x70x5厚方钢管、240x120x60厚青砖、600x350x60厚芝麻黑荔枝面黄岗岩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枇杷特色景墙</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334010</wp:posOffset>
                  </wp:positionH>
                  <wp:positionV relativeFrom="paragraph">
                    <wp:posOffset>85090</wp:posOffset>
                  </wp:positionV>
                  <wp:extent cx="857250" cy="666750"/>
                  <wp:effectExtent l="0" t="0" r="0" b="0"/>
                  <wp:wrapNone/>
                  <wp:docPr id="32" name="图片_34"/>
                  <wp:cNvGraphicFramePr/>
                  <a:graphic xmlns:a="http://schemas.openxmlformats.org/drawingml/2006/main">
                    <a:graphicData uri="http://schemas.openxmlformats.org/drawingml/2006/picture">
                      <pic:pic xmlns:pic="http://schemas.openxmlformats.org/drawingml/2006/picture">
                        <pic:nvPicPr>
                          <pic:cNvPr id="32" name="图片_34"/>
                          <pic:cNvPicPr/>
                        </pic:nvPicPr>
                        <pic:blipFill>
                          <a:blip r:embed="rId30"/>
                          <a:stretch>
                            <a:fillRect/>
                          </a:stretch>
                        </pic:blipFill>
                        <pic:spPr>
                          <a:xfrm>
                            <a:off x="0" y="0"/>
                            <a:ext cx="857250" cy="66675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10880*6365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φ50通长镀锌圆管、240x120x60厚青砖、1.5厚镀锌钢板外包、1.5不锈钢弯折、白色乳胶漆饰面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特色景观灯</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504190</wp:posOffset>
                  </wp:positionH>
                  <wp:positionV relativeFrom="paragraph">
                    <wp:posOffset>38100</wp:posOffset>
                  </wp:positionV>
                  <wp:extent cx="514350" cy="513715"/>
                  <wp:effectExtent l="0" t="0" r="0" b="635"/>
                  <wp:wrapNone/>
                  <wp:docPr id="51" name="图片_9"/>
                  <wp:cNvGraphicFramePr/>
                  <a:graphic xmlns:a="http://schemas.openxmlformats.org/drawingml/2006/main">
                    <a:graphicData uri="http://schemas.openxmlformats.org/drawingml/2006/picture">
                      <pic:pic xmlns:pic="http://schemas.openxmlformats.org/drawingml/2006/picture">
                        <pic:nvPicPr>
                          <pic:cNvPr id="51" name="图片_9"/>
                          <pic:cNvPicPr/>
                        </pic:nvPicPr>
                        <pic:blipFill>
                          <a:blip r:embed="rId31"/>
                          <a:stretch>
                            <a:fillRect/>
                          </a:stretch>
                        </pic:blipFill>
                        <pic:spPr>
                          <a:xfrm>
                            <a:off x="0" y="0"/>
                            <a:ext cx="514350" cy="51371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500*450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特色雕塑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523875</wp:posOffset>
                  </wp:positionH>
                  <wp:positionV relativeFrom="paragraph">
                    <wp:posOffset>76835</wp:posOffset>
                  </wp:positionV>
                  <wp:extent cx="485775" cy="487045"/>
                  <wp:effectExtent l="0" t="0" r="9525" b="8255"/>
                  <wp:wrapNone/>
                  <wp:docPr id="52" name="图片_10"/>
                  <wp:cNvGraphicFramePr/>
                  <a:graphic xmlns:a="http://schemas.openxmlformats.org/drawingml/2006/main">
                    <a:graphicData uri="http://schemas.openxmlformats.org/drawingml/2006/picture">
                      <pic:pic xmlns:pic="http://schemas.openxmlformats.org/drawingml/2006/picture">
                        <pic:nvPicPr>
                          <pic:cNvPr id="52" name="图片_10"/>
                          <pic:cNvPicPr/>
                        </pic:nvPicPr>
                        <pic:blipFill>
                          <a:blip r:embed="rId32"/>
                          <a:stretch>
                            <a:fillRect/>
                          </a:stretch>
                        </pic:blipFill>
                        <pic:spPr>
                          <a:xfrm>
                            <a:off x="0" y="0"/>
                            <a:ext cx="485775" cy="48704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3400*2500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学校背景墙雕塑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276225</wp:posOffset>
                  </wp:positionH>
                  <wp:positionV relativeFrom="paragraph">
                    <wp:posOffset>75565</wp:posOffset>
                  </wp:positionV>
                  <wp:extent cx="1095375" cy="495300"/>
                  <wp:effectExtent l="0" t="0" r="9525" b="0"/>
                  <wp:wrapNone/>
                  <wp:docPr id="53" name="图片_11"/>
                  <wp:cNvGraphicFramePr/>
                  <a:graphic xmlns:a="http://schemas.openxmlformats.org/drawingml/2006/main">
                    <a:graphicData uri="http://schemas.openxmlformats.org/drawingml/2006/picture">
                      <pic:pic xmlns:pic="http://schemas.openxmlformats.org/drawingml/2006/picture">
                        <pic:nvPicPr>
                          <pic:cNvPr id="53" name="图片_11"/>
                          <pic:cNvPicPr/>
                        </pic:nvPicPr>
                        <pic:blipFill>
                          <a:blip r:embed="rId33"/>
                          <a:stretch>
                            <a:fillRect/>
                          </a:stretch>
                        </pic:blipFill>
                        <pic:spPr>
                          <a:xfrm>
                            <a:off x="0" y="0"/>
                            <a:ext cx="1095375" cy="49530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9600*3200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1.5厚紫铜铜板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航运广场船雕塑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294640</wp:posOffset>
                  </wp:positionH>
                  <wp:positionV relativeFrom="paragraph">
                    <wp:posOffset>93980</wp:posOffset>
                  </wp:positionV>
                  <wp:extent cx="1171575" cy="494665"/>
                  <wp:effectExtent l="0" t="0" r="9525" b="635"/>
                  <wp:wrapNone/>
                  <wp:docPr id="54" name="图片_12"/>
                  <wp:cNvGraphicFramePr/>
                  <a:graphic xmlns:a="http://schemas.openxmlformats.org/drawingml/2006/main">
                    <a:graphicData uri="http://schemas.openxmlformats.org/drawingml/2006/picture">
                      <pic:pic xmlns:pic="http://schemas.openxmlformats.org/drawingml/2006/picture">
                        <pic:nvPicPr>
                          <pic:cNvPr id="54" name="图片_12"/>
                          <pic:cNvPicPr/>
                        </pic:nvPicPr>
                        <pic:blipFill>
                          <a:blip r:embed="rId34"/>
                          <a:stretch>
                            <a:fillRect/>
                          </a:stretch>
                        </pic:blipFill>
                        <pic:spPr>
                          <a:xfrm>
                            <a:off x="0" y="0"/>
                            <a:ext cx="1171575" cy="49466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6000*1500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5mm钢板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工业长廊</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181610</wp:posOffset>
                  </wp:positionH>
                  <wp:positionV relativeFrom="paragraph">
                    <wp:posOffset>46990</wp:posOffset>
                  </wp:positionV>
                  <wp:extent cx="1238250" cy="372745"/>
                  <wp:effectExtent l="0" t="0" r="0" b="8255"/>
                  <wp:wrapNone/>
                  <wp:docPr id="42" name="图片_13"/>
                  <wp:cNvGraphicFramePr/>
                  <a:graphic xmlns:a="http://schemas.openxmlformats.org/drawingml/2006/main">
                    <a:graphicData uri="http://schemas.openxmlformats.org/drawingml/2006/picture">
                      <pic:pic xmlns:pic="http://schemas.openxmlformats.org/drawingml/2006/picture">
                        <pic:nvPicPr>
                          <pic:cNvPr id="42" name="图片_13"/>
                          <pic:cNvPicPr/>
                        </pic:nvPicPr>
                        <pic:blipFill>
                          <a:blip r:embed="rId35"/>
                          <a:stretch>
                            <a:fillRect/>
                          </a:stretch>
                        </pic:blipFill>
                        <pic:spPr>
                          <a:xfrm>
                            <a:off x="0" y="0"/>
                            <a:ext cx="1238250" cy="37274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30000*3500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2mm镀锌板，内部50*50*2方管，总厚度一致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美丽城镇雕塑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fill="FFFF00"/>
                <w:lang w:val="en-US" w:eastAsia="zh-CN" w:bidi="ar"/>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124460</wp:posOffset>
                  </wp:positionV>
                  <wp:extent cx="1228725" cy="304800"/>
                  <wp:effectExtent l="0" t="0" r="9525" b="0"/>
                  <wp:wrapNone/>
                  <wp:docPr id="43" name="图片_14"/>
                  <wp:cNvGraphicFramePr/>
                  <a:graphic xmlns:a="http://schemas.openxmlformats.org/drawingml/2006/main">
                    <a:graphicData uri="http://schemas.openxmlformats.org/drawingml/2006/picture">
                      <pic:pic xmlns:pic="http://schemas.openxmlformats.org/drawingml/2006/picture">
                        <pic:nvPicPr>
                          <pic:cNvPr id="43" name="图片_14"/>
                          <pic:cNvPicPr/>
                        </pic:nvPicPr>
                        <pic:blipFill>
                          <a:blip r:embed="rId36"/>
                          <a:stretch>
                            <a:fillRect/>
                          </a:stretch>
                        </pic:blipFill>
                        <pic:spPr>
                          <a:xfrm>
                            <a:off x="0" y="0"/>
                            <a:ext cx="1228725" cy="30480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16000*1400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1000x1000金属框、800x800镀锌方钢刷氟碳漆、5厚耐候钢、片状不锈钢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步行道标识雕塑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219075</wp:posOffset>
                  </wp:positionH>
                  <wp:positionV relativeFrom="paragraph">
                    <wp:posOffset>66040</wp:posOffset>
                  </wp:positionV>
                  <wp:extent cx="1162050" cy="457200"/>
                  <wp:effectExtent l="0" t="0" r="0" b="0"/>
                  <wp:wrapNone/>
                  <wp:docPr id="44" name="图片_15"/>
                  <wp:cNvGraphicFramePr/>
                  <a:graphic xmlns:a="http://schemas.openxmlformats.org/drawingml/2006/main">
                    <a:graphicData uri="http://schemas.openxmlformats.org/drawingml/2006/picture">
                      <pic:pic xmlns:pic="http://schemas.openxmlformats.org/drawingml/2006/picture">
                        <pic:nvPicPr>
                          <pic:cNvPr id="44" name="图片_15"/>
                          <pic:cNvPicPr/>
                        </pic:nvPicPr>
                        <pic:blipFill>
                          <a:blip r:embed="rId37"/>
                          <a:stretch>
                            <a:fillRect/>
                          </a:stretch>
                        </pic:blipFill>
                        <pic:spPr>
                          <a:xfrm>
                            <a:off x="0" y="0"/>
                            <a:ext cx="1162050" cy="45720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5800*2250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1.5mm钢板，5mm有机玻璃，采用钢板拼接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船型雕塑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190500</wp:posOffset>
                  </wp:positionH>
                  <wp:positionV relativeFrom="paragraph">
                    <wp:posOffset>95885</wp:posOffset>
                  </wp:positionV>
                  <wp:extent cx="1219835" cy="210185"/>
                  <wp:effectExtent l="0" t="0" r="18415" b="18415"/>
                  <wp:wrapNone/>
                  <wp:docPr id="45" name="图片_16"/>
                  <wp:cNvGraphicFramePr/>
                  <a:graphic xmlns:a="http://schemas.openxmlformats.org/drawingml/2006/main">
                    <a:graphicData uri="http://schemas.openxmlformats.org/drawingml/2006/picture">
                      <pic:pic xmlns:pic="http://schemas.openxmlformats.org/drawingml/2006/picture">
                        <pic:nvPicPr>
                          <pic:cNvPr id="45" name="图片_16"/>
                          <pic:cNvPicPr/>
                        </pic:nvPicPr>
                        <pic:blipFill>
                          <a:blip r:embed="rId38"/>
                          <a:stretch>
                            <a:fillRect/>
                          </a:stretch>
                        </pic:blipFill>
                        <pic:spPr>
                          <a:xfrm>
                            <a:off x="0" y="0"/>
                            <a:ext cx="1219835" cy="21018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4605*435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2厚锈钢板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东塘步道雕塑</w:t>
            </w:r>
          </w:p>
        </w:tc>
        <w:tc>
          <w:tcPr>
            <w:tcW w:w="3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209550</wp:posOffset>
                  </wp:positionH>
                  <wp:positionV relativeFrom="paragraph">
                    <wp:posOffset>86360</wp:posOffset>
                  </wp:positionV>
                  <wp:extent cx="1209675" cy="410210"/>
                  <wp:effectExtent l="0" t="0" r="9525" b="8890"/>
                  <wp:wrapNone/>
                  <wp:docPr id="46" name="图片_17"/>
                  <wp:cNvGraphicFramePr/>
                  <a:graphic xmlns:a="http://schemas.openxmlformats.org/drawingml/2006/main">
                    <a:graphicData uri="http://schemas.openxmlformats.org/drawingml/2006/picture">
                      <pic:pic xmlns:pic="http://schemas.openxmlformats.org/drawingml/2006/picture">
                        <pic:nvPicPr>
                          <pic:cNvPr id="46" name="图片_17"/>
                          <pic:cNvPicPr/>
                        </pic:nvPicPr>
                        <pic:blipFill>
                          <a:blip r:embed="rId39"/>
                          <a:stretch>
                            <a:fillRect/>
                          </a:stretch>
                        </pic:blipFill>
                        <pic:spPr>
                          <a:xfrm>
                            <a:off x="0" y="0"/>
                            <a:ext cx="1209675" cy="41021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6600*2000</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人形镂空铜板为2层1.5mm铜板，1.5mm铜板包边）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东塘老街景墙雕塑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191135</wp:posOffset>
                  </wp:positionH>
                  <wp:positionV relativeFrom="paragraph">
                    <wp:posOffset>86360</wp:posOffset>
                  </wp:positionV>
                  <wp:extent cx="1238250" cy="419735"/>
                  <wp:effectExtent l="0" t="0" r="0" b="18415"/>
                  <wp:wrapNone/>
                  <wp:docPr id="47" name="图片_18"/>
                  <wp:cNvGraphicFramePr/>
                  <a:graphic xmlns:a="http://schemas.openxmlformats.org/drawingml/2006/main">
                    <a:graphicData uri="http://schemas.openxmlformats.org/drawingml/2006/picture">
                      <pic:pic xmlns:pic="http://schemas.openxmlformats.org/drawingml/2006/picture">
                        <pic:nvPicPr>
                          <pic:cNvPr id="47" name="图片_18"/>
                          <pic:cNvPicPr/>
                        </pic:nvPicPr>
                        <pic:blipFill>
                          <a:blip r:embed="rId40"/>
                          <a:stretch>
                            <a:fillRect/>
                          </a:stretch>
                        </pic:blipFill>
                        <pic:spPr>
                          <a:xfrm>
                            <a:off x="0" y="0"/>
                            <a:ext cx="1238250" cy="41973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9000*2650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240x120x60厚青砖、不锈钢采用1.5mm，镂空字采用1mm铜板，字体10mm厚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东塘老街铜人雕塑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370840</wp:posOffset>
                  </wp:positionH>
                  <wp:positionV relativeFrom="paragraph">
                    <wp:posOffset>48260</wp:posOffset>
                  </wp:positionV>
                  <wp:extent cx="733425" cy="762000"/>
                  <wp:effectExtent l="0" t="0" r="9525" b="0"/>
                  <wp:wrapNone/>
                  <wp:docPr id="48" name="图片_29"/>
                  <wp:cNvGraphicFramePr/>
                  <a:graphic xmlns:a="http://schemas.openxmlformats.org/drawingml/2006/main">
                    <a:graphicData uri="http://schemas.openxmlformats.org/drawingml/2006/picture">
                      <pic:pic xmlns:pic="http://schemas.openxmlformats.org/drawingml/2006/picture">
                        <pic:nvPicPr>
                          <pic:cNvPr id="48" name="图片_29"/>
                          <pic:cNvPicPr/>
                        </pic:nvPicPr>
                        <pic:blipFill>
                          <a:blip r:embed="rId41"/>
                          <a:stretch>
                            <a:fillRect/>
                          </a:stretch>
                        </pic:blipFill>
                        <pic:spPr>
                          <a:xfrm>
                            <a:off x="0" y="0"/>
                            <a:ext cx="733425" cy="76200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2100*2300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铜雕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4"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东塘水乡景墙</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200660</wp:posOffset>
                  </wp:positionH>
                  <wp:positionV relativeFrom="paragraph">
                    <wp:posOffset>172720</wp:posOffset>
                  </wp:positionV>
                  <wp:extent cx="1304925" cy="428625"/>
                  <wp:effectExtent l="0" t="0" r="9525" b="9525"/>
                  <wp:wrapNone/>
                  <wp:docPr id="49" name="图片_19"/>
                  <wp:cNvGraphicFramePr/>
                  <a:graphic xmlns:a="http://schemas.openxmlformats.org/drawingml/2006/main">
                    <a:graphicData uri="http://schemas.openxmlformats.org/drawingml/2006/picture">
                      <pic:pic xmlns:pic="http://schemas.openxmlformats.org/drawingml/2006/picture">
                        <pic:nvPicPr>
                          <pic:cNvPr id="49" name="图片_19"/>
                          <pic:cNvPicPr/>
                        </pic:nvPicPr>
                        <pic:blipFill>
                          <a:blip r:embed="rId42"/>
                          <a:stretch>
                            <a:fillRect/>
                          </a:stretch>
                        </pic:blipFill>
                        <pic:spPr>
                          <a:xfrm>
                            <a:off x="0" y="0"/>
                            <a:ext cx="1304925" cy="42862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9850*2980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180x180瓦片、1.5mm厚不锈钢黑色氟碳漆、钢丝网、铜板镂空纹理、30x30x2厚镀锌钢管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美丽东塘雕塑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171450</wp:posOffset>
                  </wp:positionV>
                  <wp:extent cx="981075" cy="485140"/>
                  <wp:effectExtent l="0" t="0" r="9525" b="10160"/>
                  <wp:wrapNone/>
                  <wp:docPr id="50" name="图片_20"/>
                  <wp:cNvGraphicFramePr/>
                  <a:graphic xmlns:a="http://schemas.openxmlformats.org/drawingml/2006/main">
                    <a:graphicData uri="http://schemas.openxmlformats.org/drawingml/2006/picture">
                      <pic:pic xmlns:pic="http://schemas.openxmlformats.org/drawingml/2006/picture">
                        <pic:nvPicPr>
                          <pic:cNvPr id="50" name="图片_20"/>
                          <pic:cNvPicPr/>
                        </pic:nvPicPr>
                        <pic:blipFill>
                          <a:blip r:embed="rId43"/>
                          <a:stretch>
                            <a:fillRect/>
                          </a:stretch>
                        </pic:blipFill>
                        <pic:spPr>
                          <a:xfrm>
                            <a:off x="0" y="0"/>
                            <a:ext cx="981075" cy="48514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13900*5300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200x100x50小青砖、仿木金属花格、金属水文造型不锈钢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农耕雕塑1</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123825</wp:posOffset>
                  </wp:positionV>
                  <wp:extent cx="1066165" cy="494665"/>
                  <wp:effectExtent l="0" t="0" r="635" b="635"/>
                  <wp:wrapNone/>
                  <wp:docPr id="33" name="图片_23"/>
                  <wp:cNvGraphicFramePr/>
                  <a:graphic xmlns:a="http://schemas.openxmlformats.org/drawingml/2006/main">
                    <a:graphicData uri="http://schemas.openxmlformats.org/drawingml/2006/picture">
                      <pic:pic xmlns:pic="http://schemas.openxmlformats.org/drawingml/2006/picture">
                        <pic:nvPicPr>
                          <pic:cNvPr id="33" name="图片_23"/>
                          <pic:cNvPicPr/>
                        </pic:nvPicPr>
                        <pic:blipFill>
                          <a:blip r:embed="rId44"/>
                          <a:stretch>
                            <a:fillRect/>
                          </a:stretch>
                        </pic:blipFill>
                        <pic:spPr>
                          <a:xfrm>
                            <a:off x="0" y="0"/>
                            <a:ext cx="1066165" cy="49466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4670*2000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3厚镂空钢板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9"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农耕雕塑2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238125</wp:posOffset>
                  </wp:positionH>
                  <wp:positionV relativeFrom="paragraph">
                    <wp:posOffset>95250</wp:posOffset>
                  </wp:positionV>
                  <wp:extent cx="1114425" cy="485775"/>
                  <wp:effectExtent l="0" t="0" r="9525" b="9525"/>
                  <wp:wrapNone/>
                  <wp:docPr id="34" name="图片_24"/>
                  <wp:cNvGraphicFramePr/>
                  <a:graphic xmlns:a="http://schemas.openxmlformats.org/drawingml/2006/main">
                    <a:graphicData uri="http://schemas.openxmlformats.org/drawingml/2006/picture">
                      <pic:pic xmlns:pic="http://schemas.openxmlformats.org/drawingml/2006/picture">
                        <pic:nvPicPr>
                          <pic:cNvPr id="34" name="图片_24"/>
                          <pic:cNvPicPr/>
                        </pic:nvPicPr>
                        <pic:blipFill>
                          <a:blip r:embed="rId45"/>
                          <a:stretch>
                            <a:fillRect/>
                          </a:stretch>
                        </pic:blipFill>
                        <pic:spPr>
                          <a:xfrm>
                            <a:off x="0" y="0"/>
                            <a:ext cx="1114425" cy="48577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4950*2000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农耕雕塑3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190500</wp:posOffset>
                  </wp:positionH>
                  <wp:positionV relativeFrom="paragraph">
                    <wp:posOffset>85090</wp:posOffset>
                  </wp:positionV>
                  <wp:extent cx="1038860" cy="523240"/>
                  <wp:effectExtent l="0" t="0" r="8890" b="10160"/>
                  <wp:wrapNone/>
                  <wp:docPr id="35" name="图片_25"/>
                  <wp:cNvGraphicFramePr/>
                  <a:graphic xmlns:a="http://schemas.openxmlformats.org/drawingml/2006/main">
                    <a:graphicData uri="http://schemas.openxmlformats.org/drawingml/2006/picture">
                      <pic:pic xmlns:pic="http://schemas.openxmlformats.org/drawingml/2006/picture">
                        <pic:nvPicPr>
                          <pic:cNvPr id="35" name="图片_25"/>
                          <pic:cNvPicPr/>
                        </pic:nvPicPr>
                        <pic:blipFill>
                          <a:blip r:embed="rId46"/>
                          <a:stretch>
                            <a:fillRect/>
                          </a:stretch>
                        </pic:blipFill>
                        <pic:spPr>
                          <a:xfrm>
                            <a:off x="0" y="0"/>
                            <a:ext cx="1038860" cy="52324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4140*2000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秋千座椅</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428625</wp:posOffset>
                  </wp:positionH>
                  <wp:positionV relativeFrom="paragraph">
                    <wp:posOffset>86995</wp:posOffset>
                  </wp:positionV>
                  <wp:extent cx="542925" cy="818515"/>
                  <wp:effectExtent l="0" t="0" r="9525" b="635"/>
                  <wp:wrapNone/>
                  <wp:docPr id="36" name="图片_22"/>
                  <wp:cNvGraphicFramePr/>
                  <a:graphic xmlns:a="http://schemas.openxmlformats.org/drawingml/2006/main">
                    <a:graphicData uri="http://schemas.openxmlformats.org/drawingml/2006/picture">
                      <pic:pic xmlns:pic="http://schemas.openxmlformats.org/drawingml/2006/picture">
                        <pic:nvPicPr>
                          <pic:cNvPr id="36" name="图片_22"/>
                          <pic:cNvPicPr/>
                        </pic:nvPicPr>
                        <pic:blipFill>
                          <a:blip r:embed="rId47"/>
                          <a:stretch>
                            <a:fillRect/>
                          </a:stretch>
                        </pic:blipFill>
                        <pic:spPr>
                          <a:xfrm>
                            <a:off x="0" y="0"/>
                            <a:ext cx="542925" cy="81851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1500*2500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5厚不锈钢黑色氟碳漆，成品座椅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树形雕塑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523875</wp:posOffset>
                  </wp:positionH>
                  <wp:positionV relativeFrom="paragraph">
                    <wp:posOffset>58420</wp:posOffset>
                  </wp:positionV>
                  <wp:extent cx="408940" cy="620395"/>
                  <wp:effectExtent l="0" t="0" r="10160" b="8255"/>
                  <wp:wrapNone/>
                  <wp:docPr id="37" name="图片_26"/>
                  <wp:cNvGraphicFramePr/>
                  <a:graphic xmlns:a="http://schemas.openxmlformats.org/drawingml/2006/main">
                    <a:graphicData uri="http://schemas.openxmlformats.org/drawingml/2006/picture">
                      <pic:pic xmlns:pic="http://schemas.openxmlformats.org/drawingml/2006/picture">
                        <pic:nvPicPr>
                          <pic:cNvPr id="37" name="图片_26"/>
                          <pic:cNvPicPr/>
                        </pic:nvPicPr>
                        <pic:blipFill>
                          <a:blip r:embed="rId48"/>
                          <a:stretch>
                            <a:fillRect/>
                          </a:stretch>
                        </pic:blipFill>
                        <pic:spPr>
                          <a:xfrm>
                            <a:off x="0" y="0"/>
                            <a:ext cx="408940" cy="62039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2435*4540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2厚不锈钢金属烤漆、塑料透明灯球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特色景墙</w:t>
            </w:r>
          </w:p>
        </w:tc>
        <w:tc>
          <w:tcPr>
            <w:tcW w:w="3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172085</wp:posOffset>
                  </wp:positionH>
                  <wp:positionV relativeFrom="paragraph">
                    <wp:posOffset>104775</wp:posOffset>
                  </wp:positionV>
                  <wp:extent cx="1190625" cy="563880"/>
                  <wp:effectExtent l="0" t="0" r="9525" b="7620"/>
                  <wp:wrapNone/>
                  <wp:docPr id="38" name="图片_27"/>
                  <wp:cNvGraphicFramePr/>
                  <a:graphic xmlns:a="http://schemas.openxmlformats.org/drawingml/2006/main">
                    <a:graphicData uri="http://schemas.openxmlformats.org/drawingml/2006/picture">
                      <pic:pic xmlns:pic="http://schemas.openxmlformats.org/drawingml/2006/picture">
                        <pic:nvPicPr>
                          <pic:cNvPr id="38" name="图片_27"/>
                          <pic:cNvPicPr/>
                        </pic:nvPicPr>
                        <pic:blipFill>
                          <a:blip r:embed="rId49"/>
                          <a:stretch>
                            <a:fillRect/>
                          </a:stretch>
                        </pic:blipFill>
                        <pic:spPr>
                          <a:xfrm>
                            <a:off x="0" y="0"/>
                            <a:ext cx="1190625" cy="56388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9975*4400</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200x200金属字体、2mm厚钢板、180x180金属字体、250x250金属字体、400x400金属字体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文明城雕塑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fill="FFFF00"/>
                <w:lang w:val="en-US" w:eastAsia="zh-CN" w:bidi="ar"/>
              </w:rPr>
              <w:drawing>
                <wp:anchor distT="0" distB="0" distL="114300" distR="114300" simplePos="0" relativeHeight="251659264" behindDoc="0" locked="0" layoutInCell="1" allowOverlap="1">
                  <wp:simplePos x="0" y="0"/>
                  <wp:positionH relativeFrom="column">
                    <wp:posOffset>257810</wp:posOffset>
                  </wp:positionH>
                  <wp:positionV relativeFrom="paragraph">
                    <wp:posOffset>27940</wp:posOffset>
                  </wp:positionV>
                  <wp:extent cx="1114425" cy="810895"/>
                  <wp:effectExtent l="0" t="0" r="9525" b="8255"/>
                  <wp:wrapNone/>
                  <wp:docPr id="39" name="图片_21"/>
                  <wp:cNvGraphicFramePr/>
                  <a:graphic xmlns:a="http://schemas.openxmlformats.org/drawingml/2006/main">
                    <a:graphicData uri="http://schemas.openxmlformats.org/drawingml/2006/picture">
                      <pic:pic xmlns:pic="http://schemas.openxmlformats.org/drawingml/2006/picture">
                        <pic:nvPicPr>
                          <pic:cNvPr id="39" name="图片_21"/>
                          <pic:cNvPicPr/>
                        </pic:nvPicPr>
                        <pic:blipFill>
                          <a:blip r:embed="rId50"/>
                          <a:stretch>
                            <a:fillRect/>
                          </a:stretch>
                        </pic:blipFill>
                        <pic:spPr>
                          <a:xfrm>
                            <a:off x="0" y="0"/>
                            <a:ext cx="1114425" cy="81089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8850*6100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200x200金属字体、150x150金属字体、仿木纹不锈钢、仿芝麻白花岗岩烤漆、仿芝麻黑花岗岩烤漆、300x600青砖、2厚不锈钢板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中国梦雕塑</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fill="FFFF00"/>
                <w:lang w:val="en-US" w:eastAsia="zh-CN" w:bidi="ar"/>
              </w:rPr>
              <w:drawing>
                <wp:anchor distT="0" distB="0" distL="114300" distR="114300" simplePos="0" relativeHeight="251659264" behindDoc="0" locked="0" layoutInCell="1" allowOverlap="1">
                  <wp:simplePos x="0" y="0"/>
                  <wp:positionH relativeFrom="column">
                    <wp:posOffset>353060</wp:posOffset>
                  </wp:positionH>
                  <wp:positionV relativeFrom="paragraph">
                    <wp:posOffset>29845</wp:posOffset>
                  </wp:positionV>
                  <wp:extent cx="1104265" cy="581660"/>
                  <wp:effectExtent l="0" t="0" r="635" b="8890"/>
                  <wp:wrapNone/>
                  <wp:docPr id="40" name="图片_28"/>
                  <wp:cNvGraphicFramePr/>
                  <a:graphic xmlns:a="http://schemas.openxmlformats.org/drawingml/2006/main">
                    <a:graphicData uri="http://schemas.openxmlformats.org/drawingml/2006/picture">
                      <pic:pic xmlns:pic="http://schemas.openxmlformats.org/drawingml/2006/picture">
                        <pic:nvPicPr>
                          <pic:cNvPr id="40" name="图片_28"/>
                          <pic:cNvPicPr/>
                        </pic:nvPicPr>
                        <pic:blipFill>
                          <a:blip r:embed="rId51"/>
                          <a:stretch>
                            <a:fillRect/>
                          </a:stretch>
                        </pic:blipFill>
                        <pic:spPr>
                          <a:xfrm>
                            <a:off x="0" y="0"/>
                            <a:ext cx="1104265" cy="581660"/>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8530*2830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1.5mm厚不锈钢板、仿芝麻灰花岗岩烤漆、1.5mm厚钢板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停车场</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fill="FFFF00"/>
                <w:lang w:val="en-US" w:eastAsia="zh-CN" w:bidi="ar"/>
              </w:rPr>
              <w:drawing>
                <wp:anchor distT="0" distB="0" distL="114300" distR="114300" simplePos="0" relativeHeight="251659264" behindDoc="0" locked="0" layoutInCell="1" allowOverlap="1">
                  <wp:simplePos x="0" y="0"/>
                  <wp:positionH relativeFrom="column">
                    <wp:posOffset>324485</wp:posOffset>
                  </wp:positionH>
                  <wp:positionV relativeFrom="paragraph">
                    <wp:posOffset>92075</wp:posOffset>
                  </wp:positionV>
                  <wp:extent cx="1075055" cy="616585"/>
                  <wp:effectExtent l="0" t="0" r="10795" b="12065"/>
                  <wp:wrapNone/>
                  <wp:docPr id="41" name="图片_1"/>
                  <wp:cNvGraphicFramePr/>
                  <a:graphic xmlns:a="http://schemas.openxmlformats.org/drawingml/2006/main">
                    <a:graphicData uri="http://schemas.openxmlformats.org/drawingml/2006/picture">
                      <pic:pic xmlns:pic="http://schemas.openxmlformats.org/drawingml/2006/picture">
                        <pic:nvPicPr>
                          <pic:cNvPr id="41" name="图片_1"/>
                          <pic:cNvPicPr/>
                        </pic:nvPicPr>
                        <pic:blipFill>
                          <a:blip r:embed="rId52"/>
                          <a:stretch>
                            <a:fillRect/>
                          </a:stretch>
                        </pic:blipFill>
                        <pic:spPr>
                          <a:xfrm>
                            <a:off x="0" y="0"/>
                            <a:ext cx="1075055" cy="616585"/>
                          </a:xfrm>
                          <a:prstGeom prst="rect">
                            <a:avLst/>
                          </a:prstGeom>
                          <a:noFill/>
                          <a:ln>
                            <a:noFill/>
                          </a:ln>
                        </pic:spPr>
                      </pic:pic>
                    </a:graphicData>
                  </a:graphic>
                </wp:anchor>
              </w:drawing>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14605*3000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100*100*6mm厚镀锌钢管、外饰面仿复古铁锈漆喷涂、未填充部分为镂空部分、1580*200*320条形整石</w:t>
            </w:r>
          </w:p>
        </w:tc>
      </w:tr>
    </w:tbl>
    <w:p>
      <w:pPr>
        <w:pStyle w:val="60"/>
        <w:rPr>
          <w:highlight w:val="none"/>
        </w:rPr>
        <w:sectPr>
          <w:pgSz w:w="16838" w:h="11906" w:orient="landscape"/>
          <w:pgMar w:top="1418" w:right="680" w:bottom="1418" w:left="468" w:header="851" w:footer="992" w:gutter="0"/>
          <w:cols w:space="720" w:num="1"/>
          <w:titlePg/>
          <w:docGrid w:linePitch="312" w:charSpace="0"/>
        </w:sectPr>
      </w:pPr>
    </w:p>
    <w:p>
      <w:pPr>
        <w:pStyle w:val="60"/>
        <w:jc w:val="both"/>
      </w:pPr>
    </w:p>
    <w:p>
      <w:pPr>
        <w:adjustRightInd w:val="0"/>
        <w:snapToGrid w:val="0"/>
        <w:spacing w:line="480" w:lineRule="exact"/>
        <w:rPr>
          <w:rFonts w:hint="eastAsia" w:ascii="宋体" w:hAnsi="宋体" w:cs="Times New Roman"/>
          <w:bCs/>
          <w:color w:val="auto"/>
          <w:sz w:val="24"/>
          <w:szCs w:val="24"/>
          <w:highlight w:val="none"/>
          <w:lang w:val="en-US" w:eastAsia="zh-CN"/>
        </w:rPr>
      </w:pPr>
      <w:r>
        <w:rPr>
          <w:spacing w:val="-8"/>
        </w:rPr>
        <w:t>▲</w:t>
      </w:r>
      <w:r>
        <w:rPr>
          <w:rFonts w:hint="eastAsia"/>
          <w:lang w:eastAsia="zh-CN"/>
        </w:rPr>
        <w:t>二、</w:t>
      </w:r>
      <w:r>
        <w:rPr>
          <w:rFonts w:hint="eastAsia" w:ascii="宋体" w:hAnsi="宋体" w:cs="Times New Roman"/>
          <w:b/>
          <w:bCs/>
          <w:color w:val="auto"/>
          <w:sz w:val="24"/>
          <w:szCs w:val="24"/>
          <w:highlight w:val="none"/>
          <w:lang w:val="en-US" w:eastAsia="zh-CN"/>
        </w:rPr>
        <w:t>质量标准：</w:t>
      </w:r>
    </w:p>
    <w:p>
      <w:pPr>
        <w:adjustRightInd w:val="0"/>
        <w:snapToGrid w:val="0"/>
        <w:spacing w:line="480" w:lineRule="exact"/>
        <w:ind w:firstLine="480" w:firstLineChars="200"/>
        <w:rPr>
          <w:rFonts w:hint="eastAsia" w:ascii="宋体" w:hAnsi="宋体" w:cs="Times New Roman"/>
          <w:bCs/>
          <w:color w:val="auto"/>
          <w:sz w:val="24"/>
          <w:szCs w:val="24"/>
          <w:highlight w:val="none"/>
          <w:lang w:val="en-US" w:eastAsia="zh-CN"/>
        </w:rPr>
      </w:pPr>
      <w:r>
        <w:rPr>
          <w:rFonts w:hint="eastAsia" w:ascii="宋体" w:hAnsi="宋体" w:cs="Times New Roman"/>
          <w:bCs/>
          <w:color w:val="auto"/>
          <w:sz w:val="24"/>
          <w:szCs w:val="24"/>
          <w:highlight w:val="none"/>
          <w:lang w:val="en-US" w:eastAsia="zh-CN"/>
        </w:rPr>
        <w:t>（1）工程质量须符合（工程施工质量验收规范）标准，雕塑的工艺质量须符合设计要求和大众视觉美观。</w:t>
      </w:r>
    </w:p>
    <w:p>
      <w:pPr>
        <w:adjustRightInd w:val="0"/>
        <w:snapToGrid w:val="0"/>
        <w:spacing w:line="480" w:lineRule="exact"/>
        <w:ind w:firstLine="480" w:firstLineChars="200"/>
        <w:rPr>
          <w:rFonts w:hint="eastAsia" w:ascii="宋体" w:hAnsi="宋体" w:cs="Times New Roman"/>
          <w:bCs/>
          <w:color w:val="auto"/>
          <w:sz w:val="24"/>
          <w:szCs w:val="24"/>
          <w:highlight w:val="none"/>
          <w:lang w:val="en-US" w:eastAsia="zh-CN"/>
        </w:rPr>
      </w:pPr>
      <w:r>
        <w:rPr>
          <w:rFonts w:hint="eastAsia" w:ascii="宋体" w:hAnsi="宋体" w:cs="Times New Roman"/>
          <w:bCs/>
          <w:color w:val="auto"/>
          <w:sz w:val="24"/>
          <w:szCs w:val="24"/>
          <w:highlight w:val="none"/>
          <w:lang w:val="en-US" w:eastAsia="zh-CN"/>
        </w:rPr>
        <w:t>（2）雕塑表面不能有焊疤和焊缝，表面不能有明显的拼接痕迹。</w:t>
      </w:r>
    </w:p>
    <w:p>
      <w:pPr>
        <w:adjustRightInd w:val="0"/>
        <w:snapToGrid w:val="0"/>
        <w:spacing w:line="480" w:lineRule="exact"/>
        <w:ind w:firstLine="480" w:firstLineChars="200"/>
        <w:rPr>
          <w:rFonts w:hint="eastAsia" w:ascii="宋体" w:hAnsi="宋体" w:cs="Times New Roman"/>
          <w:bCs/>
          <w:color w:val="auto"/>
          <w:sz w:val="24"/>
          <w:szCs w:val="24"/>
          <w:highlight w:val="none"/>
          <w:lang w:val="en-US" w:eastAsia="zh-CN"/>
        </w:rPr>
      </w:pPr>
      <w:r>
        <w:rPr>
          <w:rFonts w:hint="eastAsia" w:ascii="宋体" w:hAnsi="宋体" w:cs="Times New Roman"/>
          <w:bCs/>
          <w:color w:val="auto"/>
          <w:sz w:val="24"/>
          <w:szCs w:val="24"/>
          <w:highlight w:val="none"/>
          <w:lang w:val="en-US" w:eastAsia="zh-CN"/>
        </w:rPr>
        <w:t>（3）雕塑要求线条流畅、比例准确、形体饱满、表面光滑，不能有裂缝及裂纹。表面文饰清晰，无裂纹等，外形线条流畅。</w:t>
      </w:r>
    </w:p>
    <w:p>
      <w:pPr>
        <w:adjustRightInd w:val="0"/>
        <w:snapToGrid w:val="0"/>
        <w:spacing w:line="480" w:lineRule="exact"/>
        <w:ind w:firstLine="480" w:firstLineChars="200"/>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lang w:val="en-US" w:eastAsia="zh-CN"/>
        </w:rPr>
        <w:t>（4）必须保证雕塑有足够强度。</w:t>
      </w:r>
      <w:r>
        <w:rPr>
          <w:rFonts w:hint="eastAsia" w:ascii="宋体" w:hAnsi="宋体" w:cs="Times New Roman"/>
          <w:bCs/>
          <w:color w:val="auto"/>
          <w:sz w:val="24"/>
          <w:szCs w:val="24"/>
          <w:highlight w:val="none"/>
        </w:rPr>
        <w:t xml:space="preserve"> </w:t>
      </w:r>
    </w:p>
    <w:p>
      <w:pPr>
        <w:pStyle w:val="34"/>
        <w:adjustRightInd w:val="0"/>
        <w:snapToGrid w:val="0"/>
        <w:spacing w:line="360" w:lineRule="auto"/>
        <w:rPr>
          <w:rFonts w:hint="eastAsia" w:ascii="宋体" w:hAnsi="宋体"/>
          <w:color w:val="auto"/>
          <w:sz w:val="24"/>
          <w:szCs w:val="24"/>
          <w:highlight w:val="none"/>
          <w:u w:val="single"/>
        </w:rPr>
      </w:pPr>
      <w:r>
        <w:rPr>
          <w:rFonts w:hint="eastAsia" w:ascii="宋体" w:hAnsi="宋体" w:cs="宋体"/>
          <w:color w:val="auto"/>
          <w:kern w:val="0"/>
          <w:sz w:val="24"/>
          <w:szCs w:val="20"/>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宋体" w:hAnsi="宋体"/>
          <w:b/>
          <w:bCs/>
          <w:color w:val="auto"/>
          <w:sz w:val="24"/>
          <w:szCs w:val="24"/>
          <w:highlight w:val="none"/>
        </w:rPr>
      </w:pPr>
      <w:r>
        <w:rPr>
          <w:spacing w:val="-8"/>
          <w:highlight w:val="none"/>
        </w:rPr>
        <w:t>▲</w:t>
      </w:r>
      <w:r>
        <w:rPr>
          <w:rFonts w:hint="eastAsia" w:ascii="宋体" w:hAnsi="宋体"/>
          <w:b/>
          <w:bCs/>
          <w:color w:val="auto"/>
          <w:sz w:val="24"/>
          <w:szCs w:val="24"/>
          <w:highlight w:val="none"/>
          <w:lang w:eastAsia="zh-CN"/>
        </w:rPr>
        <w:t>三</w:t>
      </w:r>
      <w:r>
        <w:rPr>
          <w:rFonts w:hint="eastAsia" w:ascii="宋体" w:hAnsi="宋体"/>
          <w:b/>
          <w:bCs/>
          <w:color w:val="auto"/>
          <w:sz w:val="24"/>
          <w:szCs w:val="24"/>
          <w:highlight w:val="none"/>
        </w:rPr>
        <w:t>、履约保证金和质量保证金：</w:t>
      </w:r>
    </w:p>
    <w:p>
      <w:pPr>
        <w:adjustRightInd w:val="0"/>
        <w:snapToGrid w:val="0"/>
        <w:spacing w:line="480" w:lineRule="exact"/>
        <w:ind w:firstLine="480" w:firstLineChars="200"/>
        <w:rPr>
          <w:rFonts w:hint="default" w:ascii="宋体" w:hAnsi="宋体" w:eastAsia="宋体"/>
          <w:bCs/>
          <w:color w:val="auto"/>
          <w:sz w:val="24"/>
          <w:szCs w:val="24"/>
          <w:highlight w:val="none"/>
          <w:lang w:val="en-US" w:eastAsia="zh-CN"/>
        </w:rPr>
      </w:pPr>
      <w:r>
        <w:rPr>
          <w:rFonts w:hint="eastAsia" w:ascii="宋体" w:hAnsi="宋体"/>
          <w:bCs/>
          <w:color w:val="auto"/>
          <w:sz w:val="24"/>
          <w:szCs w:val="24"/>
          <w:highlight w:val="none"/>
        </w:rPr>
        <w:t>在合同签订以前供应商向采购人缴纳</w:t>
      </w:r>
      <w:r>
        <w:rPr>
          <w:rFonts w:hint="eastAsia" w:ascii="宋体" w:hAnsi="宋体"/>
          <w:bCs/>
          <w:color w:val="auto"/>
          <w:sz w:val="24"/>
          <w:szCs w:val="24"/>
          <w:highlight w:val="none"/>
          <w:lang w:eastAsia="zh-CN"/>
        </w:rPr>
        <w:t>成交</w:t>
      </w:r>
      <w:r>
        <w:rPr>
          <w:rFonts w:hint="eastAsia" w:ascii="宋体" w:hAnsi="宋体"/>
          <w:bCs/>
          <w:color w:val="auto"/>
          <w:sz w:val="24"/>
          <w:szCs w:val="24"/>
          <w:highlight w:val="none"/>
        </w:rPr>
        <w:t>总额</w:t>
      </w:r>
      <w:r>
        <w:rPr>
          <w:rFonts w:hint="eastAsia" w:ascii="宋体" w:hAnsi="宋体"/>
          <w:bCs/>
          <w:color w:val="auto"/>
          <w:sz w:val="24"/>
          <w:szCs w:val="24"/>
          <w:highlight w:val="none"/>
          <w:lang w:val="en-US" w:eastAsia="zh-CN"/>
        </w:rPr>
        <w:t>2</w:t>
      </w:r>
      <w:r>
        <w:rPr>
          <w:rFonts w:hint="eastAsia" w:ascii="宋体" w:hAnsi="宋体"/>
          <w:bCs/>
          <w:color w:val="auto"/>
          <w:sz w:val="24"/>
          <w:szCs w:val="24"/>
          <w:highlight w:val="none"/>
        </w:rPr>
        <w:t>%的履约保证金。</w:t>
      </w:r>
      <w:r>
        <w:rPr>
          <w:rFonts w:hint="eastAsia" w:ascii="宋体" w:hAnsi="宋体" w:cs="宋体"/>
          <w:bCs/>
          <w:sz w:val="24"/>
          <w:highlight w:val="none"/>
        </w:rPr>
        <w:t>验收合格后履约保证金</w:t>
      </w:r>
      <w:r>
        <w:rPr>
          <w:rFonts w:hint="eastAsia" w:ascii="宋体" w:hAnsi="宋体" w:cs="宋体"/>
          <w:bCs/>
          <w:sz w:val="24"/>
          <w:highlight w:val="none"/>
          <w:lang w:eastAsia="zh-CN"/>
        </w:rPr>
        <w:t>自动转为质量保证金</w:t>
      </w:r>
      <w:r>
        <w:rPr>
          <w:rFonts w:hint="eastAsia" w:ascii="宋体" w:hAnsi="宋体" w:cs="宋体"/>
          <w:bCs/>
          <w:sz w:val="24"/>
          <w:highlight w:val="none"/>
        </w:rPr>
        <w:t>。</w:t>
      </w:r>
      <w:r>
        <w:rPr>
          <w:rFonts w:hint="eastAsia" w:ascii="宋体" w:hAnsi="宋体" w:cs="宋体"/>
          <w:bCs/>
          <w:sz w:val="24"/>
          <w:highlight w:val="none"/>
          <w:lang w:eastAsia="zh-CN"/>
        </w:rPr>
        <w:t>质保</w:t>
      </w:r>
      <w:r>
        <w:rPr>
          <w:rFonts w:hint="eastAsia" w:ascii="宋体" w:hAnsi="宋体" w:cs="宋体"/>
          <w:bCs/>
          <w:sz w:val="24"/>
          <w:highlight w:val="none"/>
          <w:lang w:val="en-US" w:eastAsia="zh-CN"/>
        </w:rPr>
        <w:t>期结束后无息退还。</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宋体" w:hAnsi="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宋体" w:hAnsi="宋体" w:cs="Times New Roman"/>
          <w:b/>
          <w:bCs/>
          <w:color w:val="auto"/>
          <w:sz w:val="24"/>
          <w:szCs w:val="24"/>
          <w:highlight w:val="none"/>
          <w:lang w:eastAsia="zh-CN"/>
        </w:rPr>
      </w:pPr>
      <w:r>
        <w:rPr>
          <w:rFonts w:hint="eastAsia" w:ascii="宋体" w:hAnsi="宋体" w:cs="Times New Roman"/>
          <w:b/>
          <w:bCs/>
          <w:color w:val="auto"/>
          <w:sz w:val="24"/>
          <w:szCs w:val="24"/>
          <w:highlight w:val="none"/>
          <w:lang w:eastAsia="zh-CN"/>
        </w:rPr>
        <w:t>四</w:t>
      </w:r>
      <w:r>
        <w:rPr>
          <w:rFonts w:hint="eastAsia" w:ascii="宋体" w:hAnsi="宋体" w:cs="Times New Roman"/>
          <w:b/>
          <w:bCs/>
          <w:color w:val="auto"/>
          <w:sz w:val="24"/>
          <w:szCs w:val="24"/>
          <w:highlight w:val="none"/>
        </w:rPr>
        <w:t>、</w:t>
      </w:r>
      <w:r>
        <w:rPr>
          <w:rFonts w:hint="eastAsia" w:ascii="宋体" w:hAnsi="宋体" w:cs="Times New Roman"/>
          <w:b/>
          <w:bCs/>
          <w:color w:val="auto"/>
          <w:sz w:val="24"/>
          <w:szCs w:val="24"/>
          <w:highlight w:val="none"/>
          <w:lang w:eastAsia="zh-CN"/>
        </w:rPr>
        <w:t>报价要求</w:t>
      </w:r>
      <w:r>
        <w:rPr>
          <w:rFonts w:hint="eastAsia" w:ascii="宋体" w:hAnsi="宋体" w:cs="Times New Roman"/>
          <w:b/>
          <w:bCs/>
          <w:color w:val="auto"/>
          <w:sz w:val="24"/>
          <w:szCs w:val="24"/>
          <w:highlight w:val="none"/>
        </w:rPr>
        <w:t>：</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auto"/>
        <w:rPr>
          <w:rFonts w:hint="eastAsia"/>
          <w:color w:val="auto"/>
          <w:sz w:val="24"/>
          <w:szCs w:val="24"/>
          <w:highlight w:val="none"/>
          <w:lang w:eastAsia="zh-CN"/>
        </w:rPr>
      </w:pPr>
      <w:r>
        <w:rPr>
          <w:rFonts w:hint="eastAsia"/>
          <w:color w:val="auto"/>
          <w:sz w:val="24"/>
          <w:szCs w:val="24"/>
          <w:highlight w:val="none"/>
          <w:lang w:val="en-US" w:eastAsia="zh-CN"/>
        </w:rPr>
        <w:t>1、</w:t>
      </w:r>
      <w:r>
        <w:rPr>
          <w:rFonts w:hint="eastAsia"/>
          <w:color w:val="auto"/>
          <w:sz w:val="24"/>
          <w:szCs w:val="24"/>
          <w:highlight w:val="none"/>
          <w:lang w:eastAsia="zh-CN"/>
        </w:rPr>
        <w:t>投标人的投标报价已包括所需的设计费、制作费、安装费、 代理费、后期维护费、人工费、税费、利润等乙方进行本项目实施所涉的一切费用。除此之外，甲方不再向乙方或第三方支付任何费用。</w:t>
      </w:r>
    </w:p>
    <w:p>
      <w:pPr>
        <w:pStyle w:val="60"/>
        <w:rPr>
          <w:rFonts w:hint="eastAsia"/>
          <w:highlight w:val="none"/>
          <w:lang w:eastAsia="zh-CN"/>
        </w:rPr>
      </w:pPr>
    </w:p>
    <w:p>
      <w:pPr>
        <w:pStyle w:val="60"/>
        <w:rPr>
          <w:rFonts w:hint="eastAsia"/>
          <w:highlight w:val="none"/>
          <w:lang w:eastAsia="zh-CN"/>
        </w:rPr>
      </w:pPr>
    </w:p>
    <w:p>
      <w:pPr>
        <w:pStyle w:val="34"/>
        <w:adjustRightInd w:val="0"/>
        <w:snapToGrid w:val="0"/>
        <w:spacing w:line="360" w:lineRule="auto"/>
        <w:rPr>
          <w:rFonts w:hint="eastAsia" w:ascii="宋体" w:hAnsi="宋体" w:eastAsia="宋体" w:cs="宋体"/>
          <w:b/>
          <w:bCs/>
          <w:color w:val="auto"/>
          <w:kern w:val="0"/>
          <w:sz w:val="24"/>
          <w:szCs w:val="24"/>
          <w:highlight w:val="none"/>
          <w:lang w:val="en-US" w:eastAsia="zh-CN" w:bidi="ar-SA"/>
        </w:rPr>
      </w:pPr>
      <w:r>
        <w:rPr>
          <w:spacing w:val="-8"/>
          <w:highlight w:val="none"/>
        </w:rPr>
        <w:t>▲</w:t>
      </w:r>
      <w:r>
        <w:rPr>
          <w:rFonts w:hint="eastAsia" w:ascii="宋体" w:hAnsi="宋体" w:cs="Times New Roman"/>
          <w:b/>
          <w:bCs/>
          <w:color w:val="auto"/>
          <w:sz w:val="24"/>
          <w:szCs w:val="24"/>
          <w:highlight w:val="none"/>
          <w:lang w:val="en-US" w:eastAsia="zh-CN"/>
        </w:rPr>
        <w:t>五、</w:t>
      </w:r>
      <w:r>
        <w:rPr>
          <w:rFonts w:hint="eastAsia" w:ascii="宋体" w:hAnsi="宋体" w:eastAsia="宋体" w:cs="宋体"/>
          <w:b/>
          <w:bCs/>
          <w:sz w:val="24"/>
          <w:szCs w:val="24"/>
          <w:highlight w:val="none"/>
        </w:rPr>
        <w:t>货款支付</w:t>
      </w:r>
      <w:r>
        <w:rPr>
          <w:rFonts w:hint="eastAsia" w:ascii="宋体" w:hAnsi="宋体" w:eastAsia="宋体" w:cs="宋体"/>
          <w:b/>
          <w:bCs/>
          <w:sz w:val="24"/>
          <w:szCs w:val="24"/>
          <w:highlight w:val="none"/>
          <w:lang w:eastAsia="zh-CN"/>
        </w:rPr>
        <w:t>：</w:t>
      </w:r>
    </w:p>
    <w:p>
      <w:pPr>
        <w:pStyle w:val="34"/>
        <w:adjustRightInd w:val="0"/>
        <w:snapToGrid w:val="0"/>
        <w:spacing w:line="360" w:lineRule="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1、预付款金额：合同签订且供应商提供发票按合同金额的</w:t>
      </w:r>
      <w:r>
        <w:rPr>
          <w:rFonts w:hint="eastAsia"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0％支付预付款</w:t>
      </w:r>
      <w:r>
        <w:rPr>
          <w:rFonts w:hint="eastAsia" w:hAnsi="宋体" w:cs="宋体"/>
          <w:color w:val="auto"/>
          <w:kern w:val="0"/>
          <w:sz w:val="24"/>
          <w:szCs w:val="24"/>
          <w:highlight w:val="none"/>
          <w:lang w:val="en-US" w:eastAsia="zh-CN" w:bidi="ar-SA"/>
        </w:rPr>
        <w:t>；</w:t>
      </w:r>
    </w:p>
    <w:p>
      <w:pPr>
        <w:pStyle w:val="34"/>
        <w:adjustRightInd w:val="0"/>
        <w:snapToGrid w:val="0"/>
        <w:spacing w:line="360" w:lineRule="auto"/>
        <w:rPr>
          <w:rFonts w:hint="default" w:ascii="宋体" w:hAnsi="宋体" w:eastAsia="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2、材料到现场后，提供发票按合同金额的60%支付进度款；</w:t>
      </w:r>
    </w:p>
    <w:p>
      <w:pPr>
        <w:pStyle w:val="34"/>
        <w:adjustRightInd w:val="0"/>
        <w:snapToGrid w:val="0"/>
        <w:spacing w:line="360" w:lineRule="auto"/>
        <w:rPr>
          <w:rFonts w:hint="eastAsia" w:hAnsi="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、货物安装调试完毕，验收合格、资料归档完毕后十五天内支付至合同价的80%；</w:t>
      </w:r>
    </w:p>
    <w:p>
      <w:pPr>
        <w:pStyle w:val="34"/>
        <w:adjustRightInd w:val="0"/>
        <w:snapToGrid w:val="0"/>
        <w:spacing w:line="360" w:lineRule="auto"/>
        <w:rPr>
          <w:rFonts w:hint="eastAsia" w:ascii="宋体" w:hAnsi="宋体" w:eastAsia="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、审计完毕后十五天内，支付至结算价的95%；</w:t>
      </w:r>
    </w:p>
    <w:p>
      <w:pPr>
        <w:pStyle w:val="34"/>
        <w:adjustRightInd w:val="0"/>
        <w:snapToGrid w:val="0"/>
        <w:spacing w:line="360" w:lineRule="auto"/>
        <w:rPr>
          <w:rFonts w:hint="eastAsia" w:ascii="宋体" w:hAnsi="宋体" w:eastAsia="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、余款于质保期满后十五天内一次性付清。</w:t>
      </w:r>
    </w:p>
    <w:p>
      <w:pPr>
        <w:pStyle w:val="35"/>
        <w:rPr>
          <w:rFonts w:hint="eastAsia"/>
          <w:highlight w:val="none"/>
          <w:lang w:val="en-US" w:eastAsia="zh-CN"/>
        </w:rPr>
      </w:pPr>
    </w:p>
    <w:p>
      <w:pPr>
        <w:spacing w:line="360" w:lineRule="auto"/>
        <w:rPr>
          <w:rFonts w:hint="eastAsia" w:eastAsia="宋体" w:cs="Times New Roman"/>
          <w:b/>
          <w:bCs/>
          <w:color w:val="auto"/>
          <w:sz w:val="24"/>
          <w:szCs w:val="24"/>
          <w:highlight w:val="none"/>
          <w:lang w:val="en-US" w:eastAsia="zh-CN"/>
        </w:rPr>
      </w:pPr>
      <w:r>
        <w:rPr>
          <w:spacing w:val="-8"/>
          <w:highlight w:val="none"/>
        </w:rPr>
        <w:t>▲</w:t>
      </w:r>
      <w:r>
        <w:rPr>
          <w:rFonts w:hint="eastAsia" w:cs="Times New Roman"/>
          <w:b/>
          <w:bCs/>
          <w:color w:val="auto"/>
          <w:sz w:val="24"/>
          <w:szCs w:val="24"/>
          <w:highlight w:val="none"/>
          <w:lang w:eastAsia="zh-CN"/>
        </w:rPr>
        <w:t>六</w:t>
      </w:r>
      <w:r>
        <w:rPr>
          <w:rFonts w:hint="eastAsia" w:eastAsia="宋体" w:cs="Times New Roman"/>
          <w:b/>
          <w:bCs/>
          <w:color w:val="auto"/>
          <w:sz w:val="24"/>
          <w:szCs w:val="24"/>
          <w:highlight w:val="none"/>
          <w:lang w:val="en-US" w:eastAsia="zh-CN"/>
        </w:rPr>
        <w:t>、本项目质保期为一年。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spacing w:val="-8"/>
          <w:highlight w:val="none"/>
        </w:rPr>
        <w:t>▲</w:t>
      </w:r>
      <w:r>
        <w:rPr>
          <w:rFonts w:hint="eastAsia" w:ascii="宋体" w:hAnsi="宋体" w:eastAsia="宋体" w:cs="宋体"/>
          <w:b/>
          <w:bCs/>
          <w:sz w:val="24"/>
          <w:szCs w:val="24"/>
          <w:highlight w:val="none"/>
          <w:lang w:eastAsia="zh-CN"/>
        </w:rPr>
        <w:t>七、</w:t>
      </w:r>
      <w:r>
        <w:rPr>
          <w:rFonts w:hint="eastAsia" w:ascii="宋体" w:hAnsi="宋体" w:eastAsia="宋体" w:cs="宋体"/>
          <w:b/>
          <w:bCs/>
          <w:sz w:val="24"/>
          <w:szCs w:val="24"/>
          <w:highlight w:val="none"/>
        </w:rPr>
        <w:t>中标单位与采购人签订合同后</w:t>
      </w:r>
      <w:r>
        <w:rPr>
          <w:rFonts w:hint="eastAsia" w:ascii="宋体" w:hAnsi="宋体" w:eastAsia="宋体" w:cs="宋体"/>
          <w:b/>
          <w:bCs/>
          <w:sz w:val="24"/>
          <w:szCs w:val="24"/>
          <w:highlight w:val="none"/>
          <w:lang w:val="en-US" w:eastAsia="zh-CN"/>
        </w:rPr>
        <w:t>60</w:t>
      </w:r>
      <w:r>
        <w:rPr>
          <w:rFonts w:hint="eastAsia" w:ascii="宋体" w:hAnsi="宋体" w:eastAsia="宋体" w:cs="宋体"/>
          <w:b/>
          <w:bCs/>
          <w:sz w:val="24"/>
          <w:szCs w:val="24"/>
          <w:highlight w:val="none"/>
        </w:rPr>
        <w:t>日内送货并</w:t>
      </w:r>
      <w:r>
        <w:rPr>
          <w:rFonts w:hint="eastAsia" w:ascii="宋体" w:hAnsi="宋体" w:eastAsia="宋体" w:cs="宋体"/>
          <w:b/>
          <w:bCs/>
          <w:sz w:val="24"/>
          <w:szCs w:val="24"/>
        </w:rPr>
        <w:t>安装、调试完毕及</w:t>
      </w:r>
      <w:r>
        <w:rPr>
          <w:rFonts w:hint="eastAsia" w:ascii="宋体" w:hAnsi="宋体" w:eastAsia="宋体" w:cs="宋体"/>
          <w:b/>
          <w:bCs/>
          <w:sz w:val="24"/>
          <w:szCs w:val="24"/>
          <w:lang w:eastAsia="zh-CN"/>
        </w:rPr>
        <w:t>采购</w:t>
      </w:r>
      <w:r>
        <w:rPr>
          <w:rFonts w:hint="eastAsia" w:ascii="宋体" w:hAnsi="宋体" w:eastAsia="宋体" w:cs="宋体"/>
          <w:b/>
          <w:bCs/>
          <w:sz w:val="24"/>
          <w:szCs w:val="24"/>
        </w:rPr>
        <w:t>方初步验收。</w:t>
      </w:r>
    </w:p>
    <w:p>
      <w:pPr>
        <w:sectPr>
          <w:pgSz w:w="11906" w:h="16838"/>
          <w:pgMar w:top="680" w:right="1418" w:bottom="468" w:left="1418" w:header="851" w:footer="992" w:gutter="0"/>
          <w:cols w:space="720" w:num="1"/>
          <w:titlePg/>
          <w:docGrid w:linePitch="312" w:charSpace="0"/>
        </w:sectPr>
      </w:pPr>
    </w:p>
    <w:bookmarkEnd w:id="11"/>
    <w:bookmarkEnd w:id="12"/>
    <w:p>
      <w:pPr>
        <w:snapToGrid w:val="0"/>
        <w:spacing w:line="360" w:lineRule="auto"/>
        <w:ind w:firstLine="2168" w:firstLineChars="600"/>
        <w:jc w:val="both"/>
        <w:rPr>
          <w:rFonts w:ascii="仿宋" w:hAnsi="仿宋" w:eastAsia="仿宋" w:cs="仿宋_GB2312"/>
          <w:b/>
          <w:sz w:val="36"/>
          <w:szCs w:val="36"/>
        </w:rPr>
      </w:pPr>
      <w:bookmarkStart w:id="27" w:name="第四部分"/>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8" w:name="_Toc184308095"/>
      <w:bookmarkEnd w:id="28"/>
      <w:bookmarkStart w:id="29" w:name="_Toc184310333"/>
      <w:bookmarkEnd w:id="29"/>
      <w:bookmarkStart w:id="30" w:name="_Toc184314463"/>
      <w:bookmarkEnd w:id="30"/>
      <w:bookmarkStart w:id="31" w:name="_Toc184312122"/>
      <w:bookmarkEnd w:id="31"/>
      <w:bookmarkStart w:id="32" w:name="_Toc184314457"/>
      <w:bookmarkEnd w:id="32"/>
      <w:bookmarkStart w:id="33" w:name="_Toc184308094"/>
      <w:bookmarkEnd w:id="33"/>
      <w:bookmarkStart w:id="34" w:name="_Toc184308037"/>
      <w:bookmarkEnd w:id="34"/>
      <w:bookmarkStart w:id="35" w:name="_Toc184313286"/>
      <w:bookmarkEnd w:id="35"/>
      <w:bookmarkStart w:id="36" w:name="_Toc184312120"/>
      <w:bookmarkEnd w:id="36"/>
      <w:bookmarkStart w:id="37" w:name="_Toc184310334"/>
      <w:bookmarkEnd w:id="37"/>
      <w:bookmarkStart w:id="38" w:name="_Toc184308091"/>
      <w:bookmarkEnd w:id="38"/>
      <w:bookmarkStart w:id="39" w:name="_Toc184313294"/>
      <w:bookmarkEnd w:id="39"/>
      <w:bookmarkStart w:id="40" w:name="_Toc184312121"/>
      <w:bookmarkEnd w:id="40"/>
      <w:bookmarkStart w:id="41" w:name="_Toc184312128"/>
      <w:bookmarkEnd w:id="41"/>
      <w:bookmarkStart w:id="42" w:name="_Toc184313297"/>
      <w:bookmarkEnd w:id="42"/>
      <w:bookmarkStart w:id="43" w:name="_Toc184312127"/>
      <w:bookmarkEnd w:id="43"/>
      <w:bookmarkStart w:id="44" w:name="_Toc184308089"/>
      <w:bookmarkEnd w:id="44"/>
      <w:bookmarkStart w:id="45" w:name="_Toc184308090"/>
      <w:bookmarkEnd w:id="45"/>
      <w:bookmarkStart w:id="46" w:name="_Toc184310326"/>
      <w:bookmarkEnd w:id="46"/>
      <w:bookmarkStart w:id="47" w:name="_Toc184310331"/>
      <w:bookmarkEnd w:id="47"/>
      <w:bookmarkStart w:id="48" w:name="_Toc184308085"/>
      <w:bookmarkEnd w:id="48"/>
      <w:bookmarkStart w:id="49" w:name="_Toc184314480"/>
      <w:bookmarkEnd w:id="49"/>
      <w:bookmarkStart w:id="50" w:name="_Toc184312105"/>
      <w:bookmarkEnd w:id="50"/>
      <w:bookmarkStart w:id="51" w:name="_Toc184314461"/>
      <w:bookmarkEnd w:id="51"/>
      <w:bookmarkStart w:id="52" w:name="_Toc184314479"/>
      <w:bookmarkEnd w:id="52"/>
      <w:bookmarkStart w:id="53" w:name="_Toc184308087"/>
      <w:bookmarkEnd w:id="53"/>
      <w:bookmarkStart w:id="54" w:name="_Toc184308063"/>
      <w:bookmarkEnd w:id="54"/>
      <w:bookmarkStart w:id="55" w:name="_Toc184312071"/>
      <w:bookmarkEnd w:id="55"/>
      <w:bookmarkStart w:id="56" w:name="_Toc184314467"/>
      <w:bookmarkEnd w:id="56"/>
      <w:bookmarkStart w:id="57" w:name="_Toc184313250"/>
      <w:bookmarkEnd w:id="57"/>
      <w:bookmarkStart w:id="58" w:name="_Toc184314422"/>
      <w:bookmarkEnd w:id="58"/>
      <w:bookmarkStart w:id="59" w:name="_Toc184308077"/>
      <w:bookmarkEnd w:id="59"/>
      <w:bookmarkStart w:id="60" w:name="_Toc184313298"/>
      <w:bookmarkEnd w:id="60"/>
      <w:bookmarkStart w:id="61" w:name="_Toc184310286"/>
      <w:bookmarkEnd w:id="61"/>
      <w:bookmarkStart w:id="62" w:name="_Toc184314423"/>
      <w:bookmarkEnd w:id="62"/>
      <w:bookmarkStart w:id="63" w:name="_Toc184314476"/>
      <w:bookmarkEnd w:id="63"/>
      <w:bookmarkStart w:id="64" w:name="_Toc184314452"/>
      <w:bookmarkEnd w:id="64"/>
      <w:bookmarkStart w:id="65" w:name="_Toc184314481"/>
      <w:bookmarkEnd w:id="65"/>
      <w:bookmarkStart w:id="66" w:name="_Toc184312107"/>
      <w:bookmarkEnd w:id="66"/>
      <w:bookmarkStart w:id="67" w:name="_Toc184308092"/>
      <w:bookmarkEnd w:id="67"/>
      <w:bookmarkStart w:id="68" w:name="_Toc184312093"/>
      <w:bookmarkEnd w:id="68"/>
      <w:bookmarkStart w:id="69" w:name="_Toc184310313"/>
      <w:bookmarkEnd w:id="69"/>
      <w:bookmarkStart w:id="70" w:name="_Toc184314462"/>
      <w:bookmarkEnd w:id="70"/>
      <w:bookmarkStart w:id="71" w:name="_Toc184313241"/>
      <w:bookmarkEnd w:id="71"/>
      <w:bookmarkStart w:id="72" w:name="_Toc184314451"/>
      <w:bookmarkEnd w:id="72"/>
      <w:bookmarkStart w:id="73" w:name="_Toc184313252"/>
      <w:bookmarkEnd w:id="73"/>
      <w:bookmarkStart w:id="74" w:name="_Toc184314466"/>
      <w:bookmarkEnd w:id="74"/>
      <w:bookmarkStart w:id="75" w:name="_Toc184312133"/>
      <w:bookmarkEnd w:id="75"/>
      <w:bookmarkStart w:id="76" w:name="_Toc184310329"/>
      <w:bookmarkEnd w:id="76"/>
      <w:bookmarkStart w:id="77" w:name="_Toc184312123"/>
      <w:bookmarkEnd w:id="77"/>
      <w:bookmarkStart w:id="78" w:name="_Toc184313248"/>
      <w:bookmarkEnd w:id="78"/>
      <w:bookmarkStart w:id="79" w:name="_Toc184310327"/>
      <w:bookmarkEnd w:id="79"/>
      <w:bookmarkStart w:id="80" w:name="_Toc184310319"/>
      <w:bookmarkEnd w:id="80"/>
      <w:bookmarkStart w:id="81" w:name="_Toc184310325"/>
      <w:bookmarkEnd w:id="81"/>
      <w:bookmarkStart w:id="82" w:name="_Toc184312104"/>
      <w:bookmarkEnd w:id="82"/>
      <w:bookmarkStart w:id="83" w:name="_Toc184312136"/>
      <w:bookmarkEnd w:id="83"/>
      <w:bookmarkStart w:id="84" w:name="_Toc184312080"/>
      <w:bookmarkEnd w:id="84"/>
      <w:bookmarkStart w:id="85" w:name="_Toc184312126"/>
      <w:bookmarkEnd w:id="85"/>
      <w:bookmarkStart w:id="86" w:name="_Toc184312114"/>
      <w:bookmarkEnd w:id="86"/>
      <w:bookmarkStart w:id="87" w:name="_Toc184313289"/>
      <w:bookmarkEnd w:id="87"/>
      <w:bookmarkStart w:id="88" w:name="_Toc184310324"/>
      <w:bookmarkEnd w:id="88"/>
      <w:bookmarkStart w:id="89" w:name="_Toc184308088"/>
      <w:bookmarkEnd w:id="89"/>
      <w:bookmarkStart w:id="90" w:name="_Toc184314464"/>
      <w:bookmarkEnd w:id="90"/>
      <w:bookmarkStart w:id="91" w:name="_Toc184312113"/>
      <w:bookmarkEnd w:id="91"/>
      <w:bookmarkStart w:id="92" w:name="_Toc184312108"/>
      <w:bookmarkEnd w:id="92"/>
      <w:bookmarkStart w:id="93" w:name="_Toc184308051"/>
      <w:bookmarkEnd w:id="93"/>
      <w:bookmarkStart w:id="94" w:name="_Toc184314421"/>
      <w:bookmarkEnd w:id="94"/>
      <w:bookmarkStart w:id="95" w:name="_Toc184310309"/>
      <w:bookmarkEnd w:id="95"/>
      <w:bookmarkStart w:id="96" w:name="_Toc184312119"/>
      <w:bookmarkEnd w:id="96"/>
      <w:bookmarkStart w:id="97" w:name="_Toc184314456"/>
      <w:bookmarkEnd w:id="97"/>
      <w:bookmarkStart w:id="98" w:name="_Toc184312137"/>
      <w:bookmarkEnd w:id="98"/>
      <w:bookmarkStart w:id="99" w:name="_Toc184312118"/>
      <w:bookmarkEnd w:id="99"/>
      <w:bookmarkStart w:id="100" w:name="_Toc184313293"/>
      <w:bookmarkEnd w:id="100"/>
      <w:bookmarkStart w:id="101" w:name="_Toc184313301"/>
      <w:bookmarkEnd w:id="101"/>
      <w:bookmarkStart w:id="102" w:name="_Toc184314438"/>
      <w:bookmarkEnd w:id="102"/>
      <w:bookmarkStart w:id="103" w:name="_Toc184313242"/>
      <w:bookmarkEnd w:id="103"/>
      <w:bookmarkStart w:id="104" w:name="_Toc184312124"/>
      <w:bookmarkEnd w:id="104"/>
      <w:bookmarkStart w:id="105" w:name="_Toc184308093"/>
      <w:bookmarkEnd w:id="105"/>
      <w:bookmarkStart w:id="106" w:name="_Toc184308086"/>
      <w:bookmarkEnd w:id="106"/>
      <w:bookmarkStart w:id="107" w:name="_Toc184314419"/>
      <w:bookmarkEnd w:id="107"/>
      <w:bookmarkStart w:id="108" w:name="_Toc184314465"/>
      <w:bookmarkEnd w:id="108"/>
      <w:bookmarkStart w:id="109" w:name="_Toc184308107"/>
      <w:bookmarkEnd w:id="109"/>
      <w:bookmarkStart w:id="110" w:name="_Toc184313295"/>
      <w:bookmarkEnd w:id="110"/>
      <w:bookmarkStart w:id="111" w:name="_Toc184314460"/>
      <w:bookmarkEnd w:id="111"/>
      <w:bookmarkStart w:id="112" w:name="_Toc184312100"/>
      <w:bookmarkEnd w:id="112"/>
      <w:bookmarkStart w:id="113" w:name="_Toc184310301"/>
      <w:bookmarkEnd w:id="113"/>
      <w:bookmarkStart w:id="114" w:name="_Toc184314443"/>
      <w:bookmarkEnd w:id="114"/>
      <w:bookmarkStart w:id="115" w:name="_Toc184308055"/>
      <w:bookmarkEnd w:id="115"/>
      <w:bookmarkStart w:id="116" w:name="_Toc184313302"/>
      <w:bookmarkEnd w:id="116"/>
      <w:bookmarkStart w:id="117" w:name="_Toc184308072"/>
      <w:bookmarkEnd w:id="117"/>
      <w:bookmarkStart w:id="118" w:name="_Toc184314431"/>
      <w:bookmarkEnd w:id="118"/>
      <w:bookmarkStart w:id="119" w:name="_Toc184313256"/>
      <w:bookmarkEnd w:id="119"/>
      <w:bookmarkStart w:id="120" w:name="_Toc184314475"/>
      <w:bookmarkEnd w:id="120"/>
      <w:bookmarkStart w:id="121" w:name="_Toc184312106"/>
      <w:bookmarkEnd w:id="121"/>
      <w:bookmarkStart w:id="122" w:name="_Toc184312088"/>
      <w:bookmarkEnd w:id="122"/>
      <w:bookmarkStart w:id="123" w:name="_Toc184312097"/>
      <w:bookmarkEnd w:id="123"/>
      <w:bookmarkStart w:id="124" w:name="_Toc184312070"/>
      <w:bookmarkEnd w:id="124"/>
      <w:bookmarkStart w:id="125" w:name="_Toc184308061"/>
      <w:bookmarkEnd w:id="125"/>
      <w:bookmarkStart w:id="126" w:name="_Toc184310307"/>
      <w:bookmarkEnd w:id="126"/>
      <w:bookmarkStart w:id="127" w:name="_Toc184312068"/>
      <w:bookmarkEnd w:id="127"/>
      <w:bookmarkStart w:id="128" w:name="_Toc184313274"/>
      <w:bookmarkEnd w:id="128"/>
      <w:bookmarkStart w:id="129" w:name="_Toc184312098"/>
      <w:bookmarkEnd w:id="129"/>
      <w:bookmarkStart w:id="130" w:name="_Toc184314436"/>
      <w:bookmarkEnd w:id="130"/>
      <w:bookmarkStart w:id="131" w:name="_Toc184308067"/>
      <w:bookmarkEnd w:id="131"/>
      <w:bookmarkStart w:id="132" w:name="_Toc184310323"/>
      <w:bookmarkEnd w:id="132"/>
      <w:bookmarkStart w:id="133" w:name="_Toc184312087"/>
      <w:bookmarkEnd w:id="133"/>
      <w:bookmarkStart w:id="134" w:name="_Toc184308066"/>
      <w:bookmarkEnd w:id="134"/>
      <w:bookmarkStart w:id="135" w:name="_Toc184312138"/>
      <w:bookmarkEnd w:id="135"/>
      <w:bookmarkStart w:id="136" w:name="_Toc184314447"/>
      <w:bookmarkEnd w:id="136"/>
      <w:bookmarkStart w:id="137" w:name="_Toc184310315"/>
      <w:bookmarkEnd w:id="137"/>
      <w:bookmarkStart w:id="138" w:name="_Toc184313310"/>
      <w:bookmarkEnd w:id="138"/>
      <w:bookmarkStart w:id="139" w:name="_Toc184312079"/>
      <w:bookmarkEnd w:id="139"/>
      <w:bookmarkStart w:id="140" w:name="_Toc184310314"/>
      <w:bookmarkEnd w:id="140"/>
      <w:bookmarkStart w:id="141" w:name="_Toc184310328"/>
      <w:bookmarkEnd w:id="141"/>
      <w:bookmarkStart w:id="142" w:name="_Toc184314434"/>
      <w:bookmarkEnd w:id="142"/>
      <w:bookmarkStart w:id="143" w:name="_Toc184308102"/>
      <w:bookmarkEnd w:id="143"/>
      <w:bookmarkStart w:id="144" w:name="_Toc184308064"/>
      <w:bookmarkEnd w:id="144"/>
      <w:bookmarkStart w:id="145" w:name="_Toc184313267"/>
      <w:bookmarkEnd w:id="145"/>
      <w:bookmarkStart w:id="146" w:name="_Toc184314426"/>
      <w:bookmarkEnd w:id="146"/>
      <w:bookmarkStart w:id="147" w:name="_Toc184308069"/>
      <w:bookmarkEnd w:id="147"/>
      <w:bookmarkStart w:id="148" w:name="_Toc184313281"/>
      <w:bookmarkEnd w:id="148"/>
      <w:bookmarkStart w:id="149" w:name="_Toc184314446"/>
      <w:bookmarkEnd w:id="149"/>
      <w:bookmarkStart w:id="150" w:name="_Toc184313266"/>
      <w:bookmarkEnd w:id="150"/>
      <w:bookmarkStart w:id="151" w:name="_Toc184314473"/>
      <w:bookmarkEnd w:id="151"/>
      <w:bookmarkStart w:id="152" w:name="_Toc184313273"/>
      <w:bookmarkEnd w:id="152"/>
      <w:bookmarkStart w:id="153" w:name="_Toc184314432"/>
      <w:bookmarkEnd w:id="153"/>
      <w:bookmarkStart w:id="154" w:name="_Toc184308052"/>
      <w:bookmarkEnd w:id="154"/>
      <w:bookmarkStart w:id="155" w:name="_Toc184313259"/>
      <w:bookmarkEnd w:id="155"/>
      <w:bookmarkStart w:id="156" w:name="_Toc184308057"/>
      <w:bookmarkEnd w:id="156"/>
      <w:bookmarkStart w:id="157" w:name="_Toc184308074"/>
      <w:bookmarkEnd w:id="157"/>
      <w:bookmarkStart w:id="158" w:name="_Toc184310282"/>
      <w:bookmarkEnd w:id="158"/>
      <w:bookmarkStart w:id="159" w:name="_Toc184308071"/>
      <w:bookmarkEnd w:id="159"/>
      <w:bookmarkStart w:id="160" w:name="_Toc184310291"/>
      <w:bookmarkEnd w:id="160"/>
      <w:bookmarkStart w:id="161" w:name="_Toc184308058"/>
      <w:bookmarkEnd w:id="161"/>
      <w:bookmarkStart w:id="162" w:name="_Toc184313254"/>
      <w:bookmarkEnd w:id="162"/>
      <w:bookmarkStart w:id="163" w:name="_Toc184312103"/>
      <w:bookmarkEnd w:id="163"/>
      <w:bookmarkStart w:id="164" w:name="_Toc184310305"/>
      <w:bookmarkEnd w:id="164"/>
      <w:bookmarkStart w:id="165" w:name="_Toc184312084"/>
      <w:bookmarkEnd w:id="165"/>
      <w:bookmarkStart w:id="166" w:name="_Toc184308047"/>
      <w:bookmarkEnd w:id="166"/>
      <w:bookmarkStart w:id="167" w:name="_Toc184312095"/>
      <w:bookmarkEnd w:id="167"/>
      <w:bookmarkStart w:id="168" w:name="_Toc184312083"/>
      <w:bookmarkEnd w:id="168"/>
      <w:bookmarkStart w:id="169" w:name="_Toc184313270"/>
      <w:bookmarkEnd w:id="169"/>
      <w:bookmarkStart w:id="170" w:name="_Toc184312101"/>
      <w:bookmarkEnd w:id="170"/>
      <w:bookmarkStart w:id="171" w:name="_Toc184308065"/>
      <w:bookmarkEnd w:id="171"/>
      <w:bookmarkStart w:id="172" w:name="_Toc184310302"/>
      <w:bookmarkEnd w:id="172"/>
      <w:bookmarkStart w:id="173" w:name="_Toc184310273"/>
      <w:bookmarkEnd w:id="173"/>
      <w:bookmarkStart w:id="174" w:name="_Toc184310341"/>
      <w:bookmarkEnd w:id="174"/>
      <w:bookmarkStart w:id="175" w:name="_Toc184313283"/>
      <w:bookmarkEnd w:id="175"/>
      <w:bookmarkStart w:id="176" w:name="_Toc184308048"/>
      <w:bookmarkEnd w:id="176"/>
      <w:bookmarkStart w:id="177" w:name="_Toc184313258"/>
      <w:bookmarkEnd w:id="177"/>
      <w:bookmarkStart w:id="178" w:name="_Toc184314420"/>
      <w:bookmarkEnd w:id="178"/>
      <w:bookmarkStart w:id="179" w:name="_Toc184313291"/>
      <w:bookmarkEnd w:id="179"/>
      <w:bookmarkStart w:id="180" w:name="_Toc184313238"/>
      <w:bookmarkEnd w:id="180"/>
      <w:bookmarkStart w:id="181" w:name="_Toc184310311"/>
      <w:bookmarkEnd w:id="181"/>
      <w:bookmarkStart w:id="182" w:name="_Toc184310308"/>
      <w:bookmarkEnd w:id="182"/>
      <w:bookmarkStart w:id="183" w:name="_Toc184313255"/>
      <w:bookmarkEnd w:id="183"/>
      <w:bookmarkStart w:id="184" w:name="_Toc184313271"/>
      <w:bookmarkEnd w:id="184"/>
      <w:bookmarkStart w:id="185" w:name="_Toc184313308"/>
      <w:bookmarkEnd w:id="185"/>
      <w:bookmarkStart w:id="186" w:name="_Toc184310343"/>
      <w:bookmarkEnd w:id="186"/>
      <w:bookmarkStart w:id="187" w:name="_Toc184314482"/>
      <w:bookmarkEnd w:id="187"/>
      <w:bookmarkStart w:id="188" w:name="_Toc184313269"/>
      <w:bookmarkEnd w:id="188"/>
      <w:bookmarkStart w:id="189" w:name="_Toc184312078"/>
      <w:bookmarkEnd w:id="189"/>
      <w:bookmarkStart w:id="190" w:name="_Toc184310306"/>
      <w:bookmarkEnd w:id="190"/>
      <w:bookmarkStart w:id="191" w:name="_Toc184314444"/>
      <w:bookmarkEnd w:id="191"/>
      <w:bookmarkStart w:id="192" w:name="_Toc184310310"/>
      <w:bookmarkEnd w:id="192"/>
      <w:bookmarkStart w:id="193" w:name="_Toc184308083"/>
      <w:bookmarkEnd w:id="193"/>
      <w:bookmarkStart w:id="194" w:name="_Toc184310293"/>
      <w:bookmarkEnd w:id="194"/>
      <w:bookmarkStart w:id="195" w:name="_Toc184308100"/>
      <w:bookmarkEnd w:id="195"/>
      <w:bookmarkStart w:id="196" w:name="_Toc184313272"/>
      <w:bookmarkEnd w:id="196"/>
      <w:bookmarkStart w:id="197" w:name="_Toc184312081"/>
      <w:bookmarkEnd w:id="197"/>
      <w:bookmarkStart w:id="198" w:name="_Toc184308078"/>
      <w:bookmarkEnd w:id="198"/>
      <w:bookmarkStart w:id="199" w:name="_Toc184314440"/>
      <w:bookmarkEnd w:id="199"/>
      <w:bookmarkStart w:id="200" w:name="_Toc184313268"/>
      <w:bookmarkEnd w:id="200"/>
      <w:bookmarkStart w:id="201" w:name="_Toc184310300"/>
      <w:bookmarkEnd w:id="201"/>
      <w:bookmarkStart w:id="202" w:name="_Toc184314439"/>
      <w:bookmarkEnd w:id="202"/>
      <w:bookmarkStart w:id="203" w:name="_Toc184313257"/>
      <w:bookmarkEnd w:id="203"/>
      <w:bookmarkStart w:id="204" w:name="_Toc184313264"/>
      <w:bookmarkEnd w:id="204"/>
      <w:bookmarkStart w:id="205" w:name="_Toc184308082"/>
      <w:bookmarkEnd w:id="205"/>
      <w:bookmarkStart w:id="206" w:name="_Toc184313240"/>
      <w:bookmarkEnd w:id="206"/>
      <w:bookmarkStart w:id="207" w:name="_Toc184308070"/>
      <w:bookmarkEnd w:id="207"/>
      <w:bookmarkStart w:id="208" w:name="_Toc184314453"/>
      <w:bookmarkEnd w:id="208"/>
      <w:bookmarkStart w:id="209" w:name="_Toc184313290"/>
      <w:bookmarkEnd w:id="209"/>
      <w:bookmarkStart w:id="210" w:name="_Toc184308076"/>
      <w:bookmarkEnd w:id="210"/>
      <w:bookmarkStart w:id="211" w:name="_Toc184308073"/>
      <w:bookmarkEnd w:id="211"/>
      <w:bookmarkStart w:id="212" w:name="_Toc184310330"/>
      <w:bookmarkEnd w:id="212"/>
      <w:bookmarkStart w:id="213" w:name="_Toc184308068"/>
      <w:bookmarkEnd w:id="213"/>
      <w:bookmarkStart w:id="214" w:name="_Toc184314410"/>
      <w:bookmarkEnd w:id="214"/>
      <w:bookmarkStart w:id="215" w:name="_Toc184313279"/>
      <w:bookmarkEnd w:id="215"/>
      <w:bookmarkStart w:id="216" w:name="_Toc184310285"/>
      <w:bookmarkEnd w:id="216"/>
      <w:bookmarkStart w:id="217" w:name="_Toc184308084"/>
      <w:bookmarkEnd w:id="217"/>
      <w:bookmarkStart w:id="218" w:name="_Toc184312131"/>
      <w:bookmarkEnd w:id="218"/>
      <w:bookmarkStart w:id="219" w:name="_Toc184312099"/>
      <w:bookmarkEnd w:id="219"/>
      <w:bookmarkStart w:id="220" w:name="_Toc184314445"/>
      <w:bookmarkEnd w:id="220"/>
      <w:bookmarkStart w:id="221" w:name="_Toc184313239"/>
      <w:bookmarkEnd w:id="221"/>
      <w:bookmarkStart w:id="222" w:name="_Toc184308079"/>
      <w:bookmarkEnd w:id="222"/>
      <w:bookmarkStart w:id="223" w:name="_Toc184314442"/>
      <w:bookmarkEnd w:id="223"/>
      <w:bookmarkStart w:id="224" w:name="_Toc184313247"/>
      <w:bookmarkEnd w:id="224"/>
      <w:bookmarkStart w:id="225" w:name="_Toc184310337"/>
      <w:bookmarkEnd w:id="225"/>
      <w:bookmarkStart w:id="226" w:name="_Toc184313249"/>
      <w:bookmarkEnd w:id="226"/>
      <w:bookmarkStart w:id="227" w:name="_Toc184310284"/>
      <w:bookmarkEnd w:id="227"/>
      <w:bookmarkStart w:id="228" w:name="_Toc184310303"/>
      <w:bookmarkEnd w:id="228"/>
      <w:bookmarkStart w:id="229" w:name="_Toc184308108"/>
      <w:bookmarkEnd w:id="229"/>
      <w:bookmarkStart w:id="230" w:name="_Toc184312102"/>
      <w:bookmarkEnd w:id="230"/>
      <w:bookmarkStart w:id="231" w:name="_Toc184310283"/>
      <w:bookmarkEnd w:id="231"/>
      <w:bookmarkStart w:id="232" w:name="_Toc184310338"/>
      <w:bookmarkEnd w:id="232"/>
      <w:bookmarkStart w:id="233" w:name="_Toc184314441"/>
      <w:bookmarkEnd w:id="233"/>
      <w:bookmarkStart w:id="234" w:name="_Toc184312096"/>
      <w:bookmarkEnd w:id="234"/>
      <w:bookmarkStart w:id="235" w:name="_Toc184312139"/>
      <w:bookmarkEnd w:id="235"/>
      <w:bookmarkStart w:id="236" w:name="_Toc184313288"/>
      <w:bookmarkEnd w:id="236"/>
      <w:bookmarkStart w:id="237" w:name="_Toc184308099"/>
      <w:bookmarkEnd w:id="237"/>
      <w:bookmarkStart w:id="238" w:name="_Toc184314412"/>
      <w:bookmarkEnd w:id="238"/>
      <w:bookmarkStart w:id="239" w:name="_Toc184313304"/>
      <w:bookmarkEnd w:id="239"/>
      <w:bookmarkStart w:id="240" w:name="_Toc184308046"/>
      <w:bookmarkEnd w:id="240"/>
      <w:bookmarkStart w:id="241" w:name="_Toc184314468"/>
      <w:bookmarkEnd w:id="241"/>
      <w:bookmarkStart w:id="242" w:name="_Toc184314470"/>
      <w:bookmarkEnd w:id="242"/>
      <w:bookmarkStart w:id="243" w:name="_Toc184313300"/>
      <w:bookmarkEnd w:id="243"/>
      <w:bookmarkStart w:id="244" w:name="_Toc184310304"/>
      <w:bookmarkEnd w:id="244"/>
      <w:bookmarkStart w:id="245" w:name="_Toc184312134"/>
      <w:bookmarkEnd w:id="245"/>
      <w:bookmarkStart w:id="246" w:name="_Toc184314427"/>
      <w:bookmarkEnd w:id="246"/>
      <w:bookmarkStart w:id="247" w:name="_Toc184312130"/>
      <w:bookmarkEnd w:id="247"/>
      <w:bookmarkStart w:id="248" w:name="_Toc184314424"/>
      <w:bookmarkEnd w:id="248"/>
      <w:bookmarkStart w:id="249" w:name="_Toc184308097"/>
      <w:bookmarkEnd w:id="249"/>
      <w:bookmarkStart w:id="250" w:name="_Toc184310321"/>
      <w:bookmarkEnd w:id="250"/>
      <w:bookmarkStart w:id="251" w:name="_Toc184312090"/>
      <w:bookmarkEnd w:id="251"/>
      <w:bookmarkStart w:id="252" w:name="_Toc184312109"/>
      <w:bookmarkEnd w:id="252"/>
      <w:bookmarkStart w:id="253" w:name="_Toc184313296"/>
      <w:bookmarkEnd w:id="253"/>
      <w:bookmarkStart w:id="254" w:name="_Toc184313305"/>
      <w:bookmarkEnd w:id="254"/>
      <w:bookmarkStart w:id="255" w:name="_Toc184312091"/>
      <w:bookmarkEnd w:id="255"/>
      <w:bookmarkStart w:id="256" w:name="_Toc184308098"/>
      <w:bookmarkEnd w:id="256"/>
      <w:bookmarkStart w:id="257" w:name="_Toc184308103"/>
      <w:bookmarkEnd w:id="257"/>
      <w:bookmarkStart w:id="258" w:name="_Toc184313243"/>
      <w:bookmarkEnd w:id="258"/>
      <w:bookmarkStart w:id="259" w:name="_Toc184310320"/>
      <w:bookmarkEnd w:id="259"/>
      <w:bookmarkStart w:id="260" w:name="_Toc184308036"/>
      <w:bookmarkEnd w:id="260"/>
      <w:bookmarkStart w:id="261" w:name="_Toc184308045"/>
      <w:bookmarkEnd w:id="261"/>
      <w:bookmarkStart w:id="262" w:name="_Toc184310275"/>
      <w:bookmarkEnd w:id="262"/>
      <w:bookmarkStart w:id="263" w:name="_Toc184308040"/>
      <w:bookmarkEnd w:id="263"/>
      <w:bookmarkStart w:id="264" w:name="_Toc184313299"/>
      <w:bookmarkEnd w:id="264"/>
      <w:bookmarkStart w:id="265" w:name="_Toc184314469"/>
      <w:bookmarkEnd w:id="265"/>
      <w:bookmarkStart w:id="266" w:name="_Toc184310340"/>
      <w:bookmarkEnd w:id="266"/>
      <w:bookmarkStart w:id="267" w:name="_Toc184312125"/>
      <w:bookmarkEnd w:id="267"/>
      <w:bookmarkStart w:id="268" w:name="_Toc184312129"/>
      <w:bookmarkEnd w:id="268"/>
      <w:bookmarkStart w:id="269" w:name="_Toc184314458"/>
      <w:bookmarkEnd w:id="269"/>
      <w:bookmarkStart w:id="270" w:name="_Toc184312132"/>
      <w:bookmarkEnd w:id="270"/>
      <w:bookmarkStart w:id="271" w:name="_Toc184313285"/>
      <w:bookmarkEnd w:id="271"/>
      <w:bookmarkStart w:id="272" w:name="_Toc184312089"/>
      <w:bookmarkEnd w:id="272"/>
      <w:bookmarkStart w:id="273" w:name="_Toc184312094"/>
      <w:bookmarkEnd w:id="273"/>
      <w:bookmarkStart w:id="274" w:name="_Toc184308053"/>
      <w:bookmarkEnd w:id="274"/>
      <w:bookmarkStart w:id="275" w:name="_Toc184310281"/>
      <w:bookmarkEnd w:id="275"/>
      <w:bookmarkStart w:id="276" w:name="_Toc184314428"/>
      <w:bookmarkEnd w:id="276"/>
      <w:bookmarkStart w:id="277" w:name="_Toc184313265"/>
      <w:bookmarkEnd w:id="277"/>
      <w:bookmarkStart w:id="278" w:name="_Toc184313278"/>
      <w:bookmarkEnd w:id="278"/>
      <w:bookmarkStart w:id="279" w:name="_Toc184310294"/>
      <w:bookmarkEnd w:id="279"/>
      <w:bookmarkStart w:id="280" w:name="_Toc184313284"/>
      <w:bookmarkEnd w:id="280"/>
      <w:bookmarkStart w:id="281" w:name="_Toc184313292"/>
      <w:bookmarkEnd w:id="281"/>
      <w:bookmarkStart w:id="282" w:name="_Toc184314435"/>
      <w:bookmarkEnd w:id="282"/>
      <w:bookmarkStart w:id="283" w:name="_Toc184314429"/>
      <w:bookmarkEnd w:id="283"/>
      <w:bookmarkStart w:id="284" w:name="_Toc184312110"/>
      <w:bookmarkEnd w:id="284"/>
      <w:bookmarkStart w:id="285" w:name="_Toc184314477"/>
      <w:bookmarkEnd w:id="285"/>
      <w:bookmarkStart w:id="286" w:name="_Toc184310332"/>
      <w:bookmarkEnd w:id="286"/>
      <w:bookmarkStart w:id="287" w:name="_Toc184312112"/>
      <w:bookmarkEnd w:id="287"/>
      <w:bookmarkStart w:id="288" w:name="_Toc184308062"/>
      <w:bookmarkEnd w:id="288"/>
      <w:bookmarkStart w:id="289" w:name="_Toc184310295"/>
      <w:bookmarkEnd w:id="289"/>
      <w:bookmarkStart w:id="290" w:name="_Toc184314471"/>
      <w:bookmarkEnd w:id="290"/>
      <w:bookmarkStart w:id="291" w:name="_Toc184314437"/>
      <w:bookmarkEnd w:id="291"/>
      <w:bookmarkStart w:id="292" w:name="_Toc184314454"/>
      <w:bookmarkEnd w:id="292"/>
      <w:bookmarkStart w:id="293" w:name="_Toc184314459"/>
      <w:bookmarkEnd w:id="293"/>
      <w:bookmarkStart w:id="294" w:name="_Toc184314449"/>
      <w:bookmarkEnd w:id="294"/>
      <w:bookmarkStart w:id="295" w:name="_Toc184313276"/>
      <w:bookmarkEnd w:id="295"/>
      <w:bookmarkStart w:id="296" w:name="_Toc184313309"/>
      <w:bookmarkEnd w:id="296"/>
      <w:bookmarkStart w:id="297" w:name="_Toc184313275"/>
      <w:bookmarkEnd w:id="297"/>
      <w:bookmarkStart w:id="298" w:name="_Toc184314450"/>
      <w:bookmarkEnd w:id="298"/>
      <w:bookmarkStart w:id="299" w:name="_Toc184310287"/>
      <w:bookmarkEnd w:id="299"/>
      <w:bookmarkStart w:id="300" w:name="_Toc184308096"/>
      <w:bookmarkEnd w:id="300"/>
      <w:bookmarkStart w:id="301" w:name="_Toc184308080"/>
      <w:bookmarkEnd w:id="301"/>
      <w:bookmarkStart w:id="302" w:name="_Toc184308060"/>
      <w:bookmarkEnd w:id="302"/>
      <w:bookmarkStart w:id="303" w:name="_Toc184308050"/>
      <w:bookmarkEnd w:id="303"/>
      <w:bookmarkStart w:id="304" w:name="_Toc184308054"/>
      <w:bookmarkEnd w:id="304"/>
      <w:bookmarkStart w:id="305" w:name="_Toc184313307"/>
      <w:bookmarkEnd w:id="305"/>
      <w:bookmarkStart w:id="306" w:name="_Toc184312135"/>
      <w:bookmarkEnd w:id="306"/>
      <w:bookmarkStart w:id="307" w:name="_Toc184308105"/>
      <w:bookmarkEnd w:id="307"/>
      <w:bookmarkStart w:id="308" w:name="_Toc184312115"/>
      <w:bookmarkEnd w:id="308"/>
      <w:bookmarkStart w:id="309" w:name="_Toc184312085"/>
      <w:bookmarkEnd w:id="309"/>
      <w:bookmarkStart w:id="310" w:name="_Toc184312067"/>
      <w:bookmarkEnd w:id="310"/>
      <w:bookmarkStart w:id="311" w:name="_Toc184310322"/>
      <w:bookmarkEnd w:id="311"/>
      <w:bookmarkStart w:id="312" w:name="_Toc184308101"/>
      <w:bookmarkEnd w:id="312"/>
      <w:bookmarkStart w:id="313" w:name="_Toc184310292"/>
      <w:bookmarkEnd w:id="313"/>
      <w:bookmarkStart w:id="314" w:name="_Toc184308039"/>
      <w:bookmarkEnd w:id="314"/>
      <w:bookmarkStart w:id="315" w:name="_Toc184310296"/>
      <w:bookmarkEnd w:id="315"/>
      <w:bookmarkStart w:id="316" w:name="_Toc184313303"/>
      <w:bookmarkEnd w:id="316"/>
      <w:bookmarkStart w:id="317" w:name="_Toc184314430"/>
      <w:bookmarkEnd w:id="317"/>
      <w:bookmarkStart w:id="318" w:name="_Toc184310336"/>
      <w:bookmarkEnd w:id="318"/>
      <w:bookmarkStart w:id="319" w:name="_Toc184310289"/>
      <w:bookmarkEnd w:id="319"/>
      <w:bookmarkStart w:id="320" w:name="_Toc184310297"/>
      <w:bookmarkEnd w:id="320"/>
      <w:bookmarkStart w:id="321" w:name="_Toc184313262"/>
      <w:bookmarkEnd w:id="321"/>
      <w:bookmarkStart w:id="322" w:name="_Toc184310299"/>
      <w:bookmarkEnd w:id="322"/>
      <w:bookmarkStart w:id="323" w:name="_Toc184312072"/>
      <w:bookmarkEnd w:id="323"/>
      <w:bookmarkStart w:id="324" w:name="_Toc184312073"/>
      <w:bookmarkEnd w:id="324"/>
      <w:bookmarkStart w:id="325" w:name="_Toc184314418"/>
      <w:bookmarkEnd w:id="325"/>
      <w:bookmarkStart w:id="326" w:name="_Toc184312117"/>
      <w:bookmarkEnd w:id="326"/>
      <w:bookmarkStart w:id="327" w:name="_Toc184310298"/>
      <w:bookmarkEnd w:id="327"/>
      <w:bookmarkStart w:id="328" w:name="_Toc184314478"/>
      <w:bookmarkEnd w:id="328"/>
      <w:bookmarkStart w:id="329" w:name="_Toc184308081"/>
      <w:bookmarkEnd w:id="329"/>
      <w:bookmarkStart w:id="330" w:name="_Toc184314455"/>
      <w:bookmarkEnd w:id="330"/>
      <w:bookmarkStart w:id="331" w:name="_Toc184313251"/>
      <w:bookmarkEnd w:id="331"/>
      <w:bookmarkStart w:id="332" w:name="_Toc184313277"/>
      <w:bookmarkEnd w:id="332"/>
      <w:bookmarkStart w:id="333" w:name="_Toc184312086"/>
      <w:bookmarkEnd w:id="333"/>
      <w:bookmarkStart w:id="334" w:name="_Toc184310279"/>
      <w:bookmarkEnd w:id="334"/>
      <w:bookmarkStart w:id="335" w:name="_Toc184308104"/>
      <w:bookmarkEnd w:id="335"/>
      <w:bookmarkStart w:id="336" w:name="_Toc184310290"/>
      <w:bookmarkEnd w:id="336"/>
      <w:bookmarkStart w:id="337" w:name="_Toc184314417"/>
      <w:bookmarkEnd w:id="337"/>
      <w:bookmarkStart w:id="338" w:name="_Toc184312111"/>
      <w:bookmarkEnd w:id="338"/>
      <w:bookmarkStart w:id="339" w:name="_Toc184308042"/>
      <w:bookmarkEnd w:id="339"/>
      <w:bookmarkStart w:id="340" w:name="_Toc184313260"/>
      <w:bookmarkEnd w:id="340"/>
      <w:bookmarkStart w:id="341" w:name="_Toc184310318"/>
      <w:bookmarkEnd w:id="341"/>
      <w:bookmarkStart w:id="342" w:name="_Toc184308106"/>
      <w:bookmarkEnd w:id="342"/>
      <w:bookmarkStart w:id="343" w:name="_Toc184313287"/>
      <w:bookmarkEnd w:id="343"/>
      <w:bookmarkStart w:id="344" w:name="_Toc184310339"/>
      <w:bookmarkEnd w:id="344"/>
      <w:bookmarkStart w:id="345" w:name="_Toc184308043"/>
      <w:bookmarkEnd w:id="345"/>
      <w:bookmarkStart w:id="346" w:name="_Toc184314411"/>
      <w:bookmarkEnd w:id="346"/>
      <w:bookmarkStart w:id="347" w:name="_Toc184312069"/>
      <w:bookmarkEnd w:id="347"/>
      <w:bookmarkStart w:id="348" w:name="_Toc184314413"/>
      <w:bookmarkEnd w:id="348"/>
      <w:bookmarkStart w:id="349" w:name="_Toc184313253"/>
      <w:bookmarkEnd w:id="349"/>
      <w:bookmarkStart w:id="350" w:name="_Toc184310274"/>
      <w:bookmarkEnd w:id="350"/>
      <w:bookmarkStart w:id="351" w:name="_Toc184313306"/>
      <w:bookmarkEnd w:id="351"/>
      <w:bookmarkStart w:id="352" w:name="_Toc184313280"/>
      <w:bookmarkEnd w:id="352"/>
      <w:bookmarkStart w:id="353" w:name="_Toc184313244"/>
      <w:bookmarkEnd w:id="353"/>
      <w:bookmarkStart w:id="354" w:name="_Toc184313263"/>
      <w:bookmarkEnd w:id="354"/>
      <w:bookmarkStart w:id="355" w:name="_Toc184314474"/>
      <w:bookmarkEnd w:id="355"/>
      <w:bookmarkStart w:id="356" w:name="_Toc184310317"/>
      <w:bookmarkEnd w:id="356"/>
      <w:bookmarkStart w:id="357" w:name="_Toc184312076"/>
      <w:bookmarkEnd w:id="357"/>
      <w:bookmarkStart w:id="358" w:name="_Toc184313282"/>
      <w:bookmarkEnd w:id="358"/>
      <w:bookmarkStart w:id="359" w:name="_Toc184314415"/>
      <w:bookmarkEnd w:id="359"/>
      <w:bookmarkStart w:id="360" w:name="_Toc184308049"/>
      <w:bookmarkEnd w:id="360"/>
      <w:bookmarkStart w:id="361" w:name="_Toc184313246"/>
      <w:bookmarkEnd w:id="361"/>
      <w:bookmarkStart w:id="362" w:name="_Toc184310342"/>
      <w:bookmarkEnd w:id="362"/>
      <w:bookmarkStart w:id="363" w:name="_Toc184312116"/>
      <w:bookmarkEnd w:id="363"/>
      <w:bookmarkStart w:id="364" w:name="_Toc184308038"/>
      <w:bookmarkEnd w:id="364"/>
      <w:bookmarkStart w:id="365" w:name="_Toc184308056"/>
      <w:bookmarkEnd w:id="365"/>
      <w:bookmarkStart w:id="366" w:name="_Toc184310335"/>
      <w:bookmarkEnd w:id="366"/>
      <w:bookmarkStart w:id="367" w:name="_Toc184310288"/>
      <w:bookmarkEnd w:id="367"/>
      <w:bookmarkStart w:id="368" w:name="_Toc184310312"/>
      <w:bookmarkEnd w:id="368"/>
      <w:bookmarkStart w:id="369" w:name="_Toc184313245"/>
      <w:bookmarkEnd w:id="369"/>
      <w:bookmarkStart w:id="370" w:name="_Toc184312082"/>
      <w:bookmarkEnd w:id="370"/>
      <w:bookmarkStart w:id="371" w:name="_Toc184308041"/>
      <w:bookmarkEnd w:id="371"/>
      <w:bookmarkStart w:id="372" w:name="_Toc184312092"/>
      <w:bookmarkEnd w:id="372"/>
      <w:bookmarkStart w:id="373" w:name="_Toc184312077"/>
      <w:bookmarkEnd w:id="373"/>
      <w:bookmarkStart w:id="374" w:name="_Toc184310276"/>
      <w:bookmarkEnd w:id="374"/>
      <w:bookmarkStart w:id="375" w:name="_Toc184310316"/>
      <w:bookmarkEnd w:id="375"/>
      <w:bookmarkStart w:id="376" w:name="_Toc184310344"/>
      <w:bookmarkEnd w:id="376"/>
      <w:bookmarkStart w:id="377" w:name="_Toc184308044"/>
      <w:bookmarkEnd w:id="377"/>
      <w:bookmarkStart w:id="378" w:name="_Toc184310280"/>
      <w:bookmarkEnd w:id="378"/>
      <w:bookmarkStart w:id="379" w:name="_Toc184312074"/>
      <w:bookmarkEnd w:id="379"/>
      <w:bookmarkStart w:id="380" w:name="_Toc184314425"/>
      <w:bookmarkEnd w:id="380"/>
      <w:bookmarkStart w:id="381" w:name="_Toc184310277"/>
      <w:bookmarkEnd w:id="381"/>
      <w:bookmarkStart w:id="382" w:name="_Toc184308075"/>
      <w:bookmarkEnd w:id="382"/>
      <w:bookmarkStart w:id="383" w:name="_Toc184312075"/>
      <w:bookmarkEnd w:id="383"/>
      <w:bookmarkStart w:id="384" w:name="_Toc184314472"/>
      <w:bookmarkEnd w:id="384"/>
      <w:bookmarkStart w:id="385" w:name="_Toc184310272"/>
      <w:bookmarkEnd w:id="385"/>
      <w:bookmarkStart w:id="386" w:name="_Toc184314416"/>
      <w:bookmarkEnd w:id="386"/>
      <w:bookmarkStart w:id="387" w:name="_Toc184314414"/>
      <w:bookmarkEnd w:id="387"/>
      <w:bookmarkStart w:id="388" w:name="_Toc184313261"/>
      <w:bookmarkEnd w:id="388"/>
      <w:bookmarkStart w:id="389" w:name="_Toc184308059"/>
      <w:bookmarkEnd w:id="389"/>
      <w:bookmarkStart w:id="390" w:name="_Toc184314448"/>
      <w:bookmarkEnd w:id="390"/>
      <w:bookmarkStart w:id="391" w:name="_Toc184314433"/>
      <w:bookmarkEnd w:id="391"/>
      <w:bookmarkStart w:id="392" w:name="_Toc184310278"/>
      <w:bookmarkEnd w:id="392"/>
      <w:r>
        <w:rPr>
          <w:rFonts w:hint="eastAsia" w:ascii="仿宋" w:hAnsi="仿宋" w:eastAsia="仿宋" w:cs="仿宋_GB2312"/>
          <w:b/>
          <w:sz w:val="36"/>
          <w:szCs w:val="36"/>
        </w:rPr>
        <w:t>评标办法</w:t>
      </w:r>
    </w:p>
    <w:p>
      <w:pPr>
        <w:snapToGrid w:val="0"/>
        <w:spacing w:line="360" w:lineRule="auto"/>
        <w:jc w:val="center"/>
        <w:rPr>
          <w:rFonts w:hint="eastAsia" w:ascii="仿宋" w:hAnsi="仿宋" w:eastAsia="仿宋" w:cs="仿宋_GB2312"/>
          <w:b/>
          <w:sz w:val="32"/>
          <w:szCs w:val="20"/>
        </w:rPr>
      </w:pPr>
      <w:r>
        <w:rPr>
          <w:rFonts w:hint="eastAsia" w:ascii="仿宋" w:hAnsi="仿宋" w:eastAsia="仿宋" w:cs="仿宋_GB2312"/>
          <w:b/>
          <w:sz w:val="32"/>
          <w:szCs w:val="20"/>
        </w:rPr>
        <w:t>评标办法前附表</w:t>
      </w:r>
    </w:p>
    <w:p>
      <w:pPr>
        <w:pStyle w:val="87"/>
        <w:spacing w:before="0"/>
        <w:ind w:firstLine="600" w:firstLineChars="250"/>
        <w:rPr>
          <w:rFonts w:ascii="宋体" w:hAnsi="宋体" w:cs="宋体"/>
          <w:bCs/>
          <w:color w:val="000000"/>
          <w:szCs w:val="24"/>
          <w:highlight w:val="none"/>
        </w:rPr>
      </w:pPr>
      <w:r>
        <w:rPr>
          <w:rFonts w:hint="eastAsia" w:ascii="宋体" w:hAnsi="宋体" w:cs="宋体"/>
          <w:bCs/>
          <w:color w:val="000000"/>
          <w:szCs w:val="24"/>
          <w:highlight w:val="none"/>
        </w:rPr>
        <w:t>各投标人的综合得分为：投标价格得分+技术商务得分之和，总和为100分，其中：投标价格得分</w:t>
      </w:r>
      <w:r>
        <w:rPr>
          <w:rFonts w:hint="eastAsia" w:ascii="宋体" w:hAnsi="宋体" w:eastAsia="宋体" w:cs="宋体"/>
          <w:bCs/>
          <w:color w:val="000000"/>
          <w:szCs w:val="24"/>
          <w:highlight w:val="none"/>
          <w:lang w:val="en-US" w:eastAsia="zh-CN"/>
        </w:rPr>
        <w:t>3</w:t>
      </w:r>
      <w:r>
        <w:rPr>
          <w:rFonts w:hint="eastAsia" w:ascii="宋体" w:hAnsi="宋体" w:eastAsia="宋体" w:cs="宋体"/>
          <w:bCs/>
          <w:color w:val="000000"/>
          <w:szCs w:val="24"/>
          <w:highlight w:val="none"/>
        </w:rPr>
        <w:t>0分</w:t>
      </w:r>
      <w:r>
        <w:rPr>
          <w:rFonts w:hint="eastAsia" w:ascii="宋体" w:hAnsi="宋体" w:cs="宋体"/>
          <w:bCs/>
          <w:color w:val="000000"/>
          <w:szCs w:val="24"/>
          <w:highlight w:val="none"/>
        </w:rPr>
        <w:t>，商务技术得分</w:t>
      </w:r>
      <w:r>
        <w:rPr>
          <w:rFonts w:hint="eastAsia" w:ascii="宋体" w:hAnsi="宋体" w:eastAsia="宋体" w:cs="宋体"/>
          <w:bCs/>
          <w:color w:val="000000"/>
          <w:szCs w:val="24"/>
          <w:highlight w:val="none"/>
          <w:lang w:val="en-US" w:eastAsia="zh-CN"/>
        </w:rPr>
        <w:t>7</w:t>
      </w:r>
      <w:r>
        <w:rPr>
          <w:rFonts w:hint="eastAsia" w:ascii="宋体" w:hAnsi="宋体" w:eastAsia="宋体" w:cs="宋体"/>
          <w:bCs/>
          <w:color w:val="000000"/>
          <w:szCs w:val="24"/>
          <w:highlight w:val="none"/>
        </w:rPr>
        <w:t>0分</w:t>
      </w:r>
      <w:r>
        <w:rPr>
          <w:rFonts w:hint="eastAsia" w:ascii="宋体" w:hAnsi="宋体" w:cs="宋体"/>
          <w:bCs/>
          <w:color w:val="000000"/>
          <w:szCs w:val="24"/>
          <w:highlight w:val="none"/>
        </w:rPr>
        <w:t>。</w:t>
      </w:r>
    </w:p>
    <w:p>
      <w:pPr>
        <w:snapToGrid w:val="0"/>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lang w:val="en-US" w:eastAsia="zh-CN"/>
        </w:rPr>
        <w:t>1</w:t>
      </w:r>
      <w:r>
        <w:rPr>
          <w:rFonts w:hint="eastAsia" w:ascii="宋体" w:hAnsi="宋体" w:cs="宋体"/>
          <w:b/>
          <w:color w:val="000000"/>
          <w:sz w:val="24"/>
          <w:highlight w:val="none"/>
        </w:rPr>
        <w:t>、</w:t>
      </w:r>
      <w:r>
        <w:rPr>
          <w:rFonts w:hint="eastAsia" w:ascii="宋体" w:hAnsi="宋体" w:cs="宋体"/>
          <w:color w:val="000000"/>
          <w:sz w:val="24"/>
          <w:highlight w:val="none"/>
        </w:rPr>
        <w:t>商务技术评标细则（</w:t>
      </w:r>
      <w:r>
        <w:rPr>
          <w:rFonts w:hint="eastAsia" w:ascii="宋体" w:hAnsi="宋体" w:cs="宋体"/>
          <w:color w:val="000000"/>
          <w:sz w:val="24"/>
          <w:highlight w:val="none"/>
          <w:lang w:val="en-US" w:eastAsia="zh-CN"/>
        </w:rPr>
        <w:t>7</w:t>
      </w:r>
      <w:r>
        <w:rPr>
          <w:rFonts w:hint="eastAsia" w:ascii="宋体" w:hAnsi="宋体" w:cs="宋体"/>
          <w:color w:val="000000"/>
          <w:sz w:val="24"/>
          <w:highlight w:val="none"/>
        </w:rPr>
        <w:t>0分）</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评标标准如下：</w:t>
      </w:r>
    </w:p>
    <w:p>
      <w:pPr>
        <w:pStyle w:val="87"/>
        <w:spacing w:before="0" w:line="440" w:lineRule="exact"/>
        <w:ind w:firstLine="602" w:firstLineChars="250"/>
        <w:rPr>
          <w:rFonts w:hint="eastAsia" w:ascii="宋体" w:hAnsi="宋体" w:cs="宋体"/>
          <w:b/>
        </w:rPr>
      </w:pPr>
      <w:r>
        <w:rPr>
          <w:rFonts w:hint="eastAsia" w:ascii="宋体" w:hAnsi="宋体" w:cs="宋体"/>
          <w:b/>
        </w:rPr>
        <w:t>技术分（</w:t>
      </w:r>
      <w:r>
        <w:rPr>
          <w:rFonts w:hint="eastAsia" w:ascii="宋体" w:hAnsi="宋体" w:cs="宋体"/>
          <w:b/>
          <w:lang w:val="en-US" w:eastAsia="zh-CN"/>
        </w:rPr>
        <w:t>5</w:t>
      </w:r>
      <w:r>
        <w:rPr>
          <w:rFonts w:hint="eastAsia" w:ascii="宋体" w:hAnsi="宋体" w:eastAsia="宋体" w:cs="宋体"/>
          <w:b/>
          <w:lang w:val="en-US" w:eastAsia="zh-CN"/>
        </w:rPr>
        <w:t>0</w:t>
      </w:r>
      <w:r>
        <w:rPr>
          <w:rFonts w:hint="eastAsia" w:ascii="宋体" w:hAnsi="宋体" w:cs="宋体"/>
          <w:b/>
        </w:rPr>
        <w:t>分）：</w:t>
      </w:r>
    </w:p>
    <w:tbl>
      <w:tblPr>
        <w:tblStyle w:val="64"/>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1815"/>
        <w:gridCol w:w="5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50" w:type="dxa"/>
            <w:noWrap w:val="0"/>
            <w:vAlign w:val="center"/>
          </w:tcPr>
          <w:p>
            <w:pPr>
              <w:spacing w:line="360" w:lineRule="auto"/>
              <w:jc w:val="center"/>
              <w:rPr>
                <w:rFonts w:hint="eastAsia"/>
                <w:color w:val="000000"/>
                <w:sz w:val="30"/>
                <w:szCs w:val="30"/>
              </w:rPr>
            </w:pPr>
            <w:bookmarkStart w:id="393" w:name="scoringRules2"/>
            <w:r>
              <w:rPr>
                <w:rFonts w:hint="eastAsia" w:ascii="宋体" w:hAnsi="宋体" w:cs="宋体"/>
                <w:kern w:val="0"/>
                <w:sz w:val="30"/>
                <w:szCs w:val="30"/>
              </w:rPr>
              <w:t>类别</w:t>
            </w:r>
          </w:p>
        </w:tc>
        <w:tc>
          <w:tcPr>
            <w:tcW w:w="1815" w:type="dxa"/>
            <w:noWrap w:val="0"/>
            <w:vAlign w:val="center"/>
          </w:tcPr>
          <w:p>
            <w:pPr>
              <w:spacing w:line="360" w:lineRule="auto"/>
              <w:jc w:val="center"/>
              <w:rPr>
                <w:color w:val="000000"/>
                <w:sz w:val="30"/>
                <w:szCs w:val="30"/>
              </w:rPr>
            </w:pPr>
            <w:r>
              <w:rPr>
                <w:rFonts w:hint="eastAsia" w:ascii="宋体" w:hAnsi="宋体" w:cs="宋体"/>
                <w:kern w:val="0"/>
                <w:sz w:val="30"/>
                <w:szCs w:val="30"/>
              </w:rPr>
              <w:t>评审内容</w:t>
            </w:r>
          </w:p>
        </w:tc>
        <w:tc>
          <w:tcPr>
            <w:tcW w:w="5949" w:type="dxa"/>
            <w:noWrap w:val="0"/>
            <w:vAlign w:val="center"/>
          </w:tcPr>
          <w:p>
            <w:pPr>
              <w:spacing w:line="360" w:lineRule="auto"/>
              <w:jc w:val="center"/>
              <w:rPr>
                <w:color w:val="000000"/>
                <w:sz w:val="30"/>
                <w:szCs w:val="30"/>
              </w:rPr>
            </w:pPr>
            <w:r>
              <w:rPr>
                <w:rFonts w:hint="eastAsia" w:ascii="宋体" w:hAnsi="宋体" w:cs="宋体"/>
                <w:kern w:val="0"/>
                <w:sz w:val="30"/>
                <w:szCs w:val="30"/>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3" w:hRule="atLeast"/>
          <w:jc w:val="center"/>
        </w:trPr>
        <w:tc>
          <w:tcPr>
            <w:tcW w:w="1450" w:type="dxa"/>
            <w:vMerge w:val="restart"/>
            <w:noWrap w:val="0"/>
            <w:vAlign w:val="top"/>
          </w:tcPr>
          <w:p>
            <w:pPr>
              <w:spacing w:line="360" w:lineRule="auto"/>
              <w:jc w:val="left"/>
              <w:rPr>
                <w:rFonts w:hint="eastAsia" w:ascii="宋体" w:hAnsi="宋体" w:cs="宋体"/>
                <w:kern w:val="0"/>
                <w:sz w:val="24"/>
                <w:szCs w:val="20"/>
              </w:rPr>
            </w:pPr>
          </w:p>
          <w:p>
            <w:pPr>
              <w:spacing w:line="360" w:lineRule="auto"/>
              <w:jc w:val="left"/>
              <w:rPr>
                <w:rFonts w:hint="eastAsia" w:ascii="宋体" w:hAnsi="宋体" w:cs="宋体"/>
                <w:kern w:val="0"/>
                <w:sz w:val="24"/>
                <w:szCs w:val="20"/>
              </w:rPr>
            </w:pPr>
          </w:p>
          <w:p>
            <w:pPr>
              <w:spacing w:line="360" w:lineRule="auto"/>
              <w:jc w:val="left"/>
              <w:rPr>
                <w:rFonts w:hint="eastAsia" w:ascii="宋体" w:hAnsi="宋体" w:cs="宋体"/>
                <w:kern w:val="0"/>
                <w:sz w:val="24"/>
                <w:szCs w:val="20"/>
              </w:rPr>
            </w:pPr>
          </w:p>
          <w:p>
            <w:pPr>
              <w:spacing w:line="360" w:lineRule="auto"/>
              <w:jc w:val="left"/>
              <w:rPr>
                <w:rFonts w:hint="eastAsia" w:ascii="宋体" w:hAnsi="宋体" w:cs="宋体"/>
                <w:kern w:val="0"/>
                <w:sz w:val="24"/>
                <w:szCs w:val="20"/>
              </w:rPr>
            </w:pPr>
          </w:p>
          <w:p>
            <w:pPr>
              <w:spacing w:line="360" w:lineRule="auto"/>
              <w:jc w:val="left"/>
              <w:rPr>
                <w:rFonts w:hint="eastAsia" w:ascii="宋体" w:hAnsi="宋体" w:cs="宋体"/>
                <w:kern w:val="0"/>
                <w:sz w:val="24"/>
                <w:szCs w:val="20"/>
              </w:rPr>
            </w:pPr>
          </w:p>
          <w:p>
            <w:pPr>
              <w:spacing w:line="360" w:lineRule="auto"/>
              <w:jc w:val="center"/>
              <w:rPr>
                <w:rFonts w:hint="eastAsia" w:ascii="宋体" w:hAnsi="宋体" w:cs="宋体"/>
                <w:kern w:val="0"/>
                <w:sz w:val="24"/>
                <w:szCs w:val="20"/>
              </w:rPr>
            </w:pPr>
          </w:p>
          <w:p>
            <w:pPr>
              <w:spacing w:line="360" w:lineRule="auto"/>
              <w:jc w:val="center"/>
              <w:rPr>
                <w:rFonts w:ascii="宋体" w:hAnsi="宋体" w:cs="宋体"/>
                <w:kern w:val="0"/>
                <w:sz w:val="30"/>
                <w:szCs w:val="30"/>
              </w:rPr>
            </w:pPr>
            <w:r>
              <w:rPr>
                <w:rFonts w:hint="eastAsia" w:ascii="宋体" w:hAnsi="宋体" w:cs="宋体"/>
                <w:kern w:val="0"/>
                <w:sz w:val="30"/>
                <w:szCs w:val="30"/>
              </w:rPr>
              <w:t>技</w:t>
            </w:r>
          </w:p>
          <w:p>
            <w:pPr>
              <w:spacing w:line="360" w:lineRule="auto"/>
              <w:jc w:val="center"/>
              <w:rPr>
                <w:rFonts w:ascii="宋体" w:hAnsi="宋体" w:cs="宋体"/>
                <w:kern w:val="0"/>
                <w:sz w:val="30"/>
                <w:szCs w:val="30"/>
              </w:rPr>
            </w:pPr>
            <w:r>
              <w:rPr>
                <w:rFonts w:hint="eastAsia" w:ascii="宋体" w:hAnsi="宋体" w:cs="宋体"/>
                <w:kern w:val="0"/>
                <w:sz w:val="30"/>
                <w:szCs w:val="30"/>
              </w:rPr>
              <w:t>术</w:t>
            </w:r>
          </w:p>
          <w:p>
            <w:pPr>
              <w:spacing w:line="360" w:lineRule="auto"/>
              <w:jc w:val="center"/>
              <w:rPr>
                <w:rFonts w:ascii="宋体" w:hAnsi="宋体" w:cs="宋体"/>
                <w:kern w:val="0"/>
                <w:sz w:val="30"/>
                <w:szCs w:val="30"/>
              </w:rPr>
            </w:pPr>
            <w:r>
              <w:rPr>
                <w:rFonts w:hint="eastAsia" w:ascii="宋体" w:hAnsi="宋体" w:cs="宋体"/>
                <w:kern w:val="0"/>
                <w:sz w:val="30"/>
                <w:szCs w:val="30"/>
              </w:rPr>
              <w:t>分</w:t>
            </w:r>
          </w:p>
          <w:p>
            <w:pPr>
              <w:pStyle w:val="87"/>
              <w:spacing w:before="0" w:line="400" w:lineRule="atLeast"/>
              <w:ind w:firstLine="0" w:firstLineChars="0"/>
              <w:jc w:val="center"/>
              <w:rPr>
                <w:rFonts w:eastAsia="宋体"/>
                <w:color w:val="000000"/>
                <w:szCs w:val="24"/>
              </w:rPr>
            </w:pPr>
            <w:r>
              <w:rPr>
                <w:rFonts w:hint="eastAsia" w:ascii="宋体" w:hAnsi="宋体" w:cs="宋体"/>
                <w:kern w:val="0"/>
                <w:sz w:val="30"/>
                <w:szCs w:val="30"/>
                <w:lang w:val="en-US" w:eastAsia="zh-CN"/>
              </w:rPr>
              <w:t>50</w:t>
            </w:r>
            <w:r>
              <w:rPr>
                <w:rFonts w:hint="eastAsia" w:ascii="宋体" w:hAnsi="宋体" w:cs="宋体"/>
                <w:kern w:val="0"/>
                <w:sz w:val="30"/>
                <w:szCs w:val="30"/>
              </w:rPr>
              <w:t>分</w:t>
            </w:r>
          </w:p>
        </w:tc>
        <w:tc>
          <w:tcPr>
            <w:tcW w:w="1815" w:type="dxa"/>
            <w:noWrap w:val="0"/>
            <w:vAlign w:val="center"/>
          </w:tcPr>
          <w:p>
            <w:pPr>
              <w:spacing w:line="360" w:lineRule="auto"/>
              <w:jc w:val="center"/>
              <w:rPr>
                <w:rFonts w:ascii="宋体" w:hAnsi="宋体" w:cs="宋体"/>
                <w:b w:val="0"/>
                <w:bCs/>
                <w:kern w:val="0"/>
                <w:sz w:val="24"/>
                <w:szCs w:val="20"/>
              </w:rPr>
            </w:pPr>
            <w:r>
              <w:rPr>
                <w:rFonts w:hint="eastAsia" w:ascii="宋体" w:hAnsi="宋体" w:cs="宋体"/>
                <w:b w:val="0"/>
                <w:bCs/>
                <w:kern w:val="0"/>
                <w:sz w:val="24"/>
                <w:szCs w:val="20"/>
              </w:rPr>
              <w:t>样品情况</w:t>
            </w:r>
          </w:p>
          <w:p>
            <w:pPr>
              <w:pStyle w:val="87"/>
              <w:spacing w:before="0" w:line="400" w:lineRule="atLeast"/>
              <w:ind w:firstLine="0" w:firstLineChars="0"/>
              <w:jc w:val="center"/>
              <w:rPr>
                <w:rFonts w:eastAsia="宋体"/>
                <w:szCs w:val="24"/>
              </w:rPr>
            </w:pPr>
            <w:r>
              <w:rPr>
                <w:rFonts w:hint="eastAsia" w:ascii="宋体" w:hAnsi="宋体" w:cs="宋体"/>
                <w:kern w:val="0"/>
                <w:szCs w:val="20"/>
              </w:rPr>
              <w:t>（</w:t>
            </w:r>
            <w:r>
              <w:rPr>
                <w:rFonts w:hint="eastAsia" w:ascii="宋体" w:hAnsi="宋体" w:eastAsia="宋体" w:cs="宋体"/>
                <w:kern w:val="0"/>
                <w:szCs w:val="20"/>
                <w:lang w:val="en-US" w:eastAsia="zh-CN"/>
              </w:rPr>
              <w:t>25</w:t>
            </w:r>
            <w:r>
              <w:rPr>
                <w:rFonts w:hint="eastAsia" w:ascii="宋体" w:hAnsi="宋体" w:cs="宋体"/>
                <w:kern w:val="0"/>
                <w:szCs w:val="20"/>
              </w:rPr>
              <w:t>分）</w:t>
            </w:r>
          </w:p>
        </w:tc>
        <w:tc>
          <w:tcPr>
            <w:tcW w:w="5949" w:type="dxa"/>
            <w:noWrap w:val="0"/>
            <w:vAlign w:val="top"/>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1.产品的制作质量、工艺水平（0-10分）；</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2.款式是否符合招标文件的要求，外观式样，美观情况（0-8分）；</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3.投标产品其它性能的比较，如</w:t>
            </w:r>
            <w:r>
              <w:rPr>
                <w:rFonts w:hint="eastAsia" w:ascii="宋体" w:hAnsi="宋体" w:eastAsia="宋体" w:cs="宋体"/>
                <w:color w:val="auto"/>
                <w:kern w:val="2"/>
                <w:sz w:val="24"/>
                <w:szCs w:val="24"/>
              </w:rPr>
              <w:t>样品的材质、技术先进性、</w:t>
            </w:r>
            <w:r>
              <w:rPr>
                <w:rFonts w:hint="eastAsia" w:ascii="宋体" w:hAnsi="宋体" w:eastAsia="宋体" w:cs="宋体"/>
                <w:color w:val="auto"/>
                <w:kern w:val="2"/>
                <w:sz w:val="24"/>
                <w:szCs w:val="24"/>
                <w:lang w:val="en-US" w:eastAsia="zh-CN"/>
              </w:rPr>
              <w:t>完整性</w:t>
            </w:r>
            <w:r>
              <w:rPr>
                <w:rFonts w:hint="eastAsia" w:ascii="宋体" w:hAnsi="宋体" w:eastAsia="宋体" w:cs="宋体"/>
                <w:color w:val="auto"/>
                <w:kern w:val="2"/>
                <w:sz w:val="24"/>
                <w:szCs w:val="24"/>
              </w:rPr>
              <w:t>打分</w:t>
            </w:r>
            <w:r>
              <w:rPr>
                <w:rFonts w:hint="eastAsia" w:ascii="宋体" w:hAnsi="宋体" w:eastAsia="宋体" w:cs="宋体"/>
                <w:color w:val="auto"/>
                <w:sz w:val="24"/>
                <w:highlight w:val="none"/>
                <w:lang w:val="en-US" w:eastAsia="zh-CN"/>
              </w:rPr>
              <w:t>（0-7分）。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3" w:hRule="atLeast"/>
          <w:jc w:val="center"/>
        </w:trPr>
        <w:tc>
          <w:tcPr>
            <w:tcW w:w="1450" w:type="dxa"/>
            <w:vMerge w:val="continue"/>
            <w:noWrap w:val="0"/>
            <w:vAlign w:val="top"/>
          </w:tcPr>
          <w:p>
            <w:pPr>
              <w:pStyle w:val="87"/>
              <w:spacing w:before="0" w:line="400" w:lineRule="atLeast"/>
              <w:ind w:firstLine="0" w:firstLineChars="0"/>
              <w:rPr>
                <w:rFonts w:hint="eastAsia" w:ascii="宋体" w:hAnsi="宋体" w:eastAsia="宋体" w:cs="宋体"/>
                <w:kern w:val="0"/>
                <w:sz w:val="30"/>
                <w:szCs w:val="30"/>
              </w:rPr>
            </w:pPr>
          </w:p>
        </w:tc>
        <w:tc>
          <w:tcPr>
            <w:tcW w:w="1815" w:type="dxa"/>
            <w:noWrap w:val="0"/>
            <w:vAlign w:val="center"/>
          </w:tcPr>
          <w:p>
            <w:pPr>
              <w:adjustRightInd w:val="0"/>
              <w:snapToGrid w:val="0"/>
              <w:spacing w:line="360" w:lineRule="auto"/>
              <w:ind w:firstLine="120" w:firstLineChars="50"/>
              <w:jc w:val="center"/>
              <w:rPr>
                <w:rFonts w:hint="eastAsia" w:ascii="宋体" w:hAnsi="宋体" w:cs="宋体"/>
                <w:b w:val="0"/>
                <w:bCs/>
                <w:kern w:val="0"/>
                <w:sz w:val="24"/>
                <w:szCs w:val="20"/>
                <w:lang w:val="en-US" w:eastAsia="zh-Hans"/>
              </w:rPr>
            </w:pPr>
            <w:r>
              <w:rPr>
                <w:rFonts w:hint="eastAsia" w:ascii="宋体" w:hAnsi="宋体" w:cs="宋体"/>
                <w:b w:val="0"/>
                <w:bCs/>
                <w:kern w:val="0"/>
                <w:sz w:val="24"/>
                <w:szCs w:val="20"/>
                <w:lang w:val="en-US" w:eastAsia="zh-CN"/>
              </w:rPr>
              <w:t>雕塑设计深化优化</w:t>
            </w:r>
            <w:r>
              <w:rPr>
                <w:rFonts w:hint="eastAsia" w:ascii="宋体" w:hAnsi="宋体" w:cs="宋体"/>
                <w:b w:val="0"/>
                <w:bCs/>
                <w:kern w:val="0"/>
                <w:sz w:val="24"/>
                <w:szCs w:val="20"/>
                <w:lang w:val="en-US" w:eastAsia="zh-Hans"/>
              </w:rPr>
              <w:t>方案</w:t>
            </w:r>
          </w:p>
          <w:p>
            <w:pPr>
              <w:adjustRightInd w:val="0"/>
              <w:snapToGrid w:val="0"/>
              <w:spacing w:line="360" w:lineRule="auto"/>
              <w:ind w:firstLine="120" w:firstLineChars="50"/>
              <w:jc w:val="center"/>
              <w:rPr>
                <w:rFonts w:hint="eastAsia" w:ascii="??" w:hAnsi="??" w:eastAsia="??" w:cs="宋体"/>
                <w:b/>
                <w:kern w:val="36"/>
                <w:sz w:val="32"/>
                <w:szCs w:val="28"/>
                <w:lang w:val="en-US" w:eastAsia="zh-Hans" w:bidi="ar-SA"/>
              </w:rPr>
            </w:pPr>
            <w:r>
              <w:rPr>
                <w:rFonts w:hint="default" w:ascii="宋体" w:hAnsi="宋体" w:cs="宋体"/>
                <w:b w:val="0"/>
                <w:bCs/>
                <w:kern w:val="0"/>
                <w:sz w:val="24"/>
                <w:szCs w:val="20"/>
                <w:lang w:eastAsia="zh-Hans"/>
              </w:rPr>
              <w:t>（15</w:t>
            </w:r>
            <w:r>
              <w:rPr>
                <w:rFonts w:hint="eastAsia" w:ascii="宋体" w:hAnsi="宋体" w:cs="宋体"/>
                <w:b w:val="0"/>
                <w:bCs/>
                <w:kern w:val="0"/>
                <w:sz w:val="24"/>
                <w:szCs w:val="20"/>
                <w:lang w:val="en-US" w:eastAsia="zh-Hans"/>
              </w:rPr>
              <w:t>分</w:t>
            </w:r>
            <w:r>
              <w:rPr>
                <w:rFonts w:hint="default" w:ascii="宋体" w:hAnsi="宋体" w:cs="宋体"/>
                <w:b w:val="0"/>
                <w:bCs/>
                <w:kern w:val="0"/>
                <w:sz w:val="24"/>
                <w:lang w:eastAsia="zh-Hans"/>
              </w:rPr>
              <w:t>）</w:t>
            </w:r>
          </w:p>
        </w:tc>
        <w:tc>
          <w:tcPr>
            <w:tcW w:w="5949" w:type="dxa"/>
            <w:noWrap w:val="0"/>
            <w:vAlign w:val="top"/>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评标委员会根据投标文件的方案进行对比并综合评审。</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合理：10-1</w:t>
            </w:r>
            <w:r>
              <w:rPr>
                <w:rFonts w:hint="default" w:ascii="宋体" w:hAnsi="宋体" w:eastAsia="宋体" w:cs="宋体"/>
                <w:color w:val="auto"/>
                <w:sz w:val="24"/>
                <w:highlight w:val="none"/>
                <w:lang w:val="en-US" w:eastAsia="zh-CN"/>
              </w:rPr>
              <w:t>5</w:t>
            </w:r>
            <w:r>
              <w:rPr>
                <w:rFonts w:hint="eastAsia" w:ascii="宋体" w:hAnsi="宋体" w:eastAsia="宋体" w:cs="宋体"/>
                <w:color w:val="auto"/>
                <w:sz w:val="24"/>
                <w:highlight w:val="none"/>
                <w:lang w:val="en-US" w:eastAsia="zh-CN"/>
              </w:rPr>
              <w:t>分（总体设计布局设计合理、组织结构明确、方案完全满足项目需要）；较合理：5-9分（总体设计布局设计较合理、组织结构较明确，方案基本满足项目需要）；合格：1-4分（对设计方案缺乏全面理解，方案实施有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3" w:hRule="atLeast"/>
          <w:jc w:val="center"/>
        </w:trPr>
        <w:tc>
          <w:tcPr>
            <w:tcW w:w="1450" w:type="dxa"/>
            <w:vMerge w:val="continue"/>
            <w:noWrap w:val="0"/>
            <w:vAlign w:val="top"/>
          </w:tcPr>
          <w:p>
            <w:pPr>
              <w:pStyle w:val="87"/>
              <w:spacing w:before="0" w:line="400" w:lineRule="atLeast"/>
              <w:ind w:firstLine="0" w:firstLineChars="0"/>
              <w:rPr>
                <w:rFonts w:hint="eastAsia" w:ascii="宋体" w:hAnsi="宋体" w:eastAsia="宋体" w:cs="宋体"/>
                <w:kern w:val="0"/>
                <w:sz w:val="30"/>
                <w:szCs w:val="30"/>
              </w:rPr>
            </w:pPr>
          </w:p>
        </w:tc>
        <w:tc>
          <w:tcPr>
            <w:tcW w:w="1815" w:type="dxa"/>
            <w:noWrap w:val="0"/>
            <w:vAlign w:val="center"/>
          </w:tcPr>
          <w:p>
            <w:pPr>
              <w:spacing w:line="360" w:lineRule="auto"/>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color w:val="auto"/>
                <w:kern w:val="2"/>
                <w:sz w:val="24"/>
                <w:szCs w:val="24"/>
              </w:rPr>
              <w:t>施工组织设计（</w:t>
            </w:r>
            <w:r>
              <w:rPr>
                <w:rFonts w:hint="eastAsia" w:ascii="宋体" w:hAnsi="宋体" w:eastAsia="宋体" w:cs="宋体"/>
                <w:color w:val="auto"/>
                <w:kern w:val="2"/>
                <w:sz w:val="24"/>
                <w:szCs w:val="24"/>
                <w:lang w:val="en-US" w:eastAsia="zh-CN"/>
              </w:rPr>
              <w:t>5</w:t>
            </w:r>
            <w:r>
              <w:rPr>
                <w:rFonts w:hint="eastAsia" w:ascii="宋体" w:hAnsi="宋体" w:eastAsia="宋体" w:cs="宋体"/>
                <w:color w:val="auto"/>
                <w:kern w:val="2"/>
                <w:sz w:val="24"/>
                <w:szCs w:val="24"/>
              </w:rPr>
              <w:t>分）</w:t>
            </w:r>
          </w:p>
        </w:tc>
        <w:tc>
          <w:tcPr>
            <w:tcW w:w="5949" w:type="dxa"/>
            <w:noWrap w:val="0"/>
            <w:vAlign w:val="center"/>
          </w:tcPr>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4"/>
                <w:szCs w:val="24"/>
              </w:rPr>
              <w:t>针对本项目实施的质量保证措施、安全保证措施进行阐述</w:t>
            </w:r>
            <w:r>
              <w:rPr>
                <w:rFonts w:hint="eastAsia" w:ascii="宋体" w:hAnsi="宋体" w:cs="宋体"/>
                <w:color w:val="auto"/>
                <w:kern w:val="2"/>
                <w:sz w:val="24"/>
                <w:szCs w:val="24"/>
                <w:lang w:eastAsia="zh-CN"/>
              </w:rPr>
              <w:t>，</w:t>
            </w:r>
            <w:r>
              <w:rPr>
                <w:rFonts w:hint="eastAsia" w:ascii="宋体" w:hAnsi="宋体" w:cs="宋体"/>
                <w:color w:val="auto"/>
                <w:kern w:val="2"/>
                <w:sz w:val="24"/>
                <w:szCs w:val="24"/>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450" w:type="dxa"/>
            <w:vMerge w:val="continue"/>
            <w:noWrap w:val="0"/>
            <w:vAlign w:val="top"/>
          </w:tcPr>
          <w:p>
            <w:pPr>
              <w:pStyle w:val="87"/>
              <w:spacing w:before="0" w:line="400" w:lineRule="atLeast"/>
              <w:ind w:firstLine="0" w:firstLineChars="0"/>
              <w:rPr>
                <w:rFonts w:eastAsia="宋体"/>
                <w:color w:val="000000"/>
                <w:szCs w:val="24"/>
              </w:rPr>
            </w:pPr>
          </w:p>
        </w:tc>
        <w:tc>
          <w:tcPr>
            <w:tcW w:w="1815" w:type="dxa"/>
            <w:noWrap w:val="0"/>
            <w:vAlign w:val="center"/>
          </w:tcPr>
          <w:p>
            <w:pPr>
              <w:spacing w:line="360" w:lineRule="auto"/>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售后服务</w:t>
            </w:r>
          </w:p>
          <w:p>
            <w:pPr>
              <w:spacing w:line="360" w:lineRule="auto"/>
              <w:jc w:val="center"/>
              <w:rPr>
                <w:rFonts w:hint="eastAsia" w:ascii="宋体" w:hAnsi="宋体" w:eastAsia="宋体"/>
                <w:lang w:eastAsia="zh-CN"/>
              </w:rPr>
            </w:pPr>
            <w:r>
              <w:rPr>
                <w:rFonts w:hint="eastAsia" w:ascii="宋体" w:hAnsi="宋体" w:cs="宋体"/>
                <w:color w:val="auto"/>
                <w:kern w:val="2"/>
                <w:sz w:val="24"/>
                <w:szCs w:val="24"/>
                <w:lang w:eastAsia="zh-CN"/>
              </w:rPr>
              <w:t>（</w:t>
            </w:r>
            <w:r>
              <w:rPr>
                <w:rFonts w:hint="eastAsia" w:ascii="宋体" w:hAnsi="宋体" w:cs="宋体"/>
                <w:color w:val="auto"/>
                <w:kern w:val="2"/>
                <w:sz w:val="24"/>
                <w:szCs w:val="24"/>
                <w:lang w:val="en-US" w:eastAsia="zh-CN"/>
              </w:rPr>
              <w:t>5分</w:t>
            </w:r>
            <w:r>
              <w:rPr>
                <w:rFonts w:hint="eastAsia" w:ascii="宋体" w:hAnsi="宋体" w:cs="宋体"/>
                <w:color w:val="auto"/>
                <w:kern w:val="2"/>
                <w:sz w:val="24"/>
                <w:szCs w:val="24"/>
                <w:lang w:eastAsia="zh-CN"/>
              </w:rPr>
              <w:t>）</w:t>
            </w:r>
          </w:p>
        </w:tc>
        <w:tc>
          <w:tcPr>
            <w:tcW w:w="5949" w:type="dxa"/>
            <w:noWrap w:val="0"/>
            <w:vAlign w:val="center"/>
          </w:tcPr>
          <w:p>
            <w:pPr>
              <w:spacing w:line="360" w:lineRule="auto"/>
              <w:rPr>
                <w:rFonts w:hint="eastAsia" w:ascii="宋体" w:hAnsi="宋体" w:cs="宋体"/>
                <w:kern w:val="0"/>
                <w:sz w:val="24"/>
                <w:szCs w:val="20"/>
              </w:rPr>
            </w:pPr>
            <w:bookmarkStart w:id="561" w:name="_GoBack"/>
            <w:r>
              <w:rPr>
                <w:rFonts w:hint="eastAsia" w:ascii="宋体" w:hAnsi="宋体" w:eastAsia="宋体" w:cs="宋体"/>
                <w:color w:val="auto"/>
                <w:kern w:val="2"/>
                <w:sz w:val="24"/>
                <w:szCs w:val="24"/>
              </w:rPr>
              <w:t>针对本项目的特点，对售后服务承诺、质量标准承诺进行阐述</w:t>
            </w:r>
            <w:r>
              <w:rPr>
                <w:rFonts w:hint="eastAsia" w:ascii="宋体" w:hAnsi="宋体" w:cs="宋体"/>
                <w:color w:val="auto"/>
                <w:kern w:val="2"/>
                <w:sz w:val="24"/>
                <w:szCs w:val="24"/>
                <w:lang w:eastAsia="zh-CN"/>
              </w:rPr>
              <w:t>，</w:t>
            </w:r>
            <w:r>
              <w:rPr>
                <w:rFonts w:hint="eastAsia" w:ascii="宋体" w:hAnsi="宋体" w:cs="宋体"/>
                <w:color w:val="auto"/>
                <w:kern w:val="2"/>
                <w:sz w:val="24"/>
                <w:szCs w:val="24"/>
                <w:lang w:val="en-US" w:eastAsia="zh-CN"/>
              </w:rPr>
              <w:t>0-5分</w:t>
            </w:r>
            <w:r>
              <w:rPr>
                <w:rFonts w:hint="eastAsia" w:ascii="宋体" w:hAnsi="宋体" w:eastAsia="宋体" w:cs="宋体"/>
                <w:color w:val="auto"/>
                <w:kern w:val="2"/>
                <w:sz w:val="24"/>
                <w:szCs w:val="24"/>
              </w:rPr>
              <w:t>。</w:t>
            </w:r>
            <w:bookmarkEnd w:id="561"/>
          </w:p>
        </w:tc>
      </w:tr>
      <w:bookmarkEnd w:id="393"/>
    </w:tbl>
    <w:p>
      <w:pPr>
        <w:pStyle w:val="87"/>
        <w:spacing w:before="0" w:line="440" w:lineRule="exact"/>
        <w:ind w:firstLine="0" w:firstLineChars="0"/>
        <w:rPr>
          <w:rFonts w:hint="eastAsia" w:ascii="宋体" w:hAnsi="宋体" w:cs="宋体"/>
          <w:b/>
        </w:rPr>
      </w:pPr>
      <w:r>
        <w:rPr>
          <w:rFonts w:hint="eastAsia" w:ascii="宋体" w:hAnsi="宋体" w:eastAsia="宋体" w:cs="宋体"/>
          <w:b/>
          <w:kern w:val="0"/>
          <w:szCs w:val="20"/>
        </w:rPr>
        <w:t>注：</w:t>
      </w:r>
      <w:r>
        <w:rPr>
          <w:rFonts w:hint="eastAsia"/>
          <w:sz w:val="24"/>
          <w:highlight w:val="none"/>
        </w:rPr>
        <w:t>投标人样品不提供</w:t>
      </w:r>
      <w:r>
        <w:rPr>
          <w:rFonts w:hint="eastAsia"/>
          <w:sz w:val="24"/>
          <w:highlight w:val="none"/>
          <w:lang w:eastAsia="zh-CN"/>
        </w:rPr>
        <w:t>、</w:t>
      </w:r>
      <w:r>
        <w:rPr>
          <w:rFonts w:hint="eastAsia"/>
          <w:sz w:val="24"/>
          <w:highlight w:val="none"/>
        </w:rPr>
        <w:t>提供不全或样品出现投标单位名</w:t>
      </w:r>
      <w:r>
        <w:rPr>
          <w:rFonts w:hint="eastAsia"/>
          <w:sz w:val="24"/>
          <w:highlight w:val="none"/>
          <w:lang w:val="en-US"/>
        </w:rPr>
        <w:t>称</w:t>
      </w:r>
      <w:r>
        <w:rPr>
          <w:rFonts w:hint="eastAsia"/>
          <w:sz w:val="24"/>
          <w:highlight w:val="none"/>
        </w:rPr>
        <w:t>则</w:t>
      </w:r>
      <w:r>
        <w:rPr>
          <w:rFonts w:hint="eastAsia"/>
          <w:sz w:val="24"/>
          <w:highlight w:val="none"/>
          <w:lang w:val="en-US"/>
        </w:rPr>
        <w:t>样品分为0分。</w:t>
      </w:r>
    </w:p>
    <w:p>
      <w:pPr>
        <w:pStyle w:val="87"/>
        <w:spacing w:before="0" w:line="440" w:lineRule="exact"/>
        <w:ind w:firstLine="420" w:firstLineChars="0"/>
        <w:rPr>
          <w:rFonts w:hint="eastAsia" w:ascii="宋体" w:hAnsi="宋体" w:cs="宋体"/>
          <w:b/>
        </w:rPr>
      </w:pPr>
    </w:p>
    <w:p>
      <w:pPr>
        <w:pStyle w:val="87"/>
        <w:spacing w:before="0" w:line="440" w:lineRule="exact"/>
        <w:ind w:firstLine="420" w:firstLineChars="0"/>
        <w:rPr>
          <w:rFonts w:hint="eastAsia" w:ascii="宋体" w:hAnsi="宋体" w:cs="宋体"/>
          <w:b/>
        </w:rPr>
      </w:pPr>
    </w:p>
    <w:p>
      <w:pPr>
        <w:pStyle w:val="87"/>
        <w:spacing w:before="0" w:line="440" w:lineRule="exact"/>
        <w:ind w:firstLine="420" w:firstLineChars="0"/>
        <w:rPr>
          <w:rFonts w:hint="eastAsia" w:ascii="宋体" w:hAnsi="宋体" w:cs="宋体"/>
          <w:b/>
        </w:rPr>
      </w:pPr>
    </w:p>
    <w:p>
      <w:pPr>
        <w:pStyle w:val="87"/>
        <w:spacing w:before="0" w:line="440" w:lineRule="exact"/>
        <w:ind w:firstLine="420" w:firstLineChars="0"/>
        <w:rPr>
          <w:rFonts w:hint="eastAsia" w:ascii="宋体" w:hAnsi="宋体" w:cs="宋体"/>
          <w:b/>
        </w:rPr>
      </w:pPr>
      <w:r>
        <w:rPr>
          <w:rFonts w:hint="eastAsia" w:ascii="宋体" w:hAnsi="宋体" w:cs="宋体"/>
          <w:b/>
        </w:rPr>
        <w:t>商务分（</w:t>
      </w:r>
      <w:r>
        <w:rPr>
          <w:rFonts w:hint="eastAsia" w:ascii="宋体" w:hAnsi="宋体" w:cs="宋体"/>
          <w:b/>
          <w:lang w:val="en-US" w:eastAsia="zh-CN"/>
        </w:rPr>
        <w:t>2</w:t>
      </w:r>
      <w:r>
        <w:rPr>
          <w:rFonts w:hint="eastAsia" w:ascii="宋体" w:hAnsi="宋体" w:eastAsia="宋体" w:cs="宋体"/>
          <w:b/>
          <w:lang w:val="en-US" w:eastAsia="zh-CN"/>
        </w:rPr>
        <w:t>0</w:t>
      </w:r>
      <w:r>
        <w:rPr>
          <w:rFonts w:hint="eastAsia" w:ascii="宋体" w:hAnsi="宋体" w:cs="宋体"/>
          <w:b/>
        </w:rPr>
        <w:t>分）：</w:t>
      </w:r>
    </w:p>
    <w:tbl>
      <w:tblPr>
        <w:tblStyle w:val="64"/>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3"/>
        <w:gridCol w:w="1957"/>
        <w:gridCol w:w="5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noWrap w:val="0"/>
            <w:vAlign w:val="center"/>
          </w:tcPr>
          <w:p>
            <w:pPr>
              <w:spacing w:line="360" w:lineRule="auto"/>
              <w:jc w:val="center"/>
              <w:rPr>
                <w:color w:val="000000"/>
                <w:sz w:val="24"/>
              </w:rPr>
            </w:pPr>
            <w:bookmarkStart w:id="394" w:name="scoringRules1_0"/>
            <w:r>
              <w:rPr>
                <w:rFonts w:hint="eastAsia" w:ascii="宋体" w:hAnsi="宋体" w:cs="宋体"/>
                <w:kern w:val="0"/>
                <w:sz w:val="30"/>
                <w:szCs w:val="30"/>
              </w:rPr>
              <w:t>类别</w:t>
            </w:r>
          </w:p>
        </w:tc>
        <w:tc>
          <w:tcPr>
            <w:tcW w:w="1957" w:type="dxa"/>
            <w:noWrap w:val="0"/>
            <w:vAlign w:val="center"/>
          </w:tcPr>
          <w:p>
            <w:pPr>
              <w:spacing w:line="360" w:lineRule="auto"/>
              <w:jc w:val="center"/>
              <w:rPr>
                <w:color w:val="000000"/>
                <w:sz w:val="24"/>
              </w:rPr>
            </w:pPr>
            <w:r>
              <w:rPr>
                <w:rFonts w:hint="eastAsia" w:ascii="宋体" w:hAnsi="宋体" w:cs="宋体"/>
                <w:kern w:val="0"/>
                <w:sz w:val="30"/>
                <w:szCs w:val="30"/>
              </w:rPr>
              <w:t>评审内容</w:t>
            </w:r>
          </w:p>
        </w:tc>
        <w:tc>
          <w:tcPr>
            <w:tcW w:w="5484" w:type="dxa"/>
            <w:noWrap w:val="0"/>
            <w:vAlign w:val="center"/>
          </w:tcPr>
          <w:p>
            <w:pPr>
              <w:spacing w:line="360" w:lineRule="auto"/>
              <w:jc w:val="center"/>
              <w:rPr>
                <w:color w:val="000000"/>
                <w:sz w:val="24"/>
              </w:rPr>
            </w:pPr>
            <w:r>
              <w:rPr>
                <w:rFonts w:hint="eastAsia" w:ascii="宋体" w:hAnsi="宋体" w:cs="宋体"/>
                <w:kern w:val="0"/>
                <w:sz w:val="30"/>
                <w:szCs w:val="30"/>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1" w:hRule="atLeast"/>
          <w:jc w:val="center"/>
        </w:trPr>
        <w:tc>
          <w:tcPr>
            <w:tcW w:w="1773" w:type="dxa"/>
            <w:vMerge w:val="restart"/>
            <w:noWrap w:val="0"/>
            <w:vAlign w:val="center"/>
          </w:tcPr>
          <w:p>
            <w:pPr>
              <w:spacing w:line="360" w:lineRule="auto"/>
              <w:jc w:val="center"/>
              <w:rPr>
                <w:rFonts w:hint="eastAsia" w:ascii="宋体" w:hAnsi="宋体" w:cs="宋体"/>
                <w:kern w:val="0"/>
                <w:sz w:val="30"/>
                <w:szCs w:val="30"/>
              </w:rPr>
            </w:pPr>
            <w:r>
              <w:rPr>
                <w:rFonts w:hint="eastAsia" w:ascii="宋体" w:hAnsi="宋体" w:cs="宋体"/>
                <w:kern w:val="0"/>
                <w:sz w:val="30"/>
                <w:szCs w:val="30"/>
              </w:rPr>
              <w:t>商务分</w:t>
            </w:r>
          </w:p>
          <w:p>
            <w:pPr>
              <w:spacing w:line="360" w:lineRule="auto"/>
              <w:jc w:val="center"/>
              <w:rPr>
                <w:rFonts w:hint="eastAsia" w:ascii="宋体" w:hAnsi="宋体" w:cs="宋体"/>
                <w:kern w:val="0"/>
                <w:sz w:val="30"/>
                <w:szCs w:val="30"/>
              </w:rPr>
            </w:pPr>
            <w:r>
              <w:rPr>
                <w:rFonts w:hint="eastAsia" w:ascii="宋体" w:hAnsi="宋体" w:cs="宋体"/>
                <w:kern w:val="0"/>
                <w:sz w:val="30"/>
                <w:szCs w:val="30"/>
                <w:lang w:val="en-US" w:eastAsia="zh-CN"/>
              </w:rPr>
              <w:t>20</w:t>
            </w:r>
            <w:r>
              <w:rPr>
                <w:rFonts w:hint="eastAsia" w:ascii="宋体" w:hAnsi="宋体" w:cs="宋体"/>
                <w:kern w:val="0"/>
                <w:sz w:val="30"/>
                <w:szCs w:val="30"/>
              </w:rPr>
              <w:t>分</w:t>
            </w:r>
          </w:p>
          <w:p>
            <w:pPr>
              <w:pStyle w:val="87"/>
              <w:spacing w:before="0" w:line="240" w:lineRule="auto"/>
              <w:ind w:firstLine="0" w:firstLineChars="0"/>
              <w:jc w:val="center"/>
              <w:rPr>
                <w:rFonts w:hint="eastAsia" w:ascii="宋体" w:hAnsi="宋体" w:cs="宋体"/>
                <w:szCs w:val="22"/>
              </w:rPr>
            </w:pPr>
          </w:p>
        </w:tc>
        <w:tc>
          <w:tcPr>
            <w:tcW w:w="1957" w:type="dxa"/>
            <w:noWrap w:val="0"/>
            <w:vAlign w:val="center"/>
          </w:tcPr>
          <w:p>
            <w:pPr>
              <w:pStyle w:val="87"/>
              <w:spacing w:line="240" w:lineRule="auto"/>
              <w:ind w:firstLine="0" w:firstLineChars="0"/>
              <w:jc w:val="cente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企业综合实力（10分）</w:t>
            </w:r>
          </w:p>
        </w:tc>
        <w:tc>
          <w:tcPr>
            <w:tcW w:w="5484" w:type="dxa"/>
            <w:noWrap w:val="0"/>
            <w:vAlign w:val="center"/>
          </w:tcPr>
          <w:p>
            <w:pPr>
              <w:pStyle w:val="87"/>
              <w:spacing w:line="240" w:lineRule="auto"/>
              <w:ind w:firstLine="0" w:firstLineChars="0"/>
              <w:jc w:val="both"/>
              <w:rPr>
                <w:rFonts w:hint="eastAsia" w:ascii="宋体" w:hAnsi="宋体" w:cs="宋体"/>
                <w:szCs w:val="22"/>
              </w:rPr>
            </w:pPr>
            <w:r>
              <w:rPr>
                <w:rFonts w:hint="eastAsia" w:ascii="宋体" w:hAnsi="宋体" w:cs="宋体"/>
                <w:szCs w:val="22"/>
                <w:lang w:val="en-US" w:eastAsia="zh-CN"/>
              </w:rPr>
              <w:t>投标企业拥有3A级企业资信等级证书得1分、3A级企业信用等级证书得1分、3A级诚信供应商企业证书得1分、3A级诚信经营示范单位证书得1分、3A级质量服务诚信企业证书得1分、3A重服务守信用证书得1分、3A重质量守信用证书得1分、诚信企业家证书得1分、3A级重合同守信用企业证书得1分，3A级招标投标领域信用企业证书得1分，共10分。（提供有效期内的证书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0" w:hRule="atLeast"/>
          <w:jc w:val="center"/>
        </w:trPr>
        <w:tc>
          <w:tcPr>
            <w:tcW w:w="1773" w:type="dxa"/>
            <w:vMerge w:val="continue"/>
            <w:noWrap w:val="0"/>
            <w:vAlign w:val="center"/>
          </w:tcPr>
          <w:p>
            <w:pPr>
              <w:pStyle w:val="87"/>
              <w:spacing w:before="0" w:line="240" w:lineRule="auto"/>
              <w:ind w:firstLine="0" w:firstLineChars="0"/>
              <w:jc w:val="center"/>
              <w:rPr>
                <w:rFonts w:hint="eastAsia" w:ascii="宋体" w:hAnsi="宋体" w:cs="宋体"/>
                <w:szCs w:val="22"/>
              </w:rPr>
            </w:pPr>
          </w:p>
        </w:tc>
        <w:tc>
          <w:tcPr>
            <w:tcW w:w="1957" w:type="dxa"/>
            <w:noWrap w:val="0"/>
            <w:vAlign w:val="center"/>
          </w:tcPr>
          <w:p>
            <w:pPr>
              <w:spacing w:line="360" w:lineRule="auto"/>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拟投入本项目人员力量</w:t>
            </w:r>
            <w:r>
              <w:rPr>
                <w:rFonts w:hint="eastAsia" w:ascii="宋体" w:hAnsi="宋体" w:cs="宋体"/>
                <w:kern w:val="2"/>
                <w:sz w:val="24"/>
                <w:szCs w:val="22"/>
                <w:lang w:val="en-US" w:eastAsia="zh-CN" w:bidi="ar-SA"/>
              </w:rPr>
              <w:t>（5.5）</w:t>
            </w:r>
          </w:p>
        </w:tc>
        <w:tc>
          <w:tcPr>
            <w:tcW w:w="5484" w:type="dxa"/>
            <w:noWrap w:val="0"/>
            <w:vAlign w:val="center"/>
          </w:tcPr>
          <w:p>
            <w:pPr>
              <w:pStyle w:val="87"/>
              <w:spacing w:line="240" w:lineRule="auto"/>
              <w:ind w:firstLine="0" w:firstLineChars="0"/>
              <w:jc w:val="both"/>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项目负责人具备《中国管理科学研究院专业能力证书雕塑设计师》得2分，同时具备《中国管理科学研究院专业能力证书环境艺术师》得2分，同时具备《中国管理科学研究院专业能力证书工艺品设计师》得</w:t>
            </w:r>
            <w:r>
              <w:rPr>
                <w:rFonts w:hint="eastAsia" w:ascii="宋体" w:hAnsi="宋体" w:cs="宋体"/>
                <w:kern w:val="2"/>
                <w:sz w:val="24"/>
                <w:szCs w:val="22"/>
                <w:lang w:val="en-US" w:eastAsia="zh-CN" w:bidi="ar-SA"/>
              </w:rPr>
              <w:t>1.5</w:t>
            </w:r>
            <w:r>
              <w:rPr>
                <w:rFonts w:hint="eastAsia" w:ascii="宋体" w:hAnsi="宋体" w:eastAsia="宋体" w:cs="宋体"/>
                <w:kern w:val="2"/>
                <w:sz w:val="24"/>
                <w:szCs w:val="22"/>
                <w:lang w:val="en-US" w:eastAsia="zh-CN" w:bidi="ar-SA"/>
              </w:rPr>
              <w:t>分，共</w:t>
            </w:r>
            <w:r>
              <w:rPr>
                <w:rFonts w:hint="eastAsia" w:ascii="宋体" w:hAnsi="宋体" w:cs="宋体"/>
                <w:kern w:val="2"/>
                <w:sz w:val="24"/>
                <w:szCs w:val="22"/>
                <w:lang w:val="en-US" w:eastAsia="zh-CN" w:bidi="ar-SA"/>
              </w:rPr>
              <w:t>5.5</w:t>
            </w:r>
            <w:r>
              <w:rPr>
                <w:rFonts w:hint="eastAsia" w:ascii="宋体" w:hAnsi="宋体" w:eastAsia="宋体" w:cs="宋体"/>
                <w:kern w:val="2"/>
                <w:sz w:val="24"/>
                <w:szCs w:val="22"/>
                <w:lang w:val="en-US" w:eastAsia="zh-CN" w:bidi="ar-SA"/>
              </w:rPr>
              <w:t>分。</w:t>
            </w:r>
            <w:r>
              <w:rPr>
                <w:rFonts w:hint="eastAsia" w:ascii="宋体" w:hAnsi="宋体" w:cs="宋体"/>
                <w:szCs w:val="22"/>
                <w:lang w:val="en-US" w:eastAsia="zh-CN"/>
              </w:rPr>
              <w:t>（提供有证书复印件加盖公章）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jc w:val="center"/>
        </w:trPr>
        <w:tc>
          <w:tcPr>
            <w:tcW w:w="1773" w:type="dxa"/>
            <w:vMerge w:val="continue"/>
            <w:noWrap w:val="0"/>
            <w:vAlign w:val="center"/>
          </w:tcPr>
          <w:p>
            <w:pPr>
              <w:pStyle w:val="87"/>
              <w:spacing w:before="0" w:line="240" w:lineRule="auto"/>
              <w:ind w:firstLine="0" w:firstLineChars="0"/>
              <w:jc w:val="center"/>
              <w:rPr>
                <w:rFonts w:hint="eastAsia" w:ascii="宋体" w:hAnsi="宋体" w:cs="宋体"/>
                <w:szCs w:val="22"/>
              </w:rPr>
            </w:pPr>
          </w:p>
        </w:tc>
        <w:tc>
          <w:tcPr>
            <w:tcW w:w="1957" w:type="dxa"/>
            <w:noWrap w:val="0"/>
            <w:vAlign w:val="center"/>
          </w:tcPr>
          <w:p>
            <w:pPr>
              <w:pStyle w:val="87"/>
              <w:spacing w:line="240" w:lineRule="auto"/>
              <w:ind w:firstLine="0" w:firstLineChars="0"/>
              <w:jc w:val="center"/>
              <w:rPr>
                <w:rFonts w:hint="eastAsia" w:ascii="宋体" w:hAnsi="宋体" w:cs="宋体"/>
                <w:szCs w:val="22"/>
              </w:rPr>
            </w:pPr>
            <w:r>
              <w:rPr>
                <w:rFonts w:hint="eastAsia" w:ascii="宋体" w:hAnsi="宋体" w:cs="宋体"/>
                <w:szCs w:val="22"/>
              </w:rPr>
              <w:t>类似案例</w:t>
            </w:r>
          </w:p>
          <w:p>
            <w:pPr>
              <w:pStyle w:val="87"/>
              <w:spacing w:line="240" w:lineRule="auto"/>
              <w:ind w:firstLine="0" w:firstLineChars="0"/>
              <w:jc w:val="center"/>
              <w:rPr>
                <w:rFonts w:hint="eastAsia" w:ascii="宋体" w:hAnsi="宋体" w:eastAsia="宋体" w:cs="宋体"/>
                <w:kern w:val="2"/>
                <w:sz w:val="24"/>
                <w:szCs w:val="22"/>
                <w:lang w:val="en-US" w:eastAsia="zh-CN" w:bidi="ar-SA"/>
              </w:rPr>
            </w:pPr>
            <w:r>
              <w:rPr>
                <w:rFonts w:hint="eastAsia" w:ascii="宋体" w:hAnsi="宋体" w:cs="宋体"/>
                <w:szCs w:val="22"/>
              </w:rPr>
              <w:t>（</w:t>
            </w:r>
            <w:r>
              <w:rPr>
                <w:rFonts w:hint="eastAsia" w:ascii="宋体" w:hAnsi="宋体" w:cs="宋体"/>
                <w:szCs w:val="22"/>
                <w:lang w:val="en-US" w:eastAsia="zh-CN"/>
              </w:rPr>
              <w:t>4.5</w:t>
            </w:r>
            <w:r>
              <w:rPr>
                <w:rFonts w:hint="eastAsia" w:ascii="宋体" w:hAnsi="宋体" w:cs="宋体"/>
                <w:szCs w:val="22"/>
              </w:rPr>
              <w:t>分）</w:t>
            </w:r>
          </w:p>
        </w:tc>
        <w:tc>
          <w:tcPr>
            <w:tcW w:w="5484" w:type="dxa"/>
            <w:noWrap w:val="0"/>
            <w:vAlign w:val="center"/>
          </w:tcPr>
          <w:p>
            <w:pPr>
              <w:jc w:val="left"/>
              <w:rPr>
                <w:rFonts w:hint="eastAsia" w:ascii="宋体" w:hAnsi="宋体" w:eastAsia="宋体" w:cs="宋体"/>
                <w:kern w:val="2"/>
                <w:sz w:val="24"/>
                <w:szCs w:val="22"/>
                <w:lang w:val="en-US" w:eastAsia="zh-CN" w:bidi="ar-SA"/>
              </w:rPr>
            </w:pPr>
            <w:r>
              <w:rPr>
                <w:rFonts w:hint="default" w:ascii="宋体" w:hAnsi="宋体" w:eastAsia="宋体" w:cs="宋体"/>
                <w:kern w:val="2"/>
                <w:sz w:val="24"/>
                <w:szCs w:val="22"/>
                <w:lang w:val="en-US" w:eastAsia="zh-CN" w:bidi="ar-SA"/>
              </w:rPr>
              <w:t>自201</w:t>
            </w:r>
            <w:r>
              <w:rPr>
                <w:rFonts w:hint="eastAsia" w:ascii="宋体" w:hAnsi="宋体" w:eastAsia="宋体" w:cs="宋体"/>
                <w:kern w:val="2"/>
                <w:sz w:val="24"/>
                <w:szCs w:val="22"/>
                <w:lang w:val="en-US" w:eastAsia="zh-CN" w:bidi="ar-SA"/>
              </w:rPr>
              <w:t>8</w:t>
            </w:r>
            <w:r>
              <w:rPr>
                <w:rFonts w:hint="default" w:ascii="宋体" w:hAnsi="宋体" w:eastAsia="宋体" w:cs="宋体"/>
                <w:kern w:val="2"/>
                <w:sz w:val="24"/>
                <w:szCs w:val="22"/>
                <w:lang w:val="en-US" w:eastAsia="zh-CN" w:bidi="ar-SA"/>
              </w:rPr>
              <w:t>年1月1日（</w:t>
            </w:r>
            <w:r>
              <w:rPr>
                <w:rFonts w:hint="eastAsia" w:ascii="宋体" w:hAnsi="宋体" w:eastAsia="宋体" w:cs="宋体"/>
                <w:kern w:val="2"/>
                <w:sz w:val="24"/>
                <w:szCs w:val="22"/>
                <w:lang w:val="en-US" w:eastAsia="zh-CN" w:bidi="ar-SA"/>
              </w:rPr>
              <w:t>时间以</w:t>
            </w:r>
            <w:r>
              <w:rPr>
                <w:rFonts w:hint="default" w:ascii="宋体" w:hAnsi="宋体" w:eastAsia="宋体" w:cs="宋体"/>
                <w:kern w:val="2"/>
                <w:sz w:val="24"/>
                <w:szCs w:val="22"/>
                <w:lang w:val="en-US" w:eastAsia="zh-CN" w:bidi="ar-SA"/>
              </w:rPr>
              <w:t>合同签订</w:t>
            </w:r>
            <w:r>
              <w:rPr>
                <w:rFonts w:hint="eastAsia" w:ascii="宋体" w:hAnsi="宋体" w:eastAsia="宋体" w:cs="宋体"/>
                <w:kern w:val="2"/>
                <w:sz w:val="24"/>
                <w:szCs w:val="22"/>
                <w:lang w:val="en-US" w:eastAsia="zh-CN" w:bidi="ar-SA"/>
              </w:rPr>
              <w:t>时间为准</w:t>
            </w:r>
            <w:r>
              <w:rPr>
                <w:rFonts w:hint="default" w:ascii="宋体" w:hAnsi="宋体" w:eastAsia="宋体" w:cs="宋体"/>
                <w:kern w:val="2"/>
                <w:sz w:val="24"/>
                <w:szCs w:val="22"/>
                <w:lang w:val="en-US" w:eastAsia="zh-CN" w:bidi="ar-SA"/>
              </w:rPr>
              <w:t>）以来完成过雕塑类项目业绩的，每个得</w:t>
            </w:r>
            <w:r>
              <w:rPr>
                <w:rFonts w:hint="eastAsia" w:ascii="宋体" w:hAnsi="宋体" w:eastAsia="宋体" w:cs="宋体"/>
                <w:kern w:val="2"/>
                <w:sz w:val="24"/>
                <w:szCs w:val="22"/>
                <w:lang w:val="en-US" w:eastAsia="zh-CN" w:bidi="ar-SA"/>
              </w:rPr>
              <w:t>1.5</w:t>
            </w:r>
            <w:r>
              <w:rPr>
                <w:rFonts w:hint="default" w:ascii="宋体" w:hAnsi="宋体" w:eastAsia="宋体" w:cs="宋体"/>
                <w:kern w:val="2"/>
                <w:sz w:val="24"/>
                <w:szCs w:val="22"/>
                <w:lang w:val="en-US" w:eastAsia="zh-CN" w:bidi="ar-SA"/>
              </w:rPr>
              <w:t>分</w:t>
            </w:r>
            <w:r>
              <w:rPr>
                <w:rFonts w:hint="eastAsia" w:ascii="宋体" w:hAnsi="宋体" w:eastAsia="宋体" w:cs="宋体"/>
                <w:kern w:val="2"/>
                <w:sz w:val="24"/>
                <w:szCs w:val="22"/>
                <w:lang w:val="en-US" w:eastAsia="zh-CN" w:bidi="ar-SA"/>
              </w:rPr>
              <w:t>，</w:t>
            </w:r>
            <w:r>
              <w:rPr>
                <w:rFonts w:hint="default" w:ascii="宋体" w:hAnsi="宋体" w:eastAsia="宋体" w:cs="宋体"/>
                <w:kern w:val="2"/>
                <w:sz w:val="24"/>
                <w:szCs w:val="22"/>
                <w:lang w:val="en-US" w:eastAsia="zh-CN" w:bidi="ar-SA"/>
              </w:rPr>
              <w:t>本项最高得</w:t>
            </w:r>
            <w:r>
              <w:rPr>
                <w:rFonts w:hint="eastAsia" w:ascii="宋体" w:hAnsi="宋体" w:eastAsia="宋体" w:cs="宋体"/>
                <w:kern w:val="2"/>
                <w:sz w:val="24"/>
                <w:szCs w:val="22"/>
                <w:lang w:val="en-US" w:eastAsia="zh-CN" w:bidi="ar-SA"/>
              </w:rPr>
              <w:t>4.5</w:t>
            </w:r>
            <w:r>
              <w:rPr>
                <w:rFonts w:hint="default" w:ascii="宋体" w:hAnsi="宋体" w:eastAsia="宋体" w:cs="宋体"/>
                <w:kern w:val="2"/>
                <w:sz w:val="24"/>
                <w:szCs w:val="22"/>
                <w:lang w:val="en-US" w:eastAsia="zh-CN" w:bidi="ar-SA"/>
              </w:rPr>
              <w:t>分。投标文件中提供合同复印件（合同内容中必须包含雕塑）加盖公章。</w:t>
            </w:r>
          </w:p>
        </w:tc>
      </w:tr>
      <w:bookmarkEnd w:id="394"/>
    </w:tbl>
    <w:p>
      <w:pPr>
        <w:pStyle w:val="5"/>
        <w:ind w:firstLine="0"/>
      </w:pPr>
    </w:p>
    <w:p>
      <w:pPr>
        <w:pStyle w:val="23"/>
        <w:spacing w:before="74"/>
        <w:ind w:firstLine="480" w:firstLineChars="200"/>
        <w:rPr>
          <w:highlight w:val="none"/>
        </w:rPr>
      </w:pPr>
      <w:r>
        <w:rPr>
          <w:highlight w:val="none"/>
        </w:rPr>
        <w:t>注：以上评审内容制作进投标文件内，并按评审要求提供相关证明材料等。</w:t>
      </w:r>
    </w:p>
    <w:p>
      <w:pPr>
        <w:snapToGrid w:val="0"/>
        <w:spacing w:line="60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、技术分+商务分=评标委员会所有成员评分合计数/评标委员会组成人员数</w:t>
      </w:r>
      <w:r>
        <w:rPr>
          <w:rFonts w:hint="eastAsia" w:ascii="宋体" w:hAnsi="宋体" w:cs="宋体"/>
          <w:sz w:val="24"/>
          <w:highlight w:val="none"/>
        </w:rPr>
        <w:t>（精确到小数点后二位）</w:t>
      </w:r>
    </w:p>
    <w:p>
      <w:pPr>
        <w:snapToGrid w:val="0"/>
        <w:spacing w:line="600" w:lineRule="exact"/>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、价格分（</w:t>
      </w:r>
      <w:r>
        <w:rPr>
          <w:rFonts w:hint="eastAsia" w:cs="宋体"/>
          <w:color w:val="000000"/>
          <w:sz w:val="24"/>
          <w:highlight w:val="none"/>
          <w:lang w:val="en-US" w:eastAsia="zh-CN"/>
        </w:rPr>
        <w:t>3</w:t>
      </w:r>
      <w:r>
        <w:rPr>
          <w:rFonts w:hint="eastAsia" w:ascii="宋体" w:hAnsi="宋体" w:cs="宋体"/>
          <w:color w:val="000000"/>
          <w:sz w:val="24"/>
          <w:highlight w:val="none"/>
        </w:rPr>
        <w:t>0分）采用低价优先法计算，即满足招标文件要求且投标价格最低的投标</w:t>
      </w:r>
      <w:r>
        <w:rPr>
          <w:rFonts w:hint="eastAsia" w:ascii="宋体" w:hAnsi="宋体" w:eastAsia="宋体" w:cs="宋体"/>
          <w:color w:val="000000"/>
          <w:sz w:val="24"/>
          <w:highlight w:val="none"/>
        </w:rPr>
        <w:t>报价为评标基准价，其他投标人的价格分按照下列公式计算：</w:t>
      </w:r>
    </w:p>
    <w:p>
      <w:pPr>
        <w:snapToGrid w:val="0"/>
        <w:spacing w:line="6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投标报价得分=(评标基准价／投标报价)×价格权值×100（精确到小数点后二位）</w:t>
      </w:r>
    </w:p>
    <w:p>
      <w:pPr>
        <w:snapToGrid w:val="0"/>
        <w:spacing w:line="6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评标过程中，不得去掉报价中的最高报价和最低报价。</w:t>
      </w:r>
    </w:p>
    <w:p>
      <w:pPr>
        <w:snapToGrid w:val="0"/>
        <w:spacing w:line="6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因落实政府采购政策进行价格调整的，以调整后的价格计算评标基准价和投标报价。</w:t>
      </w:r>
    </w:p>
    <w:p>
      <w:pPr>
        <w:numPr>
          <w:ilvl w:val="0"/>
          <w:numId w:val="0"/>
        </w:numPr>
        <w:snapToGrid w:val="0"/>
        <w:spacing w:line="60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投标人评标综合得分=价格分+技术分+商务分</w:t>
      </w:r>
      <w:r>
        <w:rPr>
          <w:rFonts w:hint="eastAsia" w:ascii="宋体" w:hAnsi="宋体" w:cs="宋体"/>
          <w:sz w:val="24"/>
          <w:highlight w:val="none"/>
        </w:rPr>
        <w:t>（精确到小数点后二位）</w:t>
      </w:r>
    </w:p>
    <w:p>
      <w:pPr>
        <w:pStyle w:val="2"/>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7"/>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7"/>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7"/>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7"/>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7"/>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7"/>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7"/>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7"/>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color w:val="FF0000"/>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FF0000"/>
          <w:kern w:val="0"/>
          <w:szCs w:val="24"/>
        </w:rPr>
        <w:t>10%的扣除，用扣除后的价格参与评审。</w:t>
      </w:r>
      <w:r>
        <w:rPr>
          <w:rFonts w:ascii="仿宋" w:hAnsi="仿宋" w:eastAsia="仿宋" w:cs="仿宋"/>
          <w:kern w:val="0"/>
          <w:szCs w:val="24"/>
        </w:rPr>
        <w:t>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7"/>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27"/>
    <w:p>
      <w:pPr>
        <w:spacing w:line="360" w:lineRule="auto"/>
        <w:ind w:left="720" w:leftChars="343" w:firstLine="1084" w:firstLineChars="300"/>
        <w:outlineLvl w:val="0"/>
        <w:rPr>
          <w:rFonts w:ascii="仿宋_GB2312" w:hAnsi="仿宋" w:eastAsia="仿宋_GB2312" w:cs="仿宋_GB2312"/>
          <w:b/>
          <w:sz w:val="36"/>
          <w:szCs w:val="36"/>
        </w:rPr>
      </w:pPr>
      <w:bookmarkStart w:id="395" w:name="第五部分"/>
      <w:bookmarkStart w:id="396"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both"/>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387"/>
        <w:ind w:left="0" w:leftChars="0" w:firstLine="0" w:firstLineChars="0"/>
        <w:rPr>
          <w:rFonts w:ascii="仿宋" w:hAnsi="仿宋" w:eastAsia="仿宋"/>
          <w:szCs w:val="24"/>
        </w:rPr>
      </w:pPr>
    </w:p>
    <w:p>
      <w:pPr>
        <w:pStyle w:val="387"/>
        <w:jc w:val="center"/>
        <w:rPr>
          <w:rFonts w:ascii="仿宋" w:hAnsi="仿宋" w:eastAsia="仿宋"/>
          <w:szCs w:val="24"/>
        </w:rPr>
      </w:pPr>
    </w:p>
    <w:p>
      <w:pPr>
        <w:pStyle w:val="387"/>
        <w:ind w:firstLine="2843" w:firstLineChars="1180"/>
        <w:rPr>
          <w:rFonts w:ascii="仿宋" w:hAnsi="仿宋" w:eastAsia="仿宋"/>
          <w:b/>
          <w:szCs w:val="24"/>
        </w:rPr>
      </w:pPr>
      <w:r>
        <w:rPr>
          <w:rFonts w:hint="eastAsia" w:ascii="仿宋" w:hAnsi="仿宋" w:eastAsia="仿宋"/>
          <w:b/>
          <w:szCs w:val="24"/>
        </w:rPr>
        <w:t>第一部分</w:t>
      </w:r>
      <w:r>
        <w:rPr>
          <w:rFonts w:ascii="仿宋" w:hAnsi="仿宋" w:eastAsia="仿宋"/>
          <w:b/>
          <w:szCs w:val="24"/>
        </w:rPr>
        <w:t xml:space="preserve"> </w:t>
      </w:r>
      <w:r>
        <w:rPr>
          <w:rFonts w:hint="eastAsia" w:ascii="仿宋" w:hAnsi="仿宋" w:eastAsia="仿宋"/>
          <w:b/>
          <w:szCs w:val="24"/>
        </w:rPr>
        <w:t>合同书</w:t>
      </w:r>
    </w:p>
    <w:p>
      <w:pPr>
        <w:pStyle w:val="387"/>
        <w:rPr>
          <w:rFonts w:ascii="仿宋" w:hAnsi="仿宋" w:eastAsia="仿宋"/>
          <w:szCs w:val="24"/>
        </w:rPr>
      </w:pPr>
    </w:p>
    <w:p>
      <w:pPr>
        <w:pStyle w:val="387"/>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284"/>
        <w:spacing w:before="120" w:line="22" w:lineRule="atLeast"/>
        <w:rPr>
          <w:rFonts w:ascii="仿宋" w:hAnsi="仿宋" w:eastAsia="仿宋"/>
          <w:szCs w:val="24"/>
        </w:rPr>
      </w:pPr>
    </w:p>
    <w:p>
      <w:pPr>
        <w:pStyle w:val="284"/>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7" w:name="_Toc24059"/>
      <w:bookmarkStart w:id="398" w:name="_Toc2232"/>
      <w:bookmarkStart w:id="399" w:name="_Toc3029"/>
      <w:r>
        <w:rPr>
          <w:rFonts w:ascii="仿宋" w:hAnsi="仿宋" w:eastAsia="仿宋"/>
          <w:b/>
          <w:sz w:val="24"/>
        </w:rPr>
        <w:t xml:space="preserve">1.1 </w:t>
      </w:r>
      <w:r>
        <w:rPr>
          <w:rFonts w:hint="eastAsia" w:ascii="仿宋" w:hAnsi="仿宋" w:eastAsia="仿宋"/>
          <w:b/>
          <w:sz w:val="24"/>
        </w:rPr>
        <w:t>合同组成部分</w:t>
      </w:r>
      <w:bookmarkEnd w:id="397"/>
      <w:bookmarkEnd w:id="398"/>
      <w:bookmarkEnd w:id="399"/>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ascii="仿宋" w:hAnsi="仿宋" w:eastAsia="仿宋"/>
          <w:b/>
          <w:sz w:val="24"/>
        </w:rPr>
      </w:pPr>
      <w:bookmarkStart w:id="400" w:name="_Toc24300"/>
      <w:bookmarkStart w:id="401" w:name="_Toc21295"/>
      <w:bookmarkStart w:id="402" w:name="_Toc27126"/>
      <w:r>
        <w:rPr>
          <w:rFonts w:ascii="仿宋" w:hAnsi="仿宋" w:eastAsia="仿宋"/>
          <w:b/>
          <w:sz w:val="24"/>
        </w:rPr>
        <w:t xml:space="preserve">1.2 </w:t>
      </w:r>
      <w:r>
        <w:rPr>
          <w:rFonts w:hint="eastAsia" w:ascii="仿宋" w:hAnsi="仿宋" w:eastAsia="仿宋"/>
          <w:b/>
          <w:sz w:val="24"/>
        </w:rPr>
        <w:t>货物</w:t>
      </w:r>
      <w:bookmarkEnd w:id="400"/>
      <w:bookmarkEnd w:id="401"/>
      <w:bookmarkEnd w:id="402"/>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货物名称：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货物数量：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货物质量：</w:t>
      </w:r>
      <w:r>
        <w:rPr>
          <w:rFonts w:hint="eastAsia" w:ascii="仿宋" w:hAnsi="仿宋" w:eastAsia="仿宋"/>
          <w:sz w:val="24"/>
          <w:u w:val="single"/>
        </w:rPr>
        <w:t>　　　　　　　　　</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3" w:name="_Toc23292"/>
      <w:bookmarkStart w:id="404" w:name="_Toc21551"/>
      <w:bookmarkStart w:id="405" w:name="_Toc21631"/>
      <w:r>
        <w:rPr>
          <w:rFonts w:ascii="仿宋" w:hAnsi="仿宋" w:eastAsia="仿宋"/>
          <w:b/>
          <w:sz w:val="24"/>
        </w:rPr>
        <w:t xml:space="preserve">1.3 </w:t>
      </w:r>
      <w:r>
        <w:rPr>
          <w:rFonts w:hint="eastAsia" w:ascii="仿宋" w:hAnsi="仿宋" w:eastAsia="仿宋"/>
          <w:b/>
          <w:sz w:val="24"/>
        </w:rPr>
        <w:t>价款</w:t>
      </w:r>
      <w:bookmarkEnd w:id="403"/>
      <w:bookmarkEnd w:id="404"/>
      <w:bookmarkEnd w:id="405"/>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6" w:name="_Toc10340"/>
      <w:bookmarkStart w:id="407" w:name="_Toc22618"/>
      <w:bookmarkStart w:id="408" w:name="_Toc1814"/>
      <w:r>
        <w:rPr>
          <w:rFonts w:ascii="仿宋" w:hAnsi="仿宋" w:eastAsia="仿宋"/>
          <w:b/>
          <w:sz w:val="24"/>
        </w:rPr>
        <w:t xml:space="preserve">1.4 </w:t>
      </w:r>
      <w:r>
        <w:rPr>
          <w:rFonts w:hint="eastAsia" w:ascii="仿宋" w:hAnsi="仿宋" w:eastAsia="仿宋"/>
          <w:b/>
          <w:sz w:val="24"/>
        </w:rPr>
        <w:t>付款</w:t>
      </w:r>
      <w:bookmarkEnd w:id="406"/>
      <w:bookmarkEnd w:id="407"/>
      <w:bookmarkEnd w:id="408"/>
      <w:r>
        <w:rPr>
          <w:rFonts w:hint="eastAsia" w:ascii="仿宋" w:hAnsi="仿宋" w:eastAsia="仿宋"/>
          <w:b/>
          <w:sz w:val="24"/>
        </w:rPr>
        <w:t>方式、时间和条件</w:t>
      </w:r>
    </w:p>
    <w:p>
      <w:pPr>
        <w:pStyle w:val="618"/>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color w:val="FF0000"/>
        </w:rPr>
        <w:t>甲方应严格履行合同，及时组织验收，验收合格后及时将合同款支付完毕。对于满足合同约定支付条件的，甲方自收到发票后</w:t>
      </w:r>
      <w:r>
        <w:rPr>
          <w:rFonts w:ascii="仿宋" w:hAnsi="仿宋" w:eastAsia="仿宋" w:cs="Times New Roman"/>
          <w:color w:val="FF0000"/>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w:t>
      </w:r>
      <w:r>
        <w:rPr>
          <w:rFonts w:ascii="仿宋" w:hAnsi="仿宋" w:eastAsia="仿宋"/>
          <w:color w:val="FF0000"/>
          <w:sz w:val="24"/>
        </w:rPr>
        <w:t>甲方在政府采购合同中约定预付款，预付款比例</w:t>
      </w:r>
      <w:r>
        <w:rPr>
          <w:rFonts w:hint="eastAsia" w:ascii="仿宋" w:hAnsi="仿宋" w:eastAsia="仿宋"/>
          <w:color w:val="FF0000"/>
          <w:sz w:val="24"/>
        </w:rPr>
        <w:t>为</w:t>
      </w:r>
      <w:r>
        <w:rPr>
          <w:rFonts w:ascii="仿宋" w:hAnsi="仿宋" w:eastAsia="仿宋"/>
          <w:color w:val="FF0000"/>
          <w:sz w:val="24"/>
        </w:rPr>
        <w:t>合同金额的30％；项目分年安排预算的，每年预付款比例</w:t>
      </w:r>
      <w:r>
        <w:rPr>
          <w:rFonts w:hint="eastAsia" w:ascii="仿宋" w:hAnsi="仿宋" w:eastAsia="仿宋"/>
          <w:color w:val="FF0000"/>
          <w:sz w:val="24"/>
        </w:rPr>
        <w:t>为</w:t>
      </w:r>
      <w:r>
        <w:rPr>
          <w:rFonts w:ascii="仿宋" w:hAnsi="仿宋" w:eastAsia="仿宋"/>
          <w:color w:val="FF0000"/>
          <w:sz w:val="24"/>
        </w:rPr>
        <w:t>项目年度计划支付资金额的30％</w:t>
      </w:r>
      <w:r>
        <w:rPr>
          <w:rFonts w:ascii="仿宋" w:hAnsi="仿宋" w:eastAsia="仿宋"/>
          <w:sz w:val="24"/>
        </w:rPr>
        <w:t>。</w:t>
      </w:r>
      <w:r>
        <w:rPr>
          <w:rFonts w:ascii="仿宋" w:hAnsi="仿宋" w:eastAsia="仿宋"/>
          <w:color w:val="FF0000"/>
          <w:sz w:val="24"/>
        </w:rPr>
        <w:t>采购项目实施以人工投入为主的，可适当降低预付款比例，但不低于10%。甲方可以根据项目特点、乙方信用等实际情况提高预付款比例，最高预付比例可以达到50%。</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409" w:name="_Toc19304"/>
      <w:bookmarkStart w:id="410" w:name="_Toc32071"/>
      <w:bookmarkStart w:id="411" w:name="_Toc2846"/>
      <w:r>
        <w:rPr>
          <w:rFonts w:ascii="仿宋" w:hAnsi="仿宋" w:eastAsia="仿宋"/>
          <w:b/>
          <w:sz w:val="24"/>
        </w:rPr>
        <w:t xml:space="preserve">1.5 </w:t>
      </w:r>
      <w:r>
        <w:rPr>
          <w:rFonts w:hint="eastAsia" w:ascii="仿宋" w:hAnsi="仿宋" w:eastAsia="仿宋"/>
          <w:b/>
          <w:sz w:val="24"/>
        </w:rPr>
        <w:t>货物交付期限、地点和方式</w:t>
      </w:r>
      <w:bookmarkEnd w:id="409"/>
      <w:bookmarkEnd w:id="410"/>
      <w:bookmarkEnd w:id="411"/>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12" w:name="_Toc27250"/>
      <w:bookmarkStart w:id="413" w:name="_Toc19554"/>
      <w:bookmarkStart w:id="414" w:name="_Toc21423"/>
      <w:r>
        <w:rPr>
          <w:rFonts w:ascii="仿宋" w:hAnsi="仿宋" w:eastAsia="仿宋"/>
          <w:b/>
          <w:sz w:val="24"/>
        </w:rPr>
        <w:t xml:space="preserve">1.6 </w:t>
      </w:r>
      <w:r>
        <w:rPr>
          <w:rFonts w:hint="eastAsia" w:ascii="仿宋" w:hAnsi="仿宋" w:eastAsia="仿宋"/>
          <w:b/>
          <w:sz w:val="24"/>
        </w:rPr>
        <w:t>违约责任</w:t>
      </w:r>
      <w:bookmarkEnd w:id="412"/>
      <w:bookmarkEnd w:id="413"/>
      <w:bookmarkEnd w:id="414"/>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5" w:name="_Toc15583"/>
      <w:bookmarkStart w:id="416" w:name="_Toc28375"/>
      <w:bookmarkStart w:id="417" w:name="_Toc16021"/>
      <w:r>
        <w:rPr>
          <w:rFonts w:ascii="仿宋" w:hAnsi="仿宋" w:eastAsia="仿宋"/>
          <w:b/>
          <w:sz w:val="24"/>
        </w:rPr>
        <w:t xml:space="preserve">1.7 </w:t>
      </w:r>
      <w:r>
        <w:rPr>
          <w:rFonts w:hint="eastAsia" w:ascii="仿宋" w:hAnsi="仿宋" w:eastAsia="仿宋"/>
          <w:b/>
          <w:sz w:val="24"/>
        </w:rPr>
        <w:t>合同争议的解决</w:t>
      </w:r>
      <w:bookmarkEnd w:id="415"/>
      <w:bookmarkEnd w:id="416"/>
      <w:bookmarkEnd w:id="417"/>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18" w:name="_Toc15322"/>
      <w:bookmarkStart w:id="419" w:name="_Toc11173"/>
      <w:bookmarkStart w:id="420" w:name="_Toc7245"/>
      <w:r>
        <w:rPr>
          <w:rFonts w:ascii="仿宋" w:hAnsi="仿宋" w:eastAsia="仿宋"/>
          <w:b/>
          <w:sz w:val="24"/>
        </w:rPr>
        <w:t xml:space="preserve">1.8 </w:t>
      </w:r>
      <w:r>
        <w:rPr>
          <w:rFonts w:hint="eastAsia" w:ascii="仿宋" w:hAnsi="仿宋" w:eastAsia="仿宋"/>
          <w:b/>
          <w:sz w:val="24"/>
        </w:rPr>
        <w:t>合同生效</w:t>
      </w:r>
      <w:bookmarkEnd w:id="418"/>
      <w:bookmarkEnd w:id="419"/>
      <w:bookmarkEnd w:id="420"/>
    </w:p>
    <w:p>
      <w:pPr>
        <w:spacing w:line="560" w:lineRule="exact"/>
        <w:ind w:firstLine="480" w:firstLineChars="200"/>
        <w:rPr>
          <w:rFonts w:ascii="仿宋" w:hAnsi="仿宋" w:eastAsia="仿宋"/>
          <w:b/>
          <w:color w:val="FF0000"/>
          <w:sz w:val="24"/>
        </w:rPr>
      </w:pPr>
      <w:r>
        <w:rPr>
          <w:rFonts w:hint="eastAsia" w:ascii="仿宋" w:hAnsi="仿宋" w:eastAsia="仿宋"/>
          <w:color w:val="FF0000"/>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widowControl/>
        <w:spacing w:line="560" w:lineRule="exact"/>
        <w:jc w:val="left"/>
        <w:rPr>
          <w:rFonts w:ascii="仿宋" w:hAnsi="仿宋" w:eastAsia="仿宋"/>
          <w:b/>
          <w:sz w:val="24"/>
        </w:rPr>
      </w:pPr>
      <w:bookmarkStart w:id="421" w:name="_Toc331685783"/>
    </w:p>
    <w:p>
      <w:pPr>
        <w:pStyle w:val="387"/>
        <w:spacing w:line="560" w:lineRule="exact"/>
        <w:ind w:firstLine="482"/>
        <w:jc w:val="center"/>
        <w:rPr>
          <w:rFonts w:ascii="仿宋" w:hAnsi="仿宋" w:eastAsia="仿宋"/>
          <w:b/>
          <w:szCs w:val="24"/>
        </w:rPr>
      </w:pPr>
      <w:r>
        <w:rPr>
          <w:rFonts w:hint="eastAsia" w:ascii="仿宋" w:hAnsi="仿宋" w:eastAsia="仿宋"/>
          <w:b/>
          <w:szCs w:val="24"/>
        </w:rPr>
        <w:t>第二部分</w:t>
      </w:r>
      <w:r>
        <w:rPr>
          <w:rFonts w:ascii="仿宋" w:hAnsi="仿宋" w:eastAsia="仿宋"/>
          <w:b/>
          <w:szCs w:val="24"/>
        </w:rPr>
        <w:t xml:space="preserve"> </w:t>
      </w:r>
      <w:r>
        <w:rPr>
          <w:rFonts w:hint="eastAsia" w:ascii="仿宋" w:hAnsi="仿宋" w:eastAsia="仿宋"/>
          <w:b/>
          <w:szCs w:val="24"/>
        </w:rPr>
        <w:t>合同一般条款</w:t>
      </w:r>
      <w:bookmarkEnd w:id="421"/>
    </w:p>
    <w:p>
      <w:pPr>
        <w:spacing w:line="560" w:lineRule="exact"/>
        <w:ind w:firstLine="482" w:firstLineChars="200"/>
        <w:outlineLvl w:val="0"/>
        <w:rPr>
          <w:rFonts w:ascii="仿宋" w:hAnsi="仿宋" w:eastAsia="仿宋"/>
          <w:b/>
          <w:sz w:val="24"/>
        </w:rPr>
      </w:pPr>
      <w:bookmarkStart w:id="422" w:name="_Ref467378404"/>
      <w:bookmarkStart w:id="423" w:name="_Ref467379101"/>
      <w:bookmarkStart w:id="424" w:name="_Toc19614"/>
      <w:bookmarkStart w:id="425" w:name="_Ref467379094"/>
      <w:bookmarkStart w:id="426" w:name="_Ref467378463"/>
      <w:bookmarkStart w:id="427" w:name="_Toc28763"/>
      <w:bookmarkStart w:id="428" w:name="_Ref467378499"/>
      <w:bookmarkStart w:id="429" w:name="_Toc16917"/>
      <w:bookmarkStart w:id="430" w:name="_Ref467379109"/>
      <w:bookmarkStart w:id="431" w:name="_Toc279701240"/>
      <w:bookmarkStart w:id="432" w:name="_Ref467379205"/>
      <w:bookmarkStart w:id="433" w:name="_Ref467379214"/>
      <w:bookmarkStart w:id="434" w:name="_Ref467379225"/>
      <w:bookmarkStart w:id="435" w:name="_Toc487900349"/>
      <w:bookmarkStart w:id="436" w:name="_Toc259093669"/>
      <w:bookmarkStart w:id="437" w:name="_Ref467379195"/>
      <w:r>
        <w:rPr>
          <w:rFonts w:ascii="仿宋" w:hAnsi="仿宋" w:eastAsia="仿宋"/>
          <w:b/>
          <w:sz w:val="24"/>
        </w:rPr>
        <w:t xml:space="preserve">2.1 </w:t>
      </w:r>
      <w:r>
        <w:rPr>
          <w:rFonts w:hint="eastAsia" w:ascii="仿宋" w:hAnsi="仿宋" w:eastAsia="仿宋"/>
          <w:b/>
          <w:sz w:val="24"/>
        </w:rPr>
        <w:t>定义</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38"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438"/>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39"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439"/>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40"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440"/>
    </w:p>
    <w:p>
      <w:pPr>
        <w:spacing w:line="560" w:lineRule="exact"/>
        <w:ind w:firstLine="482" w:firstLineChars="200"/>
        <w:outlineLvl w:val="0"/>
        <w:rPr>
          <w:rFonts w:ascii="仿宋" w:hAnsi="仿宋" w:eastAsia="仿宋"/>
          <w:b/>
          <w:sz w:val="24"/>
        </w:rPr>
      </w:pPr>
      <w:bookmarkStart w:id="441" w:name="_Toc487900350"/>
      <w:bookmarkStart w:id="442" w:name="_Toc259093670"/>
      <w:bookmarkStart w:id="443" w:name="_Toc32504"/>
      <w:bookmarkStart w:id="444" w:name="_Toc279701241"/>
      <w:bookmarkStart w:id="445" w:name="_Toc27635"/>
      <w:bookmarkStart w:id="446" w:name="_Toc13336"/>
      <w:r>
        <w:rPr>
          <w:rFonts w:ascii="仿宋" w:hAnsi="仿宋" w:eastAsia="仿宋"/>
          <w:b/>
          <w:sz w:val="24"/>
        </w:rPr>
        <w:t xml:space="preserve">2.2 </w:t>
      </w:r>
      <w:r>
        <w:rPr>
          <w:rFonts w:hint="eastAsia" w:ascii="仿宋" w:hAnsi="仿宋" w:eastAsia="仿宋"/>
          <w:b/>
          <w:sz w:val="24"/>
        </w:rPr>
        <w:t>技术规范</w:t>
      </w:r>
      <w:bookmarkEnd w:id="441"/>
      <w:bookmarkEnd w:id="442"/>
      <w:bookmarkEnd w:id="443"/>
      <w:bookmarkEnd w:id="444"/>
      <w:bookmarkEnd w:id="445"/>
      <w:bookmarkEnd w:id="446"/>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47" w:name="_Toc31634"/>
      <w:bookmarkStart w:id="448" w:name="_Toc487900351"/>
      <w:bookmarkStart w:id="449" w:name="_Toc27853"/>
      <w:bookmarkStart w:id="450" w:name="_Toc9829"/>
      <w:bookmarkStart w:id="451" w:name="_Toc259093671"/>
      <w:bookmarkStart w:id="452" w:name="_Toc279701242"/>
      <w:r>
        <w:rPr>
          <w:rFonts w:ascii="仿宋" w:hAnsi="仿宋" w:eastAsia="仿宋"/>
          <w:b/>
          <w:sz w:val="24"/>
        </w:rPr>
        <w:t xml:space="preserve">2.3 </w:t>
      </w:r>
      <w:r>
        <w:rPr>
          <w:rFonts w:hint="eastAsia" w:ascii="仿宋" w:hAnsi="仿宋" w:eastAsia="仿宋"/>
          <w:b/>
          <w:sz w:val="24"/>
        </w:rPr>
        <w:t>知识产权</w:t>
      </w:r>
      <w:bookmarkEnd w:id="447"/>
      <w:bookmarkEnd w:id="448"/>
      <w:bookmarkEnd w:id="449"/>
      <w:bookmarkEnd w:id="450"/>
      <w:bookmarkEnd w:id="451"/>
      <w:bookmarkEnd w:id="452"/>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3" w:name="_Toc29149"/>
      <w:bookmarkStart w:id="454" w:name="_Toc4194"/>
      <w:bookmarkStart w:id="455" w:name="_Toc11932"/>
      <w:r>
        <w:rPr>
          <w:rFonts w:ascii="仿宋" w:hAnsi="仿宋" w:eastAsia="仿宋"/>
          <w:b/>
          <w:sz w:val="24"/>
        </w:rPr>
        <w:t xml:space="preserve">2.4 </w:t>
      </w:r>
      <w:r>
        <w:rPr>
          <w:rFonts w:hint="eastAsia" w:ascii="仿宋" w:hAnsi="仿宋" w:eastAsia="仿宋"/>
          <w:b/>
          <w:sz w:val="24"/>
        </w:rPr>
        <w:t>包装和装运</w:t>
      </w:r>
      <w:bookmarkEnd w:id="453"/>
      <w:bookmarkEnd w:id="454"/>
      <w:bookmarkEnd w:id="455"/>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6" w:name="_Ref467379536"/>
      <w:bookmarkStart w:id="457" w:name="_Toc279701245"/>
      <w:bookmarkStart w:id="458" w:name="_Ref467379542"/>
      <w:bookmarkStart w:id="459" w:name="_Ref467379527"/>
      <w:bookmarkStart w:id="460" w:name="_Toc487900354"/>
      <w:bookmarkStart w:id="461" w:name="_Toc259093674"/>
      <w:bookmarkStart w:id="462" w:name="_Ref467378541"/>
      <w:bookmarkStart w:id="463" w:name="_Ref467378591"/>
      <w:bookmarkStart w:id="464" w:name="_Toc19074"/>
      <w:bookmarkStart w:id="465" w:name="_Toc26182"/>
      <w:bookmarkStart w:id="466" w:name="_Toc30272"/>
      <w:r>
        <w:rPr>
          <w:rFonts w:ascii="仿宋" w:hAnsi="仿宋" w:eastAsia="仿宋"/>
          <w:b/>
          <w:sz w:val="24"/>
        </w:rPr>
        <w:t>2.</w:t>
      </w:r>
      <w:bookmarkEnd w:id="456"/>
      <w:bookmarkEnd w:id="457"/>
      <w:bookmarkEnd w:id="458"/>
      <w:bookmarkEnd w:id="459"/>
      <w:bookmarkEnd w:id="460"/>
      <w:bookmarkEnd w:id="461"/>
      <w:bookmarkEnd w:id="462"/>
      <w:bookmarkEnd w:id="463"/>
      <w:r>
        <w:rPr>
          <w:rFonts w:ascii="仿宋" w:hAnsi="仿宋" w:eastAsia="仿宋"/>
          <w:b/>
          <w:sz w:val="24"/>
        </w:rPr>
        <w:t xml:space="preserve">5 </w:t>
      </w:r>
      <w:r>
        <w:rPr>
          <w:rFonts w:hint="eastAsia" w:ascii="仿宋" w:hAnsi="仿宋" w:eastAsia="仿宋"/>
          <w:b/>
          <w:sz w:val="24"/>
        </w:rPr>
        <w:t>履约检查和问题反馈</w:t>
      </w:r>
      <w:bookmarkEnd w:id="464"/>
      <w:bookmarkEnd w:id="465"/>
      <w:bookmarkEnd w:id="466"/>
    </w:p>
    <w:p>
      <w:pPr>
        <w:spacing w:line="560" w:lineRule="exact"/>
        <w:ind w:firstLine="480" w:firstLineChars="200"/>
        <w:rPr>
          <w:rFonts w:ascii="仿宋" w:hAnsi="仿宋" w:eastAsia="仿宋"/>
          <w:sz w:val="24"/>
        </w:rPr>
      </w:pPr>
      <w:bookmarkStart w:id="467" w:name="_Ref467379657"/>
      <w:r>
        <w:rPr>
          <w:rFonts w:ascii="仿宋" w:hAnsi="仿宋" w:eastAsia="仿宋"/>
          <w:sz w:val="24"/>
        </w:rPr>
        <w:t>2.5.1</w:t>
      </w:r>
      <w:bookmarkEnd w:id="467"/>
      <w:bookmarkStart w:id="468" w:name="_Toc186431854"/>
      <w:bookmarkStart w:id="469" w:name="_Toc279701247"/>
      <w:bookmarkStart w:id="470" w:name="_Ref467379793"/>
      <w:bookmarkStart w:id="471" w:name="_Toc259093676"/>
      <w:bookmarkStart w:id="472" w:name="_Ref467379807"/>
      <w:bookmarkStart w:id="473" w:name="_Toc48790035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End w:id="468"/>
      <w:bookmarkStart w:id="474" w:name="_Toc186431855"/>
      <w:r>
        <w:rPr>
          <w:rFonts w:hint="eastAsia" w:ascii="仿宋" w:hAnsi="仿宋" w:eastAsia="仿宋"/>
          <w:sz w:val="24"/>
        </w:rPr>
        <w:t>。</w:t>
      </w:r>
    </w:p>
    <w:bookmarkEnd w:id="469"/>
    <w:bookmarkEnd w:id="470"/>
    <w:bookmarkEnd w:id="471"/>
    <w:bookmarkEnd w:id="472"/>
    <w:bookmarkEnd w:id="473"/>
    <w:bookmarkEnd w:id="474"/>
    <w:p>
      <w:pPr>
        <w:spacing w:line="560" w:lineRule="exact"/>
        <w:ind w:firstLine="482" w:firstLineChars="200"/>
        <w:outlineLvl w:val="0"/>
        <w:rPr>
          <w:rFonts w:ascii="仿宋" w:hAnsi="仿宋" w:eastAsia="仿宋"/>
          <w:b/>
          <w:sz w:val="24"/>
        </w:rPr>
      </w:pPr>
      <w:bookmarkStart w:id="475" w:name="_Toc259093677"/>
      <w:bookmarkStart w:id="476" w:name="_Toc487900358"/>
      <w:bookmarkStart w:id="477" w:name="_Toc279701248"/>
      <w:bookmarkStart w:id="478" w:name="_Ref467379852"/>
      <w:bookmarkStart w:id="479" w:name="_Ref467379923"/>
      <w:bookmarkStart w:id="480" w:name="_Ref467379863"/>
      <w:bookmarkStart w:id="481" w:name="_Toc3225"/>
      <w:bookmarkStart w:id="482" w:name="_Toc16110"/>
      <w:bookmarkStart w:id="483" w:name="_Toc774"/>
      <w:r>
        <w:rPr>
          <w:rFonts w:ascii="仿宋" w:hAnsi="仿宋" w:eastAsia="仿宋"/>
          <w:b/>
          <w:sz w:val="24"/>
        </w:rPr>
        <w:t xml:space="preserve">2.6 </w:t>
      </w:r>
      <w:r>
        <w:rPr>
          <w:rFonts w:hint="eastAsia" w:ascii="仿宋" w:hAnsi="仿宋" w:eastAsia="仿宋"/>
          <w:b/>
          <w:sz w:val="24"/>
        </w:rPr>
        <w:t>技术资料</w:t>
      </w:r>
      <w:bookmarkEnd w:id="475"/>
      <w:bookmarkEnd w:id="476"/>
      <w:bookmarkEnd w:id="477"/>
      <w:bookmarkEnd w:id="478"/>
      <w:bookmarkEnd w:id="479"/>
      <w:bookmarkEnd w:id="480"/>
      <w:r>
        <w:rPr>
          <w:rFonts w:hint="eastAsia" w:ascii="仿宋" w:hAnsi="仿宋" w:eastAsia="仿宋"/>
          <w:b/>
          <w:sz w:val="24"/>
        </w:rPr>
        <w:t>和保密义务</w:t>
      </w:r>
      <w:bookmarkEnd w:id="481"/>
      <w:bookmarkEnd w:id="482"/>
      <w:bookmarkEnd w:id="483"/>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484" w:name="_Toc7860"/>
      <w:r>
        <w:rPr>
          <w:rFonts w:ascii="仿宋" w:hAnsi="仿宋" w:eastAsia="仿宋"/>
          <w:b/>
          <w:sz w:val="24"/>
        </w:rPr>
        <w:t xml:space="preserve">2.7 </w:t>
      </w:r>
      <w:r>
        <w:rPr>
          <w:rFonts w:hint="eastAsia" w:ascii="仿宋" w:hAnsi="仿宋" w:eastAsia="仿宋"/>
          <w:b/>
          <w:sz w:val="24"/>
        </w:rPr>
        <w:t>质量保证</w:t>
      </w:r>
      <w:bookmarkEnd w:id="484"/>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485" w:name="_Toc17244"/>
      <w:bookmarkStart w:id="486" w:name="_Toc259093681"/>
      <w:bookmarkStart w:id="487" w:name="_Toc279701252"/>
      <w:bookmarkStart w:id="488" w:name="_Toc487900362"/>
      <w:r>
        <w:rPr>
          <w:rFonts w:ascii="仿宋" w:hAnsi="仿宋" w:eastAsia="仿宋"/>
          <w:b/>
          <w:sz w:val="24"/>
        </w:rPr>
        <w:t xml:space="preserve">2.8 </w:t>
      </w:r>
      <w:r>
        <w:rPr>
          <w:rFonts w:hint="eastAsia" w:ascii="仿宋" w:hAnsi="仿宋" w:eastAsia="仿宋"/>
          <w:b/>
          <w:sz w:val="24"/>
        </w:rPr>
        <w:t>货物的风险负担</w:t>
      </w:r>
      <w:bookmarkEnd w:id="485"/>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89" w:name="_Toc14055"/>
      <w:r>
        <w:rPr>
          <w:rFonts w:ascii="仿宋" w:hAnsi="仿宋" w:eastAsia="仿宋"/>
          <w:b/>
          <w:sz w:val="24"/>
        </w:rPr>
        <w:t xml:space="preserve">2.9 </w:t>
      </w:r>
      <w:r>
        <w:rPr>
          <w:rFonts w:hint="eastAsia" w:ascii="仿宋" w:hAnsi="仿宋" w:eastAsia="仿宋"/>
          <w:b/>
          <w:sz w:val="24"/>
        </w:rPr>
        <w:t>延迟交货</w:t>
      </w:r>
      <w:bookmarkEnd w:id="486"/>
      <w:bookmarkEnd w:id="487"/>
      <w:bookmarkEnd w:id="488"/>
      <w:bookmarkEnd w:id="489"/>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490" w:name="_Toc7502"/>
      <w:bookmarkStart w:id="491" w:name="_Toc259093683"/>
      <w:bookmarkStart w:id="492" w:name="_Toc487900364"/>
      <w:bookmarkStart w:id="493" w:name="_Ref467378121"/>
      <w:bookmarkStart w:id="494" w:name="_Toc279701254"/>
      <w:r>
        <w:rPr>
          <w:rFonts w:ascii="仿宋" w:hAnsi="仿宋" w:eastAsia="仿宋"/>
          <w:b/>
          <w:sz w:val="24"/>
        </w:rPr>
        <w:t xml:space="preserve">2.10 </w:t>
      </w:r>
      <w:r>
        <w:rPr>
          <w:rFonts w:hint="eastAsia" w:ascii="仿宋" w:hAnsi="仿宋" w:eastAsia="仿宋"/>
          <w:b/>
          <w:sz w:val="24"/>
        </w:rPr>
        <w:t>合同变更</w:t>
      </w:r>
      <w:bookmarkEnd w:id="490"/>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495" w:name="_Toc259093688"/>
      <w:bookmarkStart w:id="496" w:name="_Toc279701259"/>
      <w:bookmarkStart w:id="497" w:name="_Toc487900369"/>
    </w:p>
    <w:p>
      <w:pPr>
        <w:spacing w:line="560" w:lineRule="exact"/>
        <w:ind w:firstLine="482" w:firstLineChars="200"/>
        <w:outlineLvl w:val="0"/>
        <w:rPr>
          <w:rFonts w:ascii="仿宋" w:hAnsi="仿宋" w:eastAsia="仿宋"/>
          <w:b/>
          <w:sz w:val="24"/>
        </w:rPr>
      </w:pPr>
      <w:bookmarkStart w:id="498" w:name="_Toc10366"/>
      <w:bookmarkStart w:id="499" w:name="_Toc22955"/>
      <w:bookmarkStart w:id="500" w:name="_Toc15237"/>
      <w:r>
        <w:rPr>
          <w:rFonts w:ascii="仿宋" w:hAnsi="仿宋" w:eastAsia="仿宋"/>
          <w:b/>
          <w:sz w:val="24"/>
        </w:rPr>
        <w:t xml:space="preserve">2.11 </w:t>
      </w:r>
      <w:r>
        <w:rPr>
          <w:rFonts w:hint="eastAsia" w:ascii="仿宋" w:hAnsi="仿宋" w:eastAsia="仿宋"/>
          <w:b/>
          <w:sz w:val="24"/>
        </w:rPr>
        <w:t>合同转让</w:t>
      </w:r>
      <w:bookmarkEnd w:id="495"/>
      <w:bookmarkEnd w:id="496"/>
      <w:bookmarkEnd w:id="497"/>
      <w:r>
        <w:rPr>
          <w:rFonts w:hint="eastAsia" w:ascii="仿宋" w:hAnsi="仿宋" w:eastAsia="仿宋"/>
          <w:b/>
          <w:sz w:val="24"/>
        </w:rPr>
        <w:t>和分包</w:t>
      </w:r>
      <w:bookmarkEnd w:id="498"/>
      <w:bookmarkEnd w:id="499"/>
      <w:bookmarkEnd w:id="500"/>
    </w:p>
    <w:p>
      <w:pPr>
        <w:spacing w:line="560" w:lineRule="exact"/>
        <w:ind w:firstLine="480" w:firstLineChars="200"/>
        <w:rPr>
          <w:rFonts w:ascii="仿宋" w:hAnsi="仿宋" w:eastAsia="仿宋"/>
          <w:sz w:val="24"/>
        </w:rPr>
      </w:pPr>
      <w:r>
        <w:rPr>
          <w:rFonts w:ascii="仿宋" w:hAnsi="仿宋" w:eastAsia="仿宋"/>
          <w:sz w:val="24"/>
        </w:rPr>
        <w:t>2.11.1</w:t>
      </w:r>
      <w:r>
        <w:rPr>
          <w:rFonts w:ascii="仿宋" w:hAnsi="仿宋" w:eastAsia="仿宋"/>
          <w:color w:val="FF0000"/>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501" w:name="_Toc16508"/>
      <w:bookmarkStart w:id="502" w:name="_Toc13566"/>
      <w:bookmarkStart w:id="503" w:name="_Toc14066"/>
      <w:r>
        <w:rPr>
          <w:rFonts w:ascii="仿宋" w:hAnsi="仿宋" w:eastAsia="仿宋"/>
          <w:b/>
          <w:sz w:val="24"/>
        </w:rPr>
        <w:t xml:space="preserve">2.12 </w:t>
      </w:r>
      <w:r>
        <w:rPr>
          <w:rFonts w:hint="eastAsia" w:ascii="仿宋" w:hAnsi="仿宋" w:eastAsia="仿宋"/>
          <w:b/>
          <w:sz w:val="24"/>
        </w:rPr>
        <w:t>不可抗力</w:t>
      </w:r>
      <w:bookmarkEnd w:id="501"/>
      <w:bookmarkEnd w:id="502"/>
      <w:bookmarkEnd w:id="503"/>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504" w:name="_Toc259093684"/>
      <w:bookmarkStart w:id="505" w:name="_Toc487900365"/>
      <w:bookmarkStart w:id="506" w:name="_Toc279701255"/>
      <w:bookmarkStart w:id="507" w:name="_Toc689"/>
      <w:bookmarkStart w:id="508" w:name="_Toc30676"/>
      <w:bookmarkStart w:id="509" w:name="_Toc6969"/>
      <w:r>
        <w:rPr>
          <w:rFonts w:ascii="仿宋" w:hAnsi="仿宋" w:eastAsia="仿宋"/>
          <w:b/>
          <w:sz w:val="24"/>
        </w:rPr>
        <w:t xml:space="preserve">2.13 </w:t>
      </w:r>
      <w:r>
        <w:rPr>
          <w:rFonts w:hint="eastAsia" w:ascii="仿宋" w:hAnsi="仿宋" w:eastAsia="仿宋"/>
          <w:b/>
          <w:sz w:val="24"/>
        </w:rPr>
        <w:t>税费</w:t>
      </w:r>
      <w:bookmarkEnd w:id="504"/>
      <w:bookmarkEnd w:id="505"/>
      <w:bookmarkEnd w:id="506"/>
      <w:bookmarkEnd w:id="507"/>
      <w:bookmarkEnd w:id="508"/>
      <w:bookmarkEnd w:id="509"/>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510" w:name="_Toc487900368"/>
      <w:bookmarkStart w:id="511" w:name="_Toc16959"/>
      <w:bookmarkStart w:id="512" w:name="_Toc279701258"/>
      <w:bookmarkStart w:id="513" w:name="_Toc8298"/>
      <w:bookmarkStart w:id="514" w:name="_Toc7102"/>
      <w:bookmarkStart w:id="515" w:name="_Toc259093687"/>
      <w:r>
        <w:rPr>
          <w:rFonts w:ascii="仿宋" w:hAnsi="仿宋" w:eastAsia="仿宋"/>
          <w:b/>
          <w:sz w:val="24"/>
        </w:rPr>
        <w:t>2.14乙方破产</w:t>
      </w:r>
      <w:bookmarkEnd w:id="510"/>
      <w:bookmarkEnd w:id="511"/>
      <w:bookmarkEnd w:id="512"/>
      <w:bookmarkEnd w:id="513"/>
      <w:bookmarkEnd w:id="514"/>
      <w:bookmarkEnd w:id="515"/>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16" w:name="_Toc29333"/>
      <w:bookmarkStart w:id="517" w:name="_Toc15387"/>
      <w:bookmarkStart w:id="518" w:name="_Toc6134"/>
      <w:r>
        <w:rPr>
          <w:rFonts w:ascii="仿宋" w:hAnsi="仿宋" w:eastAsia="仿宋"/>
          <w:b/>
          <w:sz w:val="24"/>
        </w:rPr>
        <w:t xml:space="preserve">2.15 </w:t>
      </w:r>
      <w:r>
        <w:rPr>
          <w:rFonts w:hint="eastAsia" w:ascii="仿宋" w:hAnsi="仿宋" w:eastAsia="仿宋"/>
          <w:b/>
          <w:sz w:val="24"/>
        </w:rPr>
        <w:t>合同中止、终止</w:t>
      </w:r>
      <w:bookmarkEnd w:id="516"/>
      <w:bookmarkEnd w:id="517"/>
      <w:bookmarkEnd w:id="518"/>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19" w:name="_Toc14563"/>
      <w:bookmarkStart w:id="520" w:name="_Toc1125"/>
      <w:bookmarkStart w:id="521" w:name="_Toc6596"/>
      <w:r>
        <w:rPr>
          <w:rFonts w:ascii="仿宋" w:hAnsi="仿宋" w:eastAsia="仿宋"/>
          <w:b/>
          <w:sz w:val="24"/>
        </w:rPr>
        <w:t>2.16检验和验收</w:t>
      </w:r>
      <w:bookmarkEnd w:id="519"/>
      <w:bookmarkEnd w:id="520"/>
      <w:bookmarkEnd w:id="521"/>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491"/>
    <w:bookmarkEnd w:id="492"/>
    <w:bookmarkEnd w:id="493"/>
    <w:bookmarkEnd w:id="494"/>
    <w:p>
      <w:pPr>
        <w:spacing w:line="560" w:lineRule="exact"/>
        <w:ind w:firstLine="482" w:firstLineChars="200"/>
        <w:outlineLvl w:val="0"/>
        <w:rPr>
          <w:rFonts w:ascii="仿宋" w:hAnsi="仿宋" w:eastAsia="仿宋"/>
          <w:b/>
          <w:sz w:val="24"/>
        </w:rPr>
      </w:pPr>
      <w:bookmarkStart w:id="522" w:name="_Toc279701261"/>
      <w:bookmarkStart w:id="523" w:name="_Toc259093690"/>
      <w:bookmarkStart w:id="524" w:name="_Toc487900371"/>
      <w:bookmarkStart w:id="525" w:name="_Toc25182"/>
      <w:bookmarkStart w:id="526" w:name="_Toc19604"/>
      <w:bookmarkStart w:id="527" w:name="_Toc11284"/>
      <w:r>
        <w:rPr>
          <w:rFonts w:ascii="仿宋" w:hAnsi="仿宋" w:eastAsia="仿宋"/>
          <w:b/>
          <w:sz w:val="24"/>
        </w:rPr>
        <w:t xml:space="preserve">2.17 </w:t>
      </w:r>
      <w:r>
        <w:rPr>
          <w:rFonts w:hint="eastAsia" w:ascii="仿宋" w:hAnsi="仿宋" w:eastAsia="仿宋"/>
          <w:b/>
          <w:sz w:val="24"/>
        </w:rPr>
        <w:t>通知</w:t>
      </w:r>
      <w:bookmarkEnd w:id="522"/>
      <w:bookmarkEnd w:id="523"/>
      <w:bookmarkEnd w:id="524"/>
      <w:r>
        <w:rPr>
          <w:rFonts w:hint="eastAsia" w:ascii="仿宋" w:hAnsi="仿宋" w:eastAsia="仿宋"/>
          <w:b/>
          <w:sz w:val="24"/>
        </w:rPr>
        <w:t>和送达</w:t>
      </w:r>
      <w:bookmarkEnd w:id="525"/>
      <w:bookmarkEnd w:id="526"/>
      <w:bookmarkEnd w:id="527"/>
    </w:p>
    <w:p>
      <w:pPr>
        <w:spacing w:line="560" w:lineRule="exact"/>
        <w:ind w:firstLine="480" w:firstLineChars="200"/>
        <w:rPr>
          <w:rFonts w:ascii="仿宋" w:hAnsi="仿宋" w:eastAsia="仿宋"/>
          <w:sz w:val="24"/>
        </w:rPr>
      </w:pPr>
      <w:bookmarkStart w:id="528" w:name="_Toc3135"/>
      <w:bookmarkStart w:id="529" w:name="_Toc6698"/>
      <w:bookmarkStart w:id="530" w:name="_Toc487900372"/>
      <w:bookmarkStart w:id="531" w:name="_Toc259093691"/>
      <w:bookmarkStart w:id="532" w:name="_Toc279701262"/>
      <w:r>
        <w:rPr>
          <w:rFonts w:ascii="仿宋" w:hAnsi="仿宋" w:eastAsia="仿宋"/>
          <w:sz w:val="24"/>
        </w:rPr>
        <w:t>2.17.1</w:t>
      </w:r>
      <w:r>
        <w:rPr>
          <w:rFonts w:hint="eastAsia" w:ascii="仿宋" w:hAnsi="仿宋" w:eastAsia="仿宋"/>
          <w:sz w:val="24"/>
        </w:rPr>
        <w:t>任何一方因履行合同而以合同第一部分尾部所列明的传真或电子邮件</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528"/>
      <w:bookmarkEnd w:id="529"/>
    </w:p>
    <w:p>
      <w:pPr>
        <w:spacing w:line="560" w:lineRule="exact"/>
        <w:ind w:firstLine="480" w:firstLineChars="200"/>
        <w:rPr>
          <w:rFonts w:ascii="仿宋" w:hAnsi="仿宋" w:eastAsia="仿宋"/>
          <w:sz w:val="24"/>
        </w:rPr>
      </w:pPr>
      <w:bookmarkStart w:id="533" w:name="_Toc23128"/>
      <w:bookmarkStart w:id="534" w:name="_Toc23294"/>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533"/>
      <w:bookmarkEnd w:id="534"/>
    </w:p>
    <w:p>
      <w:pPr>
        <w:spacing w:line="560" w:lineRule="exact"/>
        <w:ind w:firstLine="482" w:firstLineChars="200"/>
        <w:outlineLvl w:val="0"/>
        <w:rPr>
          <w:rFonts w:ascii="仿宋" w:hAnsi="仿宋" w:eastAsia="仿宋"/>
          <w:b/>
          <w:sz w:val="24"/>
        </w:rPr>
      </w:pPr>
      <w:bookmarkStart w:id="535" w:name="_Toc18540"/>
      <w:bookmarkStart w:id="536" w:name="_Toc30599"/>
      <w:bookmarkStart w:id="537" w:name="_Toc4355"/>
      <w:r>
        <w:rPr>
          <w:rFonts w:ascii="仿宋" w:hAnsi="仿宋" w:eastAsia="仿宋"/>
          <w:b/>
          <w:sz w:val="24"/>
        </w:rPr>
        <w:t xml:space="preserve">2.18 </w:t>
      </w:r>
      <w:r>
        <w:rPr>
          <w:rFonts w:hint="eastAsia" w:ascii="仿宋" w:hAnsi="仿宋" w:eastAsia="仿宋"/>
          <w:b/>
          <w:sz w:val="24"/>
        </w:rPr>
        <w:t>计量单位</w:t>
      </w:r>
      <w:bookmarkEnd w:id="530"/>
      <w:bookmarkEnd w:id="531"/>
      <w:bookmarkEnd w:id="532"/>
      <w:bookmarkEnd w:id="535"/>
      <w:bookmarkEnd w:id="536"/>
      <w:bookmarkEnd w:id="537"/>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538" w:name="_Toc487900373"/>
      <w:bookmarkStart w:id="539" w:name="_Toc10330"/>
      <w:bookmarkStart w:id="540" w:name="_Toc279701263"/>
      <w:bookmarkStart w:id="541" w:name="_Toc259093692"/>
      <w:bookmarkStart w:id="542" w:name="_Toc18567"/>
      <w:bookmarkStart w:id="543" w:name="_Toc12773"/>
      <w:r>
        <w:rPr>
          <w:rFonts w:ascii="仿宋" w:hAnsi="仿宋" w:eastAsia="仿宋"/>
          <w:b/>
          <w:sz w:val="24"/>
        </w:rPr>
        <w:t xml:space="preserve">2.19 </w:t>
      </w:r>
      <w:r>
        <w:rPr>
          <w:rFonts w:hint="eastAsia" w:ascii="仿宋" w:hAnsi="仿宋" w:eastAsia="仿宋"/>
          <w:b/>
          <w:sz w:val="24"/>
        </w:rPr>
        <w:t>合同使用的文字和适用的法律</w:t>
      </w:r>
      <w:bookmarkEnd w:id="538"/>
      <w:bookmarkEnd w:id="539"/>
      <w:bookmarkEnd w:id="540"/>
      <w:bookmarkEnd w:id="541"/>
      <w:bookmarkEnd w:id="542"/>
      <w:bookmarkEnd w:id="543"/>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544" w:name="_Toc12004"/>
      <w:bookmarkStart w:id="545" w:name="_Toc3148"/>
      <w:bookmarkStart w:id="546" w:name="_Toc259093693"/>
      <w:bookmarkStart w:id="547" w:name="_Toc16673"/>
      <w:bookmarkStart w:id="548" w:name="_Toc279701264"/>
      <w:bookmarkStart w:id="549" w:name="_Toc487900374"/>
      <w:r>
        <w:rPr>
          <w:rFonts w:ascii="仿宋" w:hAnsi="仿宋" w:eastAsia="仿宋"/>
          <w:b/>
          <w:sz w:val="24"/>
        </w:rPr>
        <w:t xml:space="preserve">2.20 </w:t>
      </w:r>
      <w:r>
        <w:rPr>
          <w:rFonts w:hint="eastAsia" w:ascii="仿宋" w:hAnsi="仿宋" w:eastAsia="仿宋"/>
          <w:b/>
          <w:sz w:val="24"/>
        </w:rPr>
        <w:t>履约保证金</w:t>
      </w:r>
      <w:bookmarkEnd w:id="544"/>
      <w:bookmarkEnd w:id="545"/>
      <w:bookmarkEnd w:id="546"/>
      <w:bookmarkEnd w:id="547"/>
      <w:bookmarkEnd w:id="548"/>
    </w:p>
    <w:p>
      <w:pPr>
        <w:pStyle w:val="618"/>
        <w:spacing w:before="0" w:beforeAutospacing="0" w:after="0" w:afterAutospacing="0" w:line="360" w:lineRule="auto"/>
        <w:ind w:firstLine="420"/>
        <w:rPr>
          <w:rFonts w:ascii="仿宋" w:hAnsi="仿宋" w:eastAsia="仿宋"/>
          <w:color w:val="FF0000"/>
        </w:rPr>
      </w:pPr>
      <w:r>
        <w:rPr>
          <w:rFonts w:ascii="仿宋" w:hAnsi="仿宋" w:eastAsia="仿宋"/>
        </w:rPr>
        <w:t xml:space="preserve">2.20.1 </w:t>
      </w:r>
      <w:r>
        <w:rPr>
          <w:rFonts w:hint="eastAsia" w:ascii="仿宋" w:hAnsi="仿宋" w:eastAsia="仿宋"/>
          <w:color w:val="FF0000"/>
        </w:rPr>
        <w:t>采购文件要求乙方提交履约保证金的，</w:t>
      </w:r>
      <w:r>
        <w:rPr>
          <w:rFonts w:hint="eastAsia" w:ascii="仿宋" w:hAnsi="仿宋" w:eastAsia="仿宋"/>
        </w:rPr>
        <w:t>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w:t>
      </w:r>
      <w:r>
        <w:rPr>
          <w:rFonts w:hint="eastAsia" w:ascii="仿宋" w:hAnsi="仿宋" w:eastAsia="仿宋"/>
          <w:color w:val="FF0000"/>
        </w:rPr>
        <w:t>提交不超过合同金额</w:t>
      </w:r>
      <w:r>
        <w:rPr>
          <w:rFonts w:ascii="仿宋" w:hAnsi="仿宋" w:eastAsia="仿宋"/>
          <w:color w:val="FF0000"/>
        </w:rPr>
        <w:t>5%的履约保证金；鼓励和支持乙方以银行、保险公司出具的保函形式提供履约保证。</w:t>
      </w:r>
    </w:p>
    <w:p>
      <w:pPr>
        <w:spacing w:line="560" w:lineRule="exact"/>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履约保证金在</w:t>
      </w:r>
      <w:r>
        <w:rPr>
          <w:rFonts w:hint="eastAsia" w:ascii="仿宋" w:hAnsi="仿宋" w:eastAsia="仿宋"/>
          <w:b/>
          <w:i/>
          <w:sz w:val="24"/>
          <w:u w:val="single"/>
        </w:rPr>
        <w:t>合同专用条款</w:t>
      </w:r>
      <w:r>
        <w:rPr>
          <w:rFonts w:hint="eastAsia" w:ascii="仿宋" w:hAnsi="仿宋" w:eastAsia="仿宋"/>
          <w:sz w:val="24"/>
        </w:rPr>
        <w:t>约定期间内不予退还。</w:t>
      </w:r>
      <w:r>
        <w:rPr>
          <w:rFonts w:hint="eastAsia" w:ascii="仿宋" w:hAnsi="仿宋" w:eastAsia="仿宋"/>
          <w:color w:val="FF0000"/>
          <w:sz w:val="24"/>
        </w:rPr>
        <w:t>乙方在前述约定期间届满前能履行完合同约定义务事项的，甲方在前述约定期间届满之日起</w:t>
      </w:r>
      <w:r>
        <w:rPr>
          <w:rFonts w:ascii="仿宋" w:hAnsi="仿宋" w:eastAsia="仿宋"/>
          <w:color w:val="FF0000"/>
          <w:sz w:val="24"/>
          <w:u w:val="single"/>
        </w:rPr>
        <w:t xml:space="preserve"> </w:t>
      </w:r>
      <w:r>
        <w:rPr>
          <w:rFonts w:hint="eastAsia" w:ascii="仿宋" w:hAnsi="仿宋" w:eastAsia="仿宋"/>
          <w:color w:val="FF0000"/>
          <w:sz w:val="24"/>
          <w:u w:val="single"/>
        </w:rPr>
        <w:t>5</w:t>
      </w:r>
      <w:r>
        <w:rPr>
          <w:rFonts w:ascii="仿宋" w:hAnsi="仿宋" w:eastAsia="仿宋"/>
          <w:color w:val="FF0000"/>
          <w:sz w:val="24"/>
          <w:u w:val="single"/>
        </w:rPr>
        <w:t xml:space="preserve"> </w:t>
      </w:r>
      <w:r>
        <w:rPr>
          <w:rFonts w:hint="eastAsia" w:ascii="仿宋" w:hAnsi="仿宋" w:eastAsia="仿宋"/>
          <w:color w:val="FF0000"/>
          <w:sz w:val="24"/>
        </w:rPr>
        <w:t>个工作日内，按</w:t>
      </w:r>
      <w:r>
        <w:rPr>
          <w:rFonts w:hint="eastAsia" w:ascii="仿宋" w:hAnsi="仿宋" w:eastAsia="仿宋"/>
          <w:b/>
          <w:i/>
          <w:color w:val="FF0000"/>
          <w:sz w:val="24"/>
          <w:u w:val="single"/>
        </w:rPr>
        <w:t>合同专用条款</w:t>
      </w:r>
      <w:r>
        <w:rPr>
          <w:rFonts w:hint="eastAsia" w:ascii="仿宋" w:hAnsi="仿宋" w:eastAsia="仿宋"/>
          <w:color w:val="FF0000"/>
          <w:sz w:val="24"/>
        </w:rPr>
        <w:t>约定的方式将履约保证金退还乙方，</w:t>
      </w:r>
      <w:r>
        <w:rPr>
          <w:rFonts w:hint="eastAsia" w:ascii="仿宋" w:hAnsi="仿宋" w:eastAsia="仿宋"/>
          <w:sz w:val="24"/>
        </w:rPr>
        <w:t>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560" w:lineRule="exact"/>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甲方根据杭州市政府采购网公布的供应商履约评价情况减免履约保证金。乙方履约验收评价总分为</w:t>
      </w:r>
      <w:r>
        <w:rPr>
          <w:rFonts w:ascii="仿宋" w:hAnsi="仿宋" w:eastAsia="仿宋"/>
          <w:sz w:val="24"/>
        </w:rPr>
        <w:t>100分的，甲方免收履约保证金；评价总分在90分以上的，收取履约保证金</w:t>
      </w:r>
      <w:r>
        <w:rPr>
          <w:rFonts w:hint="eastAsia" w:ascii="仿宋" w:hAnsi="仿宋" w:eastAsia="仿宋"/>
          <w:sz w:val="24"/>
        </w:rPr>
        <w:t>为</w:t>
      </w:r>
      <w:r>
        <w:rPr>
          <w:rFonts w:ascii="仿宋" w:hAnsi="仿宋" w:eastAsia="仿宋"/>
          <w:sz w:val="24"/>
        </w:rPr>
        <w:t>合同金额2%；评价总分在不满90分或者暂无评分的，收取履约保证金</w:t>
      </w:r>
      <w:r>
        <w:rPr>
          <w:rFonts w:hint="eastAsia" w:ascii="仿宋" w:hAnsi="仿宋" w:eastAsia="仿宋"/>
          <w:sz w:val="24"/>
        </w:rPr>
        <w:t>为</w:t>
      </w:r>
      <w:r>
        <w:rPr>
          <w:rFonts w:ascii="仿宋" w:hAnsi="仿宋" w:eastAsia="仿宋"/>
          <w:sz w:val="24"/>
        </w:rPr>
        <w:t>合同金额5%。</w:t>
      </w:r>
    </w:p>
    <w:p>
      <w:pPr>
        <w:spacing w:line="560" w:lineRule="exact"/>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549"/>
    <w:p>
      <w:pPr>
        <w:spacing w:line="560" w:lineRule="exact"/>
        <w:ind w:firstLine="482" w:firstLineChars="200"/>
        <w:outlineLvl w:val="0"/>
        <w:rPr>
          <w:rFonts w:ascii="仿宋" w:hAnsi="仿宋" w:eastAsia="仿宋"/>
          <w:b/>
          <w:sz w:val="24"/>
        </w:rPr>
      </w:pPr>
      <w:bookmarkStart w:id="550" w:name="_Toc19890"/>
      <w:bookmarkStart w:id="551" w:name="_Toc6885"/>
      <w:bookmarkStart w:id="552" w:name="_Toc14001"/>
      <w:r>
        <w:rPr>
          <w:rFonts w:ascii="仿宋" w:hAnsi="仿宋" w:eastAsia="仿宋"/>
          <w:b/>
          <w:sz w:val="24"/>
        </w:rPr>
        <w:t>2.2</w:t>
      </w:r>
      <w:r>
        <w:rPr>
          <w:rFonts w:hint="eastAsia" w:ascii="仿宋" w:hAnsi="仿宋" w:eastAsia="仿宋"/>
          <w:b/>
          <w:sz w:val="24"/>
        </w:rPr>
        <w:t>2合同份数</w:t>
      </w:r>
      <w:bookmarkEnd w:id="550"/>
      <w:bookmarkEnd w:id="551"/>
      <w:bookmarkEnd w:id="552"/>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387"/>
        <w:spacing w:line="560" w:lineRule="exact"/>
        <w:jc w:val="center"/>
        <w:rPr>
          <w:rFonts w:ascii="仿宋" w:hAnsi="仿宋" w:eastAsia="仿宋"/>
          <w:b/>
          <w:szCs w:val="24"/>
        </w:rPr>
      </w:pPr>
      <w:r>
        <w:rPr>
          <w:rFonts w:ascii="仿宋" w:hAnsi="仿宋" w:eastAsia="仿宋" w:cs="黑体"/>
          <w:kern w:val="0"/>
          <w:szCs w:val="24"/>
        </w:rPr>
        <w:br w:type="page"/>
      </w:r>
      <w:bookmarkStart w:id="553" w:name="_Toc331685784"/>
      <w:r>
        <w:rPr>
          <w:rFonts w:hint="eastAsia" w:ascii="仿宋" w:hAnsi="仿宋" w:eastAsia="仿宋"/>
          <w:b/>
          <w:szCs w:val="24"/>
        </w:rPr>
        <w:t xml:space="preserve"> </w:t>
      </w:r>
      <w:bookmarkEnd w:id="553"/>
      <w:r>
        <w:rPr>
          <w:rFonts w:hint="eastAsia" w:ascii="仿宋" w:hAnsi="仿宋" w:eastAsia="仿宋"/>
          <w:b/>
          <w:szCs w:val="24"/>
        </w:rPr>
        <w:t>第三部分</w:t>
      </w:r>
      <w:r>
        <w:rPr>
          <w:rFonts w:ascii="仿宋" w:hAnsi="仿宋" w:eastAsia="仿宋"/>
          <w:b/>
          <w:szCs w:val="24"/>
        </w:rPr>
        <w:t xml:space="preserve">  </w:t>
      </w:r>
      <w:r>
        <w:rPr>
          <w:rFonts w:hint="eastAsia" w:ascii="仿宋" w:hAnsi="仿宋" w:eastAsia="仿宋"/>
          <w:b/>
          <w:szCs w:val="24"/>
        </w:rPr>
        <w:t>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8275" w:type="dxa"/>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1.4.4</w:t>
            </w:r>
          </w:p>
        </w:tc>
        <w:tc>
          <w:tcPr>
            <w:tcW w:w="8275" w:type="dxa"/>
            <w:vAlign w:val="center"/>
          </w:tcPr>
          <w:p>
            <w:pPr>
              <w:pStyle w:val="34"/>
              <w:adjustRightInd w:val="0"/>
              <w:snapToGrid w:val="0"/>
              <w:spacing w:line="360" w:lineRule="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1、预付款金额：合同签订且供应商提供发票按合同金额的</w:t>
            </w:r>
            <w:r>
              <w:rPr>
                <w:rFonts w:hint="eastAsia"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0％支付预付款</w:t>
            </w:r>
            <w:r>
              <w:rPr>
                <w:rFonts w:hint="eastAsia" w:hAnsi="宋体" w:cs="宋体"/>
                <w:color w:val="auto"/>
                <w:kern w:val="0"/>
                <w:sz w:val="24"/>
                <w:szCs w:val="24"/>
                <w:highlight w:val="none"/>
                <w:lang w:val="en-US" w:eastAsia="zh-CN" w:bidi="ar-SA"/>
              </w:rPr>
              <w:t>；</w:t>
            </w:r>
          </w:p>
          <w:p>
            <w:pPr>
              <w:pStyle w:val="34"/>
              <w:adjustRightInd w:val="0"/>
              <w:snapToGrid w:val="0"/>
              <w:spacing w:line="360" w:lineRule="auto"/>
              <w:rPr>
                <w:rFonts w:hint="default" w:ascii="宋体" w:hAnsi="宋体" w:eastAsia="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2、材料到现场后，提供发票按合同金额的60%支付进度款；</w:t>
            </w:r>
          </w:p>
          <w:p>
            <w:pPr>
              <w:pStyle w:val="34"/>
              <w:adjustRightInd w:val="0"/>
              <w:snapToGrid w:val="0"/>
              <w:spacing w:line="360" w:lineRule="auto"/>
              <w:rPr>
                <w:rFonts w:hint="eastAsia" w:hAnsi="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、货物安装调试完毕，验收合格、资料归档完毕后十五天内支付至合同价的80%；</w:t>
            </w:r>
          </w:p>
          <w:p>
            <w:pPr>
              <w:pStyle w:val="34"/>
              <w:adjustRightInd w:val="0"/>
              <w:snapToGrid w:val="0"/>
              <w:spacing w:line="360" w:lineRule="auto"/>
              <w:rPr>
                <w:rFonts w:hint="eastAsia" w:ascii="宋体" w:hAnsi="宋体" w:eastAsia="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、审计完毕后十五天内，支付至结算价的95%；</w:t>
            </w:r>
          </w:p>
          <w:p>
            <w:pPr>
              <w:pStyle w:val="34"/>
              <w:adjustRightInd w:val="0"/>
              <w:snapToGrid w:val="0"/>
              <w:spacing w:line="360" w:lineRule="auto"/>
              <w:rPr>
                <w:rFonts w:hint="eastAsia" w:ascii="仿宋_GB2312" w:hAnsi="楷体" w:eastAsia="仿宋_GB2312" w:cs="Times New Roman"/>
                <w:b/>
                <w:color w:val="FF0000"/>
                <w:sz w:val="24"/>
                <w:highlight w:val="none"/>
                <w:lang w:eastAsia="zh-CN"/>
              </w:rPr>
            </w:pPr>
            <w:r>
              <w:rPr>
                <w:rFonts w:hint="eastAsia"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、余款于质保期满后十五天内一次性付清。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1.5.1 </w:t>
            </w:r>
          </w:p>
        </w:tc>
        <w:tc>
          <w:tcPr>
            <w:tcW w:w="8275" w:type="dxa"/>
            <w:vAlign w:val="center"/>
          </w:tcPr>
          <w:p>
            <w:pPr>
              <w:spacing w:line="360" w:lineRule="auto"/>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中标单位与采购人签订合同后60日内送货并安装、调试完毕及采购方初步验收。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1.5.2</w:t>
            </w:r>
          </w:p>
        </w:tc>
        <w:tc>
          <w:tcPr>
            <w:tcW w:w="8275" w:type="dxa"/>
            <w:vAlign w:val="center"/>
          </w:tcPr>
          <w:p>
            <w:pPr>
              <w:spacing w:line="360" w:lineRule="auto"/>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仁和街道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8275" w:type="dxa"/>
            <w:vAlign w:val="center"/>
          </w:tcPr>
          <w:p>
            <w:pPr>
              <w:spacing w:line="360" w:lineRule="auto"/>
              <w:ind w:left="-420" w:leftChars="-200" w:right="-420" w:rightChars="-200" w:firstLine="480" w:firstLineChars="200"/>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8275" w:type="dxa"/>
            <w:vAlign w:val="center"/>
          </w:tcPr>
          <w:p>
            <w:pPr>
              <w:spacing w:line="360" w:lineRule="auto"/>
              <w:ind w:left="-420" w:leftChars="-200" w:right="-420" w:rightChars="-200" w:firstLine="480" w:firstLineChars="200"/>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sz w:val="24"/>
              </w:rPr>
            </w:pPr>
            <w:r>
              <w:rPr>
                <w:rFonts w:hint="eastAsia" w:ascii="仿宋" w:hAnsi="仿宋" w:eastAsia="仿宋"/>
                <w:sz w:val="24"/>
              </w:rPr>
              <w:t xml:space="preserve">2.8 </w:t>
            </w:r>
          </w:p>
        </w:tc>
        <w:tc>
          <w:tcPr>
            <w:tcW w:w="8275" w:type="dxa"/>
            <w:vAlign w:val="top"/>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8275" w:type="dxa"/>
            <w:vAlign w:val="center"/>
          </w:tcPr>
          <w:p>
            <w:pPr>
              <w:spacing w:line="360" w:lineRule="auto"/>
              <w:rPr>
                <w:rFonts w:ascii="仿宋" w:hAnsi="仿宋"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5" w:hRule="atLeast"/>
        </w:trPr>
        <w:tc>
          <w:tcPr>
            <w:tcW w:w="851" w:type="dxa"/>
            <w:tcBorders>
              <w:left w:val="single" w:color="auto" w:sz="4" w:space="0"/>
            </w:tcBorders>
            <w:vAlign w:val="top"/>
          </w:tcPr>
          <w:p>
            <w:pPr>
              <w:spacing w:line="360" w:lineRule="auto"/>
              <w:rPr>
                <w:rFonts w:ascii="仿宋" w:hAnsi="仿宋" w:eastAsia="仿宋"/>
                <w:sz w:val="24"/>
                <w:highlight w:val="none"/>
              </w:rPr>
            </w:pPr>
            <w:r>
              <w:rPr>
                <w:rFonts w:hint="eastAsia" w:ascii="仿宋" w:hAnsi="仿宋" w:eastAsia="仿宋"/>
                <w:sz w:val="24"/>
                <w:highlight w:val="none"/>
              </w:rPr>
              <w:t>2.20.1</w:t>
            </w:r>
          </w:p>
        </w:tc>
        <w:tc>
          <w:tcPr>
            <w:tcW w:w="8275" w:type="dxa"/>
            <w:vAlign w:val="top"/>
          </w:tcPr>
          <w:p>
            <w:pPr>
              <w:adjustRightInd w:val="0"/>
              <w:snapToGrid w:val="0"/>
              <w:spacing w:line="480" w:lineRule="exact"/>
              <w:rPr>
                <w:rFonts w:hint="default" w:ascii="仿宋_GB2312" w:hAnsi="楷体" w:eastAsia="仿宋_GB2312" w:cs="Times New Roman"/>
                <w:b/>
                <w:color w:val="FF0000"/>
                <w:sz w:val="24"/>
                <w:highlight w:val="none"/>
                <w:lang w:val="en-US" w:eastAsia="zh-CN"/>
              </w:rPr>
            </w:pPr>
            <w:r>
              <w:rPr>
                <w:rFonts w:hint="eastAsia" w:ascii="宋体" w:hAnsi="宋体"/>
                <w:bCs/>
                <w:color w:val="auto"/>
                <w:sz w:val="24"/>
                <w:szCs w:val="24"/>
                <w:highlight w:val="none"/>
              </w:rPr>
              <w:t>在合同签订以前供应商向采购人缴纳</w:t>
            </w:r>
            <w:r>
              <w:rPr>
                <w:rFonts w:hint="eastAsia" w:ascii="宋体" w:hAnsi="宋体"/>
                <w:bCs/>
                <w:color w:val="auto"/>
                <w:sz w:val="24"/>
                <w:szCs w:val="24"/>
                <w:highlight w:val="none"/>
                <w:lang w:eastAsia="zh-CN"/>
              </w:rPr>
              <w:t>成交</w:t>
            </w:r>
            <w:r>
              <w:rPr>
                <w:rFonts w:hint="eastAsia" w:ascii="宋体" w:hAnsi="宋体"/>
                <w:bCs/>
                <w:color w:val="auto"/>
                <w:sz w:val="24"/>
                <w:szCs w:val="24"/>
                <w:highlight w:val="none"/>
              </w:rPr>
              <w:t>总额</w:t>
            </w:r>
            <w:r>
              <w:rPr>
                <w:rFonts w:hint="eastAsia" w:ascii="宋体" w:hAnsi="宋体"/>
                <w:bCs/>
                <w:color w:val="auto"/>
                <w:sz w:val="24"/>
                <w:szCs w:val="24"/>
                <w:highlight w:val="none"/>
                <w:lang w:val="en-US" w:eastAsia="zh-CN"/>
              </w:rPr>
              <w:t>2</w:t>
            </w:r>
            <w:r>
              <w:rPr>
                <w:rFonts w:hint="eastAsia" w:ascii="宋体" w:hAnsi="宋体"/>
                <w:bCs/>
                <w:color w:val="auto"/>
                <w:sz w:val="24"/>
                <w:szCs w:val="24"/>
                <w:highlight w:val="none"/>
              </w:rPr>
              <w:t>%的履约保证金。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2.20.2 </w:t>
            </w:r>
          </w:p>
        </w:tc>
        <w:tc>
          <w:tcPr>
            <w:tcW w:w="8275" w:type="dxa"/>
            <w:vAlign w:val="center"/>
          </w:tcPr>
          <w:p>
            <w:pPr>
              <w:spacing w:line="360" w:lineRule="auto"/>
              <w:rPr>
                <w:rFonts w:hint="default" w:ascii="仿宋_GB2312" w:hAnsi="楷体" w:eastAsia="仿宋_GB2312" w:cs="Times New Roman"/>
                <w:b/>
                <w:color w:val="FF0000"/>
                <w:sz w:val="24"/>
                <w:highlight w:val="none"/>
                <w:lang w:val="en-US" w:eastAsia="zh-CN"/>
              </w:rPr>
            </w:pPr>
            <w:r>
              <w:rPr>
                <w:rFonts w:hint="eastAsia" w:ascii="仿宋_GB2312" w:hAnsi="楷体" w:eastAsia="仿宋_GB2312" w:cs="Times New Roman"/>
                <w:b/>
                <w:color w:val="FF0000"/>
                <w:sz w:val="24"/>
                <w:highlight w:val="none"/>
                <w:lang w:val="en-US" w:eastAsia="zh-CN"/>
              </w:rPr>
              <w:t xml:space="preserve"> </w:t>
            </w:r>
            <w:r>
              <w:rPr>
                <w:rFonts w:hint="eastAsia" w:ascii="宋体" w:hAnsi="宋体" w:cs="宋体"/>
                <w:bCs/>
                <w:sz w:val="24"/>
                <w:highlight w:val="none"/>
              </w:rPr>
              <w:t>验收合格后履约保证金</w:t>
            </w:r>
            <w:r>
              <w:rPr>
                <w:rFonts w:hint="eastAsia" w:ascii="宋体" w:hAnsi="宋体" w:cs="宋体"/>
                <w:bCs/>
                <w:sz w:val="24"/>
                <w:highlight w:val="none"/>
                <w:lang w:eastAsia="zh-CN"/>
              </w:rPr>
              <w:t>自动转为质量保证金</w:t>
            </w:r>
            <w:r>
              <w:rPr>
                <w:rFonts w:hint="eastAsia" w:ascii="宋体" w:hAnsi="宋体" w:cs="宋体"/>
                <w:bCs/>
                <w:sz w:val="24"/>
                <w:highlight w:val="none"/>
              </w:rPr>
              <w:t>。</w:t>
            </w:r>
            <w:r>
              <w:rPr>
                <w:rFonts w:hint="eastAsia" w:ascii="宋体" w:hAnsi="宋体" w:cs="宋体"/>
                <w:bCs/>
                <w:sz w:val="24"/>
                <w:highlight w:val="none"/>
                <w:lang w:eastAsia="zh-CN"/>
              </w:rPr>
              <w:t>质保</w:t>
            </w:r>
            <w:r>
              <w:rPr>
                <w:rFonts w:hint="eastAsia" w:ascii="宋体" w:hAnsi="宋体" w:cs="宋体"/>
                <w:bCs/>
                <w:sz w:val="24"/>
                <w:highlight w:val="none"/>
                <w:lang w:val="en-US" w:eastAsia="zh-CN"/>
              </w:rPr>
              <w:t>期结束后无息退还。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r>
              <w:rPr>
                <w:rFonts w:ascii="仿宋" w:hAnsi="仿宋" w:eastAsia="仿宋"/>
                <w:sz w:val="24"/>
              </w:rPr>
              <w:t xml:space="preserve"> </w:t>
            </w:r>
          </w:p>
        </w:tc>
        <w:tc>
          <w:tcPr>
            <w:tcW w:w="8275" w:type="dxa"/>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rPr>
          <w:rFonts w:ascii="仿宋" w:hAnsi="仿宋" w:eastAsia="仿宋"/>
          <w:sz w:val="24"/>
        </w:rPr>
      </w:pPr>
    </w:p>
    <w:p>
      <w:pPr>
        <w:rPr>
          <w:rFonts w:ascii="仿宋" w:hAnsi="仿宋" w:eastAsia="仿宋"/>
          <w:sz w:val="24"/>
        </w:rPr>
      </w:pPr>
    </w:p>
    <w:p>
      <w:pPr>
        <w:pStyle w:val="81"/>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5"/>
      <w:r>
        <w:rPr>
          <w:rFonts w:ascii="仿宋" w:hAnsi="仿宋" w:eastAsia="仿宋" w:cs="仿宋_GB2312"/>
          <w:b/>
          <w:sz w:val="36"/>
          <w:szCs w:val="20"/>
        </w:rPr>
        <w:t xml:space="preserve"> </w:t>
      </w:r>
      <w:bookmarkEnd w:id="396"/>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9"/>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89"/>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vAlign w:val="top"/>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vAlign w:val="top"/>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2"/>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top"/>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8"/>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8"/>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vAlign w:val="top"/>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tabs>
          <w:tab w:val="left" w:pos="4860"/>
        </w:tabs>
        <w:spacing w:line="360" w:lineRule="auto"/>
        <w:ind w:right="1560" w:firstLine="480" w:firstLineChars="200"/>
        <w:jc w:val="center"/>
        <w:rPr>
          <w:rFonts w:hint="eastAsia" w:ascii="仿宋_GB2312" w:hAnsi="仿宋" w:eastAsia="仿宋_GB2312" w:cs="仿宋_GB2312"/>
          <w:kern w:val="0"/>
          <w:sz w:val="24"/>
          <w:lang w:val="zh-CN"/>
        </w:rPr>
      </w:pPr>
    </w:p>
    <w:p>
      <w:pPr>
        <w:tabs>
          <w:tab w:val="left" w:pos="4860"/>
        </w:tabs>
        <w:spacing w:line="360" w:lineRule="auto"/>
        <w:ind w:right="1560" w:firstLine="480" w:firstLineChars="200"/>
        <w:jc w:val="center"/>
        <w:rPr>
          <w:rFonts w:hint="eastAsia" w:ascii="仿宋_GB2312" w:hAnsi="仿宋" w:eastAsia="仿宋_GB2312" w:cs="仿宋_GB2312"/>
          <w:kern w:val="0"/>
          <w:sz w:val="24"/>
          <w:lang w:val="zh-CN"/>
        </w:rPr>
      </w:pPr>
    </w:p>
    <w:p>
      <w:pPr>
        <w:tabs>
          <w:tab w:val="left" w:pos="4860"/>
        </w:tabs>
        <w:spacing w:line="360" w:lineRule="auto"/>
        <w:ind w:right="1560" w:firstLine="480" w:firstLineChars="200"/>
        <w:jc w:val="both"/>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both"/>
        <w:rPr>
          <w:rFonts w:ascii="仿宋_GB2312" w:hAnsi="仿宋" w:eastAsia="仿宋_GB2312" w:cs="仿宋_GB2312"/>
          <w:sz w:val="24"/>
        </w:rPr>
      </w:pPr>
      <w:r>
        <w:rPr>
          <w:rFonts w:ascii="仿宋_GB2312" w:hAnsi="仿宋" w:eastAsia="仿宋_GB2312" w:cs="仿宋_GB2312"/>
          <w:sz w:val="24"/>
        </w:rPr>
        <w:t>日  期：</w:t>
      </w:r>
    </w:p>
    <w:p>
      <w:pPr>
        <w:pStyle w:val="2"/>
        <w:rPr>
          <w:lang w:val="zh-CN"/>
        </w:rPr>
      </w:pPr>
    </w:p>
    <w:p>
      <w:pPr>
        <w:pStyle w:val="378"/>
        <w:tabs>
          <w:tab w:val="clear" w:pos="720"/>
        </w:tabs>
        <w:snapToGrid w:val="0"/>
        <w:spacing w:before="120" w:after="120"/>
        <w:jc w:val="both"/>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8"/>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rPr>
          <w:rFonts w:ascii="仿宋_GB2312" w:hAnsi="仿宋" w:eastAsia="仿宋_GB2312" w:cs="仿宋_GB2312"/>
          <w:b/>
          <w:kern w:val="0"/>
          <w:sz w:val="36"/>
          <w:szCs w:val="36"/>
        </w:rPr>
      </w:pPr>
    </w:p>
    <w:p>
      <w:pPr>
        <w:pStyle w:val="2"/>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2"/>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2"/>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2"/>
        <w:ind w:left="0" w:leftChars="0" w:firstLine="0" w:firstLineChars="0"/>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554" w:name="_Toc465665161"/>
      <w:r>
        <w:rPr>
          <w:rFonts w:hint="eastAsia" w:ascii="仿宋_GB2312" w:hAnsi="仿宋" w:eastAsia="仿宋_GB2312"/>
        </w:rPr>
        <w:t>附件</w:t>
      </w:r>
      <w:bookmarkEnd w:id="55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55" w:name="OLE_LINK13"/>
      <w:bookmarkStart w:id="556" w:name="OLE_LINK14"/>
      <w:r>
        <w:rPr>
          <w:rFonts w:hint="eastAsia" w:ascii="仿宋_GB2312" w:hAnsi="仿宋" w:eastAsia="仿宋_GB2312"/>
          <w:b/>
          <w:spacing w:val="6"/>
          <w:sz w:val="32"/>
          <w:szCs w:val="32"/>
        </w:rPr>
        <w:t>残疾人福利性单位声明函</w:t>
      </w:r>
    </w:p>
    <w:bookmarkEnd w:id="555"/>
    <w:bookmarkEnd w:id="55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w:pict>
          <v:rect id="Rectangle 17" o:spid="_x0000_s1028" o:spt="1" style="position:absolute;left:0pt;margin-left:238.9pt;margin-top:28.05pt;height:177.45pt;width:212.9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kern w:val="2"/>
          <w:sz w:val="24"/>
          <w:szCs w:val="24"/>
          <w:lang w:val="en-US" w:eastAsia="zh-CN" w:bidi="ar-SA"/>
        </w:rPr>
        <w:pict>
          <v:rect id="Rectangle 16" o:spid="_x0000_s1029" o:spt="1" style="position:absolute;left:0pt;margin-left:-7.2pt;margin-top:30.3pt;height:177.45pt;width:208.5pt;z-index:-25165516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ind w:right="420"/>
      </w:pPr>
    </w:p>
    <w:p>
      <w:pPr>
        <w:spacing w:line="360" w:lineRule="auto"/>
        <w:rPr>
          <w:rFonts w:ascii="仿宋" w:hAnsi="仿宋" w:eastAsia="仿宋"/>
          <w:bCs/>
          <w:sz w:val="24"/>
        </w:rPr>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7" w:name="_Toc131845147"/>
    <w:bookmarkStart w:id="558" w:name="_Toc164085800"/>
    <w:bookmarkStart w:id="559" w:name="_Toc91899912"/>
    <w:bookmarkStart w:id="560" w:name="_Toc36110187"/>
    <w:r>
      <w:rPr>
        <w:rFonts w:hint="eastAsia" w:ascii="仿宋_GB2312" w:eastAsia="仿宋_GB2312"/>
        <w:kern w:val="0"/>
        <w:szCs w:val="21"/>
      </w:rPr>
      <w:t xml:space="preserve"> 页</w:t>
    </w:r>
    <w:bookmarkEnd w:id="557"/>
    <w:bookmarkEnd w:id="558"/>
    <w:bookmarkEnd w:id="559"/>
    <w:bookmarkEnd w:id="56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BDE90"/>
    <w:multiLevelType w:val="singleLevel"/>
    <w:tmpl w:val="ACCBDE90"/>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174"/>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B11E4"/>
    <w:rsid w:val="019F7441"/>
    <w:rsid w:val="01B37585"/>
    <w:rsid w:val="01BA1319"/>
    <w:rsid w:val="01D55165"/>
    <w:rsid w:val="01DF6BF8"/>
    <w:rsid w:val="01E05F01"/>
    <w:rsid w:val="01EC2C57"/>
    <w:rsid w:val="02367560"/>
    <w:rsid w:val="026B2E25"/>
    <w:rsid w:val="02824D4D"/>
    <w:rsid w:val="02DC4B10"/>
    <w:rsid w:val="02DD76CE"/>
    <w:rsid w:val="02F36323"/>
    <w:rsid w:val="02F5619C"/>
    <w:rsid w:val="0326446A"/>
    <w:rsid w:val="032D5555"/>
    <w:rsid w:val="036634D2"/>
    <w:rsid w:val="03DD35E4"/>
    <w:rsid w:val="04076900"/>
    <w:rsid w:val="041A5A3B"/>
    <w:rsid w:val="042311BA"/>
    <w:rsid w:val="042B157A"/>
    <w:rsid w:val="0461636B"/>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DB0C2F"/>
    <w:rsid w:val="08061376"/>
    <w:rsid w:val="08452D77"/>
    <w:rsid w:val="086401F8"/>
    <w:rsid w:val="08751CAA"/>
    <w:rsid w:val="087E2ED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275662"/>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2D750B"/>
    <w:rsid w:val="0E5604B2"/>
    <w:rsid w:val="0E6D5D79"/>
    <w:rsid w:val="0E817705"/>
    <w:rsid w:val="0E9D0089"/>
    <w:rsid w:val="0EB803EE"/>
    <w:rsid w:val="0EF94D4B"/>
    <w:rsid w:val="0F474DFC"/>
    <w:rsid w:val="0F4958DC"/>
    <w:rsid w:val="0F515DF7"/>
    <w:rsid w:val="0F596BA8"/>
    <w:rsid w:val="0F6248D2"/>
    <w:rsid w:val="0F693536"/>
    <w:rsid w:val="0F7B0511"/>
    <w:rsid w:val="0F7B76D9"/>
    <w:rsid w:val="0F816ACD"/>
    <w:rsid w:val="0F9832DB"/>
    <w:rsid w:val="0FAC24A5"/>
    <w:rsid w:val="0FBF3FD2"/>
    <w:rsid w:val="0FBF7FF3"/>
    <w:rsid w:val="10646583"/>
    <w:rsid w:val="107D4B15"/>
    <w:rsid w:val="108A3C80"/>
    <w:rsid w:val="109113A8"/>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40290"/>
    <w:rsid w:val="129E45B4"/>
    <w:rsid w:val="12D81596"/>
    <w:rsid w:val="13072A44"/>
    <w:rsid w:val="131274CE"/>
    <w:rsid w:val="135F4BE2"/>
    <w:rsid w:val="139B1A0A"/>
    <w:rsid w:val="139D25C7"/>
    <w:rsid w:val="13BF3CE4"/>
    <w:rsid w:val="140E0A4B"/>
    <w:rsid w:val="141008D8"/>
    <w:rsid w:val="14125FE6"/>
    <w:rsid w:val="146D271E"/>
    <w:rsid w:val="14982588"/>
    <w:rsid w:val="149A5AD9"/>
    <w:rsid w:val="14A7619D"/>
    <w:rsid w:val="150536C3"/>
    <w:rsid w:val="150C1963"/>
    <w:rsid w:val="151447A0"/>
    <w:rsid w:val="154A6454"/>
    <w:rsid w:val="15762120"/>
    <w:rsid w:val="161508E7"/>
    <w:rsid w:val="16A8729C"/>
    <w:rsid w:val="16B33777"/>
    <w:rsid w:val="16BC70A7"/>
    <w:rsid w:val="16C6339E"/>
    <w:rsid w:val="17107D9E"/>
    <w:rsid w:val="172F2D79"/>
    <w:rsid w:val="17557BEF"/>
    <w:rsid w:val="17BF5F86"/>
    <w:rsid w:val="17D349C1"/>
    <w:rsid w:val="17D73356"/>
    <w:rsid w:val="1830729E"/>
    <w:rsid w:val="1870062C"/>
    <w:rsid w:val="18817102"/>
    <w:rsid w:val="18830A15"/>
    <w:rsid w:val="18852B28"/>
    <w:rsid w:val="188B5321"/>
    <w:rsid w:val="19144A65"/>
    <w:rsid w:val="191F5A0F"/>
    <w:rsid w:val="192F73F2"/>
    <w:rsid w:val="19932372"/>
    <w:rsid w:val="19A20DD5"/>
    <w:rsid w:val="19AE03F1"/>
    <w:rsid w:val="1A071A03"/>
    <w:rsid w:val="1A1F16AE"/>
    <w:rsid w:val="1A3B5C77"/>
    <w:rsid w:val="1A984BAD"/>
    <w:rsid w:val="1AB8220E"/>
    <w:rsid w:val="1ABF0FF7"/>
    <w:rsid w:val="1AE4166C"/>
    <w:rsid w:val="1AF06CFB"/>
    <w:rsid w:val="1AF11B8D"/>
    <w:rsid w:val="1AFD0EA7"/>
    <w:rsid w:val="1B11359C"/>
    <w:rsid w:val="1B2A271F"/>
    <w:rsid w:val="1B481CDF"/>
    <w:rsid w:val="1B530544"/>
    <w:rsid w:val="1B713184"/>
    <w:rsid w:val="1BA209CF"/>
    <w:rsid w:val="1BB4777D"/>
    <w:rsid w:val="1BCA6B98"/>
    <w:rsid w:val="1BD75AB8"/>
    <w:rsid w:val="1C0459C2"/>
    <w:rsid w:val="1C1B3B4A"/>
    <w:rsid w:val="1C7669CC"/>
    <w:rsid w:val="1C88086E"/>
    <w:rsid w:val="1CA875BA"/>
    <w:rsid w:val="1CF00880"/>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F8180C"/>
    <w:rsid w:val="1F0A0FF3"/>
    <w:rsid w:val="1F5771FF"/>
    <w:rsid w:val="1FAD0CAB"/>
    <w:rsid w:val="1FE868A9"/>
    <w:rsid w:val="20034907"/>
    <w:rsid w:val="20173E4B"/>
    <w:rsid w:val="204E48BC"/>
    <w:rsid w:val="208921B3"/>
    <w:rsid w:val="20973DEB"/>
    <w:rsid w:val="20A079B5"/>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9D7983"/>
    <w:rsid w:val="24B22173"/>
    <w:rsid w:val="24B95AD9"/>
    <w:rsid w:val="24BE24DA"/>
    <w:rsid w:val="24C566B2"/>
    <w:rsid w:val="24CF5825"/>
    <w:rsid w:val="24D663E6"/>
    <w:rsid w:val="24D77F2B"/>
    <w:rsid w:val="258B00E2"/>
    <w:rsid w:val="25A917A6"/>
    <w:rsid w:val="25BE27CC"/>
    <w:rsid w:val="25F74A5C"/>
    <w:rsid w:val="2628662C"/>
    <w:rsid w:val="262D45DE"/>
    <w:rsid w:val="26A53EF9"/>
    <w:rsid w:val="26A94201"/>
    <w:rsid w:val="26AC274F"/>
    <w:rsid w:val="26B20955"/>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3B58BE"/>
    <w:rsid w:val="294C65AD"/>
    <w:rsid w:val="29806583"/>
    <w:rsid w:val="298B3C4C"/>
    <w:rsid w:val="29A924E3"/>
    <w:rsid w:val="29F26D24"/>
    <w:rsid w:val="2A15033F"/>
    <w:rsid w:val="2A1662C1"/>
    <w:rsid w:val="2A1C7367"/>
    <w:rsid w:val="2A2815FA"/>
    <w:rsid w:val="2A4842C8"/>
    <w:rsid w:val="2A4C0D5D"/>
    <w:rsid w:val="2A6D6092"/>
    <w:rsid w:val="2A7D76B4"/>
    <w:rsid w:val="2ACB46DB"/>
    <w:rsid w:val="2B437463"/>
    <w:rsid w:val="2B7658B7"/>
    <w:rsid w:val="2B7807EE"/>
    <w:rsid w:val="2BBF00EC"/>
    <w:rsid w:val="2BC37CFD"/>
    <w:rsid w:val="2BD5237F"/>
    <w:rsid w:val="2BE02DF6"/>
    <w:rsid w:val="2BE536CE"/>
    <w:rsid w:val="2BE758D9"/>
    <w:rsid w:val="2C09049E"/>
    <w:rsid w:val="2C0A653C"/>
    <w:rsid w:val="2C191F85"/>
    <w:rsid w:val="2CE82D6F"/>
    <w:rsid w:val="2D343236"/>
    <w:rsid w:val="2DD15014"/>
    <w:rsid w:val="2DF72DE4"/>
    <w:rsid w:val="2E0220AF"/>
    <w:rsid w:val="2E445EEB"/>
    <w:rsid w:val="2E4B082A"/>
    <w:rsid w:val="2E5D4E86"/>
    <w:rsid w:val="2E5D790B"/>
    <w:rsid w:val="2E9A3C18"/>
    <w:rsid w:val="2EBB0FEE"/>
    <w:rsid w:val="2EC63002"/>
    <w:rsid w:val="2F0A6B38"/>
    <w:rsid w:val="2F946CCB"/>
    <w:rsid w:val="2FD25781"/>
    <w:rsid w:val="2FF173F7"/>
    <w:rsid w:val="2FFD7934"/>
    <w:rsid w:val="30264442"/>
    <w:rsid w:val="30733ACD"/>
    <w:rsid w:val="308C3862"/>
    <w:rsid w:val="309379D8"/>
    <w:rsid w:val="30A270F7"/>
    <w:rsid w:val="30CF6888"/>
    <w:rsid w:val="30DF1478"/>
    <w:rsid w:val="30EC586F"/>
    <w:rsid w:val="31496BA2"/>
    <w:rsid w:val="31817CB4"/>
    <w:rsid w:val="319C6071"/>
    <w:rsid w:val="31AC537E"/>
    <w:rsid w:val="31E3679B"/>
    <w:rsid w:val="31E732FD"/>
    <w:rsid w:val="32517576"/>
    <w:rsid w:val="32922F41"/>
    <w:rsid w:val="32BE5C2C"/>
    <w:rsid w:val="32FB6478"/>
    <w:rsid w:val="33263B3F"/>
    <w:rsid w:val="33661C80"/>
    <w:rsid w:val="336963EB"/>
    <w:rsid w:val="33816EEB"/>
    <w:rsid w:val="33EB55CD"/>
    <w:rsid w:val="33EC4C02"/>
    <w:rsid w:val="340D2360"/>
    <w:rsid w:val="3410665D"/>
    <w:rsid w:val="34211214"/>
    <w:rsid w:val="34297A1C"/>
    <w:rsid w:val="342E63AB"/>
    <w:rsid w:val="34950E68"/>
    <w:rsid w:val="34986E94"/>
    <w:rsid w:val="34AF62C9"/>
    <w:rsid w:val="34CB4388"/>
    <w:rsid w:val="34FA6E12"/>
    <w:rsid w:val="358D5588"/>
    <w:rsid w:val="35E01715"/>
    <w:rsid w:val="363A3B40"/>
    <w:rsid w:val="365302AE"/>
    <w:rsid w:val="36607A0A"/>
    <w:rsid w:val="366E227C"/>
    <w:rsid w:val="366F2E0D"/>
    <w:rsid w:val="367B6A5C"/>
    <w:rsid w:val="36A74ADA"/>
    <w:rsid w:val="36AD60D5"/>
    <w:rsid w:val="36B224F9"/>
    <w:rsid w:val="36EC0CC9"/>
    <w:rsid w:val="373F410B"/>
    <w:rsid w:val="37DF76AD"/>
    <w:rsid w:val="37EE7094"/>
    <w:rsid w:val="38296C89"/>
    <w:rsid w:val="383002EB"/>
    <w:rsid w:val="38586797"/>
    <w:rsid w:val="38BC0149"/>
    <w:rsid w:val="38D87D1C"/>
    <w:rsid w:val="39097A88"/>
    <w:rsid w:val="39636459"/>
    <w:rsid w:val="396B7F6C"/>
    <w:rsid w:val="39B417A9"/>
    <w:rsid w:val="39FC5695"/>
    <w:rsid w:val="3A006D8E"/>
    <w:rsid w:val="3A3651E5"/>
    <w:rsid w:val="3A744481"/>
    <w:rsid w:val="3A8C7BEF"/>
    <w:rsid w:val="3A906246"/>
    <w:rsid w:val="3B1D229A"/>
    <w:rsid w:val="3B2349B7"/>
    <w:rsid w:val="3B616CFF"/>
    <w:rsid w:val="3B6259F6"/>
    <w:rsid w:val="3B976654"/>
    <w:rsid w:val="3BC01EFC"/>
    <w:rsid w:val="3BCA786A"/>
    <w:rsid w:val="3BD31E2F"/>
    <w:rsid w:val="3BF15831"/>
    <w:rsid w:val="3C105946"/>
    <w:rsid w:val="3C471448"/>
    <w:rsid w:val="3C5F759A"/>
    <w:rsid w:val="3C6C525A"/>
    <w:rsid w:val="3CC46CED"/>
    <w:rsid w:val="3CCE23CB"/>
    <w:rsid w:val="3CD17D17"/>
    <w:rsid w:val="3D3C7F39"/>
    <w:rsid w:val="3D440F09"/>
    <w:rsid w:val="3D4504A0"/>
    <w:rsid w:val="3D8734BB"/>
    <w:rsid w:val="3D9A11D4"/>
    <w:rsid w:val="3DA16D89"/>
    <w:rsid w:val="3DA364BE"/>
    <w:rsid w:val="3DD551FD"/>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4A8A"/>
    <w:rsid w:val="3F6363FE"/>
    <w:rsid w:val="3F756B8F"/>
    <w:rsid w:val="3F95482B"/>
    <w:rsid w:val="3FFE4865"/>
    <w:rsid w:val="4019356B"/>
    <w:rsid w:val="40420B44"/>
    <w:rsid w:val="40531FA6"/>
    <w:rsid w:val="40592157"/>
    <w:rsid w:val="406E1CAE"/>
    <w:rsid w:val="40961D28"/>
    <w:rsid w:val="40A0133A"/>
    <w:rsid w:val="40C31A53"/>
    <w:rsid w:val="40FF545D"/>
    <w:rsid w:val="410067C8"/>
    <w:rsid w:val="41345682"/>
    <w:rsid w:val="418F0D2A"/>
    <w:rsid w:val="41D01505"/>
    <w:rsid w:val="42474939"/>
    <w:rsid w:val="424C3C57"/>
    <w:rsid w:val="42613FF3"/>
    <w:rsid w:val="42660D96"/>
    <w:rsid w:val="42810BCA"/>
    <w:rsid w:val="428667D2"/>
    <w:rsid w:val="42CD1CE0"/>
    <w:rsid w:val="42E1381E"/>
    <w:rsid w:val="42ED6459"/>
    <w:rsid w:val="42FE58DD"/>
    <w:rsid w:val="430779E2"/>
    <w:rsid w:val="43174B3D"/>
    <w:rsid w:val="434B790E"/>
    <w:rsid w:val="4360274F"/>
    <w:rsid w:val="43977AB6"/>
    <w:rsid w:val="43A3342B"/>
    <w:rsid w:val="43C77C27"/>
    <w:rsid w:val="43DE09EE"/>
    <w:rsid w:val="44002FAD"/>
    <w:rsid w:val="449101DD"/>
    <w:rsid w:val="44AB4F09"/>
    <w:rsid w:val="44DE1391"/>
    <w:rsid w:val="451B225C"/>
    <w:rsid w:val="452410C9"/>
    <w:rsid w:val="45317DFB"/>
    <w:rsid w:val="456D3CE4"/>
    <w:rsid w:val="4579042C"/>
    <w:rsid w:val="457F0571"/>
    <w:rsid w:val="45851176"/>
    <w:rsid w:val="45C63B94"/>
    <w:rsid w:val="45DA68CA"/>
    <w:rsid w:val="460E7DA5"/>
    <w:rsid w:val="462E287B"/>
    <w:rsid w:val="46341B00"/>
    <w:rsid w:val="46422483"/>
    <w:rsid w:val="4659254A"/>
    <w:rsid w:val="465B0637"/>
    <w:rsid w:val="465E3F0D"/>
    <w:rsid w:val="466A16E6"/>
    <w:rsid w:val="467E4C93"/>
    <w:rsid w:val="46893F2B"/>
    <w:rsid w:val="46C4686E"/>
    <w:rsid w:val="477B778F"/>
    <w:rsid w:val="478203EC"/>
    <w:rsid w:val="479E030F"/>
    <w:rsid w:val="47B025FA"/>
    <w:rsid w:val="4809698F"/>
    <w:rsid w:val="4811697D"/>
    <w:rsid w:val="487A3E25"/>
    <w:rsid w:val="488B5503"/>
    <w:rsid w:val="48937E21"/>
    <w:rsid w:val="489A0361"/>
    <w:rsid w:val="48AA3014"/>
    <w:rsid w:val="48B94FF3"/>
    <w:rsid w:val="48E37AAB"/>
    <w:rsid w:val="48FD4B4C"/>
    <w:rsid w:val="490A68E0"/>
    <w:rsid w:val="491055FE"/>
    <w:rsid w:val="493479C6"/>
    <w:rsid w:val="494B6CBB"/>
    <w:rsid w:val="495B7301"/>
    <w:rsid w:val="495F5B3E"/>
    <w:rsid w:val="496F77D7"/>
    <w:rsid w:val="497654FD"/>
    <w:rsid w:val="49B64211"/>
    <w:rsid w:val="49BC684D"/>
    <w:rsid w:val="49F6167F"/>
    <w:rsid w:val="49FE77F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39522D"/>
    <w:rsid w:val="4D905305"/>
    <w:rsid w:val="4D964A72"/>
    <w:rsid w:val="4D994385"/>
    <w:rsid w:val="4D9C1254"/>
    <w:rsid w:val="4E793892"/>
    <w:rsid w:val="4E800872"/>
    <w:rsid w:val="4EC569ED"/>
    <w:rsid w:val="4ED50EA1"/>
    <w:rsid w:val="4EEC050C"/>
    <w:rsid w:val="4F104EC3"/>
    <w:rsid w:val="4F416B96"/>
    <w:rsid w:val="4F47354A"/>
    <w:rsid w:val="4F911C54"/>
    <w:rsid w:val="4FE625E0"/>
    <w:rsid w:val="5021480F"/>
    <w:rsid w:val="506E70ED"/>
    <w:rsid w:val="50750E8F"/>
    <w:rsid w:val="50962ECB"/>
    <w:rsid w:val="50A42E38"/>
    <w:rsid w:val="50A4577F"/>
    <w:rsid w:val="50B73D1F"/>
    <w:rsid w:val="50BD5BC9"/>
    <w:rsid w:val="50C11EEE"/>
    <w:rsid w:val="50D34D8E"/>
    <w:rsid w:val="50E97CFC"/>
    <w:rsid w:val="50FA4028"/>
    <w:rsid w:val="510C493E"/>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3A00053"/>
    <w:rsid w:val="53AC69EB"/>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944A7"/>
    <w:rsid w:val="55FB7373"/>
    <w:rsid w:val="566B6D1E"/>
    <w:rsid w:val="57032A2C"/>
    <w:rsid w:val="570F5219"/>
    <w:rsid w:val="572B52CB"/>
    <w:rsid w:val="575D12B5"/>
    <w:rsid w:val="57610A87"/>
    <w:rsid w:val="577B1140"/>
    <w:rsid w:val="577B5968"/>
    <w:rsid w:val="577B7F21"/>
    <w:rsid w:val="577F181B"/>
    <w:rsid w:val="57921984"/>
    <w:rsid w:val="579737F0"/>
    <w:rsid w:val="57AB7B30"/>
    <w:rsid w:val="57AF5251"/>
    <w:rsid w:val="57B26373"/>
    <w:rsid w:val="57B63F04"/>
    <w:rsid w:val="57CD20C2"/>
    <w:rsid w:val="57D675AB"/>
    <w:rsid w:val="57D95FDD"/>
    <w:rsid w:val="58043A17"/>
    <w:rsid w:val="586C6DCB"/>
    <w:rsid w:val="58917D2F"/>
    <w:rsid w:val="5893026F"/>
    <w:rsid w:val="5894085C"/>
    <w:rsid w:val="58AE4F0C"/>
    <w:rsid w:val="58B85899"/>
    <w:rsid w:val="58C2451D"/>
    <w:rsid w:val="58E363A9"/>
    <w:rsid w:val="591F15CA"/>
    <w:rsid w:val="595E1678"/>
    <w:rsid w:val="596D5BD4"/>
    <w:rsid w:val="597E3DD8"/>
    <w:rsid w:val="59B42AFF"/>
    <w:rsid w:val="59F80043"/>
    <w:rsid w:val="5A09252F"/>
    <w:rsid w:val="5A0B2778"/>
    <w:rsid w:val="5A1F61F2"/>
    <w:rsid w:val="5A2A7C7B"/>
    <w:rsid w:val="5A3D18BD"/>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6E7256"/>
    <w:rsid w:val="5C80234E"/>
    <w:rsid w:val="5C8A680C"/>
    <w:rsid w:val="5CBA7F88"/>
    <w:rsid w:val="5D0C4701"/>
    <w:rsid w:val="5D0F0395"/>
    <w:rsid w:val="5D221076"/>
    <w:rsid w:val="5D397964"/>
    <w:rsid w:val="5D5A391C"/>
    <w:rsid w:val="5D5F10C0"/>
    <w:rsid w:val="5D891B7B"/>
    <w:rsid w:val="5DAD38EE"/>
    <w:rsid w:val="5DE057CC"/>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582C53"/>
    <w:rsid w:val="607330CE"/>
    <w:rsid w:val="60825176"/>
    <w:rsid w:val="609F2AC4"/>
    <w:rsid w:val="60FA2EE8"/>
    <w:rsid w:val="61054A27"/>
    <w:rsid w:val="61086ACF"/>
    <w:rsid w:val="610A52BC"/>
    <w:rsid w:val="610E0230"/>
    <w:rsid w:val="611C5556"/>
    <w:rsid w:val="611D2366"/>
    <w:rsid w:val="61421856"/>
    <w:rsid w:val="615227C4"/>
    <w:rsid w:val="61654E3F"/>
    <w:rsid w:val="6182292A"/>
    <w:rsid w:val="619012B7"/>
    <w:rsid w:val="619F7F92"/>
    <w:rsid w:val="61F94C26"/>
    <w:rsid w:val="62000E56"/>
    <w:rsid w:val="620152D8"/>
    <w:rsid w:val="624F3E49"/>
    <w:rsid w:val="62632286"/>
    <w:rsid w:val="62885958"/>
    <w:rsid w:val="62F40B65"/>
    <w:rsid w:val="62FC2CFE"/>
    <w:rsid w:val="63024505"/>
    <w:rsid w:val="635B1DB5"/>
    <w:rsid w:val="63626C83"/>
    <w:rsid w:val="63711FED"/>
    <w:rsid w:val="63880DDC"/>
    <w:rsid w:val="638D750D"/>
    <w:rsid w:val="63AC6CC0"/>
    <w:rsid w:val="64055776"/>
    <w:rsid w:val="64240056"/>
    <w:rsid w:val="643E143A"/>
    <w:rsid w:val="64587E1C"/>
    <w:rsid w:val="648B6EEF"/>
    <w:rsid w:val="64C158BF"/>
    <w:rsid w:val="64CE2EAA"/>
    <w:rsid w:val="653345F2"/>
    <w:rsid w:val="653C3090"/>
    <w:rsid w:val="65823636"/>
    <w:rsid w:val="65854376"/>
    <w:rsid w:val="658767BE"/>
    <w:rsid w:val="65892531"/>
    <w:rsid w:val="66195831"/>
    <w:rsid w:val="662E75B1"/>
    <w:rsid w:val="66342C2E"/>
    <w:rsid w:val="663E784C"/>
    <w:rsid w:val="666130C7"/>
    <w:rsid w:val="666D5048"/>
    <w:rsid w:val="66754F1F"/>
    <w:rsid w:val="668B6A45"/>
    <w:rsid w:val="6719142D"/>
    <w:rsid w:val="672F3320"/>
    <w:rsid w:val="672F3F24"/>
    <w:rsid w:val="673E055F"/>
    <w:rsid w:val="67551CE3"/>
    <w:rsid w:val="67A22552"/>
    <w:rsid w:val="67B22DCC"/>
    <w:rsid w:val="67B75E4A"/>
    <w:rsid w:val="67BE71AA"/>
    <w:rsid w:val="67D90273"/>
    <w:rsid w:val="67DE5875"/>
    <w:rsid w:val="67E55852"/>
    <w:rsid w:val="67E939F7"/>
    <w:rsid w:val="67EB1AB4"/>
    <w:rsid w:val="67FA1285"/>
    <w:rsid w:val="68551F4F"/>
    <w:rsid w:val="687C10C9"/>
    <w:rsid w:val="68840C16"/>
    <w:rsid w:val="68876EFB"/>
    <w:rsid w:val="68884654"/>
    <w:rsid w:val="689F444F"/>
    <w:rsid w:val="68B96DBB"/>
    <w:rsid w:val="68CA2805"/>
    <w:rsid w:val="68E937A3"/>
    <w:rsid w:val="693E15D3"/>
    <w:rsid w:val="69627681"/>
    <w:rsid w:val="6977531D"/>
    <w:rsid w:val="69A02743"/>
    <w:rsid w:val="69CC2BFF"/>
    <w:rsid w:val="69EC619F"/>
    <w:rsid w:val="69FD55B8"/>
    <w:rsid w:val="6A0B1C62"/>
    <w:rsid w:val="6A2406C8"/>
    <w:rsid w:val="6A70677A"/>
    <w:rsid w:val="6A907726"/>
    <w:rsid w:val="6ADE0BD1"/>
    <w:rsid w:val="6AE96859"/>
    <w:rsid w:val="6AEE76C4"/>
    <w:rsid w:val="6B147746"/>
    <w:rsid w:val="6B24787C"/>
    <w:rsid w:val="6B573233"/>
    <w:rsid w:val="6B5B6274"/>
    <w:rsid w:val="6B616538"/>
    <w:rsid w:val="6B935D53"/>
    <w:rsid w:val="6BC859C1"/>
    <w:rsid w:val="6C196F71"/>
    <w:rsid w:val="6C226FCB"/>
    <w:rsid w:val="6C31226F"/>
    <w:rsid w:val="6C552F0B"/>
    <w:rsid w:val="6C6962B9"/>
    <w:rsid w:val="6C8C67B7"/>
    <w:rsid w:val="6C9D744C"/>
    <w:rsid w:val="6D167928"/>
    <w:rsid w:val="6D26299B"/>
    <w:rsid w:val="6D4772EC"/>
    <w:rsid w:val="6D9078AF"/>
    <w:rsid w:val="6DAA3FEF"/>
    <w:rsid w:val="6DC0172B"/>
    <w:rsid w:val="6DCB690C"/>
    <w:rsid w:val="6DD41A5B"/>
    <w:rsid w:val="6DEF2F22"/>
    <w:rsid w:val="6DF43C2E"/>
    <w:rsid w:val="6DF51CA3"/>
    <w:rsid w:val="6E571373"/>
    <w:rsid w:val="6E8335BD"/>
    <w:rsid w:val="6E8E12EF"/>
    <w:rsid w:val="6E972936"/>
    <w:rsid w:val="6ED446C5"/>
    <w:rsid w:val="6EEF6056"/>
    <w:rsid w:val="6F2A7D94"/>
    <w:rsid w:val="6F8331F1"/>
    <w:rsid w:val="6FAE1A09"/>
    <w:rsid w:val="6FD75BF8"/>
    <w:rsid w:val="6FD8410B"/>
    <w:rsid w:val="703970A5"/>
    <w:rsid w:val="707723D0"/>
    <w:rsid w:val="70F5661B"/>
    <w:rsid w:val="71360107"/>
    <w:rsid w:val="713B688E"/>
    <w:rsid w:val="71D43752"/>
    <w:rsid w:val="71F1796A"/>
    <w:rsid w:val="72154626"/>
    <w:rsid w:val="72262B5D"/>
    <w:rsid w:val="72283FF7"/>
    <w:rsid w:val="722E7212"/>
    <w:rsid w:val="723A0474"/>
    <w:rsid w:val="725923E4"/>
    <w:rsid w:val="726942EA"/>
    <w:rsid w:val="726E0966"/>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E737F5"/>
    <w:rsid w:val="77052AA4"/>
    <w:rsid w:val="77136511"/>
    <w:rsid w:val="77340A39"/>
    <w:rsid w:val="77351FD0"/>
    <w:rsid w:val="77472422"/>
    <w:rsid w:val="777F31F2"/>
    <w:rsid w:val="77D1700D"/>
    <w:rsid w:val="77EC04CC"/>
    <w:rsid w:val="78775729"/>
    <w:rsid w:val="78931961"/>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D44FD0"/>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010B9"/>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5">
    <w:name w:val="Normal Indent"/>
    <w:basedOn w:val="1"/>
    <w:next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5"/>
    <w:qFormat/>
    <w:uiPriority w:val="0"/>
    <w:pPr>
      <w:shd w:val="clear" w:color="auto" w:fill="000080"/>
    </w:pPr>
  </w:style>
  <w:style w:type="paragraph" w:styleId="19">
    <w:name w:val="annotation text"/>
    <w:basedOn w:val="1"/>
    <w:link w:val="853"/>
    <w:qFormat/>
    <w:uiPriority w:val="99"/>
    <w:pPr>
      <w:jc w:val="left"/>
    </w:pPr>
  </w:style>
  <w:style w:type="paragraph" w:styleId="20">
    <w:name w:val="Salutation"/>
    <w:basedOn w:val="1"/>
    <w:next w:val="1"/>
    <w:link w:val="813"/>
    <w:qFormat/>
    <w:uiPriority w:val="0"/>
    <w:rPr>
      <w:rFonts w:ascii="仿宋_GB2312" w:eastAsia="仿宋_GB2312"/>
      <w:sz w:val="28"/>
      <w:szCs w:val="20"/>
    </w:rPr>
  </w:style>
  <w:style w:type="paragraph" w:styleId="21">
    <w:name w:val="Body Text 3"/>
    <w:basedOn w:val="1"/>
    <w:link w:val="841"/>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0"/>
    <w:qFormat/>
    <w:uiPriority w:val="0"/>
    <w:pPr>
      <w:autoSpaceDE w:val="0"/>
      <w:autoSpaceDN w:val="0"/>
      <w:spacing w:line="360" w:lineRule="auto"/>
    </w:pPr>
    <w:rPr>
      <w:rFonts w:ascii="宋体" w:hAnsi="Arial" w:cs="Arial"/>
      <w:snapToGrid w:val="0"/>
      <w:sz w:val="24"/>
      <w:szCs w:val="21"/>
      <w:lang w:val="zh-CN"/>
    </w:rPr>
  </w:style>
  <w:style w:type="paragraph" w:customStyle="1" w:styleId="24">
    <w:name w:val="_Style 2"/>
    <w:basedOn w:val="1"/>
    <w:qFormat/>
    <w:uiPriority w:val="0"/>
    <w:pPr>
      <w:ind w:firstLine="200" w:firstLineChars="200"/>
    </w:pPr>
    <w:rPr>
      <w:rFonts w:ascii="Calibri" w:hAnsi="Calibri"/>
      <w:sz w:val="28"/>
      <w:szCs w:val="22"/>
    </w:rPr>
  </w:style>
  <w:style w:type="paragraph" w:styleId="25">
    <w:name w:val="Body Text Indent"/>
    <w:basedOn w:val="1"/>
    <w:next w:val="26"/>
    <w:link w:val="781"/>
    <w:qFormat/>
    <w:uiPriority w:val="0"/>
    <w:pPr>
      <w:spacing w:line="480" w:lineRule="exact"/>
      <w:ind w:firstLine="480" w:firstLineChars="200"/>
    </w:pPr>
    <w:rPr>
      <w:rFonts w:ascii="宋体" w:hAnsi="宋体"/>
      <w:sz w:val="24"/>
    </w:rPr>
  </w:style>
  <w:style w:type="paragraph" w:customStyle="1" w:styleId="26">
    <w:name w:val="正文文本首行缩进 2"/>
    <w:basedOn w:val="25"/>
    <w:qFormat/>
    <w:uiPriority w:val="0"/>
    <w:pPr>
      <w:spacing w:line="200" w:lineRule="atLeast"/>
      <w:ind w:firstLine="420"/>
    </w:pPr>
    <w:rPr>
      <w:rFonts w:ascii="宋体" w:hAnsi="Courier New" w:eastAsia="宋体" w:cs="Times New Roman"/>
      <w:spacing w:val="-4"/>
      <w:sz w:val="18"/>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35"/>
    <w:link w:val="657"/>
    <w:qFormat/>
    <w:uiPriority w:val="0"/>
    <w:rPr>
      <w:rFonts w:ascii="宋体" w:hAnsi="Courier New" w:cs="Arial"/>
      <w:snapToGrid w:val="0"/>
      <w:szCs w:val="21"/>
    </w:rPr>
  </w:style>
  <w:style w:type="paragraph" w:styleId="35">
    <w:name w:val="toc 2"/>
    <w:basedOn w:val="1"/>
    <w:next w:val="1"/>
    <w:qFormat/>
    <w:uiPriority w:val="0"/>
    <w:pPr>
      <w:ind w:left="420" w:leftChars="200"/>
    </w:p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7"/>
    <w:qFormat/>
    <w:uiPriority w:val="0"/>
    <w:pPr>
      <w:ind w:left="100" w:leftChars="2500"/>
    </w:pPr>
    <w:rPr>
      <w:rFonts w:ascii="宋体"/>
      <w:sz w:val="24"/>
      <w:szCs w:val="21"/>
      <w:lang w:val="zh-CN"/>
    </w:rPr>
  </w:style>
  <w:style w:type="paragraph" w:styleId="39">
    <w:name w:val="Body Text Indent 2"/>
    <w:basedOn w:val="1"/>
    <w:link w:val="821"/>
    <w:qFormat/>
    <w:uiPriority w:val="0"/>
    <w:pPr>
      <w:spacing w:line="360" w:lineRule="auto"/>
      <w:ind w:firstLine="601"/>
      <w:textAlignment w:val="baseline"/>
    </w:pPr>
    <w:rPr>
      <w:rFonts w:ascii="宋体"/>
      <w:kern w:val="0"/>
      <w:sz w:val="28"/>
      <w:szCs w:val="20"/>
    </w:rPr>
  </w:style>
  <w:style w:type="paragraph" w:styleId="40">
    <w:name w:val="endnote text"/>
    <w:basedOn w:val="1"/>
    <w:link w:val="938"/>
    <w:qFormat/>
    <w:uiPriority w:val="0"/>
    <w:rPr>
      <w:lang w:val="zh-CN"/>
    </w:rPr>
  </w:style>
  <w:style w:type="paragraph" w:styleId="41">
    <w:name w:val="Balloon Text"/>
    <w:basedOn w:val="1"/>
    <w:link w:val="714"/>
    <w:qFormat/>
    <w:uiPriority w:val="0"/>
    <w:rPr>
      <w:sz w:val="18"/>
      <w:szCs w:val="18"/>
    </w:rPr>
  </w:style>
  <w:style w:type="paragraph" w:styleId="42">
    <w:name w:val="footer"/>
    <w:basedOn w:val="1"/>
    <w:link w:val="889"/>
    <w:qFormat/>
    <w:uiPriority w:val="99"/>
    <w:pPr>
      <w:tabs>
        <w:tab w:val="center" w:pos="4153"/>
        <w:tab w:val="right" w:pos="8306"/>
      </w:tabs>
      <w:snapToGrid w:val="0"/>
      <w:jc w:val="left"/>
    </w:pPr>
    <w:rPr>
      <w:sz w:val="18"/>
      <w:szCs w:val="18"/>
    </w:rPr>
  </w:style>
  <w:style w:type="paragraph" w:styleId="43">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3"/>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2"/>
    <w:qFormat/>
    <w:uiPriority w:val="0"/>
    <w:pPr>
      <w:spacing w:line="360" w:lineRule="auto"/>
      <w:ind w:firstLine="420"/>
    </w:pPr>
    <w:rPr>
      <w:sz w:val="24"/>
      <w:szCs w:val="20"/>
    </w:rPr>
  </w:style>
  <w:style w:type="paragraph" w:styleId="56">
    <w:name w:val="toc 9"/>
    <w:basedOn w:val="1"/>
    <w:next w:val="1"/>
    <w:qFormat/>
    <w:uiPriority w:val="0"/>
    <w:pPr>
      <w:ind w:left="3360" w:leftChars="1600"/>
    </w:pPr>
  </w:style>
  <w:style w:type="paragraph" w:styleId="57">
    <w:name w:val="Body Text 2"/>
    <w:basedOn w:val="1"/>
    <w:link w:val="817"/>
    <w:qFormat/>
    <w:uiPriority w:val="0"/>
    <w:pPr>
      <w:spacing w:after="120" w:line="480" w:lineRule="auto"/>
    </w:pPr>
  </w:style>
  <w:style w:type="paragraph" w:styleId="58">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80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30"/>
    <w:qFormat/>
    <w:uiPriority w:val="0"/>
    <w:rPr>
      <w:b/>
      <w:bCs/>
    </w:rPr>
  </w:style>
  <w:style w:type="paragraph" w:styleId="62">
    <w:name w:val="Body Text First Indent"/>
    <w:basedOn w:val="23"/>
    <w:link w:val="832"/>
    <w:qFormat/>
    <w:uiPriority w:val="0"/>
    <w:pPr>
      <w:ind w:firstLine="420"/>
    </w:pPr>
    <w:rPr>
      <w:rFonts w:hAnsi="Calibri" w:cs="Times New Roman"/>
      <w:szCs w:val="20"/>
    </w:rPr>
  </w:style>
  <w:style w:type="paragraph" w:styleId="63">
    <w:name w:val="Body Text First Indent 2"/>
    <w:basedOn w:val="25"/>
    <w:link w:val="653"/>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2">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2"/>
    <w:qFormat/>
    <w:uiPriority w:val="0"/>
    <w:pPr>
      <w:spacing w:before="156" w:line="360" w:lineRule="auto"/>
      <w:ind w:firstLine="510" w:firstLineChars="200"/>
    </w:pPr>
    <w:rPr>
      <w:sz w:val="24"/>
      <w:szCs w:val="20"/>
    </w:rPr>
  </w:style>
  <w:style w:type="paragraph" w:customStyle="1" w:styleId="88">
    <w:name w:val="无间隔1"/>
    <w:link w:val="670"/>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8"/>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2"/>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3"/>
    <w:qFormat/>
    <w:uiPriority w:val="0"/>
    <w:pPr>
      <w:ind w:left="0" w:right="466" w:firstLine="288"/>
    </w:pPr>
    <w:rPr>
      <w:rFonts w:hAnsi="宋体"/>
    </w:rPr>
  </w:style>
  <w:style w:type="paragraph" w:customStyle="1" w:styleId="95">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6"/>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5"/>
    <w:qFormat/>
    <w:uiPriority w:val="0"/>
    <w:pPr>
      <w:adjustRightInd/>
      <w:spacing w:line="360" w:lineRule="auto"/>
      <w:ind w:firstLine="480" w:firstLineChars="200"/>
    </w:pPr>
    <w:rPr>
      <w:kern w:val="0"/>
      <w:sz w:val="24"/>
    </w:rPr>
  </w:style>
  <w:style w:type="paragraph" w:customStyle="1" w:styleId="100">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6"/>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8"/>
    <w:qFormat/>
    <w:uiPriority w:val="0"/>
    <w:pPr>
      <w:tabs>
        <w:tab w:val="left" w:pos="2356"/>
      </w:tabs>
    </w:pPr>
  </w:style>
  <w:style w:type="paragraph" w:customStyle="1" w:styleId="105">
    <w:name w:val="样式 标题 4h4H4Fab-4T5Ref Heading 1rh1Heading sqlsect 1.2.3...."/>
    <w:basedOn w:val="6"/>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1"/>
    <w:qFormat/>
    <w:uiPriority w:val="0"/>
    <w:pPr>
      <w:adjustRightInd/>
    </w:pPr>
    <w:rPr>
      <w:rFonts w:ascii="宋体" w:hAnsi="Courier New"/>
      <w:kern w:val="0"/>
      <w:sz w:val="20"/>
      <w:szCs w:val="20"/>
    </w:rPr>
  </w:style>
  <w:style w:type="paragraph" w:customStyle="1" w:styleId="108">
    <w:name w:val="正文说明"/>
    <w:basedOn w:val="1"/>
    <w:link w:val="843"/>
    <w:qFormat/>
    <w:uiPriority w:val="0"/>
    <w:pPr>
      <w:adjustRightInd/>
      <w:spacing w:line="360" w:lineRule="auto"/>
    </w:pPr>
    <w:rPr>
      <w:kern w:val="0"/>
      <w:sz w:val="24"/>
    </w:rPr>
  </w:style>
  <w:style w:type="paragraph" w:customStyle="1" w:styleId="109">
    <w:name w:val="Table Text"/>
    <w:basedOn w:val="1"/>
    <w:link w:val="849"/>
    <w:qFormat/>
    <w:uiPriority w:val="0"/>
    <w:pPr>
      <w:widowControl/>
      <w:spacing w:before="60" w:after="60"/>
      <w:jc w:val="left"/>
    </w:pPr>
    <w:rPr>
      <w:kern w:val="0"/>
      <w:sz w:val="24"/>
    </w:rPr>
  </w:style>
  <w:style w:type="paragraph" w:customStyle="1" w:styleId="110">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5"/>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6"/>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No Spacing"/>
    <w:basedOn w:val="1"/>
    <w:link w:val="939"/>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4"/>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7"/>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4"/>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6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6"/>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7"/>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1">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3"/>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156"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0" w:beforeLines="0" w:after="0" w:afterLines="0"/>
      <w:ind w:left="1680"/>
      <w:outlineLvl w:val="2"/>
    </w:pPr>
  </w:style>
  <w:style w:type="paragraph" w:customStyle="1" w:styleId="343">
    <w:name w:val="章标题"/>
    <w:next w:val="32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6"/>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9"/>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4"/>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3"/>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09"/>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18"/>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7"/>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3"/>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7"/>
    <w:next w:val="1"/>
    <w:qFormat/>
    <w:uiPriority w:val="0"/>
    <w:pPr>
      <w:tabs>
        <w:tab w:val="left" w:pos="1080"/>
        <w:tab w:val="clear" w:pos="1008"/>
      </w:tabs>
      <w:ind w:left="1080" w:hanging="1080"/>
    </w:pPr>
  </w:style>
  <w:style w:type="paragraph" w:customStyle="1" w:styleId="581">
    <w:name w:val="数字标题1"/>
    <w:basedOn w:val="3"/>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8"/>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7"/>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7">
    <w:name w:val="_Style 947"/>
    <w:basedOn w:val="1"/>
    <w:next w:val="102"/>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9">
    <w:name w:val="表格非标题文字 Char"/>
    <w:link w:val="82"/>
    <w:qFormat/>
    <w:uiPriority w:val="0"/>
    <w:rPr>
      <w:rFonts w:ascii="Futura Bk" w:hAnsi="Futura Bk"/>
      <w:kern w:val="2"/>
      <w:sz w:val="18"/>
      <w:szCs w:val="21"/>
      <w:lang w:val="en-US" w:eastAsia="zh-CN" w:bidi="ar-SA"/>
    </w:rPr>
  </w:style>
  <w:style w:type="character" w:customStyle="1" w:styleId="620">
    <w:name w:val="*正文 Char"/>
    <w:link w:val="83"/>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4"/>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61"/>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5"/>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6"/>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63"/>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71"/>
    <w:qFormat/>
    <w:uiPriority w:val="0"/>
    <w:rPr>
      <w:rFonts w:ascii="Arial" w:hAnsi="Arial" w:eastAsia="黑体" w:cs="Arial"/>
      <w:snapToGrid w:val="0"/>
      <w:kern w:val="0"/>
      <w:szCs w:val="21"/>
    </w:rPr>
  </w:style>
  <w:style w:type="character" w:customStyle="1" w:styleId="65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7"/>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9"/>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8"/>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8"/>
    <w:qFormat/>
    <w:uiPriority w:val="0"/>
    <w:rPr>
      <w:rFonts w:ascii="Arial" w:hAnsi="Arial" w:eastAsia="黑体"/>
      <w:b/>
      <w:bCs/>
      <w:kern w:val="2"/>
      <w:sz w:val="24"/>
      <w:szCs w:val="24"/>
    </w:rPr>
  </w:style>
  <w:style w:type="character" w:customStyle="1" w:styleId="678">
    <w:name w:val="纯文本 Char_0"/>
    <w:link w:val="89"/>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91"/>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2"/>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8"/>
    <w:qFormat/>
    <w:uiPriority w:val="0"/>
    <w:rPr>
      <w:rFonts w:ascii="宋体"/>
      <w:kern w:val="2"/>
      <w:sz w:val="24"/>
      <w:szCs w:val="21"/>
      <w:lang w:val="zh-CN"/>
    </w:rPr>
  </w:style>
  <w:style w:type="character" w:customStyle="1" w:styleId="708">
    <w:name w:val="标题 9 Char"/>
    <w:link w:val="11"/>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1"/>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3"/>
    <w:qFormat/>
    <w:locked/>
    <w:uiPriority w:val="0"/>
    <w:rPr>
      <w:rFonts w:ascii="Tahoma" w:hAnsi="Tahoma"/>
      <w:sz w:val="24"/>
      <w:szCs w:val="24"/>
    </w:rPr>
  </w:style>
  <w:style w:type="character" w:customStyle="1" w:styleId="718">
    <w:name w:val="正文缩进 Char2"/>
    <w:link w:val="5"/>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4"/>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18"/>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71"/>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1"/>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6"/>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7"/>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16"/>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8"/>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9"/>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100"/>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101"/>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5"/>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3"/>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3"/>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0"/>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7"/>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0"/>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8"/>
    <w:qFormat/>
    <w:uiPriority w:val="0"/>
    <w:rPr>
      <w:rFonts w:ascii="黑体" w:hAnsi="Courier New" w:eastAsia="黑体"/>
    </w:rPr>
  </w:style>
  <w:style w:type="character" w:customStyle="1" w:styleId="817">
    <w:name w:val="正文文本 2 Char1"/>
    <w:link w:val="57"/>
    <w:qFormat/>
    <w:uiPriority w:val="0"/>
    <w:rPr>
      <w:kern w:val="2"/>
      <w:sz w:val="21"/>
      <w:szCs w:val="24"/>
    </w:rPr>
  </w:style>
  <w:style w:type="character" w:customStyle="1" w:styleId="818">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9"/>
    <w:qFormat/>
    <w:uiPriority w:val="0"/>
    <w:rPr>
      <w:b/>
      <w:bCs/>
      <w:kern w:val="2"/>
      <w:sz w:val="24"/>
      <w:szCs w:val="24"/>
    </w:rPr>
  </w:style>
  <w:style w:type="character" w:customStyle="1" w:styleId="821">
    <w:name w:val="正文文本缩进 2 Char"/>
    <w:link w:val="39"/>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2"/>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6"/>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7"/>
    <w:qFormat/>
    <w:uiPriority w:val="0"/>
    <w:rPr>
      <w:rFonts w:ascii="宋体" w:hAnsi="Courier New"/>
    </w:rPr>
  </w:style>
  <w:style w:type="character" w:customStyle="1" w:styleId="832">
    <w:name w:val="正文首行缩进 Char"/>
    <w:link w:val="62"/>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6"/>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1"/>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8"/>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9"/>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19"/>
    <w:qFormat/>
    <w:uiPriority w:val="0"/>
    <w:rPr>
      <w:kern w:val="2"/>
      <w:sz w:val="21"/>
      <w:szCs w:val="24"/>
    </w:rPr>
  </w:style>
  <w:style w:type="character" w:customStyle="1" w:styleId="854">
    <w:name w:val="签名 Char"/>
    <w:link w:val="44"/>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10"/>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11"/>
    <w:qFormat/>
    <w:uiPriority w:val="0"/>
    <w:rPr>
      <w:rFonts w:ascii="宋体"/>
    </w:rPr>
  </w:style>
  <w:style w:type="character" w:customStyle="1" w:styleId="865">
    <w:name w:val="标题 8 Char"/>
    <w:link w:val="10"/>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5"/>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2"/>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2"/>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3"/>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3"/>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4"/>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5"/>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6"/>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7"/>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71"/>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8"/>
    <w:qFormat/>
    <w:uiPriority w:val="0"/>
    <w:rPr>
      <w:rFonts w:cs="宋体"/>
      <w:kern w:val="2"/>
      <w:sz w:val="24"/>
    </w:rPr>
  </w:style>
  <w:style w:type="character" w:customStyle="1" w:styleId="9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1">
    <w:name w:val="gray6"/>
    <w:basedOn w:val="71"/>
    <w:qFormat/>
    <w:uiPriority w:val="0"/>
    <w:rPr>
      <w:rFonts w:ascii="Arial" w:hAnsi="Arial" w:eastAsia="黑体" w:cs="Arial"/>
      <w:snapToGrid w:val="0"/>
      <w:kern w:val="0"/>
      <w:szCs w:val="21"/>
    </w:rPr>
  </w:style>
  <w:style w:type="character" w:customStyle="1" w:styleId="932">
    <w:name w:val="hui"/>
    <w:basedOn w:val="71"/>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40"/>
    <w:qFormat/>
    <w:uiPriority w:val="0"/>
    <w:rPr>
      <w:kern w:val="2"/>
      <w:sz w:val="21"/>
      <w:szCs w:val="24"/>
      <w:lang w:val="zh-CN"/>
    </w:rPr>
  </w:style>
  <w:style w:type="character" w:customStyle="1" w:styleId="939">
    <w:name w:val="无间隔 Char"/>
    <w:link w:val="168"/>
    <w:qFormat/>
    <w:uiPriority w:val="99"/>
    <w:rPr>
      <w:kern w:val="2"/>
      <w:sz w:val="21"/>
      <w:szCs w:val="22"/>
    </w:rPr>
  </w:style>
  <w:style w:type="character" w:customStyle="1" w:styleId="940">
    <w:name w:val="标准文本 Char Char"/>
    <w:link w:val="606"/>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71"/>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3">
    <w:name w:val="[Normal]"/>
    <w:qFormat/>
    <w:uiPriority w:val="0"/>
    <w:rPr>
      <w:rFonts w:ascii="宋体" w:hAnsi="宋体" w:eastAsia="宋体" w:cs="Times New Roman"/>
      <w:sz w:val="24"/>
      <w:szCs w:val="22"/>
      <w:lang w:val="zh-CN" w:eastAsia="zh-CN" w:bidi="ar-SA"/>
    </w:rPr>
  </w:style>
  <w:style w:type="paragraph" w:customStyle="1" w:styleId="964">
    <w:name w:val="样式 宋体 小四 行距: 1.5 倍行距 首行缩进:  2 字符"/>
    <w:basedOn w:val="1"/>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27.png"/><Relationship Id="rId51" Type="http://schemas.openxmlformats.org/officeDocument/2006/relationships/image" Target="media/image26.png"/><Relationship Id="rId50" Type="http://schemas.openxmlformats.org/officeDocument/2006/relationships/image" Target="media/image25.png"/><Relationship Id="rId5" Type="http://schemas.openxmlformats.org/officeDocument/2006/relationships/footer" Target="footer1.xml"/><Relationship Id="rId49" Type="http://schemas.openxmlformats.org/officeDocument/2006/relationships/image" Target="media/image24.png"/><Relationship Id="rId48" Type="http://schemas.openxmlformats.org/officeDocument/2006/relationships/image" Target="media/image23.png"/><Relationship Id="rId47" Type="http://schemas.openxmlformats.org/officeDocument/2006/relationships/image" Target="media/image22.png"/><Relationship Id="rId46" Type="http://schemas.openxmlformats.org/officeDocument/2006/relationships/image" Target="media/image21.png"/><Relationship Id="rId45" Type="http://schemas.openxmlformats.org/officeDocument/2006/relationships/image" Target="media/image20.png"/><Relationship Id="rId44" Type="http://schemas.openxmlformats.org/officeDocument/2006/relationships/image" Target="media/image19.png"/><Relationship Id="rId43" Type="http://schemas.openxmlformats.org/officeDocument/2006/relationships/image" Target="media/image18.png"/><Relationship Id="rId42" Type="http://schemas.openxmlformats.org/officeDocument/2006/relationships/image" Target="media/image17.png"/><Relationship Id="rId41" Type="http://schemas.openxmlformats.org/officeDocument/2006/relationships/image" Target="media/image16.png"/><Relationship Id="rId40" Type="http://schemas.openxmlformats.org/officeDocument/2006/relationships/image" Target="media/image15.png"/><Relationship Id="rId4" Type="http://schemas.openxmlformats.org/officeDocument/2006/relationships/header" Target="header2.xml"/><Relationship Id="rId39" Type="http://schemas.openxmlformats.org/officeDocument/2006/relationships/image" Target="media/image14.png"/><Relationship Id="rId38" Type="http://schemas.openxmlformats.org/officeDocument/2006/relationships/image" Target="media/image13.png"/><Relationship Id="rId37" Type="http://schemas.openxmlformats.org/officeDocument/2006/relationships/image" Target="media/image12.png"/><Relationship Id="rId36" Type="http://schemas.openxmlformats.org/officeDocument/2006/relationships/image" Target="media/image11.png"/><Relationship Id="rId35" Type="http://schemas.openxmlformats.org/officeDocument/2006/relationships/image" Target="media/image10.png"/><Relationship Id="rId34" Type="http://schemas.openxmlformats.org/officeDocument/2006/relationships/image" Target="media/image9.png"/><Relationship Id="rId33" Type="http://schemas.openxmlformats.org/officeDocument/2006/relationships/image" Target="media/image8.png"/><Relationship Id="rId32" Type="http://schemas.openxmlformats.org/officeDocument/2006/relationships/image" Target="media/image7.png"/><Relationship Id="rId31" Type="http://schemas.openxmlformats.org/officeDocument/2006/relationships/image" Target="media/image6.png"/><Relationship Id="rId30" Type="http://schemas.openxmlformats.org/officeDocument/2006/relationships/image" Target="media/image5.png"/><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93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杭州市建设工程管理有限公司</cp:lastModifiedBy>
  <cp:lastPrinted>2021-12-27T03:06:00Z</cp:lastPrinted>
  <dcterms:modified xsi:type="dcterms:W3CDTF">2022-01-27T15:28:14Z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