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5"/>
        <w:bidi w:val="0"/>
        <w:rPr>
          <w:rStyle w:val="929"/>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b/>
          <w:bCs/>
          <w:color w:val="000000" w:themeColor="text1"/>
          <w:sz w:val="48"/>
          <w:szCs w:val="48"/>
          <w14:textFill>
            <w14:solidFill>
              <w14:schemeClr w14:val="tx1"/>
            </w14:solidFill>
          </w14:textFill>
        </w:rPr>
      </w:pPr>
      <w:r>
        <w:rPr>
          <w:rFonts w:hint="eastAsia" w:ascii="仿宋" w:hAnsi="仿宋" w:eastAsia="仿宋" w:cs="仿宋"/>
          <w:b/>
          <w:bCs/>
          <w:color w:val="000000" w:themeColor="text1"/>
          <w:sz w:val="48"/>
          <w:szCs w:val="48"/>
          <w:shd w:val="clear" w:color="auto" w:fill="FFFFFF"/>
          <w14:textFill>
            <w14:solidFill>
              <w14:schemeClr w14:val="tx1"/>
            </w14:solidFill>
          </w14:textFill>
        </w:rPr>
        <w:t>杭州市上城区人民法院物业管理服务项目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lang w:val="en-US" w:eastAsia="zh-CN"/>
        </w:rPr>
      </w:pPr>
      <w:r>
        <w:rPr>
          <w:rFonts w:hint="eastAsia" w:ascii="宋体" w:hAnsi="宋体" w:cs="宋体"/>
          <w:sz w:val="30"/>
          <w:szCs w:val="30"/>
        </w:rPr>
        <w:t>编号:SCCG2023-GK-3</w:t>
      </w:r>
      <w:r>
        <w:rPr>
          <w:rFonts w:hint="eastAsia" w:ascii="宋体" w:hAnsi="宋体" w:cs="宋体"/>
          <w:sz w:val="30"/>
          <w:szCs w:val="30"/>
          <w:lang w:val="en-US" w:eastAsia="zh-CN"/>
        </w:rPr>
        <w:t>9</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color w:val="0000FF"/>
          <w:sz w:val="32"/>
          <w:szCs w:val="32"/>
        </w:rPr>
      </w:pPr>
      <w:r>
        <w:rPr>
          <w:rFonts w:hint="eastAsia" w:ascii="宋体" w:hAnsi="宋体" w:cs="宋体"/>
          <w:bCs/>
          <w:sz w:val="32"/>
          <w:szCs w:val="32"/>
        </w:rPr>
        <w:t>杭州市上城区人民法院</w:t>
      </w:r>
    </w:p>
    <w:p>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杭州市公共资源交易中心上城分中心</w:t>
      </w:r>
    </w:p>
    <w:p>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w:t>
      </w:r>
      <w:r>
        <w:rPr>
          <w:rFonts w:hint="eastAsia" w:ascii="宋体" w:hAnsi="宋体" w:cs="宋体"/>
          <w:bCs/>
          <w:color w:val="000000" w:themeColor="text1"/>
          <w:sz w:val="32"/>
          <w:szCs w:val="32"/>
          <w:lang w:eastAsia="zh-CN"/>
          <w14:textFill>
            <w14:solidFill>
              <w14:schemeClr w14:val="tx1"/>
            </w14:solidFill>
          </w14:textFill>
        </w:rPr>
        <w:t>三</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九</w:t>
      </w:r>
      <w:r>
        <w:rPr>
          <w:rFonts w:hint="eastAsia" w:ascii="宋体" w:hAnsi="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val="en-US" w:eastAsia="zh-CN"/>
          <w14:textFill>
            <w14:solidFill>
              <w14:schemeClr w14:val="tx1"/>
            </w14:solidFill>
          </w14:textFill>
        </w:rPr>
        <w:t>一</w:t>
      </w:r>
      <w:r>
        <w:rPr>
          <w:rFonts w:hint="eastAsia" w:ascii="宋体" w:hAnsi="宋体" w:cs="宋体"/>
          <w:bCs/>
          <w:color w:val="000000" w:themeColor="text1"/>
          <w:sz w:val="32"/>
          <w:szCs w:val="32"/>
          <w14:textFill>
            <w14:solidFill>
              <w14:schemeClr w14:val="tx1"/>
            </w14:solidFill>
          </w14:textFill>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5"/>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第一部分      招标公告</w:t>
      </w:r>
      <w:r>
        <w:rPr>
          <w:rFonts w:hint="eastAsia" w:ascii="宋体" w:hAnsi="宋体" w:cs="宋体"/>
          <w:sz w:val="32"/>
          <w:szCs w:val="32"/>
          <w:lang w:val="en-US" w:eastAsia="zh-CN"/>
        </w:rPr>
        <w:t xml:space="preserve">  </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000000" w:themeColor="text1"/>
          <w:sz w:val="24"/>
          <w:u w:val="single"/>
          <w14:textFill>
            <w14:solidFill>
              <w14:schemeClr w14:val="tx1"/>
            </w14:solidFill>
          </w14:textFill>
        </w:rPr>
        <w:t>杭州市上城区人民法院物业管理服务项目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kern w:val="2"/>
          <w:sz w:val="24"/>
          <w:szCs w:val="24"/>
        </w:rPr>
        <w:t>https://www.zcygov.cn/）获取（下载）招标文件，并于202</w:t>
      </w:r>
      <w:r>
        <w:rPr>
          <w:rStyle w:val="77"/>
          <w:rFonts w:hint="eastAsia" w:ascii="宋体" w:hAnsi="宋体" w:cs="宋体"/>
          <w:snapToGrid/>
          <w:kern w:val="2"/>
          <w:sz w:val="24"/>
          <w:szCs w:val="24"/>
          <w:lang w:val="en-US" w:eastAsia="zh-CN"/>
        </w:rPr>
        <w:t>3</w:t>
      </w:r>
      <w:r>
        <w:rPr>
          <w:rStyle w:val="77"/>
          <w:rFonts w:hint="eastAsia" w:ascii="宋体" w:hAnsi="宋体" w:eastAsia="宋体" w:cs="宋体"/>
          <w:snapToGrid/>
          <w:kern w:val="2"/>
          <w:sz w:val="24"/>
          <w:szCs w:val="24"/>
        </w:rPr>
        <w:t>年</w:t>
      </w:r>
      <w:r>
        <w:rPr>
          <w:rStyle w:val="77"/>
          <w:rFonts w:hint="eastAsia" w:ascii="宋体" w:hAnsi="宋体" w:cs="宋体"/>
          <w:snapToGrid/>
          <w:kern w:val="2"/>
          <w:sz w:val="24"/>
          <w:szCs w:val="24"/>
          <w:lang w:val="en-US" w:eastAsia="zh-CN"/>
        </w:rPr>
        <w:t>9</w:t>
      </w:r>
      <w:r>
        <w:rPr>
          <w:rStyle w:val="77"/>
          <w:rFonts w:hint="eastAsia" w:ascii="宋体" w:hAnsi="宋体" w:eastAsia="宋体" w:cs="宋体"/>
          <w:snapToGrid/>
          <w:kern w:val="2"/>
          <w:sz w:val="24"/>
          <w:szCs w:val="24"/>
        </w:rPr>
        <w:t>月</w:t>
      </w:r>
      <w:r>
        <w:rPr>
          <w:rStyle w:val="77"/>
          <w:rFonts w:hint="eastAsia" w:ascii="宋体" w:hAnsi="宋体" w:cs="宋体"/>
          <w:snapToGrid/>
          <w:kern w:val="2"/>
          <w:sz w:val="24"/>
          <w:szCs w:val="24"/>
          <w:lang w:val="en-US" w:eastAsia="zh-CN"/>
        </w:rPr>
        <w:t>22</w:t>
      </w:r>
      <w:r>
        <w:rPr>
          <w:rStyle w:val="77"/>
          <w:rFonts w:hint="eastAsia" w:ascii="宋体" w:hAnsi="宋体" w:eastAsia="宋体" w:cs="宋体"/>
          <w:snapToGrid/>
          <w:kern w:val="2"/>
          <w:sz w:val="24"/>
          <w:szCs w:val="24"/>
        </w:rPr>
        <w:t>日</w:t>
      </w:r>
      <w:r>
        <w:rPr>
          <w:rStyle w:val="77"/>
          <w:rFonts w:hint="eastAsia" w:ascii="宋体" w:hAnsi="宋体" w:cs="宋体"/>
          <w:snapToGrid/>
          <w:kern w:val="2"/>
          <w:sz w:val="24"/>
          <w:szCs w:val="24"/>
          <w:lang w:val="en-US" w:eastAsia="zh-CN"/>
        </w:rPr>
        <w:t>10</w:t>
      </w:r>
      <w:r>
        <w:rPr>
          <w:rStyle w:val="77"/>
          <w:rFonts w:hint="eastAsia" w:ascii="宋体" w:hAnsi="宋体" w:eastAsia="宋体" w:cs="宋体"/>
          <w:snapToGrid/>
          <w:kern w:val="2"/>
          <w:sz w:val="24"/>
          <w:szCs w:val="24"/>
        </w:rPr>
        <w:t>点</w:t>
      </w:r>
      <w:r>
        <w:rPr>
          <w:rStyle w:val="77"/>
          <w:rFonts w:hint="eastAsia" w:ascii="宋体" w:hAnsi="宋体" w:cs="宋体"/>
          <w:snapToGrid/>
          <w:kern w:val="2"/>
          <w:sz w:val="24"/>
          <w:szCs w:val="24"/>
          <w:lang w:val="en-US" w:eastAsia="zh-CN"/>
        </w:rPr>
        <w:t>00</w:t>
      </w:r>
      <w:r>
        <w:rPr>
          <w:rStyle w:val="77"/>
          <w:rFonts w:hint="eastAsia" w:ascii="宋体" w:hAnsi="宋体" w:eastAsia="宋体" w:cs="宋体"/>
          <w:snapToGrid/>
          <w:kern w:val="2"/>
          <w:sz w:val="24"/>
          <w:szCs w:val="24"/>
        </w:rPr>
        <w:t>分</w:t>
      </w:r>
      <w:r>
        <w:rPr>
          <w:rStyle w:val="77"/>
          <w:rFonts w:hint="eastAsia" w:ascii="宋体" w:hAnsi="宋体" w:eastAsia="宋体" w:cs="宋体"/>
          <w:bCs/>
          <w:snapToGrid/>
          <w:kern w:val="2"/>
          <w:sz w:val="24"/>
          <w:szCs w:val="24"/>
        </w:rPr>
        <w:t>00秒</w:t>
      </w:r>
      <w:r>
        <w:rPr>
          <w:rStyle w:val="77"/>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0"/>
        <w:rPr>
          <w:rFonts w:hint="eastAsia" w:ascii="宋体" w:hAnsi="宋体" w:cs="宋体"/>
          <w:b/>
          <w:sz w:val="24"/>
        </w:rPr>
      </w:pPr>
      <w:r>
        <w:rPr>
          <w:rFonts w:hint="eastAsia" w:ascii="宋体" w:hAnsi="宋体" w:cs="宋体"/>
          <w:b/>
          <w:sz w:val="24"/>
        </w:rPr>
        <w:t>项目编号：</w:t>
      </w:r>
      <w:r>
        <w:rPr>
          <w:rFonts w:hint="eastAsia" w:ascii="宋体" w:hAnsi="宋体" w:cs="宋体"/>
          <w:b w:val="0"/>
          <w:bCs/>
          <w:sz w:val="24"/>
        </w:rPr>
        <w:t xml:space="preserve">SCCG2023-GK-39 </w:t>
      </w:r>
      <w:r>
        <w:rPr>
          <w:rFonts w:hint="eastAsia" w:ascii="宋体" w:hAnsi="宋体" w:cs="宋体"/>
          <w:sz w:val="24"/>
        </w:rPr>
        <w:t xml:space="preserve">  </w:t>
      </w:r>
      <w:r>
        <w:rPr>
          <w:rFonts w:hint="eastAsia" w:ascii="宋体" w:hAnsi="宋体" w:cs="宋体"/>
          <w:b/>
          <w:sz w:val="24"/>
        </w:rPr>
        <w:t xml:space="preserve"> </w:t>
      </w:r>
    </w:p>
    <w:p>
      <w:pPr>
        <w:spacing w:line="360" w:lineRule="auto"/>
        <w:ind w:firstLine="48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宋体" w:hAnsi="宋体" w:cs="宋体"/>
          <w:b/>
          <w:sz w:val="24"/>
        </w:rPr>
        <w:t>项目名称：</w:t>
      </w:r>
      <w:r>
        <w:rPr>
          <w:rFonts w:hint="eastAsia" w:asciiTheme="minorEastAsia" w:hAnsiTheme="minorEastAsia" w:eastAsiaTheme="minorEastAsia" w:cstheme="minorEastAsia"/>
          <w:bCs/>
          <w:color w:val="000000" w:themeColor="text1"/>
          <w:sz w:val="24"/>
          <w14:textFill>
            <w14:solidFill>
              <w14:schemeClr w14:val="tx1"/>
            </w14:solidFill>
          </w14:textFill>
        </w:rPr>
        <w:t>杭州市上城区人民法院物业管理服务项目</w:t>
      </w:r>
    </w:p>
    <w:p>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val="0"/>
          <w:bCs/>
          <w:sz w:val="24"/>
          <w:lang w:val="en-US" w:eastAsia="zh-CN"/>
        </w:rPr>
        <w:t>3000000.00</w:t>
      </w:r>
    </w:p>
    <w:p>
      <w:pPr>
        <w:spacing w:line="360" w:lineRule="auto"/>
        <w:ind w:firstLine="482" w:firstLineChars="200"/>
        <w:rPr>
          <w:rFonts w:hint="default" w:ascii="宋体" w:hAnsi="宋体" w:cs="宋体"/>
          <w:sz w:val="24"/>
          <w:lang w:val="en-US"/>
        </w:rPr>
      </w:pPr>
      <w:r>
        <w:rPr>
          <w:rFonts w:hint="eastAsia" w:ascii="宋体" w:hAnsi="宋体" w:cs="宋体"/>
          <w:b/>
          <w:sz w:val="24"/>
        </w:rPr>
        <w:t>最高限价（元）：</w:t>
      </w:r>
      <w:r>
        <w:rPr>
          <w:rFonts w:hint="eastAsia" w:ascii="宋体" w:hAnsi="宋体" w:cs="宋体"/>
          <w:b w:val="0"/>
          <w:bCs/>
          <w:sz w:val="24"/>
          <w:lang w:val="en-US" w:eastAsia="zh-CN"/>
        </w:rPr>
        <w:t>3000000.00</w:t>
      </w:r>
    </w:p>
    <w:p>
      <w:pPr>
        <w:pStyle w:val="2"/>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cstheme="minorEastAsia"/>
          <w:bCs/>
          <w:color w:val="000000" w:themeColor="text1"/>
          <w:sz w:val="24"/>
          <w14:textFill>
            <w14:solidFill>
              <w14:schemeClr w14:val="tx1"/>
            </w14:solidFill>
          </w14:textFill>
        </w:rPr>
        <w:t>杭州市上城区人民法院物业管理服务项目</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w:t>
      </w:r>
      <w:r>
        <w:rPr>
          <w:rFonts w:hint="eastAsia" w:hAnsi="宋体" w:cs="宋体"/>
          <w:bCs/>
          <w:snapToGrid/>
          <w:color w:val="auto"/>
          <w:kern w:val="2"/>
          <w:sz w:val="24"/>
          <w:szCs w:val="24"/>
        </w:rPr>
        <w:t>主要内容：</w:t>
      </w:r>
      <w:r>
        <w:rPr>
          <w:rFonts w:hint="eastAsia" w:hAnsi="宋体" w:cs="宋体"/>
          <w:snapToGrid/>
          <w:color w:val="000000" w:themeColor="text1"/>
          <w:kern w:val="2"/>
          <w:sz w:val="24"/>
          <w:szCs w:val="24"/>
          <w14:textFill>
            <w14:solidFill>
              <w14:schemeClr w14:val="tx1"/>
            </w14:solidFill>
          </w14:textFill>
        </w:rPr>
        <w:t>杭州市上城区人民法院所有物业管理服务，为人民法院提供基本的公共区域保洁服务、</w:t>
      </w:r>
      <w:r>
        <w:rPr>
          <w:rFonts w:hint="eastAsia" w:hAnsi="宋体" w:cs="宋体"/>
          <w:snapToGrid/>
          <w:color w:val="000000" w:themeColor="text1"/>
          <w:kern w:val="2"/>
          <w:sz w:val="24"/>
          <w:szCs w:val="24"/>
          <w:lang w:val="en-US" w:eastAsia="zh-CN"/>
          <w14:textFill>
            <w14:solidFill>
              <w14:schemeClr w14:val="tx1"/>
            </w14:solidFill>
          </w14:textFill>
        </w:rPr>
        <w:t>秩序维护、绿化养护、会务接待、</w:t>
      </w:r>
      <w:r>
        <w:rPr>
          <w:rFonts w:hint="eastAsia" w:hAnsi="宋体" w:cs="宋体"/>
          <w:snapToGrid/>
          <w:color w:val="000000" w:themeColor="text1"/>
          <w:kern w:val="2"/>
          <w:sz w:val="24"/>
          <w:szCs w:val="24"/>
          <w14:textFill>
            <w14:solidFill>
              <w14:schemeClr w14:val="tx1"/>
            </w14:solidFill>
          </w14:textFill>
        </w:rPr>
        <w:t>人员车辆进出安全保障服务、保密措施服务、设备</w:t>
      </w:r>
      <w:r>
        <w:rPr>
          <w:rFonts w:hint="eastAsia" w:hAnsi="宋体" w:cs="宋体"/>
          <w:snapToGrid/>
          <w:color w:val="000000" w:themeColor="text1"/>
          <w:kern w:val="2"/>
          <w:sz w:val="24"/>
          <w:szCs w:val="24"/>
          <w:lang w:val="en-US" w:eastAsia="zh-CN"/>
          <w14:textFill>
            <w14:solidFill>
              <w14:schemeClr w14:val="tx1"/>
            </w14:solidFill>
          </w14:textFill>
        </w:rPr>
        <w:t>维修</w:t>
      </w:r>
      <w:r>
        <w:rPr>
          <w:rFonts w:hint="eastAsia" w:hAnsi="宋体" w:cs="宋体"/>
          <w:snapToGrid/>
          <w:color w:val="000000" w:themeColor="text1"/>
          <w:kern w:val="2"/>
          <w:sz w:val="24"/>
          <w:szCs w:val="24"/>
          <w14:textFill>
            <w14:solidFill>
              <w14:schemeClr w14:val="tx1"/>
            </w14:solidFill>
          </w14:textFill>
        </w:rPr>
        <w:t>保养服务、人员管理服务等。</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9"/>
        <w:ind w:firstLine="482"/>
        <w:outlineLvl w:val="2"/>
        <w:rPr>
          <w:rFonts w:hint="eastAsia" w:ascii="宋体" w:hAnsi="宋体" w:eastAsia="宋体" w:cs="宋体"/>
          <w:lang w:val="en-US" w:eastAsia="zh-CN"/>
        </w:rPr>
      </w:pPr>
      <w:r>
        <w:rPr>
          <w:rFonts w:hint="eastAsia" w:ascii="宋体" w:hAnsi="宋体" w:cs="宋体"/>
          <w:b/>
        </w:rPr>
        <w:t>合同履约期限：</w:t>
      </w:r>
      <w:r>
        <w:rPr>
          <w:rFonts w:hint="eastAsia" w:hAnsi="宋体" w:cs="宋体"/>
          <w:color w:val="000000" w:themeColor="text1"/>
          <w:szCs w:val="24"/>
          <w14:textFill>
            <w14:solidFill>
              <w14:schemeClr w14:val="tx1"/>
            </w14:solidFill>
          </w14:textFill>
        </w:rPr>
        <w:t>1年。</w:t>
      </w:r>
    </w:p>
    <w:p>
      <w:pPr>
        <w:pStyle w:val="2"/>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w:t>
      </w:r>
      <w:r>
        <w:rPr>
          <w:rFonts w:hint="eastAsia" w:ascii="宋体" w:hAnsi="宋体" w:cs="宋体"/>
          <w:color w:val="auto"/>
          <w:spacing w:val="8"/>
          <w:kern w:val="0"/>
          <w:sz w:val="24"/>
          <w:highlight w:val="none"/>
        </w:rPr>
        <w:t>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w:t>
      </w:r>
      <w:r>
        <w:rPr>
          <w:rFonts w:hint="eastAsia" w:ascii="宋体" w:hAnsi="宋体" w:cs="宋体"/>
          <w:sz w:val="24"/>
        </w:rPr>
        <w:t>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sz w:val="24"/>
        </w:rPr>
        <w:t>时</w:t>
      </w:r>
      <w:r>
        <w:rPr>
          <w:rFonts w:hint="eastAsia" w:ascii="宋体" w:hAnsi="宋体" w:cs="宋体"/>
          <w:b/>
          <w:color w:val="000000" w:themeColor="text1"/>
          <w:sz w:val="24"/>
          <w14:textFill>
            <w14:solidFill>
              <w14:schemeClr w14:val="tx1"/>
            </w14:solidFill>
          </w14:textFill>
        </w:rPr>
        <w:t>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22</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22</w:t>
      </w:r>
      <w:r>
        <w:rPr>
          <w:rFonts w:hint="eastAsia" w:ascii="宋体" w:hAnsi="宋体" w:cs="宋体"/>
          <w:color w:val="000000" w:themeColor="text1"/>
          <w:sz w:val="24"/>
          <w:u w:val="single"/>
          <w14:textFill>
            <w14:solidFill>
              <w14:schemeClr w14:val="tx1"/>
            </w14:solidFill>
          </w14:textFill>
        </w:rPr>
        <w:t xml:space="preserve">日 </w:t>
      </w:r>
      <w:r>
        <w:rPr>
          <w:rFonts w:hint="eastAsia" w:ascii="宋体" w:hAnsi="宋体" w:cs="宋体"/>
          <w:color w:val="000000" w:themeColor="text1"/>
          <w:sz w:val="24"/>
          <w:u w:val="single"/>
          <w:lang w:val="en-US" w:eastAsia="zh-CN"/>
          <w14:textFill>
            <w14:solidFill>
              <w14:schemeClr w14:val="tx1"/>
            </w14:solidFill>
          </w14:textFill>
        </w:rPr>
        <w:t>10</w:t>
      </w:r>
      <w:r>
        <w:rPr>
          <w:rFonts w:hint="eastAsia" w:ascii="宋体" w:hAnsi="宋体" w:cs="宋体"/>
          <w:color w:val="000000" w:themeColor="text1"/>
          <w:sz w:val="24"/>
          <w:u w:val="single"/>
          <w14:textFill>
            <w14:solidFill>
              <w14:schemeClr w14:val="tx1"/>
            </w14:solidFill>
          </w14:textFill>
        </w:rPr>
        <w:t xml:space="preserve">点 </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hint="eastAsia"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22</w:t>
      </w:r>
      <w:r>
        <w:rPr>
          <w:rFonts w:hint="eastAsia" w:ascii="宋体" w:hAnsi="宋体" w:cs="宋体"/>
          <w:color w:val="000000" w:themeColor="text1"/>
          <w:sz w:val="24"/>
          <w:u w:val="single"/>
          <w14:textFill>
            <w14:solidFill>
              <w14:schemeClr w14:val="tx1"/>
            </w14:solidFill>
          </w14:textFill>
        </w:rPr>
        <w:t xml:space="preserve">日 </w:t>
      </w:r>
      <w:r>
        <w:rPr>
          <w:rFonts w:hint="eastAsia" w:ascii="宋体" w:hAnsi="宋体" w:cs="宋体"/>
          <w:color w:val="000000" w:themeColor="text1"/>
          <w:sz w:val="24"/>
          <w:u w:val="single"/>
          <w:lang w:val="en-US" w:eastAsia="zh-CN"/>
          <w14:textFill>
            <w14:solidFill>
              <w14:schemeClr w14:val="tx1"/>
            </w14:solidFill>
          </w14:textFill>
        </w:rPr>
        <w:t>10</w:t>
      </w:r>
      <w:r>
        <w:rPr>
          <w:rFonts w:hint="eastAsia" w:ascii="宋体" w:hAnsi="宋体" w:cs="宋体"/>
          <w:color w:val="000000" w:themeColor="text1"/>
          <w:sz w:val="24"/>
          <w:u w:val="single"/>
          <w14:textFill>
            <w14:solidFill>
              <w14:schemeClr w14:val="tx1"/>
            </w14:solidFill>
          </w14:textFill>
        </w:rPr>
        <w:t xml:space="preserve">点 </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hint="eastAsia" w:ascii="宋体" w:hAnsi="宋体" w:eastAsia="宋体" w:cs="宋体"/>
          <w:color w:val="000000" w:themeColor="text1"/>
          <w:sz w:val="24"/>
          <w:highlight w:val="yellow"/>
          <w:lang w:eastAsia="zh-CN"/>
          <w14:textFill>
            <w14:solidFill>
              <w14:schemeClr w14:val="tx1"/>
            </w14:solidFill>
          </w14:textFill>
        </w:rPr>
      </w:pPr>
      <w:r>
        <w:rPr>
          <w:rFonts w:hint="eastAsia" w:ascii="宋体" w:hAnsi="宋体" w:cs="宋体"/>
          <w:sz w:val="24"/>
        </w:rPr>
        <w:t xml:space="preserve">    1.采购人信息</w:t>
      </w:r>
    </w:p>
    <w:p>
      <w:pPr>
        <w:spacing w:line="360" w:lineRule="auto"/>
        <w:ind w:firstLine="46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称：杭州市上城区人民法院</w:t>
      </w:r>
    </w:p>
    <w:p>
      <w:pPr>
        <w:spacing w:line="360" w:lineRule="auto"/>
        <w:ind w:firstLine="46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址：杭州市上城区紫花支路6号</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王老师</w:t>
      </w:r>
    </w:p>
    <w:p>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val="en-US" w:eastAsia="zh-CN"/>
          <w14:textFill>
            <w14:solidFill>
              <w14:schemeClr w14:val="tx1"/>
            </w14:solidFill>
          </w14:textFill>
        </w:rPr>
        <w:t>18858114900</w:t>
      </w:r>
    </w:p>
    <w:p>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郭老师</w:t>
      </w:r>
    </w:p>
    <w:p>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sz w:val="24"/>
          <w:highlight w:val="none"/>
          <w:lang w:val="en-US" w:eastAsia="zh-CN"/>
          <w14:textFill>
            <w14:solidFill>
              <w14:schemeClr w14:val="tx1"/>
            </w14:solidFill>
          </w14:textFill>
        </w:rPr>
        <w:t>13735519375</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highlight w:val="none"/>
        </w:rPr>
      </w:pPr>
      <w:r>
        <w:rPr>
          <w:rFonts w:hint="eastAsia" w:ascii="宋体" w:hAnsi="宋体" w:cs="宋体"/>
          <w:sz w:val="24"/>
          <w:highlight w:val="none"/>
        </w:rPr>
        <w:t>名    称：杭州市公共资源交易中心上城分中心</w:t>
      </w:r>
    </w:p>
    <w:p>
      <w:pPr>
        <w:spacing w:line="360" w:lineRule="auto"/>
        <w:ind w:firstLine="480"/>
        <w:rPr>
          <w:rFonts w:ascii="宋体" w:hAnsi="宋体" w:cs="宋体"/>
          <w:sz w:val="24"/>
          <w:highlight w:val="none"/>
        </w:rPr>
      </w:pPr>
      <w:r>
        <w:rPr>
          <w:rFonts w:hint="eastAsia" w:ascii="宋体" w:hAnsi="宋体" w:cs="宋体"/>
          <w:sz w:val="24"/>
          <w:highlight w:val="none"/>
        </w:rPr>
        <w:t>地    址：杭州市上城区凤起东路888号</w:t>
      </w:r>
      <w:r>
        <w:rPr>
          <w:rFonts w:hint="eastAsia" w:ascii="宋体" w:hAnsi="宋体" w:cs="宋体"/>
          <w:sz w:val="24"/>
          <w:highlight w:val="none"/>
          <w:lang w:val="en-US" w:eastAsia="zh-CN"/>
        </w:rPr>
        <w:t>畅聚新达大厦</w:t>
      </w:r>
      <w:r>
        <w:rPr>
          <w:rFonts w:hint="eastAsia" w:ascii="宋体" w:hAnsi="宋体" w:cs="宋体"/>
          <w:sz w:val="24"/>
          <w:highlight w:val="none"/>
        </w:rPr>
        <w:t>四楼</w:t>
      </w:r>
    </w:p>
    <w:p>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传    真： </w:t>
      </w:r>
      <w:r>
        <w:rPr>
          <w:rFonts w:hint="eastAsia" w:ascii="宋体" w:hAnsi="宋体" w:cs="宋体"/>
          <w:sz w:val="24"/>
          <w:highlight w:val="none"/>
          <w:lang w:val="en-US" w:eastAsia="zh-CN"/>
        </w:rPr>
        <w:t>/</w:t>
      </w: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sz w:val="24"/>
          <w:highlight w:val="none"/>
        </w:rPr>
        <w:t xml:space="preserve">    </w:t>
      </w: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eastAsia="zh-CN"/>
          <w14:textFill>
            <w14:solidFill>
              <w14:schemeClr w14:val="tx1"/>
            </w14:solidFill>
          </w14:textFill>
        </w:rPr>
        <w:t>詹工</w:t>
      </w:r>
    </w:p>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w:t>
      </w:r>
      <w:r>
        <w:rPr>
          <w:rFonts w:hint="eastAsia" w:ascii="宋体" w:hAnsi="宋体" w:cs="宋体"/>
          <w:color w:val="000000" w:themeColor="text1"/>
          <w:sz w:val="24"/>
          <w:highlight w:val="none"/>
          <w:lang w:val="en-US" w:eastAsia="zh-CN"/>
          <w14:textFill>
            <w14:solidFill>
              <w14:schemeClr w14:val="tx1"/>
            </w14:solidFill>
          </w14:textFill>
        </w:rPr>
        <w:t>87926016</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eastAsia="zh-CN"/>
          <w14:textFill>
            <w14:solidFill>
              <w14:schemeClr w14:val="tx1"/>
            </w14:solidFill>
          </w14:textFill>
        </w:rPr>
        <w:t>宋老师</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质疑联系方式：0571-</w:t>
      </w:r>
      <w:r>
        <w:rPr>
          <w:rFonts w:hint="eastAsia" w:ascii="宋体" w:hAnsi="宋体" w:cs="宋体"/>
          <w:color w:val="000000" w:themeColor="text1"/>
          <w:sz w:val="24"/>
          <w:highlight w:val="none"/>
          <w:lang w:val="en-US" w:eastAsia="zh-CN"/>
          <w14:textFill>
            <w14:solidFill>
              <w14:schemeClr w14:val="tx1"/>
            </w14:solidFill>
          </w14:textFill>
        </w:rPr>
        <w:t>87654292</w:t>
      </w:r>
    </w:p>
    <w:p>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pPr>
        <w:spacing w:line="360" w:lineRule="auto"/>
        <w:rPr>
          <w:rFonts w:ascii="宋体" w:hAnsi="宋体" w:cs="宋体"/>
          <w:sz w:val="24"/>
          <w:highlight w:val="none"/>
        </w:rPr>
      </w:pPr>
      <w:r>
        <w:rPr>
          <w:rFonts w:hint="eastAsia" w:ascii="宋体" w:hAnsi="宋体" w:cs="宋体"/>
          <w:sz w:val="24"/>
          <w:highlight w:val="none"/>
        </w:rPr>
        <w:t xml:space="preserve">   名    称：杭州市上城区财政局</w:t>
      </w:r>
    </w:p>
    <w:p>
      <w:pPr>
        <w:spacing w:line="360" w:lineRule="auto"/>
        <w:rPr>
          <w:rFonts w:ascii="宋体" w:hAnsi="宋体" w:cs="宋体"/>
          <w:sz w:val="24"/>
          <w:highlight w:val="none"/>
        </w:rPr>
      </w:pPr>
      <w:r>
        <w:rPr>
          <w:rFonts w:hint="eastAsia" w:ascii="宋体" w:hAnsi="宋体" w:cs="宋体"/>
          <w:sz w:val="24"/>
          <w:highlight w:val="none"/>
        </w:rPr>
        <w:t xml:space="preserve">    地    址：杭州市上城区鲲鹏路366号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highlight w:val="none"/>
        </w:rPr>
      </w:pPr>
      <w:r>
        <w:rPr>
          <w:rFonts w:hint="eastAsia" w:ascii="宋体" w:hAnsi="宋体" w:cs="宋体"/>
          <w:sz w:val="24"/>
        </w:rPr>
        <w:t xml:space="preserve">    联系人 ：</w:t>
      </w:r>
      <w:r>
        <w:rPr>
          <w:rFonts w:hint="eastAsia" w:ascii="宋体" w:hAnsi="宋体" w:cs="宋体"/>
          <w:sz w:val="24"/>
          <w:highlight w:val="none"/>
          <w:lang w:val="en-US" w:eastAsia="zh-CN"/>
        </w:rPr>
        <w:t>余</w:t>
      </w:r>
      <w:r>
        <w:rPr>
          <w:rFonts w:hint="eastAsia" w:ascii="宋体" w:hAnsi="宋体" w:cs="宋体"/>
          <w:sz w:val="24"/>
          <w:highlight w:val="none"/>
        </w:rPr>
        <w:t>老师</w:t>
      </w:r>
    </w:p>
    <w:p>
      <w:pPr>
        <w:spacing w:line="360" w:lineRule="auto"/>
        <w:ind w:firstLine="480"/>
        <w:rPr>
          <w:rFonts w:ascii="宋体" w:hAnsi="宋体" w:cs="宋体"/>
          <w:sz w:val="24"/>
          <w:highlight w:val="none"/>
        </w:rPr>
      </w:pPr>
      <w:r>
        <w:rPr>
          <w:rFonts w:hint="eastAsia" w:ascii="宋体" w:hAnsi="宋体" w:cs="宋体"/>
          <w:sz w:val="24"/>
          <w:highlight w:val="none"/>
        </w:rPr>
        <w:t>监督投诉电话：0571-</w:t>
      </w:r>
      <w:r>
        <w:rPr>
          <w:rFonts w:hint="eastAsia" w:ascii="宋体" w:hAnsi="宋体" w:cs="宋体"/>
          <w:sz w:val="24"/>
          <w:highlight w:val="none"/>
          <w:lang w:val="en-US" w:eastAsia="zh-CN"/>
        </w:rPr>
        <w:t>89500860</w:t>
      </w:r>
      <w:r>
        <w:rPr>
          <w:rFonts w:hint="eastAsia" w:ascii="宋体" w:hAnsi="宋体" w:cs="宋体"/>
          <w:sz w:val="24"/>
          <w:highlight w:val="none"/>
        </w:rPr>
        <w:t xml:space="preserve">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宋体" w:hAnsi="宋体" w:cs="宋体"/>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lang w:val="en-US"/>
              </w:rPr>
            </w:pPr>
            <w:r>
              <w:rPr>
                <w:rFonts w:hint="eastAsia" w:ascii="宋体" w:hAnsi="宋体" w:cs="宋体"/>
                <w:sz w:val="24"/>
              </w:rPr>
              <w:t>标的：</w:t>
            </w:r>
            <w:r>
              <w:rPr>
                <w:rFonts w:hint="eastAsia" w:ascii="宋体" w:hAnsi="宋体" w:cs="宋体"/>
                <w:sz w:val="24"/>
                <w:u w:val="single"/>
              </w:rPr>
              <w:t>杭州市上城区人民法院物业管理服务</w:t>
            </w:r>
            <w:r>
              <w:rPr>
                <w:rFonts w:hint="eastAsia" w:ascii="宋体" w:hAnsi="宋体" w:cs="宋体"/>
                <w:sz w:val="24"/>
              </w:rPr>
              <w:t>，属于</w:t>
            </w:r>
            <w:r>
              <w:rPr>
                <w:rFonts w:hint="eastAsia" w:ascii="宋体" w:hAnsi="宋体" w:cs="宋体"/>
                <w:sz w:val="24"/>
                <w:u w:val="single"/>
              </w:rPr>
              <w:t>物业管理</w:t>
            </w:r>
            <w:r>
              <w:rPr>
                <w:rFonts w:hint="eastAsia" w:ascii="宋体" w:hAnsi="宋体" w:cs="宋体"/>
                <w:sz w:val="24"/>
                <w:u w:val="single"/>
                <w:lang w:val="en-US" w:eastAsia="zh-CN"/>
              </w:rPr>
              <w:t xml:space="preserve"> </w:t>
            </w:r>
            <w:r>
              <w:rPr>
                <w:rFonts w:hint="eastAsia" w:ascii="宋体" w:hAnsi="宋体" w:cs="宋体"/>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w:t>
            </w:r>
            <w:r>
              <w:rPr>
                <w:rFonts w:hint="eastAsia" w:ascii="宋体" w:hAnsi="宋体" w:cs="宋体"/>
                <w:kern w:val="0"/>
                <w:sz w:val="24"/>
                <w:highlight w:val="none"/>
              </w:rPr>
              <w:t>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lang w:val="en-US" w:eastAsia="zh-CN"/>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highlight w:val="none"/>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r>
              <w:rPr>
                <w:rFonts w:hint="eastAsia" w:ascii="宋体" w:hAnsi="宋体" w:cs="宋体"/>
                <w:sz w:val="24"/>
                <w:highlight w:val="none"/>
              </w:rPr>
              <w:t>。</w:t>
            </w:r>
          </w:p>
          <w:p>
            <w:pPr>
              <w:spacing w:line="360" w:lineRule="auto"/>
              <w:rPr>
                <w:rFonts w:ascii="宋体" w:hAnsi="宋体" w:cs="宋体"/>
                <w:color w:val="auto"/>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kern w:val="0"/>
                <w:sz w:val="24"/>
              </w:rPr>
              <w:t>要求提供（未提供样品或提供样品不满足采购需求实质性条件的供应商，投标无效）：</w:t>
            </w:r>
          </w:p>
          <w:p>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（2）样品制作的标准和要求：    ；</w:t>
            </w:r>
          </w:p>
          <w:p>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sz w:val="24"/>
                <w:szCs w:val="24"/>
                <w:lang w:val="zh-CN"/>
              </w:rPr>
            </w:pPr>
            <w:r>
              <w:rPr>
                <w:rFonts w:hint="eastAsia"/>
                <w:sz w:val="24"/>
                <w:szCs w:val="24"/>
                <w:lang w:val="zh-CN"/>
              </w:rPr>
              <w:t>有关本项目实施所需的所有费用，包括但不限于人工费、保险费、劳保用品、员工住宿、加班费、管理费等费用（含税费）均计入报价。</w:t>
            </w:r>
          </w:p>
          <w:p>
            <w:pPr>
              <w:snapToGrid w:val="0"/>
              <w:spacing w:line="360" w:lineRule="auto"/>
              <w:jc w:val="left"/>
              <w:rPr>
                <w:b/>
                <w:bCs/>
                <w:sz w:val="24"/>
                <w:szCs w:val="24"/>
                <w:lang w:val="zh-CN"/>
              </w:rPr>
            </w:pPr>
            <w:r>
              <w:rPr>
                <w:rFonts w:hint="eastAsia"/>
                <w:b/>
                <w:bCs/>
                <w:sz w:val="24"/>
                <w:szCs w:val="24"/>
                <w:lang w:val="zh-CN"/>
              </w:rPr>
              <w:t>投标文件</w:t>
            </w:r>
            <w:r>
              <w:rPr>
                <w:rFonts w:hint="eastAsia"/>
                <w:b/>
                <w:bCs/>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sz w:val="24"/>
                <w:szCs w:val="24"/>
                <w:lang w:val="zh-CN"/>
              </w:rPr>
              <w:t>投标文件中价格全部采用人民币报价。招标文件未列明，而投标人认为必需的费用也需列入报价。</w:t>
            </w:r>
            <w:r>
              <w:rPr>
                <w:rFonts w:hint="eastAsia"/>
                <w:b/>
                <w:bCs/>
                <w:sz w:val="24"/>
                <w:szCs w:val="24"/>
                <w:lang w:val="zh-CN"/>
              </w:rPr>
              <w:t>提醒：验收时检测费用由采购人承担，不包含在投标总价中。</w:t>
            </w:r>
          </w:p>
          <w:p>
            <w:pPr>
              <w:snapToGrid w:val="0"/>
              <w:spacing w:line="360" w:lineRule="auto"/>
              <w:jc w:val="left"/>
              <w:rPr>
                <w:b/>
                <w:bCs/>
                <w:sz w:val="24"/>
                <w:szCs w:val="24"/>
                <w:lang w:val="zh-CN"/>
              </w:rPr>
            </w:pPr>
            <w:r>
              <w:rPr>
                <w:rFonts w:hint="eastAsia"/>
                <w:b/>
                <w:bCs/>
                <w:sz w:val="24"/>
                <w:szCs w:val="24"/>
                <w:lang w:val="zh-CN"/>
              </w:rPr>
              <w:t>投标报价出现下列情形的，投标无效：</w:t>
            </w:r>
          </w:p>
          <w:p>
            <w:pPr>
              <w:snapToGrid w:val="0"/>
              <w:spacing w:line="360" w:lineRule="auto"/>
              <w:ind w:firstLine="241" w:firstLineChars="100"/>
              <w:jc w:val="left"/>
              <w:rPr>
                <w:b/>
                <w:bCs/>
                <w:sz w:val="24"/>
                <w:szCs w:val="24"/>
                <w:lang w:val="zh-CN"/>
              </w:rPr>
            </w:pPr>
            <w:r>
              <w:rPr>
                <w:rFonts w:hint="eastAsia"/>
                <w:b/>
                <w:bCs/>
                <w:sz w:val="24"/>
                <w:szCs w:val="24"/>
                <w:lang w:val="zh-CN"/>
              </w:rPr>
              <w:t>投标文件出现不是唯一的、有选择性投标报价的；</w:t>
            </w:r>
          </w:p>
          <w:p>
            <w:pPr>
              <w:snapToGrid w:val="0"/>
              <w:spacing w:line="360" w:lineRule="auto"/>
              <w:ind w:firstLine="241" w:firstLineChars="100"/>
              <w:jc w:val="left"/>
              <w:rPr>
                <w:b/>
                <w:bCs/>
                <w:sz w:val="24"/>
                <w:szCs w:val="24"/>
                <w:lang w:val="zh-CN"/>
              </w:rPr>
            </w:pPr>
            <w:r>
              <w:rPr>
                <w:rFonts w:hint="eastAsia"/>
                <w:b/>
                <w:bCs/>
                <w:sz w:val="24"/>
                <w:szCs w:val="24"/>
                <w:lang w:val="zh-CN"/>
              </w:rPr>
              <w:t>投标报价超过招标文件中规定的预算金额或者最高限价的;</w:t>
            </w:r>
          </w:p>
          <w:p>
            <w:pPr>
              <w:spacing w:line="360" w:lineRule="auto"/>
              <w:ind w:firstLine="241" w:firstLineChars="100"/>
              <w:rPr>
                <w:b/>
                <w:bCs/>
                <w:sz w:val="24"/>
                <w:szCs w:val="24"/>
              </w:rPr>
            </w:pPr>
            <w:r>
              <w:rPr>
                <w:rFonts w:hint="eastAsia"/>
                <w:b/>
                <w:bCs/>
                <w:sz w:val="24"/>
                <w:szCs w:val="24"/>
              </w:rPr>
              <w:t>报价明显低于其他通过符合性审查投标人的报价，有可能影响产品质量或者不能诚信履约的，未能按要求提供书面说明或者提交相关证明材料证明其报价合理性的;</w:t>
            </w:r>
          </w:p>
          <w:p>
            <w:pPr>
              <w:spacing w:line="360" w:lineRule="auto"/>
              <w:ind w:firstLine="241" w:firstLineChars="100"/>
              <w:rPr>
                <w:rFonts w:hint="eastAsia"/>
                <w:sz w:val="24"/>
                <w:szCs w:val="24"/>
              </w:rPr>
            </w:pPr>
            <w:r>
              <w:rPr>
                <w:rFonts w:hint="eastAsia"/>
                <w:b/>
                <w:bCs/>
                <w:sz w:val="24"/>
                <w:szCs w:val="24"/>
              </w:rPr>
              <w:t>投标人对根据修正原则修正后的报价不确认的。</w:t>
            </w:r>
          </w:p>
          <w:p>
            <w:pPr>
              <w:pStyle w:val="24"/>
            </w:pPr>
            <w:r>
              <w:rPr>
                <w:rFonts w:hint="eastAsia" w:ascii="宋体" w:hAnsi="宋体" w:eastAsia="宋体" w:cs="宋体"/>
                <w:b/>
                <w:bCs/>
                <w:snapToGrid w:val="0"/>
                <w:color w:val="FF0000"/>
                <w:sz w:val="24"/>
                <w:szCs w:val="24"/>
                <w:highlight w:val="none"/>
              </w:rPr>
              <w:t>▲</w:t>
            </w:r>
            <w:r>
              <w:rPr>
                <w:rFonts w:hint="eastAsia" w:ascii="宋体" w:hAnsi="宋体" w:eastAsia="宋体" w:cs="宋体"/>
                <w:b/>
                <w:color w:val="FF0000"/>
                <w:kern w:val="0"/>
                <w:sz w:val="24"/>
                <w:szCs w:val="24"/>
                <w:highlight w:val="none"/>
              </w:rPr>
              <w:t>供应商报价低于项目预算50%的，应当在报价文件中详细阐述不影响产品质量或者诚信履约的具体原因，否则作无效标处理。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highlight w:val="none"/>
                <w:lang w:val="en-US" w:eastAsia="zh-CN"/>
              </w:rPr>
              <w:t>也可登录</w:t>
            </w:r>
            <w:r>
              <w:rPr>
                <w:rFonts w:hint="eastAsia" w:cs="宋体" w:asciiTheme="minorEastAsia" w:hAnsiTheme="minorEastAsia" w:eastAsiaTheme="minorEastAsia"/>
                <w:snapToGrid w:val="0"/>
                <w:kern w:val="28"/>
                <w:sz w:val="24"/>
                <w:highlight w:val="none"/>
              </w:rPr>
              <w:t>《上城区“政采贷”业务办理指南》</w:t>
            </w:r>
            <w:r>
              <w:rPr>
                <w:rFonts w:hint="eastAsia" w:cs="宋体" w:asciiTheme="minorEastAsia" w:hAnsiTheme="minorEastAsia" w:eastAsiaTheme="minorEastAsia"/>
                <w:snapToGrid w:val="0"/>
                <w:kern w:val="28"/>
                <w:sz w:val="24"/>
                <w:highlight w:val="none"/>
                <w:lang w:eastAsia="zh-CN"/>
              </w:rPr>
              <w:t>，</w:t>
            </w:r>
            <w:r>
              <w:rPr>
                <w:rFonts w:hint="eastAsia" w:cs="宋体" w:asciiTheme="minorEastAsia" w:hAnsiTheme="minorEastAsia" w:eastAsiaTheme="minorEastAsia"/>
                <w:snapToGrid w:val="0"/>
                <w:kern w:val="28"/>
                <w:sz w:val="24"/>
                <w:highlight w:val="none"/>
                <w:lang w:val="en-US" w:eastAsia="zh-CN"/>
              </w:rPr>
              <w:t>http://www.hzsc.gov.cn/art/2021/11/29/art_1229249406_3973804.html</w:t>
            </w:r>
            <w:r>
              <w:rPr>
                <w:rFonts w:hint="eastAsia" w:cs="宋体" w:asciiTheme="minorEastAsia" w:hAnsiTheme="minorEastAsia" w:eastAsiaTheme="minorEastAsia"/>
                <w:snapToGrid w:val="0"/>
                <w:kern w:val="28"/>
                <w:sz w:val="24"/>
                <w:highlight w:val="none"/>
              </w:rPr>
              <w:t>，查看信用融资政策文件及各相关银行服务方案。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color w:val="000000" w:themeColor="text1"/>
                <w:kern w:val="28"/>
                <w:sz w:val="24"/>
                <w:szCs w:val="24"/>
                <w14:textFill>
                  <w14:solidFill>
                    <w14:schemeClr w14:val="tx1"/>
                  </w14:solidFill>
                </w14:textFill>
              </w:rPr>
              <w:t>备份投标文件送达地点：</w:t>
            </w:r>
            <w:r>
              <w:rPr>
                <w:rFonts w:hint="eastAsia" w:hAnsi="宋体" w:cs="宋体"/>
                <w:color w:val="000000" w:themeColor="text1"/>
                <w:sz w:val="24"/>
                <w:u w:val="single"/>
                <w14:textFill>
                  <w14:solidFill>
                    <w14:schemeClr w14:val="tx1"/>
                  </w14:solidFill>
                </w14:textFill>
              </w:rPr>
              <w:t>杭州市上城区凤起东路888号（运河东路200号）四楼杭州市公共资源交易中心上城分中心41</w:t>
            </w:r>
            <w:r>
              <w:rPr>
                <w:rFonts w:hint="eastAsia" w:hAnsi="宋体" w:cs="宋体"/>
                <w:color w:val="000000" w:themeColor="text1"/>
                <w:sz w:val="24"/>
                <w:u w:val="single"/>
                <w:lang w:val="en-US" w:eastAsia="zh-CN"/>
                <w14:textFill>
                  <w14:solidFill>
                    <w14:schemeClr w14:val="tx1"/>
                  </w14:solidFill>
                </w14:textFill>
              </w:rPr>
              <w:t>2</w:t>
            </w:r>
            <w:r>
              <w:rPr>
                <w:rFonts w:hint="eastAsia" w:hAnsi="宋体" w:cs="宋体"/>
                <w:color w:val="000000" w:themeColor="text1"/>
                <w:sz w:val="24"/>
                <w:u w:val="single"/>
                <w14:textFill>
                  <w14:solidFill>
                    <w14:schemeClr w14:val="tx1"/>
                  </w14:solidFill>
                </w14:textFill>
              </w:rPr>
              <w:t>室；</w:t>
            </w:r>
            <w:r>
              <w:rPr>
                <w:rFonts w:hint="eastAsia" w:hAnsi="宋体" w:cs="宋体"/>
                <w:color w:val="000000" w:themeColor="text1"/>
                <w:sz w:val="24"/>
                <w14:textFill>
                  <w14:solidFill>
                    <w14:schemeClr w14:val="tx1"/>
                  </w14:solidFill>
                </w14:textFill>
              </w:rPr>
              <w:t>备份投标文件签收人员联系电话</w:t>
            </w:r>
            <w:r>
              <w:rPr>
                <w:rFonts w:hint="eastAsia" w:hAnsi="宋体" w:cs="宋体"/>
                <w:color w:val="000000" w:themeColor="text1"/>
                <w:sz w:val="24"/>
                <w:u w:val="single"/>
                <w14:textFill>
                  <w14:solidFill>
                    <w14:schemeClr w14:val="tx1"/>
                  </w14:solidFill>
                </w14:textFill>
              </w:rPr>
              <w:t>：0571-87</w:t>
            </w:r>
            <w:r>
              <w:rPr>
                <w:rFonts w:hint="eastAsia" w:hAnsi="宋体" w:cs="宋体"/>
                <w:color w:val="000000" w:themeColor="text1"/>
                <w:sz w:val="24"/>
                <w:u w:val="single"/>
                <w:lang w:val="en-US" w:eastAsia="zh-CN"/>
                <w14:textFill>
                  <w14:solidFill>
                    <w14:schemeClr w14:val="tx1"/>
                  </w14:solidFill>
                </w14:textFill>
              </w:rPr>
              <w:t>926016</w:t>
            </w:r>
            <w:r>
              <w:rPr>
                <w:rFonts w:hint="eastAsia" w:hAnsi="宋体" w:cs="宋体"/>
                <w:color w:val="000000" w:themeColor="text1"/>
                <w:kern w:val="28"/>
                <w:sz w:val="24"/>
                <w:szCs w:val="24"/>
                <w14:textFill>
                  <w14:solidFill>
                    <w14:schemeClr w14:val="tx1"/>
                  </w14:solidFill>
                </w14:textFill>
              </w:rPr>
              <w:t>；</w:t>
            </w:r>
            <w:r>
              <w:rPr>
                <w:rFonts w:hint="eastAsia" w:hAnsi="宋体" w:cs="宋体"/>
                <w:b/>
                <w:color w:val="000000" w:themeColor="text1"/>
                <w:sz w:val="24"/>
                <w:szCs w:val="24"/>
                <w14:textFill>
                  <w14:solidFill>
                    <w14:schemeClr w14:val="tx1"/>
                  </w14:solidFill>
                </w14:textFill>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z w:val="24"/>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评标办法明确具体的扣除比例，未明确的，</w:t>
      </w:r>
      <w:r>
        <w:rPr>
          <w:rFonts w:hint="eastAsia" w:ascii="宋体" w:hAnsi="宋体" w:cs="宋体"/>
          <w:sz w:val="24"/>
          <w:highlight w:val="none"/>
        </w:rPr>
        <w:t>给予6%的扣除）的扣除，用</w:t>
      </w:r>
      <w:r>
        <w:rPr>
          <w:rFonts w:hint="eastAsia" w:ascii="宋体" w:hAnsi="宋体" w:cs="宋体"/>
          <w:sz w:val="24"/>
        </w:rPr>
        <w:t>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2"/>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4.4.5投诉书范本及制作说明详见附件3。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2"/>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w:t>
      </w:r>
      <w:r>
        <w:rPr>
          <w:rFonts w:hint="eastAsia" w:ascii="宋体" w:hAnsi="宋体" w:cs="宋体"/>
          <w:szCs w:val="24"/>
          <w:highlight w:val="none"/>
        </w:rPr>
        <w:t>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w:t>
      </w:r>
      <w:r>
        <w:rPr>
          <w:rFonts w:hint="eastAsia" w:ascii="宋体" w:hAnsi="宋体" w:cs="宋体"/>
          <w:szCs w:val="24"/>
        </w:rPr>
        <w:t>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hint="eastAsia" w:ascii="宋体" w:hAnsi="宋体" w:cs="宋体"/>
          <w:highlight w:val="none"/>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w:t>
      </w:r>
      <w:r>
        <w:rPr>
          <w:rFonts w:hint="eastAsia" w:ascii="宋体" w:hAnsi="宋体" w:cs="宋体"/>
          <w:highlight w:val="none"/>
        </w:rPr>
        <w:t>投标人拒绝延长的，其投标无效。</w:t>
      </w:r>
    </w:p>
    <w:p>
      <w:pPr>
        <w:pStyle w:val="129"/>
        <w:spacing w:before="0"/>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pPr>
        <w:pStyle w:val="129"/>
        <w:spacing w:before="0"/>
        <w:ind w:firstLine="480"/>
        <w:rPr>
          <w:rFonts w:hint="eastAsia" w:ascii="宋体" w:hAnsi="宋体" w:cs="宋体"/>
        </w:rPr>
      </w:pP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129"/>
        <w:spacing w:before="0"/>
        <w:ind w:firstLine="480"/>
        <w:rPr>
          <w:rFonts w:hint="eastAsia" w:ascii="宋体" w:hAnsi="宋体" w:cs="宋体"/>
          <w:b/>
          <w:bCs/>
          <w:kern w:val="0"/>
          <w:szCs w:val="24"/>
          <w:highlight w:val="none"/>
          <w:lang w:val="en-US" w:eastAsia="zh-CN"/>
        </w:rPr>
      </w:pPr>
    </w:p>
    <w:p>
      <w:pPr>
        <w:pStyle w:val="129"/>
        <w:spacing w:before="0"/>
        <w:ind w:firstLine="480"/>
        <w:rPr>
          <w:rFonts w:hint="default" w:ascii="宋体" w:hAnsi="宋体" w:eastAsia="宋体" w:cs="宋体"/>
          <w:b/>
          <w:bCs/>
          <w:kern w:val="0"/>
          <w:szCs w:val="24"/>
          <w:highlight w:val="none"/>
          <w:lang w:val="en-US" w:eastAsia="zh-CN"/>
        </w:rPr>
      </w:pPr>
      <w:r>
        <w:rPr>
          <w:rFonts w:hint="eastAsia" w:ascii="宋体" w:hAnsi="宋体" w:cs="宋体"/>
          <w:b/>
          <w:bCs/>
          <w:kern w:val="0"/>
          <w:szCs w:val="24"/>
          <w:highlight w:val="none"/>
          <w:lang w:val="en-US" w:eastAsia="zh-CN"/>
        </w:rPr>
        <w:t>19.资格审查</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129"/>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129"/>
        <w:spacing w:before="0"/>
        <w:ind w:firstLine="480"/>
        <w:rPr>
          <w:rFonts w:ascii="宋体" w:hAnsi="宋体" w:cs="宋体"/>
        </w:rPr>
      </w:pP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highlight w:val="none"/>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w:t>
      </w:r>
      <w:r>
        <w:rPr>
          <w:rFonts w:hint="eastAsia" w:ascii="宋体" w:hAnsi="宋体" w:cs="宋体"/>
          <w:szCs w:val="24"/>
          <w:highlight w:val="none"/>
        </w:rPr>
        <w:t>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Pr>
        <w:rPr>
          <w:highlight w:val="none"/>
        </w:rPr>
      </w:pPr>
    </w:p>
    <w:p>
      <w:pPr>
        <w:snapToGrid w:val="0"/>
        <w:spacing w:line="360" w:lineRule="auto"/>
        <w:ind w:firstLine="3357" w:firstLineChars="1045"/>
        <w:rPr>
          <w:rFonts w:ascii="宋体" w:hAnsi="宋体" w:cs="宋体"/>
          <w:b/>
          <w:sz w:val="32"/>
          <w:highlight w:val="none"/>
        </w:rPr>
      </w:pP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pPr>
        <w:pStyle w:val="129"/>
        <w:snapToGrid w:val="0"/>
        <w:spacing w:before="0"/>
        <w:ind w:firstLine="0" w:firstLineChars="0"/>
        <w:rPr>
          <w:rFonts w:ascii="宋体" w:hAnsi="宋体" w:cs="宋体"/>
          <w:highlight w:val="none"/>
        </w:rPr>
      </w:pPr>
      <w:r>
        <w:rPr>
          <w:rFonts w:ascii="宋体" w:hAnsi="宋体" w:cs="宋体"/>
          <w:b/>
          <w:bCs/>
          <w:sz w:val="24"/>
          <w:szCs w:val="20"/>
          <w:highlight w:val="none"/>
        </w:rPr>
        <w:t>2</w:t>
      </w:r>
      <w:r>
        <w:rPr>
          <w:rFonts w:ascii="宋体" w:hAnsi="宋体" w:cs="宋体"/>
          <w:b/>
          <w:bCs/>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pPr>
        <w:pStyle w:val="129"/>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pPr>
        <w:pStyle w:val="129"/>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pPr>
        <w:pStyle w:val="129"/>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pPr>
        <w:pStyle w:val="129"/>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pPr>
        <w:pStyle w:val="129"/>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w:t>
      </w:r>
      <w:r>
        <w:rPr>
          <w:rFonts w:hint="eastAsia" w:ascii="宋体" w:hAnsi="宋体" w:cs="宋体"/>
        </w:rPr>
        <w:t>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74714665"/>
      <w:bookmarkEnd w:id="16"/>
      <w:bookmarkStart w:id="17" w:name="_Hlt68057669"/>
      <w:bookmarkEnd w:id="17"/>
      <w:bookmarkStart w:id="18" w:name="_Hlt68073093"/>
      <w:bookmarkEnd w:id="18"/>
      <w:bookmarkStart w:id="19" w:name="_Hlt74730295"/>
      <w:bookmarkEnd w:id="19"/>
      <w:bookmarkStart w:id="20" w:name="_Hlt68072998"/>
      <w:bookmarkEnd w:id="20"/>
      <w:bookmarkStart w:id="21" w:name="_Hlt68403820"/>
      <w:bookmarkEnd w:id="21"/>
      <w:bookmarkStart w:id="22" w:name="_Hlt68072990"/>
      <w:bookmarkEnd w:id="22"/>
      <w:bookmarkStart w:id="23" w:name="_Hlt74729768"/>
      <w:bookmarkEnd w:id="23"/>
      <w:bookmarkStart w:id="24" w:name="_Hlt75236101"/>
      <w:bookmarkEnd w:id="24"/>
      <w:bookmarkStart w:id="25" w:name="_Hlt75236011"/>
      <w:bookmarkEnd w:id="25"/>
      <w:bookmarkStart w:id="26" w:name="_Hlt74707468"/>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snapToGrid w:val="0"/>
        <w:spacing w:line="360" w:lineRule="auto"/>
        <w:rPr>
          <w:rFonts w:hint="eastAsia" w:ascii="宋体" w:hAnsi="宋体" w:eastAsia="宋体" w:cs="宋体"/>
          <w:b/>
          <w:bCs/>
          <w:sz w:val="24"/>
          <w:szCs w:val="24"/>
        </w:rPr>
      </w:pPr>
      <w:r>
        <w:rPr>
          <w:rFonts w:hint="eastAsia" w:ascii="宋体" w:hAnsi="宋体" w:eastAsia="宋体" w:cs="宋体"/>
          <w:sz w:val="24"/>
          <w:szCs w:val="24"/>
        </w:rPr>
        <w:t>一、</w:t>
      </w:r>
      <w:r>
        <w:rPr>
          <w:rFonts w:hint="eastAsia" w:ascii="宋体" w:hAnsi="宋体" w:eastAsia="宋体" w:cs="宋体"/>
          <w:b/>
          <w:bCs/>
          <w:sz w:val="24"/>
          <w:szCs w:val="24"/>
        </w:rPr>
        <w:t>项目情况</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本次招标为杭州市上城区人民法院物业管理服务项目，具体内容如下：</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（一）法院</w:t>
      </w:r>
      <w:r>
        <w:rPr>
          <w:rFonts w:hint="eastAsia" w:ascii="宋体" w:hAnsi="宋体" w:eastAsia="宋体" w:cs="宋体"/>
          <w:b/>
          <w:bCs/>
          <w:sz w:val="24"/>
          <w:szCs w:val="24"/>
          <w:lang w:eastAsia="zh-CN"/>
        </w:rPr>
        <w:t>基本</w:t>
      </w:r>
      <w:r>
        <w:rPr>
          <w:rFonts w:hint="eastAsia" w:ascii="宋体" w:hAnsi="宋体" w:eastAsia="宋体" w:cs="宋体"/>
          <w:b/>
          <w:bCs/>
          <w:sz w:val="24"/>
          <w:szCs w:val="24"/>
        </w:rPr>
        <w:t xml:space="preserve">情况 </w:t>
      </w:r>
    </w:p>
    <w:p>
      <w:pPr>
        <w:spacing w:line="360" w:lineRule="auto"/>
        <w:ind w:firstLine="720" w:firstLineChars="3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上城</w:t>
      </w:r>
      <w:r>
        <w:rPr>
          <w:rFonts w:hint="eastAsia" w:ascii="宋体" w:hAnsi="宋体" w:eastAsia="宋体" w:cs="宋体"/>
          <w:sz w:val="24"/>
          <w:szCs w:val="24"/>
          <w:highlight w:val="none"/>
          <w:lang w:eastAsia="zh-CN"/>
        </w:rPr>
        <w:t>法院</w:t>
      </w:r>
      <w:r>
        <w:rPr>
          <w:rFonts w:hint="eastAsia" w:ascii="宋体" w:hAnsi="宋体" w:cs="宋体"/>
          <w:sz w:val="24"/>
          <w:szCs w:val="24"/>
          <w:highlight w:val="none"/>
          <w:lang w:val="en-US" w:eastAsia="zh-CN"/>
        </w:rPr>
        <w:t>办案办公场所包括紫花支路6号审判大楼、九堡人民法庭、笕桥人民法庭、基金小镇人民法庭及甲方指定的临时服务场所。紫花支路6号审判大楼共</w:t>
      </w:r>
      <w:r>
        <w:rPr>
          <w:rFonts w:hint="eastAsia" w:ascii="宋体" w:hAnsi="宋体" w:eastAsia="宋体" w:cs="宋体"/>
          <w:sz w:val="24"/>
          <w:szCs w:val="24"/>
          <w:highlight w:val="none"/>
          <w:lang w:val="en-US" w:eastAsia="zh-CN"/>
        </w:rPr>
        <w:t>1幢建筑，17</w:t>
      </w:r>
      <w:r>
        <w:rPr>
          <w:rFonts w:hint="eastAsia" w:ascii="宋体" w:hAnsi="宋体" w:cs="宋体"/>
          <w:sz w:val="24"/>
          <w:szCs w:val="24"/>
          <w:highlight w:val="none"/>
          <w:lang w:val="en-US" w:eastAsia="zh-CN"/>
        </w:rPr>
        <w:t>层</w:t>
      </w:r>
      <w:r>
        <w:rPr>
          <w:rFonts w:hint="eastAsia" w:ascii="宋体" w:hAnsi="宋体" w:eastAsia="宋体" w:cs="宋体"/>
          <w:sz w:val="24"/>
          <w:szCs w:val="24"/>
          <w:highlight w:val="none"/>
          <w:lang w:val="en-US" w:eastAsia="zh-CN"/>
        </w:rPr>
        <w:t>楼</w:t>
      </w:r>
      <w:r>
        <w:rPr>
          <w:rFonts w:hint="eastAsia" w:ascii="宋体" w:hAnsi="宋体" w:cs="宋体"/>
          <w:sz w:val="24"/>
          <w:szCs w:val="24"/>
          <w:highlight w:val="none"/>
          <w:lang w:val="en-US" w:eastAsia="zh-CN"/>
        </w:rPr>
        <w:t>（含地下1层）</w:t>
      </w:r>
      <w:r>
        <w:rPr>
          <w:rFonts w:hint="eastAsia" w:ascii="宋体" w:hAnsi="宋体" w:eastAsia="宋体" w:cs="宋体"/>
          <w:sz w:val="24"/>
          <w:szCs w:val="24"/>
          <w:highlight w:val="none"/>
          <w:lang w:val="en-US" w:eastAsia="zh-CN"/>
        </w:rPr>
        <w:t>，实行</w:t>
      </w:r>
      <w:r>
        <w:rPr>
          <w:rFonts w:hint="eastAsia" w:ascii="宋体" w:hAnsi="宋体" w:cs="宋体"/>
          <w:sz w:val="24"/>
          <w:szCs w:val="24"/>
          <w:highlight w:val="none"/>
          <w:lang w:val="en-US" w:eastAsia="zh-CN"/>
        </w:rPr>
        <w:t>单向</w:t>
      </w:r>
      <w:r>
        <w:rPr>
          <w:rFonts w:hint="eastAsia" w:ascii="宋体" w:hAnsi="宋体" w:eastAsia="宋体" w:cs="宋体"/>
          <w:sz w:val="24"/>
          <w:szCs w:val="24"/>
          <w:highlight w:val="none"/>
          <w:lang w:val="en-US" w:eastAsia="zh-CN"/>
        </w:rPr>
        <w:t>通行，共2个出入口</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约120个车位</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绿化面积约</w:t>
      </w:r>
      <w:r>
        <w:rPr>
          <w:rFonts w:hint="eastAsia" w:ascii="宋体" w:hAnsi="宋体" w:cs="宋体"/>
          <w:sz w:val="24"/>
          <w:szCs w:val="24"/>
          <w:highlight w:val="none"/>
          <w:lang w:val="en-US" w:eastAsia="zh-CN"/>
        </w:rPr>
        <w:t>1000</w:t>
      </w:r>
      <w:r>
        <w:rPr>
          <w:rFonts w:hint="eastAsia" w:ascii="宋体" w:hAnsi="宋体" w:eastAsia="宋体" w:cs="宋体"/>
          <w:sz w:val="24"/>
          <w:szCs w:val="24"/>
          <w:highlight w:val="none"/>
          <w:lang w:val="en-US" w:eastAsia="zh-CN"/>
        </w:rPr>
        <w:t>平方米</w:t>
      </w:r>
      <w:r>
        <w:rPr>
          <w:rFonts w:hint="eastAsia" w:ascii="宋体" w:hAnsi="宋体" w:cs="宋体"/>
          <w:sz w:val="24"/>
          <w:szCs w:val="24"/>
          <w:highlight w:val="none"/>
          <w:lang w:val="en-US" w:eastAsia="zh-CN"/>
        </w:rPr>
        <w:t>，消控室</w:t>
      </w:r>
      <w:r>
        <w:rPr>
          <w:rFonts w:hint="eastAsia" w:ascii="宋体" w:hAnsi="宋体" w:eastAsia="宋体" w:cs="宋体"/>
          <w:sz w:val="24"/>
          <w:szCs w:val="24"/>
          <w:highlight w:val="none"/>
          <w:lang w:val="en-US" w:eastAsia="zh-CN"/>
        </w:rPr>
        <w:t>1个</w:t>
      </w:r>
      <w:r>
        <w:rPr>
          <w:rFonts w:hint="eastAsia" w:ascii="宋体" w:hAnsi="宋体" w:cs="宋体"/>
          <w:sz w:val="24"/>
          <w:szCs w:val="24"/>
          <w:highlight w:val="none"/>
          <w:lang w:val="en-US" w:eastAsia="zh-CN"/>
        </w:rPr>
        <w:t>。</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（二）服务重点管理工作要求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一、安全保障：做好人员、车辆进出</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消防维保</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安全</w:t>
      </w:r>
      <w:r>
        <w:rPr>
          <w:rFonts w:hint="eastAsia" w:ascii="宋体" w:hAnsi="宋体" w:eastAsia="宋体" w:cs="宋体"/>
          <w:sz w:val="24"/>
          <w:szCs w:val="24"/>
          <w:highlight w:val="none"/>
        </w:rPr>
        <w:t>保障</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对法院设施、设备等进行安全管理，防范盗窃、损坏、丢失等情况发生。</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二、保密措施：采取措施确保法院信息、案件材料等的安全保密，防止泄露、传播等行为。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三、清洁卫生：保持</w:t>
      </w:r>
      <w:r>
        <w:rPr>
          <w:rFonts w:hint="eastAsia" w:ascii="宋体" w:hAnsi="宋体" w:cs="宋体"/>
          <w:sz w:val="24"/>
          <w:szCs w:val="24"/>
          <w:highlight w:val="none"/>
          <w:lang w:val="en-US" w:eastAsia="zh-CN"/>
        </w:rPr>
        <w:t>物业服务范围内</w:t>
      </w:r>
      <w:r>
        <w:rPr>
          <w:rFonts w:hint="eastAsia" w:ascii="宋体" w:hAnsi="宋体" w:eastAsia="宋体" w:cs="宋体"/>
          <w:sz w:val="24"/>
          <w:szCs w:val="24"/>
          <w:highlight w:val="none"/>
        </w:rPr>
        <w:t>环境的整洁卫生，防止疾病传播和环境污染。</w:t>
      </w:r>
    </w:p>
    <w:p>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四、设备维护：</w:t>
      </w:r>
      <w:r>
        <w:rPr>
          <w:rFonts w:hint="eastAsia" w:ascii="宋体" w:hAnsi="宋体" w:cs="宋体"/>
          <w:sz w:val="24"/>
          <w:szCs w:val="24"/>
          <w:highlight w:val="none"/>
          <w:lang w:val="en-US" w:eastAsia="zh-CN"/>
        </w:rPr>
        <w:t>负责</w:t>
      </w:r>
      <w:r>
        <w:rPr>
          <w:rFonts w:hint="eastAsia" w:ascii="宋体" w:hAnsi="宋体" w:eastAsia="宋体" w:cs="宋体"/>
          <w:sz w:val="24"/>
          <w:szCs w:val="24"/>
          <w:highlight w:val="none"/>
        </w:rPr>
        <w:t>对</w:t>
      </w:r>
      <w:r>
        <w:rPr>
          <w:rFonts w:hint="eastAsia" w:ascii="宋体" w:hAnsi="宋体" w:cs="宋体"/>
          <w:sz w:val="24"/>
          <w:szCs w:val="24"/>
          <w:highlight w:val="none"/>
          <w:lang w:val="en-US" w:eastAsia="zh-CN"/>
        </w:rPr>
        <w:t>服务相关</w:t>
      </w:r>
      <w:r>
        <w:rPr>
          <w:rFonts w:hint="eastAsia" w:ascii="宋体" w:hAnsi="宋体" w:eastAsia="宋体" w:cs="宋体"/>
          <w:sz w:val="24"/>
          <w:szCs w:val="24"/>
          <w:highlight w:val="none"/>
        </w:rPr>
        <w:t>设施、设备等进行定期维护和保养，确保正常运行和使用效果</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对院内设备、办公家具等调整搬动。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五、人员管理：</w:t>
      </w:r>
      <w:r>
        <w:rPr>
          <w:rFonts w:hint="eastAsia" w:ascii="宋体" w:hAnsi="宋体" w:cs="宋体"/>
          <w:sz w:val="24"/>
          <w:szCs w:val="24"/>
          <w:highlight w:val="none"/>
          <w:lang w:val="en-US" w:eastAsia="zh-CN"/>
        </w:rPr>
        <w:t>按照甲方要求</w:t>
      </w:r>
      <w:r>
        <w:rPr>
          <w:rFonts w:hint="eastAsia" w:ascii="宋体" w:hAnsi="宋体" w:eastAsia="宋体" w:cs="宋体"/>
          <w:sz w:val="24"/>
          <w:szCs w:val="24"/>
          <w:highlight w:val="none"/>
        </w:rPr>
        <w:t>对</w:t>
      </w:r>
      <w:r>
        <w:rPr>
          <w:rFonts w:hint="eastAsia" w:ascii="宋体" w:hAnsi="宋体" w:cs="宋体"/>
          <w:sz w:val="24"/>
          <w:szCs w:val="24"/>
          <w:highlight w:val="none"/>
          <w:lang w:val="en-US" w:eastAsia="zh-CN"/>
        </w:rPr>
        <w:t>进出</w:t>
      </w:r>
      <w:r>
        <w:rPr>
          <w:rFonts w:hint="eastAsia" w:ascii="宋体" w:hAnsi="宋体" w:eastAsia="宋体" w:cs="宋体"/>
          <w:sz w:val="24"/>
          <w:szCs w:val="24"/>
          <w:highlight w:val="none"/>
        </w:rPr>
        <w:t>法院</w:t>
      </w:r>
      <w:r>
        <w:rPr>
          <w:rFonts w:hint="eastAsia" w:ascii="宋体" w:hAnsi="宋体" w:cs="宋体"/>
          <w:sz w:val="24"/>
          <w:szCs w:val="24"/>
          <w:highlight w:val="none"/>
          <w:lang w:val="en-US" w:eastAsia="zh-CN"/>
        </w:rPr>
        <w:t>人员</w:t>
      </w:r>
      <w:r>
        <w:rPr>
          <w:rFonts w:hint="eastAsia" w:ascii="宋体" w:hAnsi="宋体" w:eastAsia="宋体" w:cs="宋体"/>
          <w:sz w:val="24"/>
          <w:szCs w:val="24"/>
          <w:highlight w:val="none"/>
        </w:rPr>
        <w:t>进行管理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确保不发生安全事件</w:t>
      </w:r>
      <w:r>
        <w:rPr>
          <w:rFonts w:hint="eastAsia" w:ascii="宋体" w:hAnsi="宋体" w:eastAsia="宋体" w:cs="宋体"/>
          <w:sz w:val="24"/>
          <w:szCs w:val="24"/>
          <w:highlight w:val="none"/>
        </w:rPr>
        <w:t>。</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（三）物业服务要求</w:t>
      </w:r>
    </w:p>
    <w:p>
      <w:pPr>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1.人员配备要求</w:t>
      </w:r>
    </w:p>
    <w:p>
      <w:pPr>
        <w:spacing w:line="460" w:lineRule="exact"/>
        <w:ind w:firstLine="470" w:firstLineChars="196"/>
        <w:rPr>
          <w:rFonts w:ascii="Times New Roman" w:hAnsi="Times New Roman" w:eastAsia="宋体" w:cs="Times New Roman"/>
          <w:sz w:val="24"/>
          <w:szCs w:val="24"/>
        </w:rPr>
      </w:pPr>
      <w:r>
        <w:rPr>
          <w:rFonts w:hint="eastAsia" w:ascii="Times New Roman" w:hAnsi="Times New Roman" w:eastAsia="宋体" w:cs="Times New Roman"/>
          <w:sz w:val="24"/>
          <w:szCs w:val="24"/>
        </w:rPr>
        <w:t>人员要求政治可靠，遵纪守法，爱岗敬业，身体素质</w:t>
      </w:r>
      <w:r>
        <w:rPr>
          <w:rFonts w:hint="eastAsia" w:cs="Times New Roman"/>
          <w:sz w:val="24"/>
          <w:szCs w:val="24"/>
          <w:lang w:eastAsia="zh-CN"/>
        </w:rPr>
        <w:t>、</w:t>
      </w:r>
      <w:r>
        <w:rPr>
          <w:rFonts w:hint="eastAsia" w:cs="Times New Roman"/>
          <w:sz w:val="24"/>
          <w:szCs w:val="24"/>
          <w:lang w:val="en-US" w:eastAsia="zh-CN"/>
        </w:rPr>
        <w:t>形象</w:t>
      </w:r>
      <w:r>
        <w:rPr>
          <w:rFonts w:hint="eastAsia" w:ascii="Times New Roman" w:hAnsi="Times New Roman" w:eastAsia="宋体" w:cs="Times New Roman"/>
          <w:sz w:val="24"/>
          <w:szCs w:val="24"/>
          <w:lang w:val="en-US" w:eastAsia="zh-CN"/>
        </w:rPr>
        <w:t>良好</w:t>
      </w:r>
      <w:r>
        <w:rPr>
          <w:rFonts w:hint="eastAsia" w:ascii="Times New Roman" w:hAnsi="Times New Roman" w:eastAsia="宋体" w:cs="Times New Roman"/>
          <w:sz w:val="24"/>
          <w:szCs w:val="24"/>
        </w:rPr>
        <w:t>，无</w:t>
      </w:r>
      <w:r>
        <w:rPr>
          <w:rFonts w:hint="eastAsia" w:ascii="Times New Roman" w:hAnsi="Times New Roman" w:eastAsia="宋体" w:cs="Times New Roman"/>
          <w:sz w:val="24"/>
          <w:szCs w:val="24"/>
          <w:lang w:val="en-US" w:eastAsia="zh-CN"/>
        </w:rPr>
        <w:t>犯罪</w:t>
      </w:r>
      <w:r>
        <w:rPr>
          <w:rFonts w:hint="eastAsia" w:cs="Times New Roman"/>
          <w:sz w:val="24"/>
          <w:szCs w:val="24"/>
          <w:lang w:val="en-US" w:eastAsia="zh-CN"/>
        </w:rPr>
        <w:t>记录</w:t>
      </w:r>
      <w:r>
        <w:rPr>
          <w:rFonts w:hint="eastAsia" w:ascii="Times New Roman" w:hAnsi="Times New Roman" w:eastAsia="宋体" w:cs="Times New Roman"/>
          <w:sz w:val="24"/>
          <w:szCs w:val="24"/>
        </w:rPr>
        <w:t>（以公安机关提供的证明为准）</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无不良嗜好</w:t>
      </w:r>
      <w:r>
        <w:rPr>
          <w:rFonts w:hint="eastAsia" w:ascii="Times New Roman" w:hAnsi="Times New Roman" w:eastAsia="宋体" w:cs="Times New Roman"/>
          <w:sz w:val="24"/>
          <w:szCs w:val="24"/>
        </w:rPr>
        <w:t>，知晓本岗位的服务礼仪，按相应规定持有效证件上岗。物业</w:t>
      </w:r>
      <w:r>
        <w:rPr>
          <w:rFonts w:ascii="Times New Roman" w:hAnsi="Times New Roman" w:eastAsia="宋体" w:cs="Times New Roman"/>
          <w:sz w:val="24"/>
          <w:szCs w:val="24"/>
        </w:rPr>
        <w:t>服务项目经理</w:t>
      </w:r>
      <w:r>
        <w:rPr>
          <w:rFonts w:hint="eastAsia" w:ascii="Times New Roman" w:hAnsi="Times New Roman" w:eastAsia="宋体" w:cs="Times New Roman"/>
          <w:sz w:val="24"/>
          <w:szCs w:val="24"/>
        </w:rPr>
        <w:t>或</w:t>
      </w:r>
      <w:r>
        <w:rPr>
          <w:rFonts w:ascii="Times New Roman" w:hAnsi="Times New Roman" w:eastAsia="宋体" w:cs="Times New Roman"/>
          <w:sz w:val="24"/>
          <w:szCs w:val="24"/>
        </w:rPr>
        <w:t>主管负责</w:t>
      </w:r>
      <w:r>
        <w:rPr>
          <w:rFonts w:hint="eastAsia" w:ascii="Times New Roman" w:hAnsi="Times New Roman" w:eastAsia="宋体" w:cs="Times New Roman"/>
          <w:sz w:val="24"/>
          <w:szCs w:val="24"/>
        </w:rPr>
        <w:t>法院</w:t>
      </w:r>
      <w:r>
        <w:rPr>
          <w:rFonts w:ascii="Times New Roman" w:hAnsi="Times New Roman" w:eastAsia="宋体" w:cs="Times New Roman"/>
          <w:sz w:val="24"/>
          <w:szCs w:val="24"/>
        </w:rPr>
        <w:t>委托的</w:t>
      </w:r>
      <w:r>
        <w:rPr>
          <w:rFonts w:hint="eastAsia" w:ascii="Times New Roman" w:hAnsi="Times New Roman" w:eastAsia="宋体" w:cs="Times New Roman"/>
          <w:sz w:val="24"/>
          <w:szCs w:val="24"/>
        </w:rPr>
        <w:t>项目服务</w:t>
      </w:r>
      <w:r>
        <w:rPr>
          <w:rFonts w:ascii="Times New Roman" w:hAnsi="Times New Roman" w:eastAsia="宋体" w:cs="Times New Roman"/>
          <w:sz w:val="24"/>
          <w:szCs w:val="24"/>
        </w:rPr>
        <w:t>管理工作，合理分配各部门</w:t>
      </w:r>
      <w:r>
        <w:rPr>
          <w:rFonts w:hint="eastAsia" w:ascii="Times New Roman" w:hAnsi="Times New Roman" w:eastAsia="宋体" w:cs="Times New Roman"/>
          <w:sz w:val="24"/>
          <w:szCs w:val="24"/>
          <w:lang w:val="en-US" w:eastAsia="zh-CN"/>
        </w:rPr>
        <w:t>人员</w:t>
      </w:r>
      <w:r>
        <w:rPr>
          <w:rFonts w:ascii="Times New Roman" w:hAnsi="Times New Roman" w:eastAsia="宋体" w:cs="Times New Roman"/>
          <w:sz w:val="24"/>
          <w:szCs w:val="24"/>
        </w:rPr>
        <w:t>工作，完成</w:t>
      </w:r>
      <w:r>
        <w:rPr>
          <w:rFonts w:hint="eastAsia" w:ascii="Times New Roman" w:hAnsi="Times New Roman" w:eastAsia="宋体" w:cs="Times New Roman"/>
          <w:sz w:val="24"/>
          <w:szCs w:val="24"/>
          <w:lang w:val="en-US" w:eastAsia="zh-CN"/>
        </w:rPr>
        <w:t>法院</w:t>
      </w:r>
      <w:r>
        <w:rPr>
          <w:rFonts w:ascii="Times New Roman" w:hAnsi="Times New Roman" w:eastAsia="宋体" w:cs="Times New Roman"/>
          <w:sz w:val="24"/>
          <w:szCs w:val="24"/>
        </w:rPr>
        <w:t>交办的其他临时任务。</w:t>
      </w:r>
    </w:p>
    <w:p>
      <w:pPr>
        <w:spacing w:line="46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1．项目负责人</w:t>
      </w:r>
      <w:r>
        <w:rPr>
          <w:rFonts w:ascii="宋体" w:hAnsi="宋体" w:eastAsia="宋体" w:cs="Times New Roman"/>
          <w:sz w:val="24"/>
          <w:szCs w:val="24"/>
        </w:rPr>
        <w:t>：全面负责</w:t>
      </w:r>
      <w:r>
        <w:rPr>
          <w:rFonts w:hint="eastAsia" w:ascii="宋体" w:hAnsi="宋体" w:eastAsia="宋体" w:cs="Times New Roman"/>
          <w:sz w:val="24"/>
          <w:szCs w:val="24"/>
        </w:rPr>
        <w:t>项目管理</w:t>
      </w:r>
      <w:r>
        <w:rPr>
          <w:rFonts w:ascii="宋体" w:hAnsi="宋体" w:eastAsia="宋体" w:cs="Times New Roman"/>
          <w:sz w:val="24"/>
          <w:szCs w:val="24"/>
        </w:rPr>
        <w:t>工作，</w:t>
      </w:r>
      <w:r>
        <w:rPr>
          <w:rFonts w:hint="eastAsia" w:ascii="宋体" w:hAnsi="宋体" w:cs="Times New Roman"/>
          <w:sz w:val="24"/>
          <w:szCs w:val="24"/>
          <w:lang w:val="en-US" w:eastAsia="zh-CN"/>
        </w:rPr>
        <w:t>负责</w:t>
      </w:r>
      <w:r>
        <w:rPr>
          <w:rFonts w:hint="eastAsia" w:ascii="宋体" w:hAnsi="宋体" w:eastAsia="宋体" w:cs="Times New Roman"/>
          <w:sz w:val="24"/>
          <w:szCs w:val="24"/>
        </w:rPr>
        <w:t>该项目服务</w:t>
      </w:r>
      <w:r>
        <w:rPr>
          <w:rFonts w:ascii="宋体" w:hAnsi="宋体" w:eastAsia="宋体" w:cs="Times New Roman"/>
          <w:sz w:val="24"/>
          <w:szCs w:val="24"/>
        </w:rPr>
        <w:t>人员的日常管理及班次安排</w:t>
      </w:r>
      <w:r>
        <w:rPr>
          <w:rFonts w:hint="eastAsia" w:ascii="宋体" w:hAnsi="宋体" w:eastAsia="宋体" w:cs="Times New Roman"/>
          <w:sz w:val="24"/>
          <w:szCs w:val="24"/>
        </w:rPr>
        <w:t>；</w:t>
      </w:r>
      <w:r>
        <w:rPr>
          <w:rFonts w:ascii="宋体" w:hAnsi="宋体" w:eastAsia="宋体" w:cs="Times New Roman"/>
          <w:sz w:val="24"/>
          <w:szCs w:val="24"/>
        </w:rPr>
        <w:t>巡检、记录各班每日工作情况，及时向</w:t>
      </w:r>
      <w:r>
        <w:rPr>
          <w:rFonts w:hint="eastAsia" w:ascii="宋体" w:hAnsi="宋体" w:eastAsia="宋体" w:cs="Times New Roman"/>
          <w:sz w:val="24"/>
          <w:szCs w:val="24"/>
        </w:rPr>
        <w:t>法院</w:t>
      </w:r>
      <w:r>
        <w:rPr>
          <w:rFonts w:ascii="宋体" w:hAnsi="宋体" w:eastAsia="宋体" w:cs="Times New Roman"/>
          <w:sz w:val="24"/>
          <w:szCs w:val="24"/>
        </w:rPr>
        <w:t>汇报；定期对</w:t>
      </w:r>
      <w:r>
        <w:rPr>
          <w:rFonts w:hint="eastAsia" w:ascii="宋体" w:hAnsi="宋体" w:eastAsia="宋体" w:cs="Times New Roman"/>
          <w:sz w:val="24"/>
          <w:szCs w:val="24"/>
        </w:rPr>
        <w:t>该项目</w:t>
      </w:r>
      <w:r>
        <w:rPr>
          <w:rFonts w:ascii="宋体" w:hAnsi="宋体" w:eastAsia="宋体" w:cs="Times New Roman"/>
          <w:sz w:val="24"/>
          <w:szCs w:val="24"/>
        </w:rPr>
        <w:t>服务人员工作进行考核培训。</w:t>
      </w:r>
    </w:p>
    <w:p>
      <w:pPr>
        <w:spacing w:line="460" w:lineRule="exact"/>
        <w:ind w:firstLine="480" w:firstLineChars="200"/>
        <w:rPr>
          <w:rFonts w:hint="eastAsia" w:eastAsia="宋体"/>
          <w:lang w:eastAsia="zh-CN"/>
        </w:rPr>
      </w:pPr>
      <w:r>
        <w:rPr>
          <w:rFonts w:hint="eastAsia" w:ascii="宋体" w:hAnsi="宋体" w:eastAsia="宋体" w:cs="Times New Roman"/>
          <w:sz w:val="24"/>
          <w:szCs w:val="24"/>
        </w:rPr>
        <w:t>2．</w:t>
      </w:r>
      <w:r>
        <w:rPr>
          <w:rFonts w:ascii="宋体" w:hAnsi="宋体" w:eastAsia="宋体" w:cs="Times New Roman"/>
          <w:sz w:val="24"/>
          <w:szCs w:val="24"/>
        </w:rPr>
        <w:t>服务人员：根据服务要求以及区域工种</w:t>
      </w:r>
      <w:r>
        <w:rPr>
          <w:rFonts w:hint="eastAsia" w:ascii="宋体" w:hAnsi="宋体" w:eastAsia="宋体" w:cs="Times New Roman"/>
          <w:sz w:val="24"/>
          <w:szCs w:val="24"/>
        </w:rPr>
        <w:t>实际需要</w:t>
      </w:r>
      <w:r>
        <w:rPr>
          <w:rFonts w:ascii="宋体" w:hAnsi="宋体" w:eastAsia="宋体" w:cs="Times New Roman"/>
          <w:sz w:val="24"/>
          <w:szCs w:val="24"/>
        </w:rPr>
        <w:t>合理安排人员。</w:t>
      </w:r>
      <w:r>
        <w:rPr>
          <w:rFonts w:hint="eastAsia" w:ascii="宋体" w:hAnsi="宋体" w:eastAsia="宋体" w:cs="Times New Roman"/>
          <w:sz w:val="24"/>
          <w:szCs w:val="24"/>
        </w:rPr>
        <w:t>保安人员必须有保安资质部门认定的保安上岗证，</w:t>
      </w:r>
      <w:r>
        <w:rPr>
          <w:rFonts w:hint="eastAsia" w:cs="宋体" w:asciiTheme="minorEastAsia" w:hAnsiTheme="minorEastAsia"/>
          <w:kern w:val="0"/>
          <w:sz w:val="24"/>
          <w:szCs w:val="24"/>
        </w:rPr>
        <w:t>供电运行和维修人员</w:t>
      </w:r>
      <w:r>
        <w:rPr>
          <w:rFonts w:hint="eastAsia" w:cs="宋体" w:asciiTheme="minorEastAsia" w:hAnsiTheme="minorEastAsia"/>
          <w:kern w:val="0"/>
          <w:sz w:val="24"/>
          <w:szCs w:val="24"/>
          <w:lang w:val="en-US" w:eastAsia="zh-CN"/>
        </w:rPr>
        <w:t>须持有效证件上岗</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具体人员配置情况如下</w:t>
      </w:r>
      <w:r>
        <w:rPr>
          <w:rFonts w:hint="eastAsia" w:ascii="宋体" w:hAnsi="宋体" w:eastAsia="宋体" w:cs="Times New Roman"/>
          <w:sz w:val="24"/>
          <w:szCs w:val="24"/>
          <w:lang w:eastAsia="zh-CN"/>
        </w:rPr>
        <w:t>：</w:t>
      </w:r>
    </w:p>
    <w:tbl>
      <w:tblPr>
        <w:tblStyle w:val="63"/>
        <w:tblpPr w:leftFromText="180" w:rightFromText="180" w:vertAnchor="text" w:horzAnchor="page" w:tblpX="1708" w:tblpY="462"/>
        <w:tblOverlap w:val="never"/>
        <w:tblW w:w="8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714"/>
        <w:gridCol w:w="1406"/>
        <w:gridCol w:w="1144"/>
        <w:gridCol w:w="735"/>
        <w:gridCol w:w="3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813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人员配备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616" w:type="dxa"/>
            <w:tcBorders>
              <w:top w:val="single" w:color="000000" w:sz="8" w:space="0"/>
              <w:left w:val="single" w:color="000000" w:sz="8" w:space="0"/>
              <w:bottom w:val="single" w:color="000000" w:sz="4" w:space="0"/>
              <w:right w:val="single" w:color="000000" w:sz="4" w:space="0"/>
            </w:tcBorders>
            <w:shd w:val="clear" w:color="auto" w:fill="9BC2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14" w:type="dxa"/>
            <w:tcBorders>
              <w:top w:val="single" w:color="000000" w:sz="8" w:space="0"/>
              <w:left w:val="nil"/>
              <w:bottom w:val="single" w:color="000000" w:sz="4" w:space="0"/>
              <w:right w:val="single" w:color="000000" w:sz="4" w:space="0"/>
            </w:tcBorders>
            <w:shd w:val="clear" w:color="auto" w:fill="9BC2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分区</w:t>
            </w:r>
          </w:p>
        </w:tc>
        <w:tc>
          <w:tcPr>
            <w:tcW w:w="1406" w:type="dxa"/>
            <w:tcBorders>
              <w:top w:val="single" w:color="000000" w:sz="8" w:space="0"/>
              <w:left w:val="single" w:color="000000" w:sz="4" w:space="0"/>
              <w:bottom w:val="single" w:color="000000" w:sz="4" w:space="0"/>
              <w:right w:val="single" w:color="000000" w:sz="4" w:space="0"/>
            </w:tcBorders>
            <w:shd w:val="clear" w:color="auto" w:fill="9BC2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144" w:type="dxa"/>
            <w:tcBorders>
              <w:top w:val="single" w:color="000000" w:sz="8" w:space="0"/>
              <w:left w:val="single" w:color="000000" w:sz="4" w:space="0"/>
              <w:bottom w:val="single" w:color="000000" w:sz="4" w:space="0"/>
              <w:right w:val="single" w:color="000000" w:sz="4" w:space="0"/>
            </w:tcBorders>
            <w:shd w:val="clear" w:color="auto" w:fill="9BC2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w:t>
            </w:r>
          </w:p>
        </w:tc>
        <w:tc>
          <w:tcPr>
            <w:tcW w:w="735" w:type="dxa"/>
            <w:tcBorders>
              <w:top w:val="single" w:color="000000" w:sz="8" w:space="0"/>
              <w:left w:val="single" w:color="000000" w:sz="4" w:space="0"/>
              <w:bottom w:val="single" w:color="000000" w:sz="4" w:space="0"/>
              <w:right w:val="single" w:color="000000" w:sz="4" w:space="0"/>
            </w:tcBorders>
            <w:shd w:val="clear" w:color="auto" w:fill="9BC2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人数</w:t>
            </w:r>
          </w:p>
        </w:tc>
        <w:tc>
          <w:tcPr>
            <w:tcW w:w="3515" w:type="dxa"/>
            <w:tcBorders>
              <w:top w:val="single" w:color="000000" w:sz="8"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4" w:type="dxa"/>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法院本部</w:t>
            </w:r>
          </w:p>
        </w:tc>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综合管理部</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r>
              <w:rPr>
                <w:rFonts w:hint="eastAsia" w:ascii="宋体" w:hAnsi="宋体" w:cs="宋体"/>
                <w:i w:val="0"/>
                <w:iCs w:val="0"/>
                <w:color w:val="000000"/>
                <w:kern w:val="0"/>
                <w:sz w:val="20"/>
                <w:szCs w:val="20"/>
                <w:u w:val="none"/>
                <w:lang w:val="en-US" w:eastAsia="zh-CN" w:bidi="ar"/>
              </w:rPr>
              <w:t>负责人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全面负责项目日常工作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4"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  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会务</w:t>
            </w:r>
            <w:r>
              <w:rPr>
                <w:rFonts w:hint="eastAsia" w:ascii="宋体" w:hAnsi="宋体" w:cs="宋体"/>
                <w:i w:val="0"/>
                <w:iCs w:val="0"/>
                <w:color w:val="000000"/>
                <w:kern w:val="0"/>
                <w:sz w:val="20"/>
                <w:szCs w:val="20"/>
                <w:u w:val="none"/>
                <w:lang w:val="en-US" w:eastAsia="zh-CN" w:bidi="ar"/>
              </w:rPr>
              <w:t>接待、信件收发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4"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综合服务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阅览室等</w:t>
            </w:r>
            <w:r>
              <w:rPr>
                <w:rFonts w:hint="eastAsia" w:ascii="宋体" w:hAnsi="宋体" w:eastAsia="宋体" w:cs="宋体"/>
                <w:i w:val="0"/>
                <w:iCs w:val="0"/>
                <w:color w:val="000000"/>
                <w:kern w:val="0"/>
                <w:sz w:val="20"/>
                <w:szCs w:val="20"/>
                <w:u w:val="none"/>
                <w:lang w:val="en-US" w:eastAsia="zh-CN" w:bidi="ar"/>
              </w:rPr>
              <w:t>综合服务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4"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秩序维护部</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秩序维护主管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全面负责项目秩序日常管理工作、兼巡逻、替班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4"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秩序维护员</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门岗24小时值守、秩序引导和车辆进出管理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14"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消监室管理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做好消监控室管理，发现问题及时处理。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14"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 逻 员</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全面巡查，做好停车、安全、秩序、设施设备巡查管理。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14"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工程管理部</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工程主管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全面负责综合维修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14"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高配维修员</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高配、强电</w:t>
            </w:r>
            <w:r>
              <w:rPr>
                <w:rFonts w:hint="eastAsia" w:ascii="宋体" w:hAnsi="宋体" w:cs="宋体"/>
                <w:i w:val="0"/>
                <w:iCs w:val="0"/>
                <w:color w:val="000000"/>
                <w:kern w:val="0"/>
                <w:sz w:val="20"/>
                <w:szCs w:val="20"/>
                <w:u w:val="none"/>
                <w:lang w:val="en-US" w:eastAsia="zh-CN" w:bidi="ar"/>
              </w:rPr>
              <w:t>、综合</w:t>
            </w:r>
            <w:r>
              <w:rPr>
                <w:rFonts w:hint="eastAsia" w:ascii="宋体" w:hAnsi="宋体" w:eastAsia="宋体" w:cs="宋体"/>
                <w:i w:val="0"/>
                <w:iCs w:val="0"/>
                <w:color w:val="000000"/>
                <w:kern w:val="0"/>
                <w:sz w:val="20"/>
                <w:szCs w:val="20"/>
                <w:u w:val="none"/>
                <w:lang w:val="en-US" w:eastAsia="zh-CN" w:bidi="ar"/>
              </w:rPr>
              <w:t>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4"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环境卫生部</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保洁主管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全面负责保洁卫生、绿化环境工作，处理相关事宜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14"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楼层保洁员</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法庭、楼层、楼道公区、厕所、公共区域保洁管理等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14"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公共保洁</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公共</w:t>
            </w:r>
            <w:r>
              <w:rPr>
                <w:rFonts w:hint="eastAsia" w:ascii="宋体" w:hAnsi="宋体" w:eastAsia="宋体" w:cs="宋体"/>
                <w:i w:val="0"/>
                <w:iCs w:val="0"/>
                <w:color w:val="000000"/>
                <w:kern w:val="0"/>
                <w:sz w:val="20"/>
                <w:szCs w:val="20"/>
                <w:u w:val="none"/>
                <w:lang w:val="en-US" w:eastAsia="zh-CN" w:bidi="ar"/>
              </w:rPr>
              <w:t>区域保洁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14"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外围保洁</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道路清扫、垃圾桶房拉桶、清洁等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九 堡</w:t>
            </w:r>
            <w:r>
              <w:rPr>
                <w:rFonts w:hint="eastAsia" w:ascii="宋体" w:hAnsi="宋体" w:cs="宋体"/>
                <w:i w:val="0"/>
                <w:iCs w:val="0"/>
                <w:color w:val="000000"/>
                <w:kern w:val="0"/>
                <w:sz w:val="20"/>
                <w:szCs w:val="20"/>
                <w:u w:val="none"/>
                <w:lang w:val="en-US" w:eastAsia="zh-CN" w:bidi="ar"/>
              </w:rPr>
              <w:t>法庭</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环境卫生</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保洁员</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所有公区保洁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笕 桥</w:t>
            </w:r>
            <w:r>
              <w:rPr>
                <w:rFonts w:hint="eastAsia" w:ascii="宋体" w:hAnsi="宋体" w:cs="宋体"/>
                <w:i w:val="0"/>
                <w:iCs w:val="0"/>
                <w:color w:val="000000"/>
                <w:kern w:val="0"/>
                <w:sz w:val="20"/>
                <w:szCs w:val="20"/>
                <w:u w:val="none"/>
                <w:lang w:val="en-US" w:eastAsia="zh-CN" w:bidi="ar"/>
              </w:rPr>
              <w:t>法庭</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环境卫生</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保洁员</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所有公区保洁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基金小镇</w:t>
            </w:r>
            <w:r>
              <w:rPr>
                <w:rFonts w:hint="eastAsia" w:ascii="宋体" w:hAnsi="宋体" w:cs="宋体"/>
                <w:i w:val="0"/>
                <w:iCs w:val="0"/>
                <w:color w:val="000000"/>
                <w:kern w:val="0"/>
                <w:sz w:val="20"/>
                <w:szCs w:val="20"/>
                <w:u w:val="none"/>
                <w:lang w:val="en-US" w:eastAsia="zh-CN" w:bidi="ar"/>
              </w:rPr>
              <w:t>法庭</w:t>
            </w:r>
            <w:r>
              <w:rPr>
                <w:rFonts w:hint="eastAsia" w:ascii="宋体" w:hAnsi="宋体" w:eastAsia="宋体" w:cs="宋体"/>
                <w:i w:val="0"/>
                <w:iCs w:val="0"/>
                <w:color w:val="000000"/>
                <w:kern w:val="0"/>
                <w:sz w:val="20"/>
                <w:szCs w:val="20"/>
                <w:u w:val="none"/>
                <w:lang w:val="en-US" w:eastAsia="zh-CN" w:bidi="ar"/>
              </w:rPr>
              <w:t xml:space="preserve"> </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环境卫生</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保洁员</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所有公区保洁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16" w:type="dxa"/>
            <w:tcBorders>
              <w:top w:val="single" w:color="000000" w:sz="4" w:space="0"/>
              <w:left w:val="single" w:color="000000" w:sz="8" w:space="0"/>
              <w:bottom w:val="single" w:color="000000" w:sz="8" w:space="0"/>
              <w:right w:val="single" w:color="000000" w:sz="4" w:space="0"/>
            </w:tcBorders>
            <w:shd w:val="clear" w:color="auto" w:fill="9BC2E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714" w:type="dxa"/>
            <w:tcBorders>
              <w:top w:val="single" w:color="000000" w:sz="4" w:space="0"/>
              <w:left w:val="nil"/>
              <w:bottom w:val="single" w:color="000000" w:sz="8" w:space="0"/>
              <w:right w:val="single" w:color="000000" w:sz="4" w:space="0"/>
            </w:tcBorders>
            <w:shd w:val="clear" w:color="auto" w:fill="9BC2E6"/>
            <w:noWrap/>
            <w:vAlign w:val="center"/>
          </w:tcPr>
          <w:p>
            <w:pPr>
              <w:jc w:val="center"/>
              <w:rPr>
                <w:rFonts w:hint="eastAsia" w:ascii="宋体" w:hAnsi="宋体" w:eastAsia="宋体" w:cs="宋体"/>
                <w:b/>
                <w:bCs/>
                <w:i w:val="0"/>
                <w:iCs w:val="0"/>
                <w:color w:val="000000"/>
                <w:sz w:val="20"/>
                <w:szCs w:val="20"/>
                <w:u w:val="none"/>
              </w:rPr>
            </w:pPr>
          </w:p>
        </w:tc>
        <w:tc>
          <w:tcPr>
            <w:tcW w:w="2550" w:type="dxa"/>
            <w:gridSpan w:val="2"/>
            <w:tcBorders>
              <w:top w:val="single" w:color="000000" w:sz="4" w:space="0"/>
              <w:left w:val="single" w:color="000000" w:sz="4" w:space="0"/>
              <w:bottom w:val="single" w:color="000000" w:sz="8" w:space="0"/>
              <w:right w:val="single" w:color="000000" w:sz="4" w:space="0"/>
            </w:tcBorders>
            <w:shd w:val="clear" w:color="auto" w:fill="9BC2E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735" w:type="dxa"/>
            <w:tcBorders>
              <w:top w:val="single" w:color="000000" w:sz="4" w:space="0"/>
              <w:left w:val="single" w:color="000000" w:sz="4" w:space="0"/>
              <w:bottom w:val="single" w:color="000000" w:sz="8" w:space="0"/>
              <w:right w:val="single" w:color="000000" w:sz="4" w:space="0"/>
            </w:tcBorders>
            <w:shd w:val="clear" w:color="auto" w:fill="9BC2E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w:t>
            </w:r>
          </w:p>
        </w:tc>
        <w:tc>
          <w:tcPr>
            <w:tcW w:w="3515" w:type="dxa"/>
            <w:tcBorders>
              <w:top w:val="single" w:color="000000" w:sz="4" w:space="0"/>
              <w:left w:val="single" w:color="000000" w:sz="4" w:space="0"/>
              <w:bottom w:val="single" w:color="000000" w:sz="8" w:space="0"/>
              <w:right w:val="single" w:color="000000" w:sz="4" w:space="0"/>
            </w:tcBorders>
            <w:shd w:val="clear" w:color="auto" w:fill="9BC2E6"/>
            <w:noWrap/>
            <w:vAlign w:val="center"/>
          </w:tcPr>
          <w:p>
            <w:pPr>
              <w:jc w:val="center"/>
              <w:rPr>
                <w:rFonts w:hint="eastAsia" w:ascii="宋体" w:hAnsi="宋体" w:eastAsia="宋体" w:cs="宋体"/>
                <w:b/>
                <w:bCs/>
                <w:i w:val="0"/>
                <w:iCs w:val="0"/>
                <w:color w:val="000000"/>
                <w:sz w:val="20"/>
                <w:szCs w:val="20"/>
                <w:u w:val="none"/>
              </w:rPr>
            </w:pPr>
          </w:p>
        </w:tc>
      </w:tr>
    </w:tbl>
    <w:p>
      <w:pPr>
        <w:spacing w:line="360" w:lineRule="auto"/>
        <w:ind w:firstLine="402" w:firstLineChars="200"/>
        <w:jc w:val="left"/>
        <w:rPr>
          <w:rFonts w:hint="eastAsia" w:ascii="宋体" w:hAnsi="宋体" w:eastAsia="宋体" w:cs="宋体"/>
          <w:b/>
          <w:bCs/>
          <w:sz w:val="20"/>
          <w:szCs w:val="20"/>
          <w:highlight w:val="none"/>
        </w:rPr>
      </w:pPr>
    </w:p>
    <w:p>
      <w:pPr>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rPr>
        <w:t>在相应的服务时间内保证</w:t>
      </w:r>
      <w:r>
        <w:rPr>
          <w:rFonts w:hint="eastAsia" w:ascii="宋体" w:hAnsi="宋体" w:cs="宋体"/>
          <w:b/>
          <w:bCs/>
          <w:sz w:val="24"/>
          <w:szCs w:val="24"/>
          <w:highlight w:val="none"/>
          <w:lang w:val="en-US" w:eastAsia="zh-CN"/>
        </w:rPr>
        <w:t>项目</w:t>
      </w:r>
      <w:r>
        <w:rPr>
          <w:rFonts w:hint="eastAsia" w:ascii="宋体" w:hAnsi="宋体" w:eastAsia="宋体" w:cs="宋体"/>
          <w:b/>
          <w:bCs/>
          <w:sz w:val="24"/>
          <w:szCs w:val="24"/>
          <w:highlight w:val="none"/>
        </w:rPr>
        <w:t>所需人员</w:t>
      </w:r>
      <w:r>
        <w:rPr>
          <w:rFonts w:hint="eastAsia" w:ascii="宋体" w:hAnsi="宋体" w:cs="宋体"/>
          <w:b/>
          <w:bCs/>
          <w:sz w:val="24"/>
          <w:szCs w:val="24"/>
          <w:highlight w:val="none"/>
          <w:lang w:val="en-US" w:eastAsia="zh-CN"/>
        </w:rPr>
        <w:t>均</w:t>
      </w:r>
      <w:r>
        <w:rPr>
          <w:rFonts w:hint="eastAsia" w:ascii="宋体" w:hAnsi="宋体" w:eastAsia="宋体" w:cs="宋体"/>
          <w:b/>
          <w:bCs/>
          <w:sz w:val="24"/>
          <w:szCs w:val="24"/>
          <w:highlight w:val="none"/>
        </w:rPr>
        <w:t>在岗，物业单位</w:t>
      </w:r>
      <w:r>
        <w:rPr>
          <w:rFonts w:hint="eastAsia" w:ascii="宋体" w:hAnsi="宋体" w:cs="宋体"/>
          <w:b/>
          <w:bCs/>
          <w:sz w:val="24"/>
          <w:szCs w:val="24"/>
          <w:highlight w:val="none"/>
          <w:lang w:val="en-US" w:eastAsia="zh-CN"/>
        </w:rPr>
        <w:t>对人员工作进行</w:t>
      </w:r>
      <w:r>
        <w:rPr>
          <w:rFonts w:hint="eastAsia" w:ascii="宋体" w:hAnsi="宋体" w:eastAsia="宋体" w:cs="宋体"/>
          <w:b/>
          <w:bCs/>
          <w:sz w:val="24"/>
          <w:szCs w:val="24"/>
          <w:highlight w:val="none"/>
        </w:rPr>
        <w:t>合理排班。</w:t>
      </w:r>
    </w:p>
    <w:p>
      <w:pPr>
        <w:spacing w:line="360" w:lineRule="auto"/>
        <w:ind w:firstLine="964" w:firstLineChars="4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rPr>
        <w:t>）具体工作时间</w:t>
      </w:r>
      <w:r>
        <w:rPr>
          <w:rFonts w:hint="eastAsia" w:ascii="宋体" w:hAnsi="宋体" w:cs="宋体"/>
          <w:b/>
          <w:bCs/>
          <w:sz w:val="24"/>
          <w:szCs w:val="24"/>
          <w:highlight w:val="none"/>
          <w:lang w:val="en-US" w:eastAsia="zh-CN"/>
        </w:rPr>
        <w:t>按照工作要求和</w:t>
      </w:r>
      <w:r>
        <w:rPr>
          <w:rFonts w:hint="eastAsia" w:ascii="宋体" w:hAnsi="宋体" w:eastAsia="宋体" w:cs="宋体"/>
          <w:b/>
          <w:bCs/>
          <w:sz w:val="24"/>
          <w:szCs w:val="24"/>
          <w:highlight w:val="none"/>
        </w:rPr>
        <w:t>实际情况进行调整。</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2.物业管理服务要求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2.1基础设备（包括但不限于器材、硬件、软件、系统等）配置充足，保证正常运作。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2.2对其他公共设施设备定期一个月检查一次并做好相关记录，发现问题及时解决。</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2.3制定详细合理的保安、保洁、绿化、设施设备检查养护及停车管理的工作计划及考核措施，制定投诉处理制度，制定紧急事件处置和消防安全预案，预防安全事故，并在显眼位置公示。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2.4创卫、垃圾分类收集，各种</w:t>
      </w:r>
      <w:r>
        <w:rPr>
          <w:rFonts w:hint="eastAsia" w:ascii="宋体" w:hAnsi="宋体" w:cs="宋体"/>
          <w:sz w:val="24"/>
          <w:szCs w:val="24"/>
          <w:highlight w:val="none"/>
          <w:lang w:val="en-US" w:eastAsia="zh-CN"/>
        </w:rPr>
        <w:t>接待</w:t>
      </w:r>
      <w:r>
        <w:rPr>
          <w:rFonts w:hint="eastAsia" w:ascii="宋体" w:hAnsi="宋体" w:eastAsia="宋体" w:cs="宋体"/>
          <w:sz w:val="24"/>
          <w:szCs w:val="24"/>
          <w:highlight w:val="none"/>
        </w:rPr>
        <w:t>等双方约定及合同规定物业公司需要配合做好的工作，物业公司应无条件全力配合。</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2.5每日巡查楼梯通道以及其他共用部位的门窗、玻璃等，做好巡查记录，并及时维修养护。</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2.6设备房保持整洁、通风，无跑、冒、滴、漏和鼠害现象。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2.7楼道灯完好率不低于95%。</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2.8做好车棚车库、配电房等各类配套用房的日常管理和养护工作。</w:t>
      </w:r>
    </w:p>
    <w:p>
      <w:pPr>
        <w:spacing w:line="360" w:lineRule="auto"/>
        <w:ind w:firstLine="480" w:firstLineChars="200"/>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sz w:val="24"/>
          <w:szCs w:val="24"/>
          <w:highlight w:val="none"/>
        </w:rPr>
        <w:t>2.9加强道路维修与养护，保持道路畅通，路面平坦整齐，排水畅通；停车场内设施完好，符合停车规范要求。</w:t>
      </w:r>
      <w:r>
        <w:rPr>
          <w:rFonts w:hint="eastAsia" w:ascii="宋体" w:hAnsi="宋体" w:eastAsia="宋体" w:cs="宋体"/>
          <w:b w:val="0"/>
          <w:bCs w:val="0"/>
          <w:kern w:val="2"/>
          <w:sz w:val="24"/>
          <w:szCs w:val="24"/>
          <w:highlight w:val="none"/>
          <w:lang w:val="en-US" w:eastAsia="zh-CN" w:bidi="ar-SA"/>
        </w:rPr>
        <w:t xml:space="preserve">  </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3.保安管理要求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3.1保安需具有保安员证，身体健康，统一培训，规范着装，工作态度端正，精神饱满，定期训练。</w:t>
      </w:r>
    </w:p>
    <w:p>
      <w:pPr>
        <w:spacing w:line="360" w:lineRule="auto"/>
        <w:ind w:firstLine="480" w:firstLineChars="200"/>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3.2建立24小时值班制</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不得出现脱岗、睡岗。</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3.3做好出入口人员进出管理工作，临时进出人员需登记去向，禁止无关人员进入法院。</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3.4对进出法院的车辆实施证、卡管理，做好出入车辆管理登记，保持出入口进出有序、畅通。</w:t>
      </w:r>
      <w:r>
        <w:rPr>
          <w:rFonts w:hint="eastAsia" w:ascii="宋体" w:hAnsi="宋体" w:eastAsia="宋体" w:cs="宋体"/>
          <w:color w:val="000000" w:themeColor="text1"/>
          <w:sz w:val="24"/>
          <w:szCs w:val="24"/>
          <w:highlight w:val="none"/>
          <w14:textFill>
            <w14:solidFill>
              <w14:schemeClr w14:val="tx1"/>
            </w14:solidFill>
          </w14:textFill>
        </w:rPr>
        <w:t>制止和清理门前无关车辆的停放，对进出大门的车辆进行指挥，保障道路畅通。</w:t>
      </w:r>
    </w:p>
    <w:p>
      <w:pPr>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sz w:val="24"/>
          <w:szCs w:val="24"/>
          <w:highlight w:val="none"/>
        </w:rPr>
        <w:t>3.5需配置巡逻和保安，每小时巡逻一次，巡逻路线设计合理，及时关闭大楼</w:t>
      </w:r>
      <w:r>
        <w:rPr>
          <w:rFonts w:hint="eastAsia" w:ascii="宋体" w:hAnsi="宋体" w:cs="宋体"/>
          <w:sz w:val="24"/>
          <w:szCs w:val="24"/>
          <w:highlight w:val="none"/>
          <w:lang w:val="en-US" w:eastAsia="zh-CN"/>
        </w:rPr>
        <w:t>内通道</w:t>
      </w:r>
      <w:r>
        <w:rPr>
          <w:rFonts w:hint="eastAsia" w:ascii="宋体" w:hAnsi="宋体" w:eastAsia="宋体" w:cs="宋体"/>
          <w:sz w:val="24"/>
          <w:szCs w:val="24"/>
          <w:highlight w:val="none"/>
        </w:rPr>
        <w:t>门，</w:t>
      </w:r>
      <w:r>
        <w:rPr>
          <w:rFonts w:hint="eastAsia" w:ascii="宋体" w:hAnsi="宋体" w:cs="宋体"/>
          <w:sz w:val="24"/>
          <w:szCs w:val="24"/>
          <w:highlight w:val="none"/>
          <w:lang w:val="en-US" w:eastAsia="zh-CN"/>
        </w:rPr>
        <w:t>加强</w:t>
      </w:r>
      <w:r>
        <w:rPr>
          <w:rFonts w:hint="eastAsia" w:ascii="宋体" w:hAnsi="宋体" w:eastAsia="宋体" w:cs="宋体"/>
          <w:sz w:val="24"/>
          <w:szCs w:val="24"/>
          <w:highlight w:val="none"/>
        </w:rPr>
        <w:t>安全死角的巡逻，采取其他必要的防盗措施，做好巡逻记录。</w:t>
      </w:r>
      <w:r>
        <w:rPr>
          <w:rFonts w:hint="eastAsia" w:ascii="宋体" w:hAnsi="宋体" w:cs="宋体"/>
          <w:sz w:val="24"/>
          <w:szCs w:val="24"/>
          <w:highlight w:val="none"/>
          <w:lang w:val="en-US" w:eastAsia="zh-CN"/>
        </w:rPr>
        <w:t>监控全天候值班，</w:t>
      </w:r>
      <w:r>
        <w:rPr>
          <w:rFonts w:cs="宋体" w:asciiTheme="minorEastAsia" w:hAnsiTheme="minorEastAsia"/>
          <w:kern w:val="0"/>
          <w:sz w:val="24"/>
          <w:szCs w:val="24"/>
        </w:rPr>
        <w:t>在院内有重大活动时</w:t>
      </w:r>
      <w:r>
        <w:rPr>
          <w:rFonts w:hint="eastAsia" w:cs="宋体" w:asciiTheme="minorEastAsia" w:hAnsiTheme="minorEastAsia"/>
          <w:kern w:val="0"/>
          <w:sz w:val="24"/>
          <w:szCs w:val="24"/>
          <w:lang w:val="en-US" w:eastAsia="zh-CN"/>
        </w:rPr>
        <w:t>配合做好</w:t>
      </w:r>
      <w:r>
        <w:rPr>
          <w:rFonts w:cs="宋体" w:asciiTheme="minorEastAsia" w:hAnsiTheme="minorEastAsia"/>
          <w:kern w:val="0"/>
          <w:sz w:val="24"/>
          <w:szCs w:val="24"/>
        </w:rPr>
        <w:t>秩序维护</w:t>
      </w:r>
      <w:r>
        <w:rPr>
          <w:rFonts w:hint="eastAsia" w:cs="宋体" w:asciiTheme="minorEastAsia" w:hAnsiTheme="minorEastAsia"/>
          <w:kern w:val="0"/>
          <w:sz w:val="24"/>
          <w:szCs w:val="24"/>
          <w:lang w:eastAsia="zh-CN"/>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3.6法院大楼</w:t>
      </w:r>
      <w:r>
        <w:rPr>
          <w:rFonts w:hint="eastAsia" w:ascii="宋体" w:hAnsi="宋体" w:eastAsia="宋体" w:cs="宋体"/>
          <w:color w:val="000000" w:themeColor="text1"/>
          <w:sz w:val="24"/>
          <w:szCs w:val="24"/>
          <w:highlight w:val="none"/>
          <w14:textFill>
            <w14:solidFill>
              <w14:schemeClr w14:val="tx1"/>
            </w14:solidFill>
          </w14:textFill>
        </w:rPr>
        <w:t>实行人车分流管理，保证地上、地下车辆的有序停放，确保道路及消防通道的畅通。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3.7采用“人防”和“技防”相结合的模式，协助做好法院大楼内的治安防盗工作，关注防盗死角并采取必要合理的防范措施，避免偷盗事故的发生。</w:t>
      </w:r>
    </w:p>
    <w:p>
      <w:pPr>
        <w:widowControl/>
        <w:spacing w:line="460" w:lineRule="exact"/>
        <w:ind w:firstLine="480" w:firstLineChars="200"/>
        <w:jc w:val="left"/>
        <w:rPr>
          <w:rFonts w:cs="宋体" w:asciiTheme="minorEastAsia" w:hAnsiTheme="minorEastAsia"/>
          <w:kern w:val="0"/>
          <w:sz w:val="24"/>
          <w:szCs w:val="24"/>
        </w:rPr>
      </w:pPr>
      <w:r>
        <w:rPr>
          <w:rFonts w:hint="eastAsia" w:ascii="宋体" w:hAnsi="宋体" w:eastAsia="宋体" w:cs="宋体"/>
          <w:sz w:val="24"/>
          <w:szCs w:val="24"/>
          <w:highlight w:val="none"/>
        </w:rPr>
        <w:t>3.8成立机动队，</w:t>
      </w:r>
      <w:r>
        <w:rPr>
          <w:rFonts w:cs="宋体" w:asciiTheme="minorEastAsia" w:hAnsiTheme="minorEastAsia"/>
          <w:kern w:val="0"/>
          <w:sz w:val="24"/>
          <w:szCs w:val="24"/>
        </w:rPr>
        <w:t>在法院发生突发事件时，第一时间到达现场听从统一指挥，参与相关事件的处理，减轻各类灾害的损失。参与突发事件处置、灾害预防、火灾扑救、暴雨、暴雪</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lang w:val="en-US" w:eastAsia="zh-CN"/>
        </w:rPr>
        <w:t>台风等</w:t>
      </w:r>
      <w:r>
        <w:rPr>
          <w:rFonts w:cs="宋体" w:asciiTheme="minorEastAsia" w:hAnsiTheme="minorEastAsia"/>
          <w:kern w:val="0"/>
          <w:sz w:val="24"/>
          <w:szCs w:val="24"/>
        </w:rPr>
        <w:t>重大事故的急救，发现和制止院内</w:t>
      </w:r>
      <w:r>
        <w:rPr>
          <w:rFonts w:hint="eastAsia" w:cs="宋体" w:asciiTheme="minorEastAsia" w:hAnsiTheme="minorEastAsia"/>
          <w:kern w:val="0"/>
          <w:sz w:val="24"/>
          <w:szCs w:val="24"/>
          <w:lang w:val="en-US" w:eastAsia="zh-CN"/>
        </w:rPr>
        <w:t>安全</w:t>
      </w:r>
      <w:r>
        <w:rPr>
          <w:rFonts w:cs="宋体" w:asciiTheme="minorEastAsia" w:hAnsiTheme="minorEastAsia"/>
          <w:kern w:val="0"/>
          <w:sz w:val="24"/>
          <w:szCs w:val="24"/>
        </w:rPr>
        <w:t>事件，随时准备提供紧急救助。</w:t>
      </w:r>
    </w:p>
    <w:p>
      <w:pPr>
        <w:widowControl/>
        <w:spacing w:line="460" w:lineRule="exact"/>
        <w:ind w:firstLine="480" w:firstLineChars="200"/>
        <w:jc w:val="left"/>
        <w:rPr>
          <w:rFonts w:hint="eastAsia" w:ascii="宋体" w:hAnsi="宋体" w:eastAsia="宋体" w:cs="宋体"/>
          <w:b/>
          <w:bCs/>
          <w:sz w:val="24"/>
          <w:szCs w:val="24"/>
          <w:highlight w:val="none"/>
        </w:rPr>
      </w:pPr>
      <w:r>
        <w:rPr>
          <w:rFonts w:cs="宋体" w:asciiTheme="minorEastAsia" w:hAnsiTheme="minorEastAsia"/>
          <w:kern w:val="0"/>
          <w:sz w:val="24"/>
          <w:szCs w:val="24"/>
        </w:rPr>
        <w:t xml:space="preserve"> </w:t>
      </w:r>
      <w:r>
        <w:rPr>
          <w:rFonts w:hint="eastAsia" w:ascii="宋体" w:hAnsi="宋体" w:eastAsia="宋体" w:cs="宋体"/>
          <w:b/>
          <w:bCs/>
          <w:sz w:val="24"/>
          <w:szCs w:val="24"/>
          <w:highlight w:val="none"/>
        </w:rPr>
        <w:t>4.保洁管理规范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w:t>
      </w:r>
      <w:r>
        <w:rPr>
          <w:rFonts w:hint="eastAsia" w:ascii="宋体" w:hAnsi="宋体" w:cs="宋体"/>
          <w:sz w:val="24"/>
          <w:szCs w:val="24"/>
          <w:highlight w:val="none"/>
          <w:lang w:val="en-US" w:eastAsia="zh-CN"/>
        </w:rPr>
        <w:t>做好</w:t>
      </w:r>
      <w:r>
        <w:rPr>
          <w:rFonts w:hint="eastAsia" w:ascii="宋体" w:hAnsi="宋体" w:eastAsia="宋体" w:cs="宋体"/>
          <w:sz w:val="24"/>
          <w:szCs w:val="24"/>
          <w:highlight w:val="none"/>
        </w:rPr>
        <w:t>办公楼内的楼梯、大厅、走廊、天台、卫生间、公共活动场所，楼宇外墙等所有公共部位，办公区内的道路、停车场（库）等所有公共场地和“门前三包”区域的日常保洁保养以及垃圾、废弃物清理，审判区域和值班室卫生保洁等。</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4.2</w:t>
      </w:r>
      <w:r>
        <w:rPr>
          <w:rFonts w:hint="eastAsia" w:ascii="宋体" w:hAnsi="宋体" w:eastAsia="宋体" w:cs="宋体"/>
          <w:sz w:val="24"/>
          <w:szCs w:val="24"/>
          <w:highlight w:val="none"/>
        </w:rPr>
        <w:t>按规定要求配置合理数量的生活垃圾桶。建筑垃圾和</w:t>
      </w:r>
      <w:r>
        <w:rPr>
          <w:rFonts w:hint="eastAsia" w:ascii="宋体" w:hAnsi="宋体" w:cs="宋体"/>
          <w:sz w:val="24"/>
          <w:szCs w:val="24"/>
          <w:highlight w:val="none"/>
          <w:lang w:val="en-US" w:eastAsia="zh-CN"/>
        </w:rPr>
        <w:t>餐厨</w:t>
      </w:r>
      <w:r>
        <w:rPr>
          <w:rFonts w:hint="eastAsia" w:ascii="宋体" w:hAnsi="宋体" w:eastAsia="宋体" w:cs="宋体"/>
          <w:sz w:val="24"/>
          <w:szCs w:val="24"/>
          <w:highlight w:val="none"/>
        </w:rPr>
        <w:t>垃圾定点堆放，并做好垃圾分类工作。</w:t>
      </w:r>
    </w:p>
    <w:p>
      <w:pPr>
        <w:spacing w:line="360" w:lineRule="auto"/>
        <w:ind w:firstLine="480" w:firstLineChars="200"/>
        <w:rPr>
          <w:rFonts w:hint="eastAsia" w:cs="Times New Roman" w:asciiTheme="minorEastAsia" w:hAnsiTheme="minorEastAsia"/>
          <w:sz w:val="24"/>
          <w:szCs w:val="24"/>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3</w:t>
      </w:r>
      <w:r>
        <w:rPr>
          <w:rFonts w:hint="eastAsia" w:cs="Times New Roman" w:asciiTheme="minorEastAsia" w:hAnsiTheme="minorEastAsia"/>
          <w:sz w:val="24"/>
          <w:szCs w:val="24"/>
        </w:rPr>
        <w:t>办公区域内的卫生间、</w:t>
      </w:r>
      <w:r>
        <w:rPr>
          <w:rFonts w:hint="eastAsia" w:cs="Times New Roman" w:asciiTheme="minorEastAsia" w:hAnsiTheme="minorEastAsia"/>
          <w:sz w:val="24"/>
          <w:szCs w:val="24"/>
          <w:lang w:val="en-US" w:eastAsia="zh-CN"/>
        </w:rPr>
        <w:t>开</w:t>
      </w:r>
      <w:r>
        <w:rPr>
          <w:rFonts w:hint="eastAsia" w:cs="Times New Roman" w:asciiTheme="minorEastAsia" w:hAnsiTheme="minorEastAsia"/>
          <w:sz w:val="24"/>
          <w:szCs w:val="24"/>
        </w:rPr>
        <w:t>水</w:t>
      </w:r>
      <w:r>
        <w:rPr>
          <w:rFonts w:hint="eastAsia" w:cs="Times New Roman" w:asciiTheme="minorEastAsia" w:hAnsiTheme="minorEastAsia"/>
          <w:sz w:val="24"/>
          <w:szCs w:val="24"/>
          <w:lang w:val="en-US" w:eastAsia="zh-CN"/>
        </w:rPr>
        <w:t>间</w:t>
      </w:r>
      <w:r>
        <w:rPr>
          <w:rFonts w:hint="eastAsia" w:cs="Times New Roman" w:asciiTheme="minorEastAsia" w:hAnsiTheme="minorEastAsia"/>
          <w:sz w:val="24"/>
          <w:szCs w:val="24"/>
        </w:rPr>
        <w:t>设备保持清洁，无污迹、无积水、无积尘、无异味、无漏滴水、无堆积杂物、无乱张贴物，巡回保洁保持清洁。电器按时开关，保证安全。</w:t>
      </w:r>
    </w:p>
    <w:p>
      <w:pPr>
        <w:spacing w:line="360" w:lineRule="auto"/>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lang w:val="en-US" w:eastAsia="zh-CN"/>
        </w:rPr>
        <w:t>4.4</w:t>
      </w:r>
      <w:r>
        <w:rPr>
          <w:rFonts w:hint="eastAsia" w:cs="Times New Roman" w:asciiTheme="minorEastAsia" w:hAnsiTheme="minorEastAsia"/>
          <w:sz w:val="24"/>
          <w:szCs w:val="24"/>
        </w:rPr>
        <w:t>办公区域外的道路和停车场及所有公共区域的地面，无</w:t>
      </w:r>
      <w:r>
        <w:rPr>
          <w:rFonts w:hint="eastAsia" w:cs="Times New Roman" w:asciiTheme="minorEastAsia" w:hAnsiTheme="minorEastAsia"/>
          <w:sz w:val="24"/>
          <w:szCs w:val="24"/>
          <w:lang w:val="en-US" w:eastAsia="zh-CN"/>
        </w:rPr>
        <w:t>地面</w:t>
      </w:r>
      <w:r>
        <w:rPr>
          <w:rFonts w:hint="eastAsia" w:cs="Times New Roman" w:asciiTheme="minorEastAsia" w:hAnsiTheme="minorEastAsia"/>
          <w:sz w:val="24"/>
          <w:szCs w:val="24"/>
        </w:rPr>
        <w:t>垃圾和建筑垃圾、无堆积杂物、无积灰、无积水和淤泥、无阻塞等。做到每日清扫不少于两次，巡回保洁。</w:t>
      </w:r>
    </w:p>
    <w:p>
      <w:pPr>
        <w:spacing w:line="360" w:lineRule="auto"/>
        <w:ind w:firstLine="480" w:firstLineChars="200"/>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4.5</w:t>
      </w:r>
      <w:r>
        <w:rPr>
          <w:rFonts w:hint="eastAsia" w:cs="Times New Roman" w:asciiTheme="minorEastAsia" w:hAnsiTheme="minorEastAsia"/>
          <w:sz w:val="24"/>
          <w:szCs w:val="24"/>
        </w:rPr>
        <w:t>垃圾、废弃物做到日产日清；化粪池及时清掏，保持常年干净、清洁，无积水、无异味。</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做好</w:t>
      </w:r>
      <w:r>
        <w:rPr>
          <w:rFonts w:hint="eastAsia" w:ascii="宋体" w:hAnsi="宋体" w:cs="宋体"/>
          <w:sz w:val="24"/>
          <w:szCs w:val="24"/>
          <w:highlight w:val="none"/>
          <w:lang w:val="en-US" w:eastAsia="zh-CN"/>
        </w:rPr>
        <w:t>法院大楼外窗的</w:t>
      </w:r>
      <w:r>
        <w:rPr>
          <w:rFonts w:hint="eastAsia" w:ascii="宋体" w:hAnsi="宋体" w:eastAsia="宋体" w:cs="宋体"/>
          <w:sz w:val="24"/>
          <w:szCs w:val="24"/>
          <w:highlight w:val="none"/>
        </w:rPr>
        <w:t>清洁</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每季度清洁一次</w:t>
      </w:r>
      <w:r>
        <w:rPr>
          <w:rFonts w:hint="eastAsia" w:ascii="宋体" w:hAnsi="宋体" w:eastAsia="宋体" w:cs="宋体"/>
          <w:sz w:val="24"/>
          <w:szCs w:val="24"/>
          <w:highlight w:val="none"/>
        </w:rPr>
        <w:t>。</w:t>
      </w:r>
    </w:p>
    <w:p>
      <w:pPr>
        <w:widowControl/>
        <w:spacing w:line="460" w:lineRule="exact"/>
        <w:ind w:firstLine="480" w:firstLineChars="200"/>
        <w:jc w:val="left"/>
        <w:rPr>
          <w:rFonts w:cs="宋体" w:asciiTheme="minorEastAsia" w:hAnsiTheme="minorEastAsia"/>
          <w:b/>
          <w:kern w:val="0"/>
          <w:sz w:val="24"/>
          <w:szCs w:val="24"/>
        </w:rPr>
      </w:pPr>
      <w:r>
        <w:rPr>
          <w:rFonts w:hint="eastAsia" w:ascii="宋体" w:hAnsi="宋体" w:eastAsia="宋体" w:cs="宋体"/>
          <w:sz w:val="24"/>
          <w:szCs w:val="24"/>
          <w:highlight w:val="none"/>
          <w:lang w:val="en-US" w:eastAsia="zh-CN"/>
        </w:rPr>
        <w:t>5.</w:t>
      </w:r>
      <w:r>
        <w:rPr>
          <w:rFonts w:hint="eastAsia" w:cs="宋体" w:asciiTheme="minorEastAsia" w:hAnsiTheme="minorEastAsia"/>
          <w:b/>
          <w:kern w:val="0"/>
          <w:sz w:val="24"/>
          <w:szCs w:val="24"/>
        </w:rPr>
        <w:t>供电设备管理维护</w:t>
      </w:r>
    </w:p>
    <w:p>
      <w:pPr>
        <w:widowControl/>
        <w:spacing w:line="4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5.1</w:t>
      </w:r>
      <w:r>
        <w:rPr>
          <w:rFonts w:hint="eastAsia" w:cs="宋体" w:asciiTheme="minorEastAsia" w:hAnsiTheme="minorEastAsia"/>
          <w:kern w:val="0"/>
          <w:sz w:val="24"/>
          <w:szCs w:val="24"/>
        </w:rPr>
        <w:t>供电设备管理维护是指为保证物业管理区域供电系统正常运行对供电设备的日常管理和维护、保养。</w:t>
      </w:r>
    </w:p>
    <w:p>
      <w:pPr>
        <w:widowControl/>
        <w:spacing w:line="4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5.2</w:t>
      </w:r>
      <w:r>
        <w:rPr>
          <w:rFonts w:hint="eastAsia" w:cs="宋体" w:asciiTheme="minorEastAsia" w:hAnsiTheme="minorEastAsia"/>
          <w:kern w:val="0"/>
          <w:sz w:val="24"/>
          <w:szCs w:val="24"/>
        </w:rPr>
        <w:t>统筹规划，做到合理、节约用电；</w:t>
      </w:r>
    </w:p>
    <w:p>
      <w:pPr>
        <w:widowControl/>
        <w:spacing w:line="4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5.3</w:t>
      </w:r>
      <w:r>
        <w:rPr>
          <w:rFonts w:hint="eastAsia" w:cs="宋体" w:asciiTheme="minorEastAsia" w:hAnsiTheme="minorEastAsia"/>
          <w:kern w:val="0"/>
          <w:sz w:val="24"/>
          <w:szCs w:val="24"/>
        </w:rPr>
        <w:t>供电运行和维修人员必须持有效证件上岗；</w:t>
      </w:r>
    </w:p>
    <w:p>
      <w:pPr>
        <w:widowControl/>
        <w:spacing w:line="4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5.4</w:t>
      </w:r>
      <w:r>
        <w:rPr>
          <w:rFonts w:hint="eastAsia" w:cs="宋体" w:asciiTheme="minorEastAsia" w:hAnsiTheme="minorEastAsia"/>
          <w:kern w:val="0"/>
          <w:sz w:val="24"/>
          <w:szCs w:val="24"/>
        </w:rPr>
        <w:t>高配电室</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lang w:val="en-US" w:eastAsia="zh-CN"/>
        </w:rPr>
        <w:t>消控室、门岗需</w:t>
      </w:r>
      <w:r>
        <w:rPr>
          <w:rFonts w:hint="eastAsia" w:cs="宋体" w:asciiTheme="minorEastAsia" w:hAnsiTheme="minorEastAsia"/>
          <w:kern w:val="0"/>
          <w:sz w:val="24"/>
          <w:szCs w:val="24"/>
        </w:rPr>
        <w:t>全年24小时值班，必须持有效证件上岗；</w:t>
      </w:r>
    </w:p>
    <w:p>
      <w:pPr>
        <w:widowControl/>
        <w:spacing w:line="4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5.5</w:t>
      </w:r>
      <w:r>
        <w:rPr>
          <w:rFonts w:hint="eastAsia" w:cs="宋体" w:asciiTheme="minorEastAsia" w:hAnsiTheme="minorEastAsia"/>
          <w:kern w:val="0"/>
          <w:sz w:val="24"/>
          <w:szCs w:val="24"/>
        </w:rPr>
        <w:t>加强日常维护检修，公共使用的照明、指示灯具线路、开关要保证完好；每半年检修一次线路和灯具，及时更换老化线路和损坏灯具。</w:t>
      </w:r>
    </w:p>
    <w:p>
      <w:pPr>
        <w:widowControl/>
        <w:spacing w:line="4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5.6</w:t>
      </w:r>
      <w:r>
        <w:rPr>
          <w:rFonts w:hint="eastAsia" w:cs="宋体" w:asciiTheme="minorEastAsia" w:hAnsiTheme="minorEastAsia"/>
          <w:kern w:val="0"/>
          <w:sz w:val="24"/>
          <w:szCs w:val="24"/>
        </w:rPr>
        <w:t>设备出现故障时，在正常工作时间内维修人员在接到报修后应1</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分钟内到达现场，设备零修合格率达到100%，维修过夜须报告法院同意；</w:t>
      </w:r>
    </w:p>
    <w:p>
      <w:pPr>
        <w:widowControl/>
        <w:spacing w:line="4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5.7</w:t>
      </w:r>
      <w:r>
        <w:rPr>
          <w:rFonts w:hint="eastAsia" w:cs="宋体" w:asciiTheme="minorEastAsia" w:hAnsiTheme="minorEastAsia"/>
          <w:kern w:val="0"/>
          <w:sz w:val="24"/>
          <w:szCs w:val="24"/>
        </w:rPr>
        <w:t>供电设备每日检查，发现异常及时修复，做好维护保养。统筹规划，做到合理节约用电，杜绝用电浪费，符合国家产业节能要求。</w:t>
      </w:r>
    </w:p>
    <w:p>
      <w:pPr>
        <w:widowControl/>
        <w:spacing w:line="4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5.8</w:t>
      </w:r>
      <w:r>
        <w:rPr>
          <w:rFonts w:hint="eastAsia" w:cs="宋体" w:asciiTheme="minorEastAsia" w:hAnsiTheme="minorEastAsia"/>
          <w:kern w:val="0"/>
          <w:sz w:val="24"/>
          <w:szCs w:val="24"/>
        </w:rPr>
        <w:t>严格执行用电安全规范，确保用电安全；</w:t>
      </w:r>
    </w:p>
    <w:p>
      <w:pPr>
        <w:widowControl/>
        <w:spacing w:line="4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5.9</w:t>
      </w:r>
      <w:r>
        <w:rPr>
          <w:rFonts w:hint="eastAsia" w:cs="宋体" w:asciiTheme="minorEastAsia" w:hAnsiTheme="minorEastAsia"/>
          <w:kern w:val="0"/>
          <w:sz w:val="24"/>
          <w:szCs w:val="24"/>
        </w:rPr>
        <w:t>定期对防雷设备检查，发现情况及时通报。</w:t>
      </w:r>
    </w:p>
    <w:p>
      <w:pPr>
        <w:widowControl/>
        <w:spacing w:line="46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5.10</w:t>
      </w:r>
      <w:r>
        <w:rPr>
          <w:rFonts w:hint="eastAsia" w:cs="宋体" w:asciiTheme="minorEastAsia" w:hAnsiTheme="minorEastAsia"/>
          <w:kern w:val="0"/>
          <w:sz w:val="24"/>
          <w:szCs w:val="24"/>
        </w:rPr>
        <w:t>发生用电突发事件按各应急预案处理。</w:t>
      </w:r>
    </w:p>
    <w:p>
      <w:pPr>
        <w:pStyle w:val="4"/>
        <w:numPr>
          <w:ilvl w:val="0"/>
          <w:numId w:val="0"/>
        </w:numPr>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6.会务管理规范</w:t>
      </w:r>
    </w:p>
    <w:p>
      <w:pPr>
        <w:spacing w:line="46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lang w:val="en-US" w:eastAsia="zh-CN"/>
        </w:rPr>
        <w:t>6.1</w:t>
      </w:r>
      <w:r>
        <w:rPr>
          <w:rFonts w:hint="eastAsia" w:cs="Times New Roman" w:asciiTheme="minorEastAsia" w:hAnsiTheme="minorEastAsia"/>
          <w:sz w:val="24"/>
          <w:szCs w:val="24"/>
        </w:rPr>
        <w:t>每日上班前对各会议室进行卫生清洁，确保桌椅、投影仪、电脑、显示屏等会议设备干净整洁无积灰，地面干净清爽无垃圾，保障桌椅板凳整齐划一；</w:t>
      </w:r>
    </w:p>
    <w:p>
      <w:pPr>
        <w:spacing w:line="46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lang w:val="en-US" w:eastAsia="zh-CN"/>
        </w:rPr>
        <w:t>6.2</w:t>
      </w:r>
      <w:r>
        <w:rPr>
          <w:rFonts w:hint="eastAsia" w:cs="Times New Roman" w:asciiTheme="minorEastAsia" w:hAnsiTheme="minorEastAsia"/>
          <w:sz w:val="24"/>
          <w:szCs w:val="24"/>
        </w:rPr>
        <w:t>每日上班前为各会议室备好新鲜的茶水；</w:t>
      </w:r>
    </w:p>
    <w:p>
      <w:pPr>
        <w:spacing w:line="46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lang w:val="en-US" w:eastAsia="zh-CN"/>
        </w:rPr>
        <w:t>6.3</w:t>
      </w:r>
      <w:r>
        <w:rPr>
          <w:rFonts w:hint="eastAsia" w:cs="Times New Roman" w:asciiTheme="minorEastAsia" w:hAnsiTheme="minorEastAsia"/>
          <w:sz w:val="24"/>
          <w:szCs w:val="24"/>
        </w:rPr>
        <w:t>接到会议通知要第一时间做好会场卫生清洁工作，检查会场设备是否完好。并根据会议要求增添桌椅，备好开水、水杯、茶叶等。</w:t>
      </w:r>
    </w:p>
    <w:p>
      <w:pPr>
        <w:spacing w:line="46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lang w:val="en-US" w:eastAsia="zh-CN"/>
        </w:rPr>
        <w:t>6.4</w:t>
      </w:r>
      <w:r>
        <w:rPr>
          <w:rFonts w:hint="eastAsia" w:cs="Times New Roman" w:asciiTheme="minorEastAsia" w:hAnsiTheme="minorEastAsia"/>
          <w:sz w:val="24"/>
          <w:szCs w:val="24"/>
        </w:rPr>
        <w:t>接到会议通知，了解会议要求，做好相应的准备工作，配合做好座签摆放，如是外来会议，根据要求做好指引牌的制作，客人引导等。</w:t>
      </w:r>
    </w:p>
    <w:p>
      <w:pPr>
        <w:spacing w:line="46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lang w:val="en-US" w:eastAsia="zh-CN"/>
        </w:rPr>
        <w:t>6.5</w:t>
      </w:r>
      <w:r>
        <w:rPr>
          <w:rFonts w:hint="eastAsia" w:cs="Times New Roman" w:asciiTheme="minorEastAsia" w:hAnsiTheme="minorEastAsia"/>
          <w:sz w:val="24"/>
          <w:szCs w:val="24"/>
        </w:rPr>
        <w:t>每日对收到的信件、机密件、快递件、邮包等进行分类整理登记并逐个送达到相关庭室。所有送达下去的信件必须要有签收人签字。做到报刊、杂志日收日送。配合法院做好其他刊物、书籍、重要文件的送达及分发。</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rPr>
        <w:t>.绿化管理规范</w:t>
      </w:r>
    </w:p>
    <w:p>
      <w:pPr>
        <w:spacing w:line="360" w:lineRule="auto"/>
        <w:ind w:firstLine="480" w:firstLineChars="200"/>
        <w:rPr>
          <w:rFonts w:hint="eastAsia" w:ascii="宋体" w:hAnsi="宋体" w:eastAsia="宋体" w:cs="宋体"/>
          <w:color w:val="FF0000"/>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1设置专业绿化人员实施公共绿化管理，按植物绿化生长规律定期修剪树木、花卉、绿篱、灌木和草坪，一年不少于三次，保持观赏效果。按季节规律浇水施肥，一年不少于一次，保证绿化存活率达到80%，发现枯死植物立即清除补种，费用由物业公司承担。定期喷洒药物，预防病虫害，做好防涝、防冻工作。</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.2公共绿化带杂草每季度清除一次，保证草坪和其他植物正常生长。</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.3保持绿化带清洁卫生，每一季度清理一次枯枝落叶，长效保洁。</w:t>
      </w:r>
    </w:p>
    <w:p>
      <w:pPr>
        <w:spacing w:line="360" w:lineRule="auto"/>
        <w:ind w:firstLine="480" w:firstLineChars="200"/>
        <w:rPr>
          <w:rFonts w:hint="eastAsia" w:ascii="宋体" w:hAnsi="宋体" w:eastAsia="宋体" w:cs="宋体"/>
          <w:b/>
          <w:bCs/>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.4公共绿化带禁止私人种植和堆放杂物，无践踏折损及占用现象。</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8</w:t>
      </w:r>
      <w:r>
        <w:rPr>
          <w:rFonts w:hint="eastAsia" w:ascii="宋体" w:hAnsi="宋体" w:eastAsia="宋体" w:cs="宋体"/>
          <w:b/>
          <w:bCs/>
          <w:sz w:val="24"/>
          <w:szCs w:val="24"/>
          <w:highlight w:val="none"/>
        </w:rPr>
        <w:t>.公共设施设备管理要求</w:t>
      </w:r>
    </w:p>
    <w:p>
      <w:pPr>
        <w:spacing w:line="360" w:lineRule="auto"/>
        <w:ind w:firstLine="480" w:firstLineChars="200"/>
        <w:rPr>
          <w:rFonts w:hint="eastAsia" w:ascii="宋体" w:hAnsi="宋体" w:eastAsia="宋体" w:cs="宋体"/>
          <w:color w:val="FF0000"/>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.1动态巡查法院大楼情况，发现问题及时联系场地保安处置。</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.2合理配置公共设施设备维修养护人员，水电设施等各公共设施设备每月检查和测试一次，保证正常运转，并做好记录。</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.3做好公共用水、用电设施的日常巡查工作，楼道灯和电控门</w:t>
      </w:r>
      <w:r>
        <w:rPr>
          <w:rFonts w:hint="eastAsia" w:ascii="宋体" w:hAnsi="宋体" w:cs="宋体"/>
          <w:sz w:val="24"/>
          <w:szCs w:val="24"/>
          <w:highlight w:val="none"/>
          <w:lang w:val="en-US" w:eastAsia="zh-CN"/>
        </w:rPr>
        <w:t>故障</w:t>
      </w:r>
      <w:r>
        <w:rPr>
          <w:rFonts w:hint="eastAsia" w:ascii="宋体" w:hAnsi="宋体" w:eastAsia="宋体" w:cs="宋体"/>
          <w:sz w:val="24"/>
          <w:szCs w:val="24"/>
          <w:highlight w:val="none"/>
        </w:rPr>
        <w:t>需及时更换、维修，小修或接到维修通知时应及时到达维修现场，并做好报修、维修</w:t>
      </w:r>
      <w:r>
        <w:rPr>
          <w:rFonts w:hint="eastAsia" w:ascii="宋体" w:hAnsi="宋体" w:cs="宋体"/>
          <w:sz w:val="24"/>
          <w:szCs w:val="24"/>
          <w:highlight w:val="none"/>
          <w:lang w:eastAsia="zh-CN"/>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项目照明灯具、开关等设施保修期为二年。该项目按国家规范验收，保修期过后由物业公司负责。</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8.5</w:t>
      </w:r>
      <w:r>
        <w:rPr>
          <w:rFonts w:hint="eastAsia" w:ascii="宋体" w:hAnsi="宋体" w:eastAsia="宋体" w:cs="宋体"/>
          <w:sz w:val="24"/>
          <w:szCs w:val="24"/>
          <w:highlight w:val="none"/>
        </w:rPr>
        <w:t>必要时提供登高作业车、脚手架等协助维修、管理。</w:t>
      </w:r>
    </w:p>
    <w:p>
      <w:pPr>
        <w:spacing w:line="360" w:lineRule="auto"/>
        <w:ind w:firstLine="482" w:firstLineChars="200"/>
        <w:rPr>
          <w:rFonts w:hint="eastAsia" w:ascii="宋体" w:hAnsi="宋体" w:eastAsia="宋体" w:cs="宋体"/>
          <w:sz w:val="24"/>
          <w:szCs w:val="24"/>
          <w:highlight w:val="none"/>
        </w:rPr>
      </w:pPr>
      <w:r>
        <w:rPr>
          <w:rFonts w:hint="eastAsia" w:ascii="宋体" w:hAnsi="宋体" w:cs="宋体"/>
          <w:b/>
          <w:bCs/>
          <w:sz w:val="24"/>
          <w:szCs w:val="24"/>
          <w:highlight w:val="none"/>
          <w:lang w:val="en-US" w:eastAsia="zh-CN"/>
        </w:rPr>
        <w:t>9</w:t>
      </w:r>
      <w:r>
        <w:rPr>
          <w:rFonts w:hint="eastAsia" w:ascii="宋体" w:hAnsi="宋体" w:eastAsia="宋体" w:cs="宋体"/>
          <w:b/>
          <w:bCs/>
          <w:sz w:val="24"/>
          <w:szCs w:val="24"/>
          <w:highlight w:val="none"/>
        </w:rPr>
        <w:t>.消防等紧急事件管理规范</w:t>
      </w:r>
    </w:p>
    <w:p>
      <w:pPr>
        <w:spacing w:line="360" w:lineRule="auto"/>
        <w:ind w:firstLine="480" w:firstLineChars="200"/>
        <w:rPr>
          <w:rFonts w:hint="eastAsia" w:ascii="宋体" w:hAnsi="宋体" w:eastAsia="宋体" w:cs="宋体"/>
          <w:color w:val="FF0000"/>
          <w:sz w:val="24"/>
          <w:szCs w:val="24"/>
          <w:highlight w:val="none"/>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.1制定合理规范的紧急预案和消防安全预案，保持相关标识标牌指示的清晰明确，保证消防通道畅通。</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.2容易危及人身安全的设施设备有明显警示标志，制定防范措施。</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.3发生火灾、治安、公共卫生等突发紧急事件时及时报告业主单位和有关部门，并协助采取相应措施。</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10</w:t>
      </w:r>
      <w:r>
        <w:rPr>
          <w:rFonts w:hint="eastAsia" w:ascii="宋体" w:hAnsi="宋体" w:eastAsia="宋体" w:cs="宋体"/>
          <w:b/>
          <w:bCs/>
          <w:sz w:val="24"/>
          <w:szCs w:val="24"/>
          <w:highlight w:val="none"/>
        </w:rPr>
        <w:t>.档案管理规范</w:t>
      </w:r>
    </w:p>
    <w:p>
      <w:pPr>
        <w:spacing w:line="360" w:lineRule="auto"/>
        <w:ind w:firstLine="480" w:firstLineChars="200"/>
        <w:rPr>
          <w:rFonts w:hint="eastAsia" w:ascii="宋体" w:hAnsi="宋体" w:eastAsia="宋体" w:cs="宋体"/>
          <w:color w:val="FF0000"/>
          <w:sz w:val="24"/>
          <w:szCs w:val="24"/>
          <w:highlight w:val="none"/>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.1建立基本档案，记录相关基本信息和进入、退出时间。</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.2管理人员及各岗位负责人要有详细的工作和巡查记录并及时归档。</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.3建立共用设施设备档案(设备台账)，设施设备的运行、检修、保养等记录齐全，存放有序，查阅方便。</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11</w:t>
      </w:r>
      <w:r>
        <w:rPr>
          <w:rFonts w:hint="eastAsia" w:ascii="宋体" w:hAnsi="宋体" w:eastAsia="宋体" w:cs="宋体"/>
          <w:b/>
          <w:bCs/>
          <w:sz w:val="24"/>
          <w:szCs w:val="24"/>
          <w:highlight w:val="none"/>
        </w:rPr>
        <w:t>.节能降耗管理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严格执行采购人的节能降耗规定，制定具体的节能降耗措施和指标，减少各种能耗开支。</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12</w:t>
      </w:r>
      <w:r>
        <w:rPr>
          <w:rFonts w:hint="eastAsia" w:ascii="宋体" w:hAnsi="宋体" w:eastAsia="宋体" w:cs="宋体"/>
          <w:b/>
          <w:bCs/>
          <w:sz w:val="24"/>
          <w:szCs w:val="24"/>
          <w:highlight w:val="none"/>
        </w:rPr>
        <w:t>.其他要求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.1物业公司应制订具体的质量保证措施及质量保证及相关服务的承诺。如因服务质量未达到目标，应承担责任和经济赔偿。在维保范围项目，物业公司无任何理由拒绝保养维修。</w:t>
      </w:r>
    </w:p>
    <w:p>
      <w:pPr>
        <w:spacing w:line="360" w:lineRule="auto"/>
        <w:ind w:firstLine="480" w:firstLineChars="200"/>
        <w:rPr>
          <w:rFonts w:hint="eastAsia" w:ascii="宋体" w:hAnsi="宋体" w:eastAsia="宋体" w:cs="宋体"/>
          <w:color w:val="FF0000"/>
          <w:sz w:val="24"/>
          <w:szCs w:val="24"/>
          <w:highlight w:val="none"/>
        </w:rPr>
      </w:pP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.2物业公司须在合同签订前提供物业</w:t>
      </w:r>
      <w:r>
        <w:rPr>
          <w:rFonts w:hint="eastAsia" w:ascii="宋体" w:hAnsi="宋体" w:cs="宋体"/>
          <w:sz w:val="24"/>
          <w:szCs w:val="24"/>
          <w:highlight w:val="none"/>
          <w:lang w:val="en-US" w:eastAsia="zh-CN"/>
        </w:rPr>
        <w:t>项目负责人</w:t>
      </w:r>
      <w:r>
        <w:rPr>
          <w:rFonts w:hint="eastAsia" w:ascii="宋体" w:hAnsi="宋体" w:eastAsia="宋体" w:cs="宋体"/>
          <w:sz w:val="24"/>
          <w:szCs w:val="24"/>
          <w:highlight w:val="none"/>
        </w:rPr>
        <w:t>、保安负责人、保洁负责人、工程维修负责人等重要岗位人员的相关有效证件及信息，如果服务方不能提供，则委托方有权终止合同签订。如重要岗位人员有调动的，受托方应提前通知委托方并得到</w:t>
      </w:r>
      <w:r>
        <w:rPr>
          <w:rFonts w:hint="eastAsia" w:ascii="宋体" w:hAnsi="宋体" w:cs="宋体"/>
          <w:sz w:val="24"/>
          <w:szCs w:val="24"/>
          <w:highlight w:val="none"/>
          <w:lang w:val="en-US" w:eastAsia="zh-CN"/>
        </w:rPr>
        <w:t>委托方</w:t>
      </w:r>
      <w:r>
        <w:rPr>
          <w:rFonts w:hint="eastAsia" w:ascii="宋体" w:hAnsi="宋体" w:eastAsia="宋体" w:cs="宋体"/>
          <w:sz w:val="24"/>
          <w:szCs w:val="24"/>
          <w:highlight w:val="none"/>
        </w:rPr>
        <w:t>同意后才能更换，并将新的重要岗位人员身份信息报委托方备案。</w:t>
      </w:r>
      <w:r>
        <w:rPr>
          <w:rFonts w:hint="eastAsia" w:ascii="宋体" w:hAnsi="宋体" w:cs="宋体"/>
          <w:sz w:val="24"/>
          <w:szCs w:val="24"/>
          <w:highlight w:val="none"/>
          <w:lang w:val="en-US" w:eastAsia="zh-CN"/>
        </w:rPr>
        <w:t>如未经委托方同意更换重要岗位人员的，委托方可酌情</w:t>
      </w:r>
      <w:r>
        <w:rPr>
          <w:rFonts w:hint="eastAsia" w:ascii="宋体" w:hAnsi="宋体" w:eastAsia="宋体" w:cs="宋体"/>
          <w:sz w:val="24"/>
          <w:szCs w:val="24"/>
          <w:highlight w:val="none"/>
        </w:rPr>
        <w:t>扣除服务费。</w:t>
      </w:r>
    </w:p>
    <w:p>
      <w:pPr>
        <w:spacing w:line="360" w:lineRule="auto"/>
        <w:ind w:firstLine="480" w:firstLineChars="200"/>
        <w:rPr>
          <w:rFonts w:hint="eastAsia" w:ascii="宋体" w:hAnsi="宋体" w:eastAsia="宋体" w:cs="宋体"/>
          <w:color w:val="FF0000"/>
          <w:sz w:val="24"/>
          <w:szCs w:val="24"/>
          <w:highlight w:val="none"/>
        </w:rPr>
      </w:pP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3按要求和事项发生量及时配备足够和胜任的相关管理和服务人员，并保持人员的稳定。遇调动或辞职时，物业经理、保安负责人、保洁负责人、工程维修负责人、工程综合维修人员提前15天、保安提前10天、保洁提前7天告知委托方并得到同意后才能更换，按要求及时补充相应人员，提前做好交接班。对委托方认为无能力、工作失职或不合适人员，应立即更换。岗位人数不足时，按相应岗位成本扣除服务费。</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.4按国家和当地政府有关劳动法规、条例，向管理服务人员提供相应工种的劳动工资、加班工资、劳动保护等待遇。为保证服务人员的技能素质、队伍的相对稳定，应保障关键技术岗位的工资待遇。</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.5管理服务人员上岗时须统一着装，服装样式体现岗位特色和方便不同岗位操作。</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.6为提高物业管理服务水平，所有管理服务人员在服务期间按岗位要求进行定期短期培训。需要时，应接受物业管理委员会对服务人员的集中培训。</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.7中标人需建立上岗前培训制度，并通过考试方式，经采购人准许上岗。</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.8中标人应承诺在合同期内，为承包区域内提供物业安保、保洁、保序、保绿、保水电与设备维护及其他相关服务，并承担由此带来的一切风险。</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9供应商应制订具体的质量保证措施及质量保证和相关服务承诺。服务方所有的工作除应按服务方的内部流程实施外还应接受采购单位或第三方的检查。中标人达不到采购单位要求及各项服务承诺，采购单位有权要求其整改，直至扣款或终止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.10物业公司须按国家有关标准和规范完成采购文件要求的物业管理工作。</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.11各工作岗位所需工作</w:t>
      </w:r>
      <w:r>
        <w:rPr>
          <w:rFonts w:hint="eastAsia" w:ascii="宋体" w:hAnsi="宋体" w:cs="宋体"/>
          <w:sz w:val="24"/>
          <w:szCs w:val="24"/>
          <w:highlight w:val="none"/>
          <w:lang w:val="en-US" w:eastAsia="zh-CN"/>
        </w:rPr>
        <w:t>相关</w:t>
      </w:r>
      <w:r>
        <w:rPr>
          <w:rFonts w:hint="eastAsia" w:ascii="宋体" w:hAnsi="宋体" w:eastAsia="宋体" w:cs="宋体"/>
          <w:sz w:val="24"/>
          <w:szCs w:val="24"/>
          <w:highlight w:val="none"/>
        </w:rPr>
        <w:t>耗材由物业公司负责配备。</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12物业公司需根据相关法律法规规定安排工作并缴纳社会保险等一切相应费用，违法责任由物业公司承担。物业公司工作人员与物业公司之间的劳动或劳务关系由该两方自行确立并处理，物业公司工作人员在上下班途中、工作、休息期间发生疾病、受伤等工伤相关事故时，所有责任由物业公司处理和承担。</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.13 全力做好亚运保障工作，配合做好金牌管家等创建工作。</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.14 管理服务应达到的各项指标</w:t>
      </w:r>
    </w:p>
    <w:p>
      <w:pPr>
        <w:pStyle w:val="3"/>
        <w:spacing w:before="0" w:after="0" w:line="360" w:lineRule="auto"/>
        <w:ind w:left="433" w:leftChars="202" w:hanging="9" w:hangingChars="4"/>
        <w:rPr>
          <w:rFonts w:hint="eastAsia" w:ascii="宋体" w:hAnsi="宋体" w:eastAsia="宋体" w:cs="宋体"/>
          <w:b w:val="0"/>
          <w:bCs w:val="0"/>
          <w:color w:val="000000" w:themeColor="text1"/>
          <w:kern w:val="2"/>
          <w:sz w:val="24"/>
          <w:szCs w:val="24"/>
          <w:highlight w:val="none"/>
          <w14:textFill>
            <w14:solidFill>
              <w14:schemeClr w14:val="tx1"/>
            </w14:solidFill>
          </w14:textFill>
        </w:rPr>
      </w:pPr>
      <w:r>
        <w:rPr>
          <w:rFonts w:hint="eastAsia" w:ascii="宋体" w:hAnsi="宋体" w:eastAsia="宋体" w:cs="宋体"/>
          <w:b w:val="0"/>
          <w:bCs w:val="0"/>
          <w:color w:val="000000" w:themeColor="text1"/>
          <w:kern w:val="2"/>
          <w:sz w:val="24"/>
          <w:szCs w:val="24"/>
          <w:highlight w:val="none"/>
          <w14:textFill>
            <w14:solidFill>
              <w14:schemeClr w14:val="tx1"/>
            </w14:solidFill>
          </w14:textFill>
        </w:rPr>
        <w:t>①环境卫生、清洁率达85%；</w:t>
      </w:r>
    </w:p>
    <w:p>
      <w:pPr>
        <w:pStyle w:val="3"/>
        <w:spacing w:before="0" w:after="0" w:line="360" w:lineRule="auto"/>
        <w:ind w:left="433" w:leftChars="202" w:hanging="9" w:hangingChars="4"/>
        <w:rPr>
          <w:rFonts w:hint="eastAsia" w:ascii="宋体" w:hAnsi="宋体" w:eastAsia="宋体" w:cs="宋体"/>
          <w:b w:val="0"/>
          <w:bCs w:val="0"/>
          <w:color w:val="000000" w:themeColor="text1"/>
          <w:kern w:val="2"/>
          <w:sz w:val="24"/>
          <w:szCs w:val="24"/>
          <w:highlight w:val="none"/>
          <w14:textFill>
            <w14:solidFill>
              <w14:schemeClr w14:val="tx1"/>
            </w14:solidFill>
          </w14:textFill>
        </w:rPr>
      </w:pPr>
      <w:r>
        <w:rPr>
          <w:rFonts w:hint="eastAsia" w:ascii="宋体" w:hAnsi="宋体" w:eastAsia="宋体" w:cs="宋体"/>
          <w:b w:val="0"/>
          <w:bCs w:val="0"/>
          <w:color w:val="000000" w:themeColor="text1"/>
          <w:kern w:val="2"/>
          <w:sz w:val="24"/>
          <w:szCs w:val="24"/>
          <w:highlight w:val="none"/>
          <w14:textFill>
            <w14:solidFill>
              <w14:schemeClr w14:val="tx1"/>
            </w14:solidFill>
          </w14:textFill>
        </w:rPr>
        <w:t>②维修、报修及时率100%，返修率小于1%；</w:t>
      </w:r>
    </w:p>
    <w:p>
      <w:pPr>
        <w:pStyle w:val="3"/>
        <w:spacing w:before="0" w:after="0" w:line="360" w:lineRule="auto"/>
        <w:ind w:left="433" w:leftChars="202" w:hanging="9" w:hangingChars="4"/>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③服务有效投诉少于1%，处理率100%；</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（四）追责条款</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1、上述工作内容和管理规范，物业公司必须保质保量完成，采购人将进行定期和不定期考核，具体考核标准和内容详见《物业服务绩效考核管理办法》。</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2、遇</w:t>
      </w:r>
      <w:r>
        <w:rPr>
          <w:rFonts w:hint="eastAsia" w:ascii="宋体" w:hAnsi="宋体" w:eastAsia="宋体" w:cs="宋体"/>
          <w:color w:val="000000"/>
          <w:sz w:val="24"/>
          <w:szCs w:val="24"/>
          <w:highlight w:val="none"/>
        </w:rPr>
        <w:t>法院</w:t>
      </w:r>
      <w:r>
        <w:rPr>
          <w:rFonts w:hint="eastAsia" w:ascii="宋体" w:hAnsi="宋体" w:eastAsia="宋体" w:cs="宋体"/>
          <w:sz w:val="24"/>
          <w:szCs w:val="24"/>
          <w:highlight w:val="none"/>
        </w:rPr>
        <w:t>重大活动时，物业公司应无条件全力配合（包括增加人员和设备及相应管理措施）。</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3、物业公司在工作上所作的任何承诺，都必须按实履行，否则采购人有权扣除承诺相应费用并给予相应的处罚。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4、职工每月工资应于每月按时发放，如连续2个月未发放，委托人可单方面终止合同，因存在劳动争议而未向职工发放的工资情况除外。</w:t>
      </w:r>
    </w:p>
    <w:p>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5、物业公司提出及承诺的特色服务在今后项目实施过程中与提出及承诺的方案不符合的，招标人有权扣除相应物业补贴或采购人将在相应考核中扣分。</w:t>
      </w:r>
      <w:r>
        <w:rPr>
          <w:rFonts w:hint="eastAsia" w:ascii="宋体" w:hAnsi="宋体" w:eastAsia="宋体" w:cs="宋体"/>
          <w:b/>
          <w:sz w:val="24"/>
          <w:szCs w:val="24"/>
          <w:highlight w:val="none"/>
        </w:rPr>
        <w:br w:type="page"/>
      </w:r>
      <w:r>
        <w:rPr>
          <w:rFonts w:hint="eastAsia" w:ascii="宋体" w:hAnsi="宋体" w:eastAsia="宋体" w:cs="宋体"/>
          <w:b/>
          <w:sz w:val="24"/>
          <w:szCs w:val="24"/>
          <w:highlight w:val="none"/>
          <w:lang w:eastAsia="zh-CN"/>
        </w:rPr>
        <w:t>（五）</w:t>
      </w:r>
      <w:r>
        <w:rPr>
          <w:rFonts w:hint="eastAsia" w:ascii="宋体" w:hAnsi="宋体" w:eastAsia="宋体" w:cs="宋体"/>
          <w:b/>
          <w:sz w:val="24"/>
          <w:szCs w:val="24"/>
          <w:highlight w:val="none"/>
        </w:rPr>
        <w:t>物业服务绩效考核管理办法</w:t>
      </w:r>
    </w:p>
    <w:tbl>
      <w:tblPr>
        <w:tblStyle w:val="63"/>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400"/>
        <w:gridCol w:w="686"/>
        <w:gridCol w:w="3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60" w:type="dxa"/>
          </w:tcPr>
          <w:p>
            <w:pPr>
              <w:snapToGrid w:val="0"/>
              <w:rPr>
                <w:rFonts w:hint="eastAsia" w:ascii="宋体" w:hAnsi="宋体" w:eastAsia="宋体" w:cs="宋体"/>
                <w:sz w:val="24"/>
                <w:szCs w:val="24"/>
              </w:rPr>
            </w:pPr>
            <w:r>
              <w:rPr>
                <w:rFonts w:hint="eastAsia" w:ascii="宋体" w:hAnsi="宋体" w:eastAsia="宋体" w:cs="宋体"/>
                <w:sz w:val="24"/>
                <w:szCs w:val="24"/>
              </w:rPr>
              <w:t>序号</w:t>
            </w:r>
          </w:p>
        </w:tc>
        <w:tc>
          <w:tcPr>
            <w:tcW w:w="3400"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标准内容</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分值</w:t>
            </w:r>
          </w:p>
        </w:tc>
        <w:tc>
          <w:tcPr>
            <w:tcW w:w="3871"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60" w:type="dxa"/>
            <w:shd w:val="clear" w:color="auto" w:fill="D9D9D9"/>
          </w:tcPr>
          <w:p>
            <w:pPr>
              <w:snapToGrid w:val="0"/>
              <w:rPr>
                <w:rFonts w:hint="eastAsia" w:ascii="宋体" w:hAnsi="宋体" w:eastAsia="宋体" w:cs="宋体"/>
                <w:b/>
                <w:sz w:val="24"/>
                <w:szCs w:val="24"/>
              </w:rPr>
            </w:pPr>
          </w:p>
        </w:tc>
        <w:tc>
          <w:tcPr>
            <w:tcW w:w="3400" w:type="dxa"/>
            <w:shd w:val="clear" w:color="auto" w:fill="D9D9D9"/>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一、基础管理</w:t>
            </w:r>
          </w:p>
        </w:tc>
        <w:tc>
          <w:tcPr>
            <w:tcW w:w="686" w:type="dxa"/>
            <w:shd w:val="clear" w:color="auto" w:fill="D9D9D9"/>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20</w:t>
            </w:r>
          </w:p>
        </w:tc>
        <w:tc>
          <w:tcPr>
            <w:tcW w:w="3871" w:type="dxa"/>
            <w:shd w:val="clear" w:color="auto" w:fill="D9D9D9"/>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60" w:type="dxa"/>
          </w:tcPr>
          <w:p>
            <w:pPr>
              <w:numPr>
                <w:ilvl w:val="0"/>
                <w:numId w:val="1"/>
              </w:numPr>
              <w:autoSpaceDE w:val="0"/>
              <w:autoSpaceDN w:val="0"/>
              <w:snapToGrid w:val="0"/>
              <w:spacing w:line="360" w:lineRule="auto"/>
              <w:rPr>
                <w:rFonts w:hint="eastAsia" w:ascii="宋体" w:hAnsi="宋体" w:eastAsia="宋体" w:cs="宋体"/>
                <w:sz w:val="24"/>
                <w:szCs w:val="24"/>
              </w:rPr>
            </w:pPr>
          </w:p>
        </w:tc>
        <w:tc>
          <w:tcPr>
            <w:tcW w:w="3400" w:type="dxa"/>
            <w:vAlign w:val="center"/>
          </w:tcPr>
          <w:p>
            <w:pPr>
              <w:tabs>
                <w:tab w:val="left" w:pos="360"/>
              </w:tabs>
              <w:autoSpaceDE w:val="0"/>
              <w:autoSpaceDN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物业管理人员到岗率。</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每发现一次缺勤扣1分。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60" w:type="dxa"/>
          </w:tcPr>
          <w:p>
            <w:pPr>
              <w:numPr>
                <w:ilvl w:val="0"/>
                <w:numId w:val="1"/>
              </w:numPr>
              <w:autoSpaceDE w:val="0"/>
              <w:autoSpaceDN w:val="0"/>
              <w:snapToGrid w:val="0"/>
              <w:spacing w:line="360" w:lineRule="auto"/>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员工着装规范，佩戴明显标志，工作规范、作风严谨。</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着装及标志每发现一人不符合扣0.5分。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物业服务档案资料齐全，分类成册、管理 完善，查阅方便</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建立完善的物业服务台帐：每发现一项不齐全或不完善扣0.5分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建立24小时值班制度，设立服务电话、接受</w:t>
            </w:r>
            <w:r>
              <w:rPr>
                <w:rFonts w:hint="eastAsia" w:ascii="宋体" w:hAnsi="宋体" w:cs="宋体"/>
                <w:sz w:val="24"/>
                <w:szCs w:val="24"/>
                <w:lang w:val="en-US" w:eastAsia="zh-CN"/>
              </w:rPr>
              <w:t>业主单位</w:t>
            </w:r>
            <w:r>
              <w:rPr>
                <w:rFonts w:hint="eastAsia" w:ascii="宋体" w:hAnsi="宋体" w:eastAsia="宋体" w:cs="宋体"/>
                <w:sz w:val="24"/>
                <w:szCs w:val="24"/>
              </w:rPr>
              <w:t>和使用人对物业管理服务报修、求助、建议、问询、质疑、投诉等，各类信息的收集（受理）和反馈（回访）台账资料记录完整，及时处理</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4</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没有值班制度扣2分，未设服务电话扣2分，发现一处处理不及时扣0.5分，台账资料记录不完整每次扣0.5分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对每月定期检查和日常考核中发现的问题，在限期内整改满意率</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5</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满意5分，基本满意2分，不满意0分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建立并落实维修服务承诺制、零修急修及时率 100％，返修率不高于1％，并有回访记录</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没有建立或没有落实扣3分；及时率每降低1个百分点扣 0.3分；返修率符合每增加1个百分点扣0.5分：回访记录不完整或无回访记录扣2分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60" w:type="dxa"/>
            <w:shd w:val="clear" w:color="auto" w:fill="D9D9D9"/>
          </w:tcPr>
          <w:p>
            <w:pPr>
              <w:snapToGrid w:val="0"/>
              <w:rPr>
                <w:rFonts w:hint="eastAsia" w:ascii="宋体" w:hAnsi="宋体" w:eastAsia="宋体" w:cs="宋体"/>
                <w:sz w:val="24"/>
                <w:szCs w:val="24"/>
              </w:rPr>
            </w:pPr>
          </w:p>
        </w:tc>
        <w:tc>
          <w:tcPr>
            <w:tcW w:w="3400" w:type="dxa"/>
            <w:shd w:val="clear" w:color="auto" w:fill="D9D9D9"/>
            <w:vAlign w:val="center"/>
          </w:tcPr>
          <w:p>
            <w:pPr>
              <w:snapToGrid w:val="0"/>
              <w:jc w:val="center"/>
              <w:rPr>
                <w:rFonts w:hint="eastAsia" w:ascii="宋体" w:hAnsi="宋体" w:eastAsia="宋体" w:cs="宋体"/>
                <w:b/>
                <w:bCs/>
                <w:sz w:val="24"/>
                <w:szCs w:val="24"/>
              </w:rPr>
            </w:pPr>
            <w:r>
              <w:rPr>
                <w:rFonts w:hint="eastAsia" w:ascii="宋体" w:hAnsi="宋体" w:eastAsia="宋体" w:cs="宋体"/>
                <w:b/>
                <w:bCs/>
                <w:sz w:val="24"/>
                <w:szCs w:val="24"/>
              </w:rPr>
              <w:t>二、房屋管理与维修养护</w:t>
            </w:r>
          </w:p>
        </w:tc>
        <w:tc>
          <w:tcPr>
            <w:tcW w:w="686" w:type="dxa"/>
            <w:shd w:val="clear" w:color="auto" w:fill="D9D9D9"/>
            <w:vAlign w:val="center"/>
          </w:tcPr>
          <w:p>
            <w:pPr>
              <w:snapToGrid w:val="0"/>
              <w:jc w:val="center"/>
              <w:rPr>
                <w:rFonts w:hint="eastAsia" w:ascii="宋体" w:hAnsi="宋体" w:eastAsia="宋体" w:cs="宋体"/>
                <w:b/>
                <w:bCs/>
                <w:sz w:val="24"/>
                <w:szCs w:val="24"/>
              </w:rPr>
            </w:pPr>
            <w:r>
              <w:rPr>
                <w:rFonts w:hint="eastAsia" w:ascii="宋体" w:hAnsi="宋体" w:eastAsia="宋体" w:cs="宋体"/>
                <w:b/>
                <w:bCs/>
                <w:sz w:val="24"/>
                <w:szCs w:val="24"/>
              </w:rPr>
              <w:t>10</w:t>
            </w:r>
          </w:p>
        </w:tc>
        <w:tc>
          <w:tcPr>
            <w:tcW w:w="3871" w:type="dxa"/>
            <w:shd w:val="clear" w:color="auto" w:fill="D9D9D9"/>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楼宇内楼梯、走道、扶手、天花板、吊顶等无破损；墙体整洁，无乱张贴；共用部位门窗、灯具、开关等功能良好；</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6</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符合6分，如发现一处不符合扣0.2分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共用楼梯、天台、通道、卸货平台等处无堆放工业原料、 废料、杂物及违章占用等。</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符合3.0分，发现一处不符合扣0.2分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机器设备单位面积重量不超过楼板承重限度。无危及 建筑结构的安全隐患</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符合1.0分，发现一处不符合扣0.5分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60" w:type="dxa"/>
            <w:shd w:val="clear" w:color="auto" w:fill="D9D9D9"/>
          </w:tcPr>
          <w:p>
            <w:pPr>
              <w:snapToGrid w:val="0"/>
              <w:rPr>
                <w:rFonts w:hint="eastAsia" w:ascii="宋体" w:hAnsi="宋体" w:eastAsia="宋体" w:cs="宋体"/>
                <w:sz w:val="24"/>
                <w:szCs w:val="24"/>
              </w:rPr>
            </w:pPr>
          </w:p>
        </w:tc>
        <w:tc>
          <w:tcPr>
            <w:tcW w:w="3400" w:type="dxa"/>
            <w:shd w:val="clear" w:color="auto" w:fill="D9D9D9"/>
            <w:vAlign w:val="center"/>
          </w:tcPr>
          <w:p>
            <w:pPr>
              <w:snapToGrid w:val="0"/>
              <w:jc w:val="center"/>
              <w:rPr>
                <w:rFonts w:hint="eastAsia" w:ascii="宋体" w:hAnsi="宋体" w:eastAsia="宋体" w:cs="宋体"/>
                <w:b/>
                <w:bCs/>
                <w:sz w:val="24"/>
                <w:szCs w:val="24"/>
              </w:rPr>
            </w:pPr>
            <w:r>
              <w:rPr>
                <w:rFonts w:hint="eastAsia" w:ascii="宋体" w:hAnsi="宋体" w:eastAsia="宋体" w:cs="宋体"/>
                <w:b/>
                <w:bCs/>
                <w:sz w:val="24"/>
                <w:szCs w:val="24"/>
              </w:rPr>
              <w:t>三、共用设施设备管理</w:t>
            </w:r>
          </w:p>
        </w:tc>
        <w:tc>
          <w:tcPr>
            <w:tcW w:w="686" w:type="dxa"/>
            <w:shd w:val="clear" w:color="auto" w:fill="D9D9D9"/>
            <w:vAlign w:val="center"/>
          </w:tcPr>
          <w:p>
            <w:pPr>
              <w:snapToGrid w:val="0"/>
              <w:jc w:val="center"/>
              <w:rPr>
                <w:rFonts w:hint="eastAsia" w:ascii="宋体" w:hAnsi="宋体" w:eastAsia="宋体" w:cs="宋体"/>
                <w:b/>
                <w:bCs/>
                <w:sz w:val="24"/>
                <w:szCs w:val="24"/>
              </w:rPr>
            </w:pPr>
            <w:r>
              <w:rPr>
                <w:rFonts w:hint="eastAsia" w:ascii="宋体" w:hAnsi="宋体" w:eastAsia="宋体" w:cs="宋体"/>
                <w:b/>
                <w:bCs/>
                <w:sz w:val="24"/>
                <w:szCs w:val="24"/>
              </w:rPr>
              <w:t>20</w:t>
            </w:r>
          </w:p>
        </w:tc>
        <w:tc>
          <w:tcPr>
            <w:tcW w:w="3871" w:type="dxa"/>
            <w:shd w:val="clear" w:color="auto" w:fill="D9D9D9"/>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配备所需各种专业技术人员。严格执行操作规程</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符合2.0分，不符合0分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按工作标准规定时问排除故障，保证各供电系统正常工作</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符合2.0分，发现一次不符合扣0.5分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组织开展消防法规及消防知识的宣传教育</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符合2.0分，责任人不明确每发现一处扣0.2分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订有突发火灾应急方案，在明显处设立消防疏散示意 图.照明设施、引路标志完好，紧急疏散通道畅通无阻</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无应急方案扣0.5分，各种标志每缺少一个及每 发现一处不畅通扣0.1分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区内无火灾安全隐患，杜绝用户飞线充电。</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符合2.0分，每发现一处安全隐患扣0.5分。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限水、停水按规定时间通知业主和使用人</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符合2.0分，基本符合1.0分，不符合0分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排水系统通畅，汛期道路无积水，</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符合2.0分，每发现一处不符合扣0.2分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共用配套设施完好，无随意改变用途</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符合2.0分，每发现一处不符合扣0.2分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道路、楼道、大堂等公共照明完好</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符合2.0分，每发现一处不亮扣0.2分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区域范围内的道路通畅，路面平坦</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符合2.0分，每发现一处不符合扣0.2分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60" w:type="dxa"/>
            <w:shd w:val="clear" w:color="auto" w:fill="D9D9D9"/>
          </w:tcPr>
          <w:p>
            <w:pPr>
              <w:snapToGrid w:val="0"/>
              <w:rPr>
                <w:rFonts w:hint="eastAsia" w:ascii="宋体" w:hAnsi="宋体" w:eastAsia="宋体" w:cs="宋体"/>
                <w:sz w:val="24"/>
                <w:szCs w:val="24"/>
              </w:rPr>
            </w:pPr>
          </w:p>
        </w:tc>
        <w:tc>
          <w:tcPr>
            <w:tcW w:w="3400" w:type="dxa"/>
            <w:shd w:val="clear" w:color="auto" w:fill="D9D9D9"/>
            <w:vAlign w:val="center"/>
          </w:tcPr>
          <w:p>
            <w:pPr>
              <w:snapToGrid w:val="0"/>
              <w:jc w:val="center"/>
              <w:rPr>
                <w:rFonts w:hint="eastAsia" w:ascii="宋体" w:hAnsi="宋体" w:eastAsia="宋体" w:cs="宋体"/>
                <w:b/>
                <w:bCs/>
                <w:sz w:val="24"/>
                <w:szCs w:val="24"/>
              </w:rPr>
            </w:pPr>
            <w:r>
              <w:rPr>
                <w:rFonts w:hint="eastAsia" w:ascii="宋体" w:hAnsi="宋体" w:eastAsia="宋体" w:cs="宋体"/>
                <w:b/>
                <w:bCs/>
                <w:sz w:val="24"/>
                <w:szCs w:val="24"/>
              </w:rPr>
              <w:t>四、保安及车辆管理</w:t>
            </w:r>
          </w:p>
        </w:tc>
        <w:tc>
          <w:tcPr>
            <w:tcW w:w="686" w:type="dxa"/>
            <w:shd w:val="clear" w:color="auto" w:fill="D9D9D9"/>
            <w:vAlign w:val="center"/>
          </w:tcPr>
          <w:p>
            <w:pPr>
              <w:snapToGrid w:val="0"/>
              <w:jc w:val="center"/>
              <w:rPr>
                <w:rFonts w:hint="eastAsia" w:ascii="宋体" w:hAnsi="宋体" w:eastAsia="宋体" w:cs="宋体"/>
                <w:b/>
                <w:bCs/>
                <w:sz w:val="24"/>
                <w:szCs w:val="24"/>
              </w:rPr>
            </w:pPr>
            <w:r>
              <w:rPr>
                <w:rFonts w:hint="eastAsia" w:ascii="宋体" w:hAnsi="宋体" w:eastAsia="宋体" w:cs="宋体"/>
                <w:b/>
                <w:bCs/>
                <w:sz w:val="24"/>
                <w:szCs w:val="24"/>
              </w:rPr>
              <w:t>8</w:t>
            </w:r>
          </w:p>
        </w:tc>
        <w:tc>
          <w:tcPr>
            <w:tcW w:w="3871" w:type="dxa"/>
            <w:shd w:val="clear" w:color="auto" w:fill="D9D9D9"/>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有专业保安队伍，实行24小时值班及巡逻制度，保安人员熟悉工作区的环境，文明值勤，训练有素，言语规范，认真负责</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符合2.0分，发现无证保安每处扣1.0分，值班及巡逻记录等不规范每处扣0.2分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进出区域各种车辆管理有序，无堵塞交通现象，不影响行人通行</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符合1分，基本符合0.5分，不符合0分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停车场有专人疏导，管理有序，排列整齐</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符合2分，基本符合0.5分，不符合0分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区内停车场管理严格，出入有登记</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符合1.0分，基本符合0.5分，不符合0分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非机动车辆有集中停放场地，管理制度落实，管理有序，停放整齐，场地整洁</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符合1.0分，基本符合0.5分，不符合0分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危及人身安全处设有明显标志和防范措施</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符合1.0分，不符合0分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60" w:type="dxa"/>
            <w:shd w:val="clear" w:color="auto" w:fill="D9D9D9"/>
          </w:tcPr>
          <w:p>
            <w:pPr>
              <w:snapToGrid w:val="0"/>
              <w:rPr>
                <w:rFonts w:hint="eastAsia" w:ascii="宋体" w:hAnsi="宋体" w:eastAsia="宋体" w:cs="宋体"/>
                <w:sz w:val="24"/>
                <w:szCs w:val="24"/>
              </w:rPr>
            </w:pPr>
          </w:p>
        </w:tc>
        <w:tc>
          <w:tcPr>
            <w:tcW w:w="3400" w:type="dxa"/>
            <w:shd w:val="clear" w:color="auto" w:fill="D9D9D9"/>
            <w:vAlign w:val="center"/>
          </w:tcPr>
          <w:p>
            <w:pPr>
              <w:snapToGrid w:val="0"/>
              <w:jc w:val="center"/>
              <w:rPr>
                <w:rFonts w:hint="eastAsia" w:ascii="宋体" w:hAnsi="宋体" w:eastAsia="宋体" w:cs="宋体"/>
                <w:b/>
                <w:bCs/>
                <w:sz w:val="24"/>
                <w:szCs w:val="24"/>
              </w:rPr>
            </w:pPr>
            <w:r>
              <w:rPr>
                <w:rFonts w:hint="eastAsia" w:ascii="宋体" w:hAnsi="宋体" w:eastAsia="宋体" w:cs="宋体"/>
                <w:b/>
                <w:bCs/>
                <w:sz w:val="24"/>
                <w:szCs w:val="24"/>
              </w:rPr>
              <w:t>五、环境卫生管理</w:t>
            </w:r>
          </w:p>
        </w:tc>
        <w:tc>
          <w:tcPr>
            <w:tcW w:w="686" w:type="dxa"/>
            <w:shd w:val="clear" w:color="auto" w:fill="D9D9D9"/>
            <w:vAlign w:val="center"/>
          </w:tcPr>
          <w:p>
            <w:pPr>
              <w:snapToGrid w:val="0"/>
              <w:jc w:val="center"/>
              <w:rPr>
                <w:rFonts w:hint="eastAsia" w:ascii="宋体" w:hAnsi="宋体" w:eastAsia="宋体" w:cs="宋体"/>
                <w:b/>
                <w:bCs/>
                <w:sz w:val="24"/>
                <w:szCs w:val="24"/>
              </w:rPr>
            </w:pPr>
            <w:r>
              <w:rPr>
                <w:rFonts w:hint="eastAsia" w:ascii="宋体" w:hAnsi="宋体" w:eastAsia="宋体" w:cs="宋体"/>
                <w:b/>
                <w:bCs/>
                <w:sz w:val="24"/>
                <w:szCs w:val="24"/>
              </w:rPr>
              <w:t>12</w:t>
            </w:r>
          </w:p>
        </w:tc>
        <w:tc>
          <w:tcPr>
            <w:tcW w:w="3871" w:type="dxa"/>
            <w:shd w:val="clear" w:color="auto" w:fill="D9D9D9"/>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环卫设施完备，设有垃圾箱、果皮箱、垃圾中转站</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符合2.0分，每发现一处不符合扣0.2分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清洁卫生实行责任制，有专职的清洁人员和明确的责任范围，实行标准化清洁保洁</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未实行责任制的扣0.5，无专职清洁人员和责 任范围的扣0.3，未实行标准化保洁的扣0.2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垃圾日产日清，定期进行卫生灭杀</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每发现一处垃圾扣0.1，未达到垃圾日产日清 的扣0.3，未定期进行卫生消毒灭杀扣0.3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对有毒、有害工业垃圾管理严格按规定分装，不得与其它垃圾混杂</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符合1.0，不符合0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房屋共用部位保持清洁，无乱贴、乱画等牛皮癣，无擅自占用和堆放杂物现象；楼梯扶栏、天台、共用玻璃窗等保持洁净；共用场地无纸屑、烟头、积水等废弃物。</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5</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每发现一处不符合扣0.2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60" w:type="dxa"/>
            <w:shd w:val="clear" w:color="auto" w:fill="D9D9D9"/>
          </w:tcPr>
          <w:p>
            <w:pPr>
              <w:snapToGrid w:val="0"/>
              <w:rPr>
                <w:rFonts w:hint="eastAsia" w:ascii="宋体" w:hAnsi="宋体" w:eastAsia="宋体" w:cs="宋体"/>
                <w:sz w:val="24"/>
                <w:szCs w:val="24"/>
              </w:rPr>
            </w:pPr>
          </w:p>
        </w:tc>
        <w:tc>
          <w:tcPr>
            <w:tcW w:w="3400" w:type="dxa"/>
            <w:shd w:val="clear" w:color="auto" w:fill="D9D9D9"/>
            <w:vAlign w:val="center"/>
          </w:tcPr>
          <w:p>
            <w:pPr>
              <w:snapToGrid w:val="0"/>
              <w:jc w:val="center"/>
              <w:rPr>
                <w:rFonts w:hint="eastAsia" w:ascii="宋体" w:hAnsi="宋体" w:eastAsia="宋体" w:cs="宋体"/>
                <w:b/>
                <w:bCs/>
                <w:sz w:val="24"/>
                <w:szCs w:val="24"/>
              </w:rPr>
            </w:pPr>
            <w:r>
              <w:rPr>
                <w:rFonts w:hint="eastAsia" w:ascii="宋体" w:hAnsi="宋体" w:eastAsia="宋体" w:cs="宋体"/>
                <w:b/>
                <w:bCs/>
                <w:sz w:val="24"/>
                <w:szCs w:val="24"/>
              </w:rPr>
              <w:t>六、绿化管理</w:t>
            </w:r>
          </w:p>
        </w:tc>
        <w:tc>
          <w:tcPr>
            <w:tcW w:w="686" w:type="dxa"/>
            <w:shd w:val="clear" w:color="auto" w:fill="D9D9D9"/>
            <w:vAlign w:val="center"/>
          </w:tcPr>
          <w:p>
            <w:pPr>
              <w:snapToGrid w:val="0"/>
              <w:jc w:val="center"/>
              <w:rPr>
                <w:rFonts w:hint="eastAsia" w:ascii="宋体" w:hAnsi="宋体" w:eastAsia="宋体" w:cs="宋体"/>
                <w:b/>
                <w:bCs/>
                <w:sz w:val="24"/>
                <w:szCs w:val="24"/>
              </w:rPr>
            </w:pPr>
            <w:r>
              <w:rPr>
                <w:rFonts w:hint="eastAsia" w:ascii="宋体" w:hAnsi="宋体" w:eastAsia="宋体" w:cs="宋体"/>
                <w:b/>
                <w:bCs/>
                <w:sz w:val="24"/>
                <w:szCs w:val="24"/>
              </w:rPr>
              <w:t>10</w:t>
            </w:r>
          </w:p>
        </w:tc>
        <w:tc>
          <w:tcPr>
            <w:tcW w:w="3871" w:type="dxa"/>
            <w:shd w:val="clear" w:color="auto" w:fill="D9D9D9"/>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绿地无改变使用用途和破坏、践踏、占用现象</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5</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符合5.0，基本符合3.0，不符合0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花草树木长势良好，修剪整齐美观，无病虫害，无折损现象，无斑秃</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长势不好扣1.0，其它每发现一处不符合扣0.2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绿地无纸屑、烟头、石块等杂物垃圾。</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符合3.0，每发现一处不符合扣0.2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60" w:type="dxa"/>
            <w:shd w:val="clear" w:color="auto" w:fill="D9D9D9"/>
          </w:tcPr>
          <w:p>
            <w:pPr>
              <w:snapToGrid w:val="0"/>
              <w:rPr>
                <w:rFonts w:hint="eastAsia" w:ascii="宋体" w:hAnsi="宋体" w:eastAsia="宋体" w:cs="宋体"/>
                <w:sz w:val="24"/>
                <w:szCs w:val="24"/>
              </w:rPr>
            </w:pPr>
          </w:p>
        </w:tc>
        <w:tc>
          <w:tcPr>
            <w:tcW w:w="3400" w:type="dxa"/>
            <w:shd w:val="clear" w:color="auto" w:fill="D9D9D9"/>
            <w:vAlign w:val="center"/>
          </w:tcPr>
          <w:p>
            <w:pPr>
              <w:snapToGrid w:val="0"/>
              <w:jc w:val="center"/>
              <w:rPr>
                <w:rFonts w:hint="eastAsia" w:ascii="宋体" w:hAnsi="宋体" w:eastAsia="宋体" w:cs="宋体"/>
                <w:b/>
                <w:bCs/>
                <w:sz w:val="24"/>
                <w:szCs w:val="24"/>
              </w:rPr>
            </w:pPr>
            <w:r>
              <w:rPr>
                <w:rFonts w:hint="eastAsia" w:ascii="宋体" w:hAnsi="宋体" w:eastAsia="宋体" w:cs="宋体"/>
                <w:b/>
                <w:bCs/>
                <w:sz w:val="24"/>
                <w:szCs w:val="24"/>
              </w:rPr>
              <w:t>七、业主满意度调查</w:t>
            </w:r>
          </w:p>
        </w:tc>
        <w:tc>
          <w:tcPr>
            <w:tcW w:w="686" w:type="dxa"/>
            <w:shd w:val="clear" w:color="auto" w:fill="D9D9D9"/>
            <w:vAlign w:val="center"/>
          </w:tcPr>
          <w:p>
            <w:pPr>
              <w:snapToGrid w:val="0"/>
              <w:jc w:val="center"/>
              <w:rPr>
                <w:rFonts w:hint="eastAsia" w:ascii="宋体" w:hAnsi="宋体" w:eastAsia="宋体" w:cs="宋体"/>
                <w:b/>
                <w:bCs/>
                <w:sz w:val="24"/>
                <w:szCs w:val="24"/>
              </w:rPr>
            </w:pPr>
            <w:r>
              <w:rPr>
                <w:rFonts w:hint="eastAsia" w:ascii="宋体" w:hAnsi="宋体" w:eastAsia="宋体" w:cs="宋体"/>
                <w:b/>
                <w:bCs/>
                <w:sz w:val="24"/>
                <w:szCs w:val="24"/>
              </w:rPr>
              <w:t>20</w:t>
            </w:r>
          </w:p>
        </w:tc>
        <w:tc>
          <w:tcPr>
            <w:tcW w:w="3871" w:type="dxa"/>
            <w:shd w:val="clear" w:color="auto" w:fill="D9D9D9"/>
            <w:vAlign w:val="center"/>
          </w:tcPr>
          <w:p>
            <w:pPr>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60" w:type="dxa"/>
          </w:tcPr>
          <w:p>
            <w:pPr>
              <w:numPr>
                <w:ilvl w:val="0"/>
                <w:numId w:val="1"/>
              </w:numPr>
              <w:snapToGrid w:val="0"/>
              <w:rPr>
                <w:rFonts w:hint="eastAsia" w:ascii="宋体" w:hAnsi="宋体" w:eastAsia="宋体" w:cs="宋体"/>
                <w:sz w:val="24"/>
                <w:szCs w:val="24"/>
              </w:rPr>
            </w:pPr>
          </w:p>
        </w:tc>
        <w:tc>
          <w:tcPr>
            <w:tcW w:w="3400"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业主代表（不少于10人）满意度问卷调查</w:t>
            </w:r>
          </w:p>
        </w:tc>
        <w:tc>
          <w:tcPr>
            <w:tcW w:w="68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20</w:t>
            </w:r>
          </w:p>
        </w:tc>
        <w:tc>
          <w:tcPr>
            <w:tcW w:w="3871"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业主满意度80%及以上的得20分，每下降1%扣0.4分。</w:t>
            </w:r>
          </w:p>
        </w:tc>
      </w:tr>
    </w:tbl>
    <w:p>
      <w:pPr>
        <w:spacing w:line="360" w:lineRule="auto"/>
        <w:rPr>
          <w:rFonts w:hint="eastAsia" w:ascii="宋体" w:hAnsi="宋体" w:eastAsia="宋体" w:cs="宋体"/>
          <w:sz w:val="24"/>
          <w:szCs w:val="24"/>
        </w:rPr>
      </w:pP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二、商务要求</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（一）报价要求（管理服务费用及财务管理要求）</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000000"/>
          <w:kern w:val="0"/>
          <w:sz w:val="24"/>
          <w:szCs w:val="24"/>
        </w:rPr>
        <w:t>▲</w:t>
      </w:r>
      <w:r>
        <w:rPr>
          <w:rFonts w:hint="eastAsia" w:ascii="宋体" w:hAnsi="宋体" w:eastAsia="宋体" w:cs="宋体"/>
          <w:sz w:val="24"/>
          <w:szCs w:val="24"/>
        </w:rPr>
        <w:t>1.1管理服务费用及结算方式以签订的合同为准，本项目报价要求费用包括所有的人工费(包括但不限于工资、社保、节假日补贴、高温补贴、</w:t>
      </w:r>
      <w:r>
        <w:rPr>
          <w:rFonts w:hint="eastAsia" w:ascii="宋体" w:hAnsi="宋体" w:cs="宋体"/>
          <w:sz w:val="24"/>
          <w:szCs w:val="24"/>
          <w:lang w:val="en-US" w:eastAsia="zh-CN"/>
        </w:rPr>
        <w:t>保险费</w:t>
      </w:r>
      <w:r>
        <w:rPr>
          <w:rFonts w:hint="eastAsia" w:ascii="宋体" w:hAnsi="宋体" w:eastAsia="宋体" w:cs="宋体"/>
          <w:sz w:val="24"/>
          <w:szCs w:val="24"/>
        </w:rPr>
        <w:t>、</w:t>
      </w:r>
      <w:r>
        <w:rPr>
          <w:rFonts w:hint="eastAsia" w:ascii="宋体" w:hAnsi="宋体" w:cs="宋体"/>
          <w:sz w:val="24"/>
          <w:szCs w:val="24"/>
          <w:lang w:val="en-US" w:eastAsia="zh-CN"/>
        </w:rPr>
        <w:t>加班费、</w:t>
      </w:r>
      <w:r>
        <w:rPr>
          <w:rFonts w:hint="eastAsia" w:ascii="宋体" w:hAnsi="宋体" w:eastAsia="宋体" w:cs="宋体"/>
          <w:sz w:val="24"/>
          <w:szCs w:val="24"/>
        </w:rPr>
        <w:t>员工住宿及法规要求涉及的保障费用、突发性及应急保障方面所发生的费用等)、劳保用品费（包括但不限于制服、服</w:t>
      </w:r>
      <w:r>
        <w:rPr>
          <w:rFonts w:hint="eastAsia" w:ascii="宋体" w:hAnsi="宋体" w:eastAsia="宋体" w:cs="宋体"/>
          <w:color w:val="000000"/>
          <w:sz w:val="24"/>
          <w:szCs w:val="24"/>
        </w:rPr>
        <w:t>装，雨衣雨鞋等）、</w:t>
      </w:r>
      <w:r>
        <w:rPr>
          <w:rFonts w:hint="eastAsia" w:ascii="宋体" w:hAnsi="宋体" w:eastAsia="宋体" w:cs="宋体"/>
          <w:sz w:val="24"/>
          <w:szCs w:val="24"/>
        </w:rPr>
        <w:t>简易维护</w:t>
      </w:r>
      <w:r>
        <w:rPr>
          <w:rFonts w:hint="eastAsia" w:ascii="宋体" w:hAnsi="宋体" w:cs="宋体"/>
          <w:sz w:val="24"/>
          <w:szCs w:val="24"/>
          <w:lang w:val="en-US" w:eastAsia="zh-CN"/>
        </w:rPr>
        <w:t>费</w:t>
      </w:r>
      <w:r>
        <w:rPr>
          <w:rFonts w:hint="eastAsia" w:ascii="宋体" w:hAnsi="宋体" w:eastAsia="宋体" w:cs="宋体"/>
          <w:sz w:val="24"/>
          <w:szCs w:val="24"/>
        </w:rPr>
        <w:t>，特殊垃圾清运费、保险费、车辆设备费、安全培训、职业教育、管理费、税费、利润、税金等全部费用。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公共设施、设备，绿化在保修期内的维修、养护由施工方负责，物业公司有监</w:t>
      </w:r>
      <w:r>
        <w:rPr>
          <w:rFonts w:hint="eastAsia" w:ascii="宋体" w:hAnsi="宋体" w:eastAsia="宋体" w:cs="宋体"/>
          <w:sz w:val="24"/>
          <w:szCs w:val="24"/>
          <w:highlight w:val="none"/>
        </w:rPr>
        <w:t>管义务，保修期到期后的维修责任由物业公司负责。</w:t>
      </w:r>
    </w:p>
    <w:p>
      <w:pPr>
        <w:pStyle w:val="838"/>
        <w:spacing w:line="360" w:lineRule="auto"/>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r>
        <w:rPr>
          <w:rFonts w:hint="eastAsia" w:ascii="宋体" w:hAnsi="宋体" w:eastAsia="宋体" w:cs="宋体"/>
          <w:color w:val="auto"/>
          <w:kern w:val="2"/>
          <w:sz w:val="24"/>
          <w:szCs w:val="24"/>
          <w:highlight w:val="none"/>
        </w:rPr>
        <w:t>1.2物业公司定期以书面形式报告法院物业管理服务各项费用收支情况的财务报表，体现在投标文件中。</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（二）合同双方</w:t>
      </w:r>
    </w:p>
    <w:p>
      <w:pPr>
        <w:tabs>
          <w:tab w:val="left" w:pos="540"/>
        </w:tabs>
        <w:autoSpaceDE w:val="0"/>
        <w:autoSpaceDN w:val="0"/>
        <w:snapToGrid w:val="0"/>
        <w:spacing w:line="360" w:lineRule="auto"/>
        <w:ind w:firstLine="480" w:firstLineChars="200"/>
        <w:textAlignment w:val="baseline"/>
        <w:rPr>
          <w:rFonts w:hint="eastAsia" w:ascii="宋体" w:hAnsi="宋体" w:eastAsia="宋体" w:cs="宋体"/>
          <w:bCs/>
          <w:kern w:val="0"/>
          <w:sz w:val="24"/>
          <w:szCs w:val="24"/>
        </w:rPr>
      </w:pPr>
      <w:r>
        <w:rPr>
          <w:rFonts w:hint="eastAsia" w:ascii="宋体" w:hAnsi="宋体" w:eastAsia="宋体" w:cs="宋体"/>
          <w:sz w:val="24"/>
          <w:szCs w:val="24"/>
        </w:rPr>
        <w:t>本项目合同甲方为杭州市上城区人民法院，乙方为中标人，合同款支付给乙方。</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（三）履约保证金交纳</w:t>
      </w:r>
    </w:p>
    <w:p>
      <w:pPr>
        <w:tabs>
          <w:tab w:val="left" w:pos="540"/>
        </w:tabs>
        <w:autoSpaceDE w:val="0"/>
        <w:autoSpaceDN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bCs/>
          <w:kern w:val="0"/>
          <w:sz w:val="24"/>
          <w:szCs w:val="24"/>
        </w:rPr>
        <w:t>按《第五部分 拟签订的合同文本》规定。</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（四）合同款结算要求</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按《第五部分 拟签订的合同文本》规定。</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（五）其他内容</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详见招标文件的《第五部分 拟签订的合同文本》，投标人应对合同内容进行审核，如有偏离，请在投标文件的“偏离表”中反映。</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（六）解除合同</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供应商承诺接受采购人单方面解除合同的情形：</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1.如供应商单位拒绝接受任务或严重违约。</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2.依据《民法典》的规定其他可解除合同的情形。</w:t>
      </w:r>
    </w:p>
    <w:p>
      <w:pPr>
        <w:snapToGrid w:val="0"/>
        <w:spacing w:line="360" w:lineRule="auto"/>
        <w:ind w:firstLine="482" w:firstLineChars="200"/>
        <w:outlineLvl w:val="2"/>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（七）服务期限</w:t>
      </w:r>
    </w:p>
    <w:p>
      <w:pPr>
        <w:shd w:val="clear" w:color="auto" w:fill="FFFFFF"/>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1.服务期为1年</w:t>
      </w:r>
      <w:r>
        <w:rPr>
          <w:rFonts w:hint="eastAsia" w:ascii="宋体" w:hAnsi="宋体" w:eastAsia="宋体" w:cs="宋体"/>
          <w:sz w:val="24"/>
          <w:szCs w:val="24"/>
          <w:highlight w:val="none"/>
          <w:lang w:val="zh-CN"/>
        </w:rPr>
        <w:t>。</w:t>
      </w:r>
    </w:p>
    <w:p>
      <w:pPr>
        <w:pStyle w:val="5"/>
        <w:tabs>
          <w:tab w:val="left" w:pos="720"/>
          <w:tab w:val="clear" w:pos="900"/>
        </w:tabs>
        <w:spacing w:before="0" w:after="0" w:line="360" w:lineRule="auto"/>
        <w:ind w:left="0" w:firstLine="422"/>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、政府采购扶持政策</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（一）根据财政部 工业和信息化部关于印发《政府采购促进中小企业发展管理办法》的通知（财库〔2020〕46号）的规定。</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采购标的对应的小微企业划分标准所属行业：</w:t>
      </w:r>
      <w:r>
        <w:rPr>
          <w:rFonts w:hint="eastAsia" w:ascii="宋体" w:hAnsi="宋体" w:cs="宋体"/>
          <w:sz w:val="24"/>
          <w:u w:val="none"/>
        </w:rPr>
        <w:t>物业管理行业</w:t>
      </w:r>
      <w:r>
        <w:rPr>
          <w:rFonts w:hint="eastAsia" w:ascii="宋体" w:hAnsi="宋体" w:eastAsia="宋体" w:cs="宋体"/>
          <w:sz w:val="24"/>
          <w:szCs w:val="24"/>
          <w:highlight w:val="none"/>
        </w:rPr>
        <w:t>。</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本项目属于预留份额专门面向小微企业采购项目。</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（二）根据财政部 司法部关于政府采购支持监狱企业发展有关问题的通知（财库〔2014〕68号）的规定，监狱企业视同小型、微型企业。</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（三）根据财政部 民政部 中国残疾人联合会关于促进残疾人就业政府采购政策的通知（财库〔2017〕141号）的规定，残疾人福利性单位视同小型、微型企业。</w:t>
      </w:r>
    </w:p>
    <w:p>
      <w:pPr>
        <w:spacing w:line="360" w:lineRule="auto"/>
        <w:ind w:firstLine="120" w:firstLineChars="50"/>
        <w:rPr>
          <w:rFonts w:hint="eastAsia" w:ascii="宋体" w:hAnsi="宋体" w:eastAsia="宋体" w:cs="宋体"/>
          <w:b/>
          <w:sz w:val="24"/>
          <w:szCs w:val="24"/>
        </w:rPr>
      </w:pPr>
    </w:p>
    <w:p>
      <w:pPr>
        <w:spacing w:line="360" w:lineRule="auto"/>
        <w:rPr>
          <w:rFonts w:hint="eastAsia" w:ascii="宋体" w:hAnsi="宋体" w:eastAsia="宋体" w:cs="宋体"/>
          <w:sz w:val="24"/>
          <w:szCs w:val="24"/>
        </w:rPr>
      </w:pPr>
    </w:p>
    <w:p>
      <w:pPr>
        <w:widowControl/>
        <w:ind w:firstLine="720" w:firstLineChars="300"/>
        <w:jc w:val="left"/>
        <w:rPr>
          <w:rFonts w:hint="eastAsia" w:ascii="宋体" w:hAnsi="宋体" w:eastAsia="宋体" w:cs="宋体"/>
          <w:bCs/>
          <w:sz w:val="24"/>
          <w:szCs w:val="24"/>
        </w:rPr>
      </w:pPr>
    </w:p>
    <w:p>
      <w:pPr>
        <w:rPr>
          <w:rFonts w:hint="eastAsia" w:ascii="宋体" w:hAnsi="宋体" w:eastAsia="宋体" w:cs="宋体"/>
          <w:snapToGrid w:val="0"/>
          <w:kern w:val="0"/>
          <w:sz w:val="24"/>
          <w:szCs w:val="24"/>
        </w:rPr>
      </w:pPr>
    </w:p>
    <w:p>
      <w:pPr>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cs="宋体"/>
          <w:b/>
          <w:sz w:val="36"/>
          <w:szCs w:val="36"/>
        </w:rPr>
        <w:t xml:space="preserve">第四部分   </w:t>
      </w:r>
      <w:bookmarkStart w:id="28" w:name="_Toc184312112"/>
      <w:bookmarkEnd w:id="28"/>
      <w:bookmarkStart w:id="29" w:name="_Toc184308050"/>
      <w:bookmarkEnd w:id="29"/>
      <w:bookmarkStart w:id="30" w:name="_Toc184310304"/>
      <w:bookmarkEnd w:id="30"/>
      <w:bookmarkStart w:id="31" w:name="_Toc184313248"/>
      <w:bookmarkEnd w:id="31"/>
      <w:bookmarkStart w:id="32" w:name="_Toc184313302"/>
      <w:bookmarkEnd w:id="32"/>
      <w:bookmarkStart w:id="33" w:name="_Toc184310321"/>
      <w:bookmarkEnd w:id="33"/>
      <w:bookmarkStart w:id="34" w:name="_Toc184314425"/>
      <w:bookmarkEnd w:id="34"/>
      <w:bookmarkStart w:id="35" w:name="_Toc184314462"/>
      <w:bookmarkEnd w:id="35"/>
      <w:bookmarkStart w:id="36" w:name="_Toc184310273"/>
      <w:bookmarkEnd w:id="36"/>
      <w:bookmarkStart w:id="37" w:name="_Toc184314463"/>
      <w:bookmarkEnd w:id="37"/>
      <w:bookmarkStart w:id="38" w:name="_Toc184308076"/>
      <w:bookmarkEnd w:id="38"/>
      <w:bookmarkStart w:id="39" w:name="_Toc184308090"/>
      <w:bookmarkEnd w:id="39"/>
      <w:bookmarkStart w:id="40" w:name="_Toc184310338"/>
      <w:bookmarkEnd w:id="40"/>
      <w:bookmarkStart w:id="41" w:name="_Toc184308087"/>
      <w:bookmarkEnd w:id="41"/>
      <w:bookmarkStart w:id="42" w:name="_Toc184314419"/>
      <w:bookmarkEnd w:id="42"/>
      <w:bookmarkStart w:id="43" w:name="_Toc184312077"/>
      <w:bookmarkEnd w:id="43"/>
      <w:bookmarkStart w:id="44" w:name="_Toc184313254"/>
      <w:bookmarkEnd w:id="44"/>
      <w:bookmarkStart w:id="45" w:name="_Toc184314449"/>
      <w:bookmarkEnd w:id="45"/>
      <w:bookmarkStart w:id="46" w:name="_Toc184310302"/>
      <w:bookmarkEnd w:id="46"/>
      <w:bookmarkStart w:id="47" w:name="_Toc184310343"/>
      <w:bookmarkEnd w:id="47"/>
      <w:bookmarkStart w:id="48" w:name="_Toc184313300"/>
      <w:bookmarkEnd w:id="48"/>
      <w:bookmarkStart w:id="49" w:name="_Toc184310312"/>
      <w:bookmarkEnd w:id="49"/>
      <w:bookmarkStart w:id="50" w:name="_Toc184312118"/>
      <w:bookmarkEnd w:id="50"/>
      <w:bookmarkStart w:id="51" w:name="_Toc184308073"/>
      <w:bookmarkEnd w:id="51"/>
      <w:bookmarkStart w:id="52" w:name="_Toc184308077"/>
      <w:bookmarkEnd w:id="52"/>
      <w:bookmarkStart w:id="53" w:name="_Toc184313246"/>
      <w:bookmarkEnd w:id="53"/>
      <w:bookmarkStart w:id="54" w:name="_Toc184314439"/>
      <w:bookmarkEnd w:id="54"/>
      <w:bookmarkStart w:id="55" w:name="_Toc184310320"/>
      <w:bookmarkEnd w:id="55"/>
      <w:bookmarkStart w:id="56" w:name="_Toc184310335"/>
      <w:bookmarkEnd w:id="56"/>
      <w:bookmarkStart w:id="57" w:name="_Toc184312119"/>
      <w:bookmarkEnd w:id="57"/>
      <w:bookmarkStart w:id="58" w:name="_Toc184314452"/>
      <w:bookmarkEnd w:id="58"/>
      <w:bookmarkStart w:id="59" w:name="_Toc184310323"/>
      <w:bookmarkEnd w:id="59"/>
      <w:bookmarkStart w:id="60" w:name="_Toc184312093"/>
      <w:bookmarkEnd w:id="60"/>
      <w:bookmarkStart w:id="61" w:name="_Toc184313309"/>
      <w:bookmarkEnd w:id="61"/>
      <w:bookmarkStart w:id="62" w:name="_Toc184314423"/>
      <w:bookmarkEnd w:id="62"/>
      <w:bookmarkStart w:id="63" w:name="_Toc184314422"/>
      <w:bookmarkEnd w:id="63"/>
      <w:bookmarkStart w:id="64" w:name="_Toc184313243"/>
      <w:bookmarkEnd w:id="64"/>
      <w:bookmarkStart w:id="65" w:name="_Toc184310333"/>
      <w:bookmarkEnd w:id="65"/>
      <w:bookmarkStart w:id="66" w:name="_Toc184313277"/>
      <w:bookmarkEnd w:id="66"/>
      <w:bookmarkStart w:id="67" w:name="_Toc184314472"/>
      <w:bookmarkEnd w:id="67"/>
      <w:bookmarkStart w:id="68" w:name="_Toc184308082"/>
      <w:bookmarkEnd w:id="68"/>
      <w:bookmarkStart w:id="69" w:name="_Toc184310284"/>
      <w:bookmarkEnd w:id="69"/>
      <w:bookmarkStart w:id="70" w:name="_Toc184308044"/>
      <w:bookmarkEnd w:id="70"/>
      <w:bookmarkStart w:id="71" w:name="_Toc184314410"/>
      <w:bookmarkEnd w:id="71"/>
      <w:bookmarkStart w:id="72" w:name="_Toc184313279"/>
      <w:bookmarkEnd w:id="72"/>
      <w:bookmarkStart w:id="73" w:name="_Toc184314413"/>
      <w:bookmarkEnd w:id="73"/>
      <w:bookmarkStart w:id="74" w:name="_Toc184313293"/>
      <w:bookmarkEnd w:id="74"/>
      <w:bookmarkStart w:id="75" w:name="_Toc184308048"/>
      <w:bookmarkEnd w:id="75"/>
      <w:bookmarkStart w:id="76" w:name="_Toc184308062"/>
      <w:bookmarkEnd w:id="76"/>
      <w:bookmarkStart w:id="77" w:name="_Toc184310283"/>
      <w:bookmarkEnd w:id="77"/>
      <w:bookmarkStart w:id="78" w:name="_Toc184313289"/>
      <w:bookmarkEnd w:id="78"/>
      <w:bookmarkStart w:id="79" w:name="_Toc184312104"/>
      <w:bookmarkEnd w:id="79"/>
      <w:bookmarkStart w:id="80" w:name="_Toc184310294"/>
      <w:bookmarkEnd w:id="80"/>
      <w:bookmarkStart w:id="81" w:name="_Toc184312110"/>
      <w:bookmarkEnd w:id="81"/>
      <w:bookmarkStart w:id="82" w:name="_Toc184308043"/>
      <w:bookmarkEnd w:id="82"/>
      <w:bookmarkStart w:id="83" w:name="_Toc184308083"/>
      <w:bookmarkEnd w:id="83"/>
      <w:bookmarkStart w:id="84" w:name="_Toc184313249"/>
      <w:bookmarkEnd w:id="84"/>
      <w:bookmarkStart w:id="85" w:name="_Toc184313307"/>
      <w:bookmarkEnd w:id="85"/>
      <w:bookmarkStart w:id="86" w:name="_Toc184310327"/>
      <w:bookmarkEnd w:id="86"/>
      <w:bookmarkStart w:id="87" w:name="_Toc184312074"/>
      <w:bookmarkEnd w:id="87"/>
      <w:bookmarkStart w:id="88" w:name="_Toc184310278"/>
      <w:bookmarkEnd w:id="88"/>
      <w:bookmarkStart w:id="89" w:name="_Toc184313267"/>
      <w:bookmarkEnd w:id="89"/>
      <w:bookmarkStart w:id="90" w:name="_Toc184314411"/>
      <w:bookmarkEnd w:id="90"/>
      <w:bookmarkStart w:id="91" w:name="_Toc184310341"/>
      <w:bookmarkEnd w:id="91"/>
      <w:bookmarkStart w:id="92" w:name="_Toc184312122"/>
      <w:bookmarkEnd w:id="92"/>
      <w:bookmarkStart w:id="93" w:name="_Toc184312129"/>
      <w:bookmarkEnd w:id="93"/>
      <w:bookmarkStart w:id="94" w:name="_Toc184312082"/>
      <w:bookmarkEnd w:id="94"/>
      <w:bookmarkStart w:id="95" w:name="_Toc184313244"/>
      <w:bookmarkEnd w:id="95"/>
      <w:bookmarkStart w:id="96" w:name="_Toc184308038"/>
      <w:bookmarkEnd w:id="96"/>
      <w:bookmarkStart w:id="97" w:name="_Toc184312100"/>
      <w:bookmarkEnd w:id="97"/>
      <w:bookmarkStart w:id="98" w:name="_Toc184312102"/>
      <w:bookmarkEnd w:id="98"/>
      <w:bookmarkStart w:id="99" w:name="_Toc184314430"/>
      <w:bookmarkEnd w:id="99"/>
      <w:bookmarkStart w:id="100" w:name="_Toc184314421"/>
      <w:bookmarkEnd w:id="100"/>
      <w:bookmarkStart w:id="101" w:name="_Toc184313297"/>
      <w:bookmarkEnd w:id="101"/>
      <w:bookmarkStart w:id="102" w:name="_Toc184312111"/>
      <w:bookmarkEnd w:id="102"/>
      <w:bookmarkStart w:id="103" w:name="_Toc184314476"/>
      <w:bookmarkEnd w:id="103"/>
      <w:bookmarkStart w:id="104" w:name="_Toc184308086"/>
      <w:bookmarkEnd w:id="104"/>
      <w:bookmarkStart w:id="105" w:name="_Toc184308042"/>
      <w:bookmarkEnd w:id="105"/>
      <w:bookmarkStart w:id="106" w:name="_Toc184310301"/>
      <w:bookmarkEnd w:id="106"/>
      <w:bookmarkStart w:id="107" w:name="_Toc184308059"/>
      <w:bookmarkEnd w:id="107"/>
      <w:bookmarkStart w:id="108" w:name="_Toc184313291"/>
      <w:bookmarkEnd w:id="108"/>
      <w:bookmarkStart w:id="109" w:name="_Toc184314442"/>
      <w:bookmarkEnd w:id="109"/>
      <w:bookmarkStart w:id="110" w:name="_Toc184314446"/>
      <w:bookmarkEnd w:id="110"/>
      <w:bookmarkStart w:id="111" w:name="_Toc184310313"/>
      <w:bookmarkEnd w:id="111"/>
      <w:bookmarkStart w:id="112" w:name="_Toc184314444"/>
      <w:bookmarkEnd w:id="112"/>
      <w:bookmarkStart w:id="113" w:name="_Toc184313301"/>
      <w:bookmarkEnd w:id="113"/>
      <w:bookmarkStart w:id="114" w:name="_Toc184308108"/>
      <w:bookmarkEnd w:id="114"/>
      <w:bookmarkStart w:id="115" w:name="_Toc184313295"/>
      <w:bookmarkEnd w:id="115"/>
      <w:bookmarkStart w:id="116" w:name="_Toc184312091"/>
      <w:bookmarkEnd w:id="116"/>
      <w:bookmarkStart w:id="117" w:name="_Toc184314461"/>
      <w:bookmarkEnd w:id="117"/>
      <w:bookmarkStart w:id="118" w:name="_Toc184310285"/>
      <w:bookmarkEnd w:id="118"/>
      <w:bookmarkStart w:id="119" w:name="_Toc184308078"/>
      <w:bookmarkEnd w:id="119"/>
      <w:bookmarkStart w:id="120" w:name="_Toc184313285"/>
      <w:bookmarkEnd w:id="120"/>
      <w:bookmarkStart w:id="121" w:name="_Toc184310331"/>
      <w:bookmarkEnd w:id="121"/>
      <w:bookmarkStart w:id="122" w:name="_Toc184314473"/>
      <w:bookmarkEnd w:id="122"/>
      <w:bookmarkStart w:id="123" w:name="_Toc184312107"/>
      <w:bookmarkEnd w:id="123"/>
      <w:bookmarkStart w:id="124" w:name="_Toc184313306"/>
      <w:bookmarkEnd w:id="124"/>
      <w:bookmarkStart w:id="125" w:name="_Toc184308081"/>
      <w:bookmarkEnd w:id="125"/>
      <w:bookmarkStart w:id="126" w:name="_Toc184312136"/>
      <w:bookmarkEnd w:id="126"/>
      <w:bookmarkStart w:id="127" w:name="_Toc184314454"/>
      <w:bookmarkEnd w:id="127"/>
      <w:bookmarkStart w:id="128" w:name="_Toc184314481"/>
      <w:bookmarkEnd w:id="128"/>
      <w:bookmarkStart w:id="129" w:name="_Toc184310296"/>
      <w:bookmarkEnd w:id="129"/>
      <w:bookmarkStart w:id="130" w:name="_Toc184310292"/>
      <w:bookmarkEnd w:id="130"/>
      <w:bookmarkStart w:id="131" w:name="_Toc184310276"/>
      <w:bookmarkEnd w:id="131"/>
      <w:bookmarkStart w:id="132" w:name="_Toc184314437"/>
      <w:bookmarkEnd w:id="132"/>
      <w:bookmarkStart w:id="133" w:name="_Toc184313276"/>
      <w:bookmarkEnd w:id="133"/>
      <w:bookmarkStart w:id="134" w:name="_Toc184313310"/>
      <w:bookmarkEnd w:id="134"/>
      <w:bookmarkStart w:id="135" w:name="_Toc184310307"/>
      <w:bookmarkEnd w:id="135"/>
      <w:bookmarkStart w:id="136" w:name="_Toc184312113"/>
      <w:bookmarkEnd w:id="136"/>
      <w:bookmarkStart w:id="137" w:name="_Toc184312128"/>
      <w:bookmarkEnd w:id="137"/>
      <w:bookmarkStart w:id="138" w:name="_Toc184310310"/>
      <w:bookmarkEnd w:id="138"/>
      <w:bookmarkStart w:id="139" w:name="_Toc184314445"/>
      <w:bookmarkEnd w:id="139"/>
      <w:bookmarkStart w:id="140" w:name="_Toc184310336"/>
      <w:bookmarkEnd w:id="140"/>
      <w:bookmarkStart w:id="141" w:name="_Toc184314458"/>
      <w:bookmarkEnd w:id="141"/>
      <w:bookmarkStart w:id="142" w:name="_Toc184310319"/>
      <w:bookmarkEnd w:id="142"/>
      <w:bookmarkStart w:id="143" w:name="_Toc184308037"/>
      <w:bookmarkEnd w:id="143"/>
      <w:bookmarkStart w:id="144" w:name="_Toc184314479"/>
      <w:bookmarkEnd w:id="144"/>
      <w:bookmarkStart w:id="145" w:name="_Toc184314480"/>
      <w:bookmarkEnd w:id="145"/>
      <w:bookmarkStart w:id="146" w:name="_Toc184312087"/>
      <w:bookmarkEnd w:id="146"/>
      <w:bookmarkStart w:id="147" w:name="_Toc184310318"/>
      <w:bookmarkEnd w:id="147"/>
      <w:bookmarkStart w:id="148" w:name="_Toc184314460"/>
      <w:bookmarkEnd w:id="148"/>
      <w:bookmarkStart w:id="149" w:name="_Toc184314432"/>
      <w:bookmarkEnd w:id="149"/>
      <w:bookmarkStart w:id="150" w:name="_Toc184313292"/>
      <w:bookmarkEnd w:id="150"/>
      <w:bookmarkStart w:id="151" w:name="_Toc184312073"/>
      <w:bookmarkEnd w:id="151"/>
      <w:bookmarkStart w:id="152" w:name="_Toc184308068"/>
      <w:bookmarkEnd w:id="152"/>
      <w:bookmarkStart w:id="153" w:name="_Toc184314420"/>
      <w:bookmarkEnd w:id="153"/>
      <w:bookmarkStart w:id="154" w:name="_Toc184313287"/>
      <w:bookmarkEnd w:id="154"/>
      <w:bookmarkStart w:id="155" w:name="_Toc184308088"/>
      <w:bookmarkEnd w:id="155"/>
      <w:bookmarkStart w:id="156" w:name="_Toc184308047"/>
      <w:bookmarkEnd w:id="156"/>
      <w:bookmarkStart w:id="157" w:name="_Toc184308058"/>
      <w:bookmarkEnd w:id="157"/>
      <w:bookmarkStart w:id="158" w:name="_Toc184312127"/>
      <w:bookmarkEnd w:id="158"/>
      <w:bookmarkStart w:id="159" w:name="_Toc184314443"/>
      <w:bookmarkEnd w:id="159"/>
      <w:bookmarkStart w:id="160" w:name="_Toc184310334"/>
      <w:bookmarkEnd w:id="160"/>
      <w:bookmarkStart w:id="161" w:name="_Toc184310325"/>
      <w:bookmarkEnd w:id="161"/>
      <w:bookmarkStart w:id="162" w:name="_Toc184313238"/>
      <w:bookmarkEnd w:id="162"/>
      <w:bookmarkStart w:id="163" w:name="_Toc184312109"/>
      <w:bookmarkEnd w:id="163"/>
      <w:bookmarkStart w:id="164" w:name="_Toc184312097"/>
      <w:bookmarkEnd w:id="164"/>
      <w:bookmarkStart w:id="165" w:name="_Toc184312072"/>
      <w:bookmarkEnd w:id="165"/>
      <w:bookmarkStart w:id="166" w:name="_Toc184308106"/>
      <w:bookmarkEnd w:id="166"/>
      <w:bookmarkStart w:id="167" w:name="_Toc184314456"/>
      <w:bookmarkEnd w:id="167"/>
      <w:bookmarkStart w:id="168" w:name="_Toc184312076"/>
      <w:bookmarkEnd w:id="168"/>
      <w:bookmarkStart w:id="169" w:name="_Toc184312071"/>
      <w:bookmarkEnd w:id="169"/>
      <w:bookmarkStart w:id="170" w:name="_Toc184312088"/>
      <w:bookmarkEnd w:id="170"/>
      <w:bookmarkStart w:id="171" w:name="_Toc184312101"/>
      <w:bookmarkEnd w:id="171"/>
      <w:bookmarkStart w:id="172" w:name="_Toc184314471"/>
      <w:bookmarkEnd w:id="172"/>
      <w:bookmarkStart w:id="173" w:name="_Toc184312084"/>
      <w:bookmarkEnd w:id="173"/>
      <w:bookmarkStart w:id="174" w:name="_Toc184313242"/>
      <w:bookmarkEnd w:id="174"/>
      <w:bookmarkStart w:id="175" w:name="_Toc184310330"/>
      <w:bookmarkEnd w:id="175"/>
      <w:bookmarkStart w:id="176" w:name="_Toc184314436"/>
      <w:bookmarkEnd w:id="176"/>
      <w:bookmarkStart w:id="177" w:name="_Toc184310314"/>
      <w:bookmarkEnd w:id="177"/>
      <w:bookmarkStart w:id="178" w:name="_Toc184312086"/>
      <w:bookmarkEnd w:id="178"/>
      <w:bookmarkStart w:id="179" w:name="_Toc184308045"/>
      <w:bookmarkEnd w:id="179"/>
      <w:bookmarkStart w:id="180" w:name="_Toc184312116"/>
      <w:bookmarkEnd w:id="180"/>
      <w:bookmarkStart w:id="181" w:name="_Toc184310298"/>
      <w:bookmarkEnd w:id="181"/>
      <w:bookmarkStart w:id="182" w:name="_Toc184313268"/>
      <w:bookmarkEnd w:id="182"/>
      <w:bookmarkStart w:id="183" w:name="_Toc184308057"/>
      <w:bookmarkEnd w:id="183"/>
      <w:bookmarkStart w:id="184" w:name="_Toc184313251"/>
      <w:bookmarkEnd w:id="184"/>
      <w:bookmarkStart w:id="185" w:name="_Toc184308096"/>
      <w:bookmarkEnd w:id="185"/>
      <w:bookmarkStart w:id="186" w:name="_Toc184308098"/>
      <w:bookmarkEnd w:id="186"/>
      <w:bookmarkStart w:id="187" w:name="_Toc184314441"/>
      <w:bookmarkEnd w:id="187"/>
      <w:bookmarkStart w:id="188" w:name="_Toc184313258"/>
      <w:bookmarkEnd w:id="188"/>
      <w:bookmarkStart w:id="189" w:name="_Toc184310306"/>
      <w:bookmarkEnd w:id="189"/>
      <w:bookmarkStart w:id="190" w:name="_Toc184308093"/>
      <w:bookmarkEnd w:id="190"/>
      <w:bookmarkStart w:id="191" w:name="_Toc184308075"/>
      <w:bookmarkEnd w:id="191"/>
      <w:bookmarkStart w:id="192" w:name="_Toc184313278"/>
      <w:bookmarkEnd w:id="192"/>
      <w:bookmarkStart w:id="193" w:name="_Toc184308071"/>
      <w:bookmarkEnd w:id="193"/>
      <w:bookmarkStart w:id="194" w:name="_Toc184312124"/>
      <w:bookmarkEnd w:id="194"/>
      <w:bookmarkStart w:id="195" w:name="_Toc184314482"/>
      <w:bookmarkEnd w:id="195"/>
      <w:bookmarkStart w:id="196" w:name="_Toc184308049"/>
      <w:bookmarkEnd w:id="196"/>
      <w:bookmarkStart w:id="197" w:name="_Toc184313303"/>
      <w:bookmarkEnd w:id="197"/>
      <w:bookmarkStart w:id="198" w:name="_Toc184310324"/>
      <w:bookmarkEnd w:id="198"/>
      <w:bookmarkStart w:id="199" w:name="_Toc184313284"/>
      <w:bookmarkEnd w:id="199"/>
      <w:bookmarkStart w:id="200" w:name="_Toc184308091"/>
      <w:bookmarkEnd w:id="200"/>
      <w:bookmarkStart w:id="201" w:name="_Toc184308063"/>
      <w:bookmarkEnd w:id="201"/>
      <w:bookmarkStart w:id="202" w:name="_Toc184312083"/>
      <w:bookmarkEnd w:id="202"/>
      <w:bookmarkStart w:id="203" w:name="_Toc184310275"/>
      <w:bookmarkEnd w:id="203"/>
      <w:bookmarkStart w:id="204" w:name="_Toc184308074"/>
      <w:bookmarkEnd w:id="204"/>
      <w:bookmarkStart w:id="205" w:name="_Toc184308036"/>
      <w:bookmarkEnd w:id="205"/>
      <w:bookmarkStart w:id="206" w:name="_Toc184310299"/>
      <w:bookmarkEnd w:id="206"/>
      <w:bookmarkStart w:id="207" w:name="_Toc184308069"/>
      <w:bookmarkEnd w:id="207"/>
      <w:bookmarkStart w:id="208" w:name="_Toc184310300"/>
      <w:bookmarkEnd w:id="208"/>
      <w:bookmarkStart w:id="209" w:name="_Toc184313286"/>
      <w:bookmarkEnd w:id="209"/>
      <w:bookmarkStart w:id="210" w:name="_Toc184308066"/>
      <w:bookmarkEnd w:id="210"/>
      <w:bookmarkStart w:id="211" w:name="_Toc184310340"/>
      <w:bookmarkEnd w:id="211"/>
      <w:bookmarkStart w:id="212" w:name="_Toc184310309"/>
      <w:bookmarkEnd w:id="212"/>
      <w:bookmarkStart w:id="213" w:name="_Toc184308100"/>
      <w:bookmarkEnd w:id="213"/>
      <w:bookmarkStart w:id="214" w:name="_Toc184312123"/>
      <w:bookmarkEnd w:id="214"/>
      <w:bookmarkStart w:id="215" w:name="_Toc184310295"/>
      <w:bookmarkEnd w:id="215"/>
      <w:bookmarkStart w:id="216" w:name="_Toc184314467"/>
      <w:bookmarkEnd w:id="216"/>
      <w:bookmarkStart w:id="217" w:name="_Toc184314450"/>
      <w:bookmarkEnd w:id="217"/>
      <w:bookmarkStart w:id="218" w:name="_Toc184313288"/>
      <w:bookmarkEnd w:id="218"/>
      <w:bookmarkStart w:id="219" w:name="_Toc184310332"/>
      <w:bookmarkEnd w:id="219"/>
      <w:bookmarkStart w:id="220" w:name="_Toc184313265"/>
      <w:bookmarkEnd w:id="220"/>
      <w:bookmarkStart w:id="221" w:name="_Toc184314412"/>
      <w:bookmarkEnd w:id="221"/>
      <w:bookmarkStart w:id="222" w:name="_Toc184314416"/>
      <w:bookmarkEnd w:id="222"/>
      <w:bookmarkStart w:id="223" w:name="_Toc184312115"/>
      <w:bookmarkEnd w:id="223"/>
      <w:bookmarkStart w:id="224" w:name="_Toc184312069"/>
      <w:bookmarkEnd w:id="224"/>
      <w:bookmarkStart w:id="225" w:name="_Toc184313304"/>
      <w:bookmarkEnd w:id="225"/>
      <w:bookmarkStart w:id="226" w:name="_Toc184312106"/>
      <w:bookmarkEnd w:id="226"/>
      <w:bookmarkStart w:id="227" w:name="_Toc184313280"/>
      <w:bookmarkEnd w:id="227"/>
      <w:bookmarkStart w:id="228" w:name="_Toc184310308"/>
      <w:bookmarkEnd w:id="228"/>
      <w:bookmarkStart w:id="229" w:name="_Toc184312130"/>
      <w:bookmarkEnd w:id="229"/>
      <w:bookmarkStart w:id="230" w:name="_Toc184313260"/>
      <w:bookmarkEnd w:id="230"/>
      <w:bookmarkStart w:id="231" w:name="_Toc184313259"/>
      <w:bookmarkEnd w:id="231"/>
      <w:bookmarkStart w:id="232" w:name="_Toc184313308"/>
      <w:bookmarkEnd w:id="232"/>
      <w:bookmarkStart w:id="233" w:name="_Toc184312099"/>
      <w:bookmarkEnd w:id="233"/>
      <w:bookmarkStart w:id="234" w:name="_Toc184313281"/>
      <w:bookmarkEnd w:id="234"/>
      <w:bookmarkStart w:id="235" w:name="_Toc184312081"/>
      <w:bookmarkEnd w:id="235"/>
      <w:bookmarkStart w:id="236" w:name="_Toc184314468"/>
      <w:bookmarkEnd w:id="236"/>
      <w:bookmarkStart w:id="237" w:name="_Toc184308102"/>
      <w:bookmarkEnd w:id="237"/>
      <w:bookmarkStart w:id="238" w:name="_Toc184310289"/>
      <w:bookmarkEnd w:id="238"/>
      <w:bookmarkStart w:id="239" w:name="_Toc184314417"/>
      <w:bookmarkEnd w:id="239"/>
      <w:bookmarkStart w:id="240" w:name="_Toc184313253"/>
      <w:bookmarkEnd w:id="240"/>
      <w:bookmarkStart w:id="241" w:name="_Toc184308061"/>
      <w:bookmarkEnd w:id="241"/>
      <w:bookmarkStart w:id="242" w:name="_Toc184310290"/>
      <w:bookmarkEnd w:id="242"/>
      <w:bookmarkStart w:id="243" w:name="_Toc184308051"/>
      <w:bookmarkEnd w:id="243"/>
      <w:bookmarkStart w:id="244" w:name="_Toc184314435"/>
      <w:bookmarkEnd w:id="244"/>
      <w:bookmarkStart w:id="245" w:name="_Toc184312125"/>
      <w:bookmarkEnd w:id="245"/>
      <w:bookmarkStart w:id="246" w:name="_Toc184313299"/>
      <w:bookmarkEnd w:id="246"/>
      <w:bookmarkStart w:id="247" w:name="_Toc184308064"/>
      <w:bookmarkEnd w:id="247"/>
      <w:bookmarkStart w:id="248" w:name="_Toc184310286"/>
      <w:bookmarkEnd w:id="248"/>
      <w:bookmarkStart w:id="249" w:name="_Toc184308103"/>
      <w:bookmarkEnd w:id="249"/>
      <w:bookmarkStart w:id="250" w:name="_Toc184310337"/>
      <w:bookmarkEnd w:id="250"/>
      <w:bookmarkStart w:id="251" w:name="_Toc184308070"/>
      <w:bookmarkEnd w:id="251"/>
      <w:bookmarkStart w:id="252" w:name="_Toc184308072"/>
      <w:bookmarkEnd w:id="252"/>
      <w:bookmarkStart w:id="253" w:name="_Toc184314440"/>
      <w:bookmarkEnd w:id="253"/>
      <w:bookmarkStart w:id="254" w:name="_Toc184314431"/>
      <w:bookmarkEnd w:id="254"/>
      <w:bookmarkStart w:id="255" w:name="_Toc184313274"/>
      <w:bookmarkEnd w:id="255"/>
      <w:bookmarkStart w:id="256" w:name="_Toc184313272"/>
      <w:bookmarkEnd w:id="256"/>
      <w:bookmarkStart w:id="257" w:name="_Toc184314478"/>
      <w:bookmarkEnd w:id="257"/>
      <w:bookmarkStart w:id="258" w:name="_Toc184312131"/>
      <w:bookmarkEnd w:id="258"/>
      <w:bookmarkStart w:id="259" w:name="_Toc184308094"/>
      <w:bookmarkEnd w:id="259"/>
      <w:bookmarkStart w:id="260" w:name="_Toc184310342"/>
      <w:bookmarkEnd w:id="260"/>
      <w:bookmarkStart w:id="261" w:name="_Toc184313261"/>
      <w:bookmarkEnd w:id="261"/>
      <w:bookmarkStart w:id="262" w:name="_Toc184312089"/>
      <w:bookmarkEnd w:id="262"/>
      <w:bookmarkStart w:id="263" w:name="_Toc184312070"/>
      <w:bookmarkEnd w:id="263"/>
      <w:bookmarkStart w:id="264" w:name="_Toc184313240"/>
      <w:bookmarkEnd w:id="264"/>
      <w:bookmarkStart w:id="265" w:name="_Toc184314428"/>
      <w:bookmarkEnd w:id="265"/>
      <w:bookmarkStart w:id="266" w:name="_Toc184308056"/>
      <w:bookmarkEnd w:id="266"/>
      <w:bookmarkStart w:id="267" w:name="_Toc184310288"/>
      <w:bookmarkEnd w:id="267"/>
      <w:bookmarkStart w:id="268" w:name="_Toc184308041"/>
      <w:bookmarkEnd w:id="268"/>
      <w:bookmarkStart w:id="269" w:name="_Toc184312108"/>
      <w:bookmarkEnd w:id="269"/>
      <w:bookmarkStart w:id="270" w:name="_Toc184310322"/>
      <w:bookmarkEnd w:id="270"/>
      <w:bookmarkStart w:id="271" w:name="_Toc184308060"/>
      <w:bookmarkEnd w:id="271"/>
      <w:bookmarkStart w:id="272" w:name="_Toc184308065"/>
      <w:bookmarkEnd w:id="272"/>
      <w:bookmarkStart w:id="273" w:name="_Toc184312080"/>
      <w:bookmarkEnd w:id="273"/>
      <w:bookmarkStart w:id="274" w:name="_Toc184308055"/>
      <w:bookmarkEnd w:id="274"/>
      <w:bookmarkStart w:id="275" w:name="_Toc184314433"/>
      <w:bookmarkEnd w:id="275"/>
      <w:bookmarkStart w:id="276" w:name="_Toc184314453"/>
      <w:bookmarkEnd w:id="276"/>
      <w:bookmarkStart w:id="277" w:name="_Toc184313283"/>
      <w:bookmarkEnd w:id="277"/>
      <w:bookmarkStart w:id="278" w:name="_Toc184312134"/>
      <w:bookmarkEnd w:id="278"/>
      <w:bookmarkStart w:id="279" w:name="_Toc184314447"/>
      <w:bookmarkEnd w:id="279"/>
      <w:bookmarkStart w:id="280" w:name="_Toc184313271"/>
      <w:bookmarkEnd w:id="280"/>
      <w:bookmarkStart w:id="281" w:name="_Toc184313273"/>
      <w:bookmarkEnd w:id="281"/>
      <w:bookmarkStart w:id="282" w:name="_Toc184312133"/>
      <w:bookmarkEnd w:id="282"/>
      <w:bookmarkStart w:id="283" w:name="_Toc184308089"/>
      <w:bookmarkEnd w:id="283"/>
      <w:bookmarkStart w:id="284" w:name="_Toc184314470"/>
      <w:bookmarkEnd w:id="284"/>
      <w:bookmarkStart w:id="285" w:name="_Toc184312105"/>
      <w:bookmarkEnd w:id="285"/>
      <w:bookmarkStart w:id="286" w:name="_Toc184310315"/>
      <w:bookmarkEnd w:id="286"/>
      <w:bookmarkStart w:id="287" w:name="_Toc184314424"/>
      <w:bookmarkEnd w:id="287"/>
      <w:bookmarkStart w:id="288" w:name="_Toc184312067"/>
      <w:bookmarkEnd w:id="288"/>
      <w:bookmarkStart w:id="289" w:name="_Toc184313257"/>
      <w:bookmarkEnd w:id="289"/>
      <w:bookmarkStart w:id="290" w:name="_Toc184308053"/>
      <w:bookmarkEnd w:id="290"/>
      <w:bookmarkStart w:id="291" w:name="_Toc184313247"/>
      <w:bookmarkEnd w:id="291"/>
      <w:bookmarkStart w:id="292" w:name="_Toc184312095"/>
      <w:bookmarkEnd w:id="292"/>
      <w:bookmarkStart w:id="293" w:name="_Toc184314438"/>
      <w:bookmarkEnd w:id="293"/>
      <w:bookmarkStart w:id="294" w:name="_Toc184310279"/>
      <w:bookmarkEnd w:id="294"/>
      <w:bookmarkStart w:id="295" w:name="_Toc184310293"/>
      <w:bookmarkEnd w:id="295"/>
      <w:bookmarkStart w:id="296" w:name="_Toc184313252"/>
      <w:bookmarkEnd w:id="296"/>
      <w:bookmarkStart w:id="297" w:name="_Toc184308080"/>
      <w:bookmarkEnd w:id="297"/>
      <w:bookmarkStart w:id="298" w:name="_Toc184313245"/>
      <w:bookmarkEnd w:id="298"/>
      <w:bookmarkStart w:id="299" w:name="_Toc184310317"/>
      <w:bookmarkEnd w:id="299"/>
      <w:bookmarkStart w:id="300" w:name="_Toc184310280"/>
      <w:bookmarkEnd w:id="300"/>
      <w:bookmarkStart w:id="301" w:name="_Toc184314455"/>
      <w:bookmarkEnd w:id="301"/>
      <w:bookmarkStart w:id="302" w:name="_Toc184308092"/>
      <w:bookmarkEnd w:id="302"/>
      <w:bookmarkStart w:id="303" w:name="_Toc184308046"/>
      <w:bookmarkEnd w:id="303"/>
      <w:bookmarkStart w:id="304" w:name="_Toc184313255"/>
      <w:bookmarkEnd w:id="304"/>
      <w:bookmarkStart w:id="305" w:name="_Toc184310291"/>
      <w:bookmarkEnd w:id="305"/>
      <w:bookmarkStart w:id="306" w:name="_Toc184312126"/>
      <w:bookmarkEnd w:id="306"/>
      <w:bookmarkStart w:id="307" w:name="_Toc184312120"/>
      <w:bookmarkEnd w:id="307"/>
      <w:bookmarkStart w:id="308" w:name="_Toc184310344"/>
      <w:bookmarkEnd w:id="308"/>
      <w:bookmarkStart w:id="309" w:name="_Toc184314466"/>
      <w:bookmarkEnd w:id="309"/>
      <w:bookmarkStart w:id="310" w:name="_Toc184312114"/>
      <w:bookmarkEnd w:id="310"/>
      <w:bookmarkStart w:id="311" w:name="_Toc184313241"/>
      <w:bookmarkEnd w:id="311"/>
      <w:bookmarkStart w:id="312" w:name="_Toc184313296"/>
      <w:bookmarkEnd w:id="312"/>
      <w:bookmarkStart w:id="313" w:name="_Toc184312138"/>
      <w:bookmarkEnd w:id="313"/>
      <w:bookmarkStart w:id="314" w:name="_Toc184314475"/>
      <w:bookmarkEnd w:id="314"/>
      <w:bookmarkStart w:id="315" w:name="_Toc184312139"/>
      <w:bookmarkEnd w:id="315"/>
      <w:bookmarkStart w:id="316" w:name="_Toc184312092"/>
      <w:bookmarkEnd w:id="316"/>
      <w:bookmarkStart w:id="317" w:name="_Toc184314414"/>
      <w:bookmarkEnd w:id="317"/>
      <w:bookmarkStart w:id="318" w:name="_Toc184314457"/>
      <w:bookmarkEnd w:id="318"/>
      <w:bookmarkStart w:id="319" w:name="_Toc184312132"/>
      <w:bookmarkEnd w:id="319"/>
      <w:bookmarkStart w:id="320" w:name="_Toc184313298"/>
      <w:bookmarkEnd w:id="320"/>
      <w:bookmarkStart w:id="321" w:name="_Toc184314426"/>
      <w:bookmarkEnd w:id="321"/>
      <w:bookmarkStart w:id="322" w:name="_Toc184314451"/>
      <w:bookmarkEnd w:id="322"/>
      <w:bookmarkStart w:id="323" w:name="_Toc184310311"/>
      <w:bookmarkEnd w:id="323"/>
      <w:bookmarkStart w:id="324" w:name="_Toc184312079"/>
      <w:bookmarkEnd w:id="324"/>
      <w:bookmarkStart w:id="325" w:name="_Toc184314464"/>
      <w:bookmarkEnd w:id="325"/>
      <w:bookmarkStart w:id="326" w:name="_Toc184312103"/>
      <w:bookmarkEnd w:id="326"/>
      <w:bookmarkStart w:id="327" w:name="_Toc184314427"/>
      <w:bookmarkEnd w:id="327"/>
      <w:bookmarkStart w:id="328" w:name="_Toc184308040"/>
      <w:bookmarkEnd w:id="328"/>
      <w:bookmarkStart w:id="329" w:name="_Toc184310305"/>
      <w:bookmarkEnd w:id="329"/>
      <w:bookmarkStart w:id="330" w:name="_Toc184310316"/>
      <w:bookmarkEnd w:id="330"/>
      <w:bookmarkStart w:id="331" w:name="_Toc184308107"/>
      <w:bookmarkEnd w:id="331"/>
      <w:bookmarkStart w:id="332" w:name="_Toc184313263"/>
      <w:bookmarkEnd w:id="332"/>
      <w:bookmarkStart w:id="333" w:name="_Toc184314465"/>
      <w:bookmarkEnd w:id="333"/>
      <w:bookmarkStart w:id="334" w:name="_Toc184312098"/>
      <w:bookmarkEnd w:id="334"/>
      <w:bookmarkStart w:id="335" w:name="_Toc184312090"/>
      <w:bookmarkEnd w:id="335"/>
      <w:bookmarkStart w:id="336" w:name="_Toc184308095"/>
      <w:bookmarkEnd w:id="336"/>
      <w:bookmarkStart w:id="337" w:name="_Toc184310277"/>
      <w:bookmarkEnd w:id="337"/>
      <w:bookmarkStart w:id="338" w:name="_Toc184312137"/>
      <w:bookmarkEnd w:id="338"/>
      <w:bookmarkStart w:id="339" w:name="_Toc184314459"/>
      <w:bookmarkEnd w:id="339"/>
      <w:bookmarkStart w:id="340" w:name="_Toc184310282"/>
      <w:bookmarkEnd w:id="340"/>
      <w:bookmarkStart w:id="341" w:name="_Toc184312078"/>
      <w:bookmarkEnd w:id="341"/>
      <w:bookmarkStart w:id="342" w:name="_Toc184314418"/>
      <w:bookmarkEnd w:id="342"/>
      <w:bookmarkStart w:id="343" w:name="_Toc184313294"/>
      <w:bookmarkEnd w:id="343"/>
      <w:bookmarkStart w:id="344" w:name="_Toc184308052"/>
      <w:bookmarkEnd w:id="344"/>
      <w:bookmarkStart w:id="345" w:name="_Toc184314434"/>
      <w:bookmarkEnd w:id="345"/>
      <w:bookmarkStart w:id="346" w:name="_Toc184310297"/>
      <w:bookmarkEnd w:id="346"/>
      <w:bookmarkStart w:id="347" w:name="_Toc184308105"/>
      <w:bookmarkEnd w:id="347"/>
      <w:bookmarkStart w:id="348" w:name="_Toc184312121"/>
      <w:bookmarkEnd w:id="348"/>
      <w:bookmarkStart w:id="349" w:name="_Toc184314415"/>
      <w:bookmarkEnd w:id="349"/>
      <w:bookmarkStart w:id="350" w:name="_Toc184314474"/>
      <w:bookmarkEnd w:id="350"/>
      <w:bookmarkStart w:id="351" w:name="_Toc184313270"/>
      <w:bookmarkEnd w:id="351"/>
      <w:bookmarkStart w:id="352" w:name="_Toc184308054"/>
      <w:bookmarkEnd w:id="352"/>
      <w:bookmarkStart w:id="353" w:name="_Toc184313264"/>
      <w:bookmarkEnd w:id="353"/>
      <w:bookmarkStart w:id="354" w:name="_Toc184313262"/>
      <w:bookmarkEnd w:id="354"/>
      <w:bookmarkStart w:id="355" w:name="_Toc184308085"/>
      <w:bookmarkEnd w:id="355"/>
      <w:bookmarkStart w:id="356" w:name="_Toc184308099"/>
      <w:bookmarkEnd w:id="356"/>
      <w:bookmarkStart w:id="357" w:name="_Toc184308067"/>
      <w:bookmarkEnd w:id="357"/>
      <w:bookmarkStart w:id="358" w:name="_Toc184308097"/>
      <w:bookmarkEnd w:id="358"/>
      <w:bookmarkStart w:id="359" w:name="_Toc184314477"/>
      <w:bookmarkEnd w:id="359"/>
      <w:bookmarkStart w:id="360" w:name="_Toc184308084"/>
      <w:bookmarkEnd w:id="360"/>
      <w:bookmarkStart w:id="361" w:name="_Toc184310329"/>
      <w:bookmarkEnd w:id="361"/>
      <w:bookmarkStart w:id="362" w:name="_Toc184310328"/>
      <w:bookmarkEnd w:id="362"/>
      <w:bookmarkStart w:id="363" w:name="_Toc184310274"/>
      <w:bookmarkEnd w:id="363"/>
      <w:bookmarkStart w:id="364" w:name="_Toc184313282"/>
      <w:bookmarkEnd w:id="364"/>
      <w:bookmarkStart w:id="365" w:name="_Toc184313290"/>
      <w:bookmarkEnd w:id="365"/>
      <w:bookmarkStart w:id="366" w:name="_Toc184308101"/>
      <w:bookmarkEnd w:id="366"/>
      <w:bookmarkStart w:id="367" w:name="_Toc184313266"/>
      <w:bookmarkEnd w:id="367"/>
      <w:bookmarkStart w:id="368" w:name="_Toc184310326"/>
      <w:bookmarkEnd w:id="368"/>
      <w:bookmarkStart w:id="369" w:name="_Toc184310287"/>
      <w:bookmarkEnd w:id="369"/>
      <w:bookmarkStart w:id="370" w:name="_Toc184310272"/>
      <w:bookmarkEnd w:id="370"/>
      <w:bookmarkStart w:id="371" w:name="_Toc184313250"/>
      <w:bookmarkEnd w:id="371"/>
      <w:bookmarkStart w:id="372" w:name="_Toc184312068"/>
      <w:bookmarkEnd w:id="372"/>
      <w:bookmarkStart w:id="373" w:name="_Toc184308104"/>
      <w:bookmarkEnd w:id="373"/>
      <w:bookmarkStart w:id="374" w:name="_Toc184310339"/>
      <w:bookmarkEnd w:id="374"/>
      <w:bookmarkStart w:id="375" w:name="_Toc184312135"/>
      <w:bookmarkEnd w:id="375"/>
      <w:bookmarkStart w:id="376" w:name="_Toc184312117"/>
      <w:bookmarkEnd w:id="376"/>
      <w:bookmarkStart w:id="377" w:name="_Toc184312096"/>
      <w:bookmarkEnd w:id="377"/>
      <w:bookmarkStart w:id="378" w:name="_Toc184313239"/>
      <w:bookmarkEnd w:id="378"/>
      <w:bookmarkStart w:id="379" w:name="_Toc184310303"/>
      <w:bookmarkEnd w:id="379"/>
      <w:bookmarkStart w:id="380" w:name="_Toc184308079"/>
      <w:bookmarkEnd w:id="380"/>
      <w:bookmarkStart w:id="381" w:name="_Toc184313275"/>
      <w:bookmarkEnd w:id="381"/>
      <w:bookmarkStart w:id="382" w:name="_Toc184312075"/>
      <w:bookmarkEnd w:id="382"/>
      <w:bookmarkStart w:id="383" w:name="_Toc184314448"/>
      <w:bookmarkEnd w:id="383"/>
      <w:bookmarkStart w:id="384" w:name="_Toc184314429"/>
      <w:bookmarkEnd w:id="384"/>
      <w:bookmarkStart w:id="385" w:name="_Toc184308039"/>
      <w:bookmarkEnd w:id="385"/>
      <w:bookmarkStart w:id="386" w:name="_Toc184312094"/>
      <w:bookmarkEnd w:id="386"/>
      <w:bookmarkStart w:id="387" w:name="_Toc184314469"/>
      <w:bookmarkEnd w:id="387"/>
      <w:bookmarkStart w:id="388" w:name="_Toc184310281"/>
      <w:bookmarkEnd w:id="388"/>
      <w:bookmarkStart w:id="389" w:name="_Toc184313256"/>
      <w:bookmarkEnd w:id="389"/>
      <w:bookmarkStart w:id="390" w:name="_Toc184313305"/>
      <w:bookmarkEnd w:id="390"/>
      <w:bookmarkStart w:id="391" w:name="_Toc184313269"/>
      <w:bookmarkEnd w:id="391"/>
      <w:bookmarkStart w:id="392" w:name="_Toc184312085"/>
      <w:bookmarkEnd w:id="392"/>
      <w:r>
        <w:rPr>
          <w:rFonts w:hint="eastAsia" w:ascii="宋体" w:hAnsi="宋体" w:eastAsia="宋体" w:cs="宋体"/>
          <w:b/>
          <w:sz w:val="36"/>
          <w:szCs w:val="36"/>
        </w:rPr>
        <w:t>评标办法</w:t>
      </w:r>
    </w:p>
    <w:p>
      <w:pPr>
        <w:jc w:val="center"/>
        <w:rPr>
          <w:rFonts w:hint="eastAsia" w:ascii="宋体" w:hAnsi="宋体" w:eastAsia="宋体" w:cs="宋体"/>
          <w:b/>
          <w:sz w:val="32"/>
          <w:szCs w:val="32"/>
        </w:rPr>
      </w:pPr>
      <w:r>
        <w:rPr>
          <w:rFonts w:hint="eastAsia" w:ascii="宋体" w:hAnsi="宋体" w:eastAsia="宋体" w:cs="宋体"/>
          <w:b/>
          <w:sz w:val="32"/>
          <w:szCs w:val="32"/>
        </w:rPr>
        <w:t>评标办法前附表</w:t>
      </w:r>
    </w:p>
    <w:p>
      <w:pPr>
        <w:pStyle w:val="24"/>
        <w:rPr>
          <w:rFonts w:hint="eastAsia"/>
        </w:rPr>
      </w:pPr>
    </w:p>
    <w:tbl>
      <w:tblPr>
        <w:tblStyle w:val="63"/>
        <w:tblW w:w="9047"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4755"/>
        <w:gridCol w:w="660"/>
        <w:gridCol w:w="1200"/>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4755" w:type="dxa"/>
            <w:vAlign w:val="center"/>
          </w:tcPr>
          <w:p>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评标标准</w:t>
            </w:r>
          </w:p>
        </w:tc>
        <w:tc>
          <w:tcPr>
            <w:tcW w:w="660" w:type="dxa"/>
            <w:vAlign w:val="center"/>
          </w:tcPr>
          <w:p>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权重</w:t>
            </w:r>
          </w:p>
        </w:tc>
        <w:tc>
          <w:tcPr>
            <w:tcW w:w="1200" w:type="dxa"/>
            <w:vAlign w:val="center"/>
          </w:tcPr>
          <w:p>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主观分/客观分属性</w:t>
            </w:r>
          </w:p>
        </w:tc>
        <w:tc>
          <w:tcPr>
            <w:tcW w:w="1772" w:type="dxa"/>
          </w:tcPr>
          <w:p>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660" w:type="dxa"/>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4755" w:type="dxa"/>
            <w:vAlign w:val="center"/>
          </w:tcPr>
          <w:p>
            <w:pPr>
              <w:pStyle w:val="34"/>
              <w:snapToGrid w:val="0"/>
              <w:spacing w:line="3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供应商具有有效的质量管理体系认证的得1分，环境管理体系认证的得1分，职业健康管理体系认证的得1分，诚信管理体系认证的得1分。</w:t>
            </w:r>
            <w:r>
              <w:rPr>
                <w:rFonts w:hint="eastAsia" w:ascii="宋体" w:hAnsi="宋体" w:eastAsia="宋体" w:cs="宋体"/>
                <w:b/>
                <w:bCs/>
                <w:sz w:val="21"/>
                <w:szCs w:val="21"/>
              </w:rPr>
              <w:t>投标文件中应提供证明材料复印件，投标文件中未提供证明材料复印件不得分。</w:t>
            </w:r>
          </w:p>
        </w:tc>
        <w:tc>
          <w:tcPr>
            <w:tcW w:w="660" w:type="dxa"/>
            <w:vAlign w:val="center"/>
          </w:tcPr>
          <w:p>
            <w:pPr>
              <w:pStyle w:val="638"/>
              <w:widowControl w:val="0"/>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0-4</w:t>
            </w:r>
          </w:p>
        </w:tc>
        <w:tc>
          <w:tcPr>
            <w:tcW w:w="1200" w:type="dxa"/>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客观分</w:t>
            </w:r>
          </w:p>
        </w:tc>
        <w:tc>
          <w:tcPr>
            <w:tcW w:w="1772" w:type="dxa"/>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660" w:type="dxa"/>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4755" w:type="dxa"/>
            <w:vAlign w:val="center"/>
          </w:tcPr>
          <w:p>
            <w:pPr>
              <w:pStyle w:val="34"/>
              <w:snapToGrid w:val="0"/>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投标人自2020年1月1日以来（提供合同为准），投标人具有承担公共建筑类似物业管理项目的，每个合同得</w:t>
            </w:r>
            <w:r>
              <w:rPr>
                <w:rFonts w:hint="eastAsia" w:hAnsi="宋体" w:cs="宋体"/>
                <w:sz w:val="21"/>
                <w:szCs w:val="21"/>
                <w:highlight w:val="none"/>
                <w:lang w:val="en-US" w:eastAsia="zh-CN"/>
              </w:rPr>
              <w:t>0.5</w:t>
            </w:r>
            <w:r>
              <w:rPr>
                <w:rFonts w:hint="eastAsia" w:ascii="宋体" w:hAnsi="宋体" w:eastAsia="宋体" w:cs="宋体"/>
                <w:sz w:val="21"/>
                <w:szCs w:val="21"/>
                <w:highlight w:val="none"/>
              </w:rPr>
              <w:t>分。本项最高得</w:t>
            </w:r>
            <w:r>
              <w:rPr>
                <w:rFonts w:hint="eastAsia" w:hAnsi="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b/>
                <w:bCs/>
                <w:sz w:val="21"/>
                <w:szCs w:val="21"/>
                <w:highlight w:val="none"/>
              </w:rPr>
              <w:t>投标文件中应提供合同复印件。</w:t>
            </w:r>
          </w:p>
        </w:tc>
        <w:tc>
          <w:tcPr>
            <w:tcW w:w="660" w:type="dxa"/>
            <w:vAlign w:val="center"/>
          </w:tcPr>
          <w:p>
            <w:pPr>
              <w:pStyle w:val="638"/>
              <w:widowControl w:val="0"/>
              <w:ind w:firstLine="0" w:firstLineChars="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0-</w:t>
            </w:r>
            <w:r>
              <w:rPr>
                <w:rFonts w:hint="eastAsia" w:hAnsi="宋体" w:cs="宋体"/>
                <w:color w:val="000000" w:themeColor="text1"/>
                <w:kern w:val="2"/>
                <w:sz w:val="21"/>
                <w:szCs w:val="21"/>
                <w:highlight w:val="none"/>
                <w:lang w:val="en-US" w:eastAsia="zh-CN"/>
                <w14:textFill>
                  <w14:solidFill>
                    <w14:schemeClr w14:val="tx1"/>
                  </w14:solidFill>
                </w14:textFill>
              </w:rPr>
              <w:t>1</w:t>
            </w:r>
          </w:p>
        </w:tc>
        <w:tc>
          <w:tcPr>
            <w:tcW w:w="1200" w:type="dxa"/>
            <w:vAlign w:val="center"/>
          </w:tcPr>
          <w:p>
            <w:pPr>
              <w:spacing w:line="360" w:lineRule="auto"/>
              <w:jc w:val="center"/>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客观分</w:t>
            </w:r>
          </w:p>
        </w:tc>
        <w:tc>
          <w:tcPr>
            <w:tcW w:w="1772" w:type="dxa"/>
            <w:vAlign w:val="center"/>
          </w:tcPr>
          <w:p>
            <w:pPr>
              <w:spacing w:line="360" w:lineRule="auto"/>
              <w:jc w:val="center"/>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660" w:type="dxa"/>
            <w:vAlign w:val="center"/>
          </w:tcPr>
          <w:p>
            <w:pPr>
              <w:spacing w:line="360" w:lineRule="auto"/>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c>
          <w:tcPr>
            <w:tcW w:w="4755" w:type="dxa"/>
            <w:vAlign w:val="center"/>
          </w:tcPr>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snapToGrid w:val="0"/>
                <w:kern w:val="2"/>
                <w:sz w:val="21"/>
                <w:szCs w:val="21"/>
                <w:highlight w:val="none"/>
                <w:lang w:val="en-US" w:eastAsia="zh-CN" w:bidi="ar-SA"/>
              </w:rPr>
              <w:t>投标人202</w:t>
            </w:r>
            <w:r>
              <w:rPr>
                <w:rFonts w:hint="eastAsia" w:ascii="宋体" w:hAnsi="宋体" w:cs="宋体"/>
                <w:snapToGrid w:val="0"/>
                <w:kern w:val="2"/>
                <w:sz w:val="21"/>
                <w:szCs w:val="21"/>
                <w:highlight w:val="none"/>
                <w:lang w:val="en-US" w:eastAsia="zh-CN" w:bidi="ar-SA"/>
              </w:rPr>
              <w:t>0</w:t>
            </w:r>
            <w:r>
              <w:rPr>
                <w:rFonts w:hint="eastAsia" w:ascii="宋体" w:hAnsi="宋体" w:eastAsia="宋体" w:cs="宋体"/>
                <w:snapToGrid w:val="0"/>
                <w:kern w:val="2"/>
                <w:sz w:val="21"/>
                <w:szCs w:val="21"/>
                <w:highlight w:val="none"/>
                <w:lang w:val="en-US" w:eastAsia="zh-CN" w:bidi="ar-SA"/>
              </w:rPr>
              <w:t>年1月1日以来服务管理服务项目获得市级及以上物业管理优秀的荣誉，每</w:t>
            </w:r>
            <w:r>
              <w:rPr>
                <w:rFonts w:hint="eastAsia" w:ascii="宋体" w:hAnsi="宋体" w:cs="宋体"/>
                <w:snapToGrid w:val="0"/>
                <w:kern w:val="2"/>
                <w:sz w:val="21"/>
                <w:szCs w:val="21"/>
                <w:highlight w:val="none"/>
                <w:lang w:val="en-US" w:eastAsia="zh-CN" w:bidi="ar-SA"/>
              </w:rPr>
              <w:t>有一项</w:t>
            </w:r>
            <w:r>
              <w:rPr>
                <w:rFonts w:hint="eastAsia" w:ascii="宋体" w:hAnsi="宋体" w:eastAsia="宋体" w:cs="宋体"/>
                <w:snapToGrid w:val="0"/>
                <w:kern w:val="2"/>
                <w:sz w:val="21"/>
                <w:szCs w:val="21"/>
                <w:highlight w:val="none"/>
                <w:lang w:val="en-US" w:eastAsia="zh-CN" w:bidi="ar-SA"/>
              </w:rPr>
              <w:t>得</w:t>
            </w:r>
            <w:r>
              <w:rPr>
                <w:rFonts w:hint="eastAsia" w:ascii="宋体" w:hAnsi="宋体" w:cs="宋体"/>
                <w:snapToGrid w:val="0"/>
                <w:kern w:val="2"/>
                <w:sz w:val="21"/>
                <w:szCs w:val="21"/>
                <w:highlight w:val="none"/>
                <w:lang w:val="en-US" w:eastAsia="zh-CN" w:bidi="ar-SA"/>
              </w:rPr>
              <w:t>0.5</w:t>
            </w:r>
            <w:r>
              <w:rPr>
                <w:rFonts w:hint="eastAsia" w:ascii="宋体" w:hAnsi="宋体" w:eastAsia="宋体" w:cs="宋体"/>
                <w:snapToGrid w:val="0"/>
                <w:kern w:val="2"/>
                <w:sz w:val="21"/>
                <w:szCs w:val="21"/>
                <w:highlight w:val="none"/>
                <w:lang w:val="en-US" w:eastAsia="zh-CN" w:bidi="ar-SA"/>
              </w:rPr>
              <w:t>分，最高得</w:t>
            </w:r>
            <w:r>
              <w:rPr>
                <w:rFonts w:hint="eastAsia" w:ascii="宋体" w:hAnsi="宋体" w:cs="宋体"/>
                <w:snapToGrid w:val="0"/>
                <w:kern w:val="2"/>
                <w:sz w:val="21"/>
                <w:szCs w:val="21"/>
                <w:highlight w:val="none"/>
                <w:lang w:val="en-US" w:eastAsia="zh-CN" w:bidi="ar-SA"/>
              </w:rPr>
              <w:t>1</w:t>
            </w:r>
            <w:r>
              <w:rPr>
                <w:rFonts w:hint="eastAsia" w:ascii="宋体" w:hAnsi="宋体" w:eastAsia="宋体" w:cs="宋体"/>
                <w:snapToGrid w:val="0"/>
                <w:kern w:val="2"/>
                <w:sz w:val="21"/>
                <w:szCs w:val="21"/>
                <w:highlight w:val="none"/>
                <w:lang w:val="en-US" w:eastAsia="zh-CN" w:bidi="ar-SA"/>
              </w:rPr>
              <w:t xml:space="preserve">分（提供获奖证书或相关证明材料复印件加盖公章） </w:t>
            </w:r>
          </w:p>
        </w:tc>
        <w:tc>
          <w:tcPr>
            <w:tcW w:w="660" w:type="dxa"/>
            <w:vAlign w:val="center"/>
          </w:tcPr>
          <w:p>
            <w:pPr>
              <w:pStyle w:val="638"/>
              <w:widowControl w:val="0"/>
              <w:ind w:firstLine="0" w:firstLineChars="0"/>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0</w:t>
            </w:r>
            <w:r>
              <w:rPr>
                <w:rFonts w:hint="eastAsia" w:hAnsi="宋体" w:cs="宋体"/>
                <w:color w:val="000000" w:themeColor="text1"/>
                <w:kern w:val="2"/>
                <w:sz w:val="21"/>
                <w:szCs w:val="21"/>
                <w:highlight w:val="none"/>
                <w:lang w:val="en-US" w:eastAsia="zh-CN" w:bidi="ar-SA"/>
                <w14:textFill>
                  <w14:solidFill>
                    <w14:schemeClr w14:val="tx1"/>
                  </w14:solidFill>
                </w14:textFill>
              </w:rPr>
              <w:t>-1</w:t>
            </w:r>
          </w:p>
        </w:tc>
        <w:tc>
          <w:tcPr>
            <w:tcW w:w="1200" w:type="dxa"/>
            <w:vAlign w:val="center"/>
          </w:tcPr>
          <w:p>
            <w:pPr>
              <w:spacing w:line="360" w:lineRule="auto"/>
              <w:jc w:val="center"/>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客观分</w:t>
            </w:r>
          </w:p>
        </w:tc>
        <w:tc>
          <w:tcPr>
            <w:tcW w:w="1772" w:type="dxa"/>
            <w:vAlign w:val="center"/>
          </w:tcPr>
          <w:p>
            <w:pPr>
              <w:spacing w:line="360" w:lineRule="auto"/>
              <w:jc w:val="center"/>
              <w:outlineLvl w:val="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荣誉奖项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660" w:type="dxa"/>
            <w:vAlign w:val="center"/>
          </w:tcPr>
          <w:p>
            <w:pPr>
              <w:spacing w:line="360" w:lineRule="auto"/>
              <w:jc w:val="center"/>
              <w:outlineLvl w:val="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755" w:type="dxa"/>
            <w:vAlign w:val="center"/>
          </w:tcPr>
          <w:p>
            <w:pPr>
              <w:pStyle w:val="34"/>
              <w:snapToGrid w:val="0"/>
              <w:spacing w:line="320" w:lineRule="exact"/>
              <w:rPr>
                <w:rFonts w:hint="eastAsia" w:ascii="宋体" w:hAnsi="宋体" w:eastAsia="宋体" w:cs="宋体"/>
                <w:sz w:val="21"/>
                <w:szCs w:val="21"/>
              </w:rPr>
            </w:pPr>
            <w:r>
              <w:rPr>
                <w:rFonts w:hint="eastAsia" w:ascii="宋体" w:hAnsi="宋体" w:eastAsia="宋体" w:cs="宋体"/>
                <w:sz w:val="21"/>
                <w:szCs w:val="21"/>
              </w:rPr>
              <w:t>投标人的员工薪资发放规范及时，2020年1月1日至今，未发生过有关员工薪酬及权益保障方面的投诉、群体性事件、被劳动部门处罚部门通报批评的得2分，否则不得分。（2分）</w:t>
            </w:r>
          </w:p>
          <w:p>
            <w:pPr>
              <w:pStyle w:val="34"/>
              <w:snapToGrid w:val="0"/>
              <w:spacing w:line="3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sz w:val="21"/>
                <w:szCs w:val="21"/>
              </w:rPr>
              <w:t>说明：证明材料提供</w:t>
            </w:r>
            <w:r>
              <w:rPr>
                <w:rFonts w:hint="eastAsia" w:hAnsi="宋体" w:cs="宋体"/>
                <w:b/>
                <w:bCs/>
                <w:sz w:val="21"/>
                <w:szCs w:val="21"/>
                <w:lang w:eastAsia="zh-CN"/>
              </w:rPr>
              <w:t>承诺函</w:t>
            </w:r>
            <w:r>
              <w:rPr>
                <w:rFonts w:hint="eastAsia" w:ascii="宋体" w:hAnsi="宋体" w:eastAsia="宋体" w:cs="宋体"/>
                <w:b/>
                <w:bCs/>
                <w:sz w:val="21"/>
                <w:szCs w:val="21"/>
              </w:rPr>
              <w:t>（格式自拟），无</w:t>
            </w:r>
            <w:r>
              <w:rPr>
                <w:rFonts w:hint="eastAsia" w:hAnsi="宋体" w:cs="宋体"/>
                <w:b/>
                <w:bCs/>
                <w:sz w:val="21"/>
                <w:szCs w:val="21"/>
                <w:lang w:eastAsia="zh-CN"/>
              </w:rPr>
              <w:t>承诺函</w:t>
            </w:r>
            <w:r>
              <w:rPr>
                <w:rFonts w:hint="eastAsia" w:ascii="宋体" w:hAnsi="宋体" w:eastAsia="宋体" w:cs="宋体"/>
                <w:b/>
                <w:bCs/>
                <w:sz w:val="21"/>
                <w:szCs w:val="21"/>
              </w:rPr>
              <w:t>者不得分。若有隐瞒的取消其中标资格。</w:t>
            </w:r>
          </w:p>
        </w:tc>
        <w:tc>
          <w:tcPr>
            <w:tcW w:w="660" w:type="dxa"/>
            <w:vAlign w:val="center"/>
          </w:tcPr>
          <w:p>
            <w:pPr>
              <w:pStyle w:val="24"/>
              <w:jc w:val="center"/>
              <w:rPr>
                <w:rFonts w:hint="eastAsia" w:ascii="宋体" w:hAnsi="宋体" w:eastAsia="宋体" w:cs="宋体"/>
                <w:snapToGrid/>
                <w:color w:val="000000" w:themeColor="text1"/>
                <w:sz w:val="21"/>
                <w:szCs w:val="21"/>
                <w:lang w:val="en-US"/>
                <w14:textFill>
                  <w14:solidFill>
                    <w14:schemeClr w14:val="tx1"/>
                  </w14:solidFill>
                </w14:textFill>
              </w:rPr>
            </w:pPr>
            <w:r>
              <w:rPr>
                <w:rFonts w:hint="eastAsia" w:ascii="宋体" w:hAnsi="宋体" w:eastAsia="宋体" w:cs="宋体"/>
                <w:snapToGrid/>
                <w:color w:val="000000" w:themeColor="text1"/>
                <w:sz w:val="21"/>
                <w:szCs w:val="21"/>
                <w:lang w:val="en-US"/>
                <w14:textFill>
                  <w14:solidFill>
                    <w14:schemeClr w14:val="tx1"/>
                  </w14:solidFill>
                </w14:textFill>
              </w:rPr>
              <w:t>0-2</w:t>
            </w:r>
          </w:p>
        </w:tc>
        <w:tc>
          <w:tcPr>
            <w:tcW w:w="1200" w:type="dxa"/>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客观分</w:t>
            </w:r>
          </w:p>
        </w:tc>
        <w:tc>
          <w:tcPr>
            <w:tcW w:w="1772" w:type="dxa"/>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员工薪资发放规范及权益保障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restart"/>
            <w:vAlign w:val="center"/>
          </w:tcPr>
          <w:p>
            <w:pPr>
              <w:spacing w:line="360" w:lineRule="auto"/>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4755" w:type="dxa"/>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拟派项目经理（总负责人）具有</w:t>
            </w:r>
          </w:p>
          <w:p>
            <w:pPr>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（1）年龄50周岁以下</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本科及本科以上学历得2</w:t>
            </w:r>
            <w:r>
              <w:rPr>
                <w:rFonts w:hint="eastAsia" w:ascii="宋体" w:hAnsi="宋体" w:eastAsia="宋体" w:cs="宋体"/>
                <w:color w:val="000000" w:themeColor="text1"/>
                <w:sz w:val="21"/>
                <w:szCs w:val="21"/>
                <w:highlight w:val="none"/>
                <w14:textFill>
                  <w14:solidFill>
                    <w14:schemeClr w14:val="tx1"/>
                  </w14:solidFill>
                </w14:textFill>
              </w:rPr>
              <w:t>分，大专得1分，大专以下不得分。</w:t>
            </w:r>
          </w:p>
          <w:p>
            <w:pPr>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作为项目经理（总负责人）</w:t>
            </w:r>
            <w:r>
              <w:rPr>
                <w:rFonts w:hint="eastAsia" w:ascii="宋体" w:hAnsi="宋体" w:eastAsia="宋体" w:cs="宋体"/>
                <w:color w:val="000000" w:themeColor="text1"/>
                <w:sz w:val="21"/>
                <w:szCs w:val="21"/>
                <w:highlight w:val="none"/>
                <w14:textFill>
                  <w14:solidFill>
                    <w14:schemeClr w14:val="tx1"/>
                  </w14:solidFill>
                </w14:textFill>
              </w:rPr>
              <w:t>从事物业</w:t>
            </w:r>
            <w:r>
              <w:rPr>
                <w:rFonts w:hint="eastAsia" w:ascii="宋体" w:hAnsi="宋体" w:cs="宋体"/>
                <w:color w:val="000000" w:themeColor="text1"/>
                <w:sz w:val="21"/>
                <w:szCs w:val="21"/>
                <w:highlight w:val="none"/>
                <w:lang w:val="en-US" w:eastAsia="zh-CN"/>
                <w14:textFill>
                  <w14:solidFill>
                    <w14:schemeClr w14:val="tx1"/>
                  </w14:solidFill>
                </w14:textFill>
              </w:rPr>
              <w:t>管理</w:t>
            </w:r>
            <w:r>
              <w:rPr>
                <w:rFonts w:hint="eastAsia" w:ascii="宋体" w:hAnsi="宋体" w:eastAsia="宋体" w:cs="宋体"/>
                <w:color w:val="000000" w:themeColor="text1"/>
                <w:sz w:val="21"/>
                <w:szCs w:val="21"/>
                <w:highlight w:val="none"/>
                <w14:textFill>
                  <w14:solidFill>
                    <w14:schemeClr w14:val="tx1"/>
                  </w14:solidFill>
                </w14:textFill>
              </w:rPr>
              <w:t>行业3年及以上得2分，3年</w:t>
            </w:r>
            <w:r>
              <w:rPr>
                <w:rFonts w:hint="eastAsia" w:ascii="宋体" w:hAnsi="宋体" w:cs="宋体"/>
                <w:color w:val="000000" w:themeColor="text1"/>
                <w:sz w:val="21"/>
                <w:szCs w:val="21"/>
                <w:highlight w:val="none"/>
                <w:lang w:eastAsia="zh-CN"/>
                <w14:textFill>
                  <w14:solidFill>
                    <w14:schemeClr w14:val="tx1"/>
                  </w14:solidFill>
                </w14:textFill>
              </w:rPr>
              <w:t>以下</w:t>
            </w:r>
            <w:r>
              <w:rPr>
                <w:rFonts w:hint="eastAsia" w:ascii="宋体" w:hAnsi="宋体" w:eastAsia="宋体" w:cs="宋体"/>
                <w:color w:val="000000" w:themeColor="text1"/>
                <w:sz w:val="21"/>
                <w:szCs w:val="21"/>
                <w:highlight w:val="none"/>
                <w14:textFill>
                  <w14:solidFill>
                    <w14:schemeClr w14:val="tx1"/>
                  </w14:solidFill>
                </w14:textFill>
              </w:rPr>
              <w:t>得1分。</w:t>
            </w:r>
          </w:p>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（3）具有类似公建项目管理经验的得</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14:textFill>
                  <w14:solidFill>
                    <w14:schemeClr w14:val="tx1"/>
                  </w14:solidFill>
                </w14:textFill>
              </w:rPr>
              <w:t>不满足不得分。</w:t>
            </w:r>
            <w:r>
              <w:rPr>
                <w:rFonts w:hint="eastAsia" w:ascii="宋体" w:hAnsi="宋体" w:eastAsia="宋体" w:cs="宋体"/>
                <w:b/>
                <w:bCs/>
                <w:color w:val="000000" w:themeColor="text1"/>
                <w:sz w:val="21"/>
                <w:szCs w:val="21"/>
                <w14:textFill>
                  <w14:solidFill>
                    <w14:schemeClr w14:val="tx1"/>
                  </w14:solidFill>
                </w14:textFill>
              </w:rPr>
              <w:t>以上需提供项目经理管理人员2023年任意一个月的社保缴纳证明材料、相关证书、管理经验证明、身份证等证明材料，不提供不得分。</w:t>
            </w:r>
          </w:p>
        </w:tc>
        <w:tc>
          <w:tcPr>
            <w:tcW w:w="660" w:type="dxa"/>
            <w:vAlign w:val="center"/>
          </w:tcPr>
          <w:p>
            <w:pPr>
              <w:pStyle w:val="24"/>
              <w:jc w:val="center"/>
              <w:rPr>
                <w:rFonts w:hint="eastAsia" w:ascii="宋体" w:hAnsi="宋体" w:eastAsia="宋体" w:cs="宋体"/>
                <w:snapToGrid/>
                <w:color w:val="000000" w:themeColor="text1"/>
                <w:sz w:val="21"/>
                <w:szCs w:val="21"/>
                <w:lang w:val="en-US" w:eastAsia="zh-CN"/>
                <w14:textFill>
                  <w14:solidFill>
                    <w14:schemeClr w14:val="tx1"/>
                  </w14:solidFill>
                </w14:textFill>
              </w:rPr>
            </w:pPr>
            <w:r>
              <w:rPr>
                <w:rFonts w:hint="eastAsia" w:ascii="宋体" w:hAnsi="宋体" w:eastAsia="宋体" w:cs="宋体"/>
                <w:snapToGrid/>
                <w:color w:val="000000" w:themeColor="text1"/>
                <w:sz w:val="21"/>
                <w:szCs w:val="21"/>
                <w:lang w:val="en-US"/>
                <w14:textFill>
                  <w14:solidFill>
                    <w14:schemeClr w14:val="tx1"/>
                  </w14:solidFill>
                </w14:textFill>
              </w:rPr>
              <w:t>0-</w:t>
            </w:r>
            <w:r>
              <w:rPr>
                <w:rFonts w:hint="eastAsia" w:hAnsi="宋体" w:cs="宋体"/>
                <w:snapToGrid/>
                <w:color w:val="000000" w:themeColor="text1"/>
                <w:sz w:val="21"/>
                <w:szCs w:val="21"/>
                <w:lang w:val="en-US" w:eastAsia="zh-CN"/>
                <w14:textFill>
                  <w14:solidFill>
                    <w14:schemeClr w14:val="tx1"/>
                  </w14:solidFill>
                </w14:textFill>
              </w:rPr>
              <w:t>5</w:t>
            </w:r>
          </w:p>
        </w:tc>
        <w:tc>
          <w:tcPr>
            <w:tcW w:w="1200" w:type="dxa"/>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客观分</w:t>
            </w:r>
          </w:p>
        </w:tc>
        <w:tc>
          <w:tcPr>
            <w:tcW w:w="1772" w:type="dxa"/>
            <w:vMerge w:val="restart"/>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拟派项目组人员情况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660" w:type="dxa"/>
            <w:vMerge w:val="continue"/>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p>
        </w:tc>
        <w:tc>
          <w:tcPr>
            <w:tcW w:w="4755" w:type="dxa"/>
            <w:vAlign w:val="center"/>
          </w:tcPr>
          <w:p>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拟派</w:t>
            </w:r>
            <w:r>
              <w:rPr>
                <w:rFonts w:hint="eastAsia" w:ascii="宋体" w:hAnsi="宋体" w:eastAsia="宋体" w:cs="宋体"/>
                <w:sz w:val="21"/>
                <w:szCs w:val="21"/>
                <w:highlight w:val="none"/>
              </w:rPr>
              <w:t>项目管理人员具备①垃圾分类工程师②高</w:t>
            </w:r>
            <w:r>
              <w:rPr>
                <w:rFonts w:hint="eastAsia" w:ascii="宋体" w:hAnsi="宋体" w:cs="宋体"/>
                <w:sz w:val="21"/>
                <w:szCs w:val="21"/>
                <w:highlight w:val="none"/>
                <w:lang w:eastAsia="zh-CN"/>
              </w:rPr>
              <w:t>压</w:t>
            </w:r>
            <w:r>
              <w:rPr>
                <w:rFonts w:hint="eastAsia" w:ascii="宋体" w:hAnsi="宋体" w:eastAsia="宋体" w:cs="宋体"/>
                <w:sz w:val="21"/>
                <w:szCs w:val="21"/>
                <w:highlight w:val="none"/>
              </w:rPr>
              <w:t>电工作业证③低</w:t>
            </w:r>
            <w:r>
              <w:rPr>
                <w:rFonts w:hint="eastAsia" w:ascii="宋体" w:hAnsi="宋体" w:cs="宋体"/>
                <w:sz w:val="21"/>
                <w:szCs w:val="21"/>
                <w:highlight w:val="none"/>
                <w:lang w:eastAsia="zh-CN"/>
              </w:rPr>
              <w:t>压</w:t>
            </w:r>
            <w:r>
              <w:rPr>
                <w:rFonts w:hint="eastAsia" w:ascii="宋体" w:hAnsi="宋体" w:eastAsia="宋体" w:cs="宋体"/>
                <w:sz w:val="21"/>
                <w:szCs w:val="21"/>
                <w:highlight w:val="none"/>
              </w:rPr>
              <w:t>电工作业证</w:t>
            </w:r>
            <w:r>
              <w:rPr>
                <w:rFonts w:hint="eastAsia" w:ascii="宋体" w:hAnsi="宋体" w:eastAsia="宋体" w:cs="宋体"/>
                <w:sz w:val="24"/>
                <w:szCs w:val="24"/>
                <w:highlight w:val="none"/>
              </w:rPr>
              <w:t>④</w:t>
            </w:r>
            <w:r>
              <w:rPr>
                <w:rFonts w:hint="eastAsia" w:ascii="宋体" w:hAnsi="宋体" w:cs="宋体"/>
                <w:sz w:val="24"/>
                <w:szCs w:val="24"/>
                <w:highlight w:val="none"/>
                <w:lang w:eastAsia="zh-CN"/>
              </w:rPr>
              <w:t>园林绿化相关证书</w:t>
            </w:r>
            <w:r>
              <w:rPr>
                <w:rFonts w:hint="eastAsia" w:ascii="宋体" w:hAnsi="宋体" w:eastAsia="宋体" w:cs="宋体"/>
                <w:sz w:val="24"/>
                <w:szCs w:val="24"/>
                <w:highlight w:val="none"/>
              </w:rPr>
              <w:t>等，</w:t>
            </w:r>
            <w:r>
              <w:rPr>
                <w:rFonts w:hint="eastAsia" w:ascii="宋体" w:hAnsi="宋体" w:eastAsia="宋体" w:cs="宋体"/>
                <w:sz w:val="21"/>
                <w:szCs w:val="21"/>
                <w:highlight w:val="none"/>
              </w:rPr>
              <w:t>每提供一项证书得1分，本项最高得4分。</w:t>
            </w:r>
          </w:p>
          <w:p>
            <w:pPr>
              <w:spacing w:line="360" w:lineRule="exact"/>
              <w:rPr>
                <w:rFonts w:hint="eastAsia"/>
                <w:highlight w:val="none"/>
                <w:lang w:val="zh-CN"/>
              </w:rPr>
            </w:pPr>
            <w:r>
              <w:rPr>
                <w:rFonts w:hint="eastAsia" w:ascii="宋体" w:hAnsi="宋体" w:cs="宋体"/>
                <w:sz w:val="21"/>
                <w:szCs w:val="21"/>
                <w:highlight w:val="none"/>
                <w:lang w:val="zh-CN"/>
              </w:rPr>
              <w:t>以上需</w:t>
            </w:r>
            <w:r>
              <w:rPr>
                <w:rFonts w:hint="eastAsia" w:ascii="宋体" w:hAnsi="宋体" w:eastAsia="宋体" w:cs="宋体"/>
                <w:sz w:val="21"/>
                <w:szCs w:val="21"/>
                <w:highlight w:val="none"/>
                <w:lang w:val="zh-CN"/>
              </w:rPr>
              <w:t>提供拟派人员</w:t>
            </w:r>
            <w:r>
              <w:rPr>
                <w:rFonts w:hint="eastAsia" w:ascii="宋体" w:hAnsi="宋体" w:eastAsia="宋体" w:cs="宋体"/>
                <w:sz w:val="21"/>
                <w:szCs w:val="21"/>
                <w:highlight w:val="none"/>
              </w:rPr>
              <w:t>2023年</w:t>
            </w:r>
            <w:r>
              <w:rPr>
                <w:rFonts w:hint="eastAsia" w:ascii="宋体" w:hAnsi="宋体" w:eastAsia="宋体" w:cs="宋体"/>
                <w:sz w:val="21"/>
                <w:szCs w:val="21"/>
                <w:highlight w:val="none"/>
                <w:lang w:val="zh-CN"/>
              </w:rPr>
              <w:t>任意一个月的社保缴纳证明，不提供不得分。</w:t>
            </w:r>
          </w:p>
        </w:tc>
        <w:tc>
          <w:tcPr>
            <w:tcW w:w="660" w:type="dxa"/>
            <w:vAlign w:val="center"/>
          </w:tcPr>
          <w:p>
            <w:pPr>
              <w:spacing w:line="36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0-4</w:t>
            </w:r>
          </w:p>
        </w:tc>
        <w:tc>
          <w:tcPr>
            <w:tcW w:w="1200" w:type="dxa"/>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客观分</w:t>
            </w:r>
          </w:p>
        </w:tc>
        <w:tc>
          <w:tcPr>
            <w:tcW w:w="1772" w:type="dxa"/>
            <w:vMerge w:val="continue"/>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660" w:type="dxa"/>
            <w:vMerge w:val="continue"/>
            <w:vAlign w:val="center"/>
          </w:tcPr>
          <w:p>
            <w:pPr>
              <w:spacing w:line="360" w:lineRule="auto"/>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p>
        </w:tc>
        <w:tc>
          <w:tcPr>
            <w:tcW w:w="4755" w:type="dxa"/>
            <w:vAlign w:val="center"/>
          </w:tcPr>
          <w:p>
            <w:pPr>
              <w:pStyle w:val="4"/>
              <w:ind w:left="0" w:leftChars="0" w:firstLine="0" w:firstLineChars="0"/>
              <w:rPr>
                <w:rFonts w:hint="default" w:eastAsia="仿宋_GB2312"/>
                <w:highlight w:val="none"/>
                <w:lang w:val="en-US" w:eastAsia="zh-CN"/>
              </w:rPr>
            </w:pPr>
            <w:r>
              <w:rPr>
                <w:rFonts w:hint="eastAsia" w:ascii="宋体" w:hAnsi="宋体" w:eastAsia="宋体" w:cs="宋体"/>
                <w:b w:val="0"/>
                <w:bCs w:val="0"/>
                <w:kern w:val="2"/>
                <w:sz w:val="21"/>
                <w:szCs w:val="21"/>
                <w:highlight w:val="none"/>
                <w:lang w:val="en-US" w:eastAsia="zh-CN" w:bidi="ar-SA"/>
              </w:rPr>
              <w:t>投标人提供拟派人员（保安或保洁），满足采购需求的基础上，增加1人得1分，共2分，提供服务承诺，不提供不得分。（承诺函格式自拟）</w:t>
            </w:r>
          </w:p>
        </w:tc>
        <w:tc>
          <w:tcPr>
            <w:tcW w:w="660" w:type="dxa"/>
            <w:vAlign w:val="center"/>
          </w:tcPr>
          <w:p>
            <w:pPr>
              <w:spacing w:line="360" w:lineRule="exac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0-2</w:t>
            </w:r>
          </w:p>
        </w:tc>
        <w:tc>
          <w:tcPr>
            <w:tcW w:w="1200" w:type="dxa"/>
            <w:vAlign w:val="center"/>
          </w:tcPr>
          <w:p>
            <w:pPr>
              <w:snapToGrid w:val="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客观分</w:t>
            </w:r>
          </w:p>
        </w:tc>
        <w:tc>
          <w:tcPr>
            <w:tcW w:w="1772" w:type="dxa"/>
            <w:vMerge w:val="continue"/>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2" w:hRule="atLeast"/>
        </w:trPr>
        <w:tc>
          <w:tcPr>
            <w:tcW w:w="660" w:type="dxa"/>
            <w:vAlign w:val="center"/>
          </w:tcPr>
          <w:p>
            <w:pPr>
              <w:spacing w:line="360" w:lineRule="auto"/>
              <w:jc w:val="center"/>
              <w:outlineLvl w:val="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p>
        </w:tc>
        <w:tc>
          <w:tcPr>
            <w:tcW w:w="4755" w:type="dxa"/>
            <w:vAlign w:val="center"/>
          </w:tcPr>
          <w:p>
            <w:pPr>
              <w:pStyle w:val="34"/>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投标人具有:</w:t>
            </w:r>
          </w:p>
          <w:p>
            <w:pPr>
              <w:spacing w:line="360" w:lineRule="exact"/>
              <w:rPr>
                <w:rFonts w:hint="eastAsia" w:ascii="宋体" w:hAnsi="宋体" w:eastAsia="宋体" w:cs="宋体"/>
                <w:sz w:val="21"/>
                <w:szCs w:val="21"/>
              </w:rPr>
            </w:pPr>
            <w:r>
              <w:rPr>
                <w:rFonts w:hint="eastAsia" w:ascii="宋体" w:hAnsi="宋体" w:eastAsia="宋体" w:cs="宋体"/>
                <w:sz w:val="21"/>
                <w:szCs w:val="21"/>
              </w:rPr>
              <w:t>（1）登高作业车（园林吊）一辆，满足得2分。（2分）</w:t>
            </w:r>
          </w:p>
          <w:p>
            <w:pPr>
              <w:spacing w:line="360" w:lineRule="exact"/>
              <w:rPr>
                <w:rFonts w:hint="eastAsia" w:ascii="宋体" w:hAnsi="宋体" w:eastAsia="宋体" w:cs="宋体"/>
                <w:sz w:val="21"/>
                <w:szCs w:val="21"/>
              </w:rPr>
            </w:pPr>
            <w:r>
              <w:rPr>
                <w:rFonts w:hint="eastAsia" w:ascii="宋体" w:hAnsi="宋体" w:eastAsia="宋体" w:cs="宋体"/>
                <w:sz w:val="21"/>
                <w:szCs w:val="21"/>
              </w:rPr>
              <w:t>（2）具有CCTV管道检测仪、管道潜望镜、管道封堵气囊的，每项得1分，最高3分。（3分）</w:t>
            </w:r>
          </w:p>
          <w:p>
            <w:pPr>
              <w:spacing w:line="360" w:lineRule="exact"/>
              <w:rPr>
                <w:rFonts w:hint="eastAsia" w:ascii="宋体" w:hAnsi="宋体" w:eastAsia="宋体" w:cs="宋体"/>
                <w:sz w:val="21"/>
                <w:szCs w:val="21"/>
              </w:rPr>
            </w:pPr>
            <w:r>
              <w:rPr>
                <w:rFonts w:hint="eastAsia" w:ascii="宋体" w:hAnsi="宋体" w:eastAsia="宋体" w:cs="宋体"/>
                <w:sz w:val="21"/>
                <w:szCs w:val="21"/>
              </w:rPr>
              <w:t>（3）工程救险的车辆（机动车行驶证上的使用性质为工程救（抢）险）一辆，满足得1分，最高得1分。（1分）</w:t>
            </w:r>
          </w:p>
          <w:p>
            <w:pPr>
              <w:spacing w:line="360" w:lineRule="exact"/>
              <w:rPr>
                <w:rFonts w:hint="eastAsia" w:ascii="宋体" w:hAnsi="宋体" w:eastAsia="宋体" w:cs="宋体"/>
                <w:sz w:val="21"/>
                <w:szCs w:val="21"/>
              </w:rPr>
            </w:pPr>
            <w:r>
              <w:rPr>
                <w:rFonts w:hint="eastAsia" w:ascii="宋体" w:hAnsi="宋体" w:eastAsia="宋体" w:cs="宋体"/>
                <w:sz w:val="21"/>
                <w:szCs w:val="21"/>
              </w:rPr>
              <w:t>（4）投标人具有大功率排水泵车（≥1500m3/h）的得3分。（3分）</w:t>
            </w:r>
          </w:p>
          <w:p>
            <w:pPr>
              <w:spacing w:line="360" w:lineRule="exact"/>
              <w:rPr>
                <w:rFonts w:hint="eastAsia" w:ascii="宋体" w:hAnsi="宋体" w:eastAsia="宋体" w:cs="宋体"/>
                <w:sz w:val="21"/>
                <w:szCs w:val="21"/>
              </w:rPr>
            </w:pPr>
            <w:r>
              <w:rPr>
                <w:rFonts w:hint="eastAsia" w:ascii="宋体" w:hAnsi="宋体" w:eastAsia="宋体" w:cs="宋体"/>
                <w:sz w:val="21"/>
                <w:szCs w:val="21"/>
              </w:rPr>
              <w:t>（5）投标人具有吸污车每台得1分，最高2分。</w:t>
            </w:r>
          </w:p>
          <w:p>
            <w:pPr>
              <w:spacing w:line="360" w:lineRule="exact"/>
              <w:rPr>
                <w:rFonts w:hint="eastAsia" w:ascii="宋体" w:hAnsi="宋体" w:eastAsia="宋体" w:cs="宋体"/>
                <w:sz w:val="21"/>
                <w:szCs w:val="21"/>
              </w:rPr>
            </w:pPr>
            <w:r>
              <w:rPr>
                <w:rFonts w:hint="eastAsia" w:ascii="宋体" w:hAnsi="宋体" w:eastAsia="宋体" w:cs="宋体"/>
                <w:sz w:val="21"/>
                <w:szCs w:val="21"/>
              </w:rPr>
              <w:t>（6）其他有打药机、绿篱机、油锯、快速支撑、树木扶正器等，每增加一项得1分，全部满足得4分。</w:t>
            </w:r>
          </w:p>
          <w:p>
            <w:pPr>
              <w:spacing w:line="360" w:lineRule="exact"/>
              <w:rPr>
                <w:rFonts w:hint="eastAsia" w:ascii="宋体" w:hAnsi="宋体" w:eastAsia="宋体" w:cs="宋体"/>
                <w:b/>
                <w:bCs/>
                <w:sz w:val="21"/>
                <w:szCs w:val="21"/>
              </w:rPr>
            </w:pPr>
            <w:r>
              <w:rPr>
                <w:rFonts w:hint="eastAsia" w:ascii="宋体" w:hAnsi="宋体" w:eastAsia="宋体" w:cs="宋体"/>
                <w:b/>
                <w:bCs/>
                <w:sz w:val="21"/>
                <w:szCs w:val="21"/>
              </w:rPr>
              <w:t>各类机具须明确可提供的数量，并提供自有凭证或租赁合同（以上机具须提供①发票、购销合同；②车辆需提供行驶证或政府部门的划拨单，如租赁合同需提供租赁方相关拥有机具证明材料，否则不得分）</w:t>
            </w:r>
          </w:p>
          <w:p>
            <w:pPr>
              <w:pStyle w:val="34"/>
              <w:snapToGrid w:val="0"/>
              <w:spacing w:line="32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sz w:val="21"/>
                <w:szCs w:val="21"/>
              </w:rPr>
              <w:t>以上提供机具配置计划表。未提供机具配置计划表的，该项不得分。</w:t>
            </w:r>
          </w:p>
        </w:tc>
        <w:tc>
          <w:tcPr>
            <w:tcW w:w="660" w:type="dxa"/>
            <w:vAlign w:val="center"/>
          </w:tcPr>
          <w:p>
            <w:pPr>
              <w:pStyle w:val="24"/>
              <w:jc w:val="center"/>
              <w:rPr>
                <w:rFonts w:hint="eastAsia" w:ascii="宋体" w:hAnsi="宋体" w:eastAsia="宋体" w:cs="宋体"/>
                <w:snapToGrid/>
                <w:color w:val="000000" w:themeColor="text1"/>
                <w:sz w:val="21"/>
                <w:szCs w:val="21"/>
                <w:lang w:val="en-US"/>
                <w14:textFill>
                  <w14:solidFill>
                    <w14:schemeClr w14:val="tx1"/>
                  </w14:solidFill>
                </w14:textFill>
              </w:rPr>
            </w:pPr>
            <w:r>
              <w:rPr>
                <w:rFonts w:hint="eastAsia" w:ascii="宋体" w:hAnsi="宋体" w:eastAsia="宋体" w:cs="宋体"/>
                <w:snapToGrid/>
                <w:color w:val="000000" w:themeColor="text1"/>
                <w:sz w:val="21"/>
                <w:szCs w:val="21"/>
                <w:lang w:val="en-US"/>
                <w14:textFill>
                  <w14:solidFill>
                    <w14:schemeClr w14:val="tx1"/>
                  </w14:solidFill>
                </w14:textFill>
              </w:rPr>
              <w:t>0-15</w:t>
            </w:r>
          </w:p>
        </w:tc>
        <w:tc>
          <w:tcPr>
            <w:tcW w:w="1200" w:type="dxa"/>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客观分</w:t>
            </w:r>
          </w:p>
        </w:tc>
        <w:tc>
          <w:tcPr>
            <w:tcW w:w="1772" w:type="dxa"/>
            <w:vAlign w:val="center"/>
          </w:tcPr>
          <w:p>
            <w:pPr>
              <w:snapToGrid w:val="0"/>
              <w:spacing w:line="360" w:lineRule="auto"/>
              <w:jc w:val="center"/>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机具保障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660" w:type="dxa"/>
            <w:vAlign w:val="center"/>
          </w:tcPr>
          <w:p>
            <w:pPr>
              <w:spacing w:line="360" w:lineRule="auto"/>
              <w:jc w:val="center"/>
              <w:outlineLvl w:val="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7</w:t>
            </w:r>
          </w:p>
        </w:tc>
        <w:tc>
          <w:tcPr>
            <w:tcW w:w="4755" w:type="dxa"/>
            <w:vAlign w:val="center"/>
          </w:tcPr>
          <w:p>
            <w:pPr>
              <w:pStyle w:val="4"/>
              <w:tabs>
                <w:tab w:val="clear" w:pos="432"/>
              </w:tabs>
              <w:spacing w:line="240" w:lineRule="auto"/>
              <w:ind w:left="0" w:firstLine="0"/>
              <w:outlineLvl w:val="1"/>
              <w:rPr>
                <w:rFonts w:hint="eastAsia" w:ascii="宋体" w:hAnsi="宋体" w:eastAsia="宋体" w:cs="宋体"/>
                <w:b w:val="0"/>
                <w:bCs w:val="0"/>
                <w:color w:val="000000" w:themeColor="text1"/>
                <w:sz w:val="21"/>
                <w:szCs w:val="21"/>
                <w:lang w:val="en-US"/>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投标人提供过渡计划实施方案：①企业进、出场交接计</w:t>
            </w:r>
            <w:r>
              <w:rPr>
                <w:rFonts w:hint="eastAsia" w:ascii="宋体" w:hAnsi="宋体" w:eastAsia="宋体" w:cs="宋体"/>
                <w:b w:val="0"/>
                <w:bCs w:val="0"/>
                <w:color w:val="000000" w:themeColor="text1"/>
                <w:sz w:val="21"/>
                <w:szCs w:val="21"/>
                <w:highlight w:val="none"/>
                <w14:textFill>
                  <w14:solidFill>
                    <w14:schemeClr w14:val="tx1"/>
                  </w14:solidFill>
                </w14:textFill>
              </w:rPr>
              <w:t>划措施②平稳过渡实施方案等相关措施③硬件方面（人员、设备等）全部配备到位。</w:t>
            </w:r>
            <w:r>
              <w:rPr>
                <w:rFonts w:hint="eastAsia" w:ascii="宋体" w:hAnsi="宋体" w:eastAsia="宋体" w:cs="宋体"/>
                <w:b w:val="0"/>
                <w:bCs w:val="0"/>
                <w:snapToGrid w:val="0"/>
                <w:sz w:val="21"/>
                <w:szCs w:val="21"/>
                <w:highlight w:val="none"/>
              </w:rPr>
              <w:t>从完整性、合理性、可行性方面进行评分，每有一项满足要求的得1分，本项最高得</w:t>
            </w:r>
            <w:r>
              <w:rPr>
                <w:rFonts w:hint="eastAsia" w:ascii="宋体" w:hAnsi="宋体" w:cs="宋体"/>
                <w:b w:val="0"/>
                <w:bCs w:val="0"/>
                <w:snapToGrid w:val="0"/>
                <w:sz w:val="21"/>
                <w:szCs w:val="21"/>
                <w:highlight w:val="none"/>
                <w:lang w:val="en-US" w:eastAsia="zh-CN"/>
              </w:rPr>
              <w:t>3</w:t>
            </w:r>
            <w:r>
              <w:rPr>
                <w:rFonts w:hint="eastAsia" w:ascii="宋体" w:hAnsi="宋体" w:eastAsia="宋体" w:cs="宋体"/>
                <w:b w:val="0"/>
                <w:bCs w:val="0"/>
                <w:snapToGrid w:val="0"/>
                <w:sz w:val="21"/>
                <w:szCs w:val="21"/>
                <w:highlight w:val="none"/>
              </w:rPr>
              <w:t>分。（</w:t>
            </w:r>
            <w:r>
              <w:rPr>
                <w:rFonts w:hint="eastAsia" w:ascii="宋体" w:hAnsi="宋体" w:cs="宋体"/>
                <w:b w:val="0"/>
                <w:bCs w:val="0"/>
                <w:snapToGrid w:val="0"/>
                <w:sz w:val="21"/>
                <w:szCs w:val="21"/>
                <w:highlight w:val="none"/>
                <w:lang w:val="en-US" w:eastAsia="zh-CN"/>
              </w:rPr>
              <w:t>3</w:t>
            </w:r>
            <w:r>
              <w:rPr>
                <w:rFonts w:hint="eastAsia" w:ascii="宋体" w:hAnsi="宋体" w:eastAsia="宋体" w:cs="宋体"/>
                <w:b w:val="0"/>
                <w:bCs w:val="0"/>
                <w:snapToGrid w:val="0"/>
                <w:sz w:val="21"/>
                <w:szCs w:val="21"/>
                <w:highlight w:val="none"/>
              </w:rPr>
              <w:t>分）</w:t>
            </w:r>
          </w:p>
        </w:tc>
        <w:tc>
          <w:tcPr>
            <w:tcW w:w="660" w:type="dxa"/>
            <w:vAlign w:val="center"/>
          </w:tcPr>
          <w:p>
            <w:pPr>
              <w:snapToGrid w:val="0"/>
              <w:spacing w:line="360" w:lineRule="exact"/>
              <w:ind w:firstLine="105" w:firstLineChars="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0-3</w:t>
            </w:r>
          </w:p>
        </w:tc>
        <w:tc>
          <w:tcPr>
            <w:tcW w:w="1200" w:type="dxa"/>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主观分</w:t>
            </w:r>
          </w:p>
        </w:tc>
        <w:tc>
          <w:tcPr>
            <w:tcW w:w="1772" w:type="dxa"/>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过渡计划实施方案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660" w:type="dxa"/>
            <w:vAlign w:val="center"/>
          </w:tcPr>
          <w:p>
            <w:pPr>
              <w:spacing w:line="360" w:lineRule="auto"/>
              <w:jc w:val="center"/>
              <w:outlineLvl w:val="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p>
        </w:tc>
        <w:tc>
          <w:tcPr>
            <w:tcW w:w="4755" w:type="dxa"/>
            <w:vAlign w:val="center"/>
          </w:tcPr>
          <w:p>
            <w:pPr>
              <w:pStyle w:val="4"/>
              <w:tabs>
                <w:tab w:val="clear" w:pos="432"/>
              </w:tabs>
              <w:spacing w:line="240" w:lineRule="auto"/>
              <w:ind w:left="0" w:firstLine="0"/>
              <w:outlineLvl w:val="1"/>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根据投标人</w:t>
            </w:r>
            <w:r>
              <w:rPr>
                <w:rFonts w:hint="eastAsia" w:ascii="宋体" w:hAnsi="宋体" w:eastAsia="宋体" w:cs="宋体"/>
                <w:b w:val="0"/>
                <w:bCs w:val="0"/>
                <w:color w:val="000000" w:themeColor="text1"/>
                <w:sz w:val="21"/>
                <w:szCs w:val="21"/>
                <w:highlight w:val="none"/>
                <w:lang w:val="en-US"/>
                <w14:textFill>
                  <w14:solidFill>
                    <w14:schemeClr w14:val="tx1"/>
                  </w14:solidFill>
                </w14:textFill>
              </w:rPr>
              <w:t>提供的①</w:t>
            </w:r>
            <w:r>
              <w:rPr>
                <w:rFonts w:hint="eastAsia" w:ascii="宋体" w:hAnsi="宋体" w:eastAsia="宋体" w:cs="宋体"/>
                <w:b w:val="0"/>
                <w:bCs w:val="0"/>
                <w:color w:val="000000" w:themeColor="text1"/>
                <w:sz w:val="21"/>
                <w:szCs w:val="21"/>
                <w:highlight w:val="none"/>
                <w14:textFill>
                  <w14:solidFill>
                    <w14:schemeClr w14:val="tx1"/>
                  </w14:solidFill>
                </w14:textFill>
              </w:rPr>
              <w:t>巡查制度；</w:t>
            </w:r>
            <w:r>
              <w:rPr>
                <w:rFonts w:hint="eastAsia" w:ascii="宋体" w:hAnsi="宋体" w:eastAsia="宋体" w:cs="宋体"/>
                <w:b w:val="0"/>
                <w:bCs w:val="0"/>
                <w:color w:val="000000" w:themeColor="text1"/>
                <w:sz w:val="21"/>
                <w:szCs w:val="21"/>
                <w:highlight w:val="none"/>
                <w:lang w:val="en-US"/>
                <w14:textFill>
                  <w14:solidFill>
                    <w14:schemeClr w14:val="tx1"/>
                  </w14:solidFill>
                </w14:textFill>
              </w:rPr>
              <w:t>②</w:t>
            </w:r>
            <w:r>
              <w:rPr>
                <w:rFonts w:hint="eastAsia" w:ascii="宋体" w:hAnsi="宋体" w:eastAsia="宋体" w:cs="宋体"/>
                <w:b w:val="0"/>
                <w:bCs w:val="0"/>
                <w:color w:val="000000" w:themeColor="text1"/>
                <w:sz w:val="21"/>
                <w:szCs w:val="21"/>
                <w:highlight w:val="none"/>
                <w14:textFill>
                  <w14:solidFill>
                    <w14:schemeClr w14:val="tx1"/>
                  </w14:solidFill>
                </w14:textFill>
              </w:rPr>
              <w:t>制定紧急事件处置；</w:t>
            </w:r>
            <w:r>
              <w:rPr>
                <w:rFonts w:hint="eastAsia" w:ascii="宋体" w:hAnsi="宋体" w:eastAsia="宋体" w:cs="宋体"/>
                <w:b w:val="0"/>
                <w:bCs w:val="0"/>
                <w:color w:val="000000" w:themeColor="text1"/>
                <w:sz w:val="21"/>
                <w:szCs w:val="21"/>
                <w:highlight w:val="none"/>
                <w:lang w:val="en-US"/>
                <w14:textFill>
                  <w14:solidFill>
                    <w14:schemeClr w14:val="tx1"/>
                  </w14:solidFill>
                </w14:textFill>
              </w:rPr>
              <w:t>③</w:t>
            </w:r>
            <w:r>
              <w:rPr>
                <w:rFonts w:hint="eastAsia" w:ascii="宋体" w:hAnsi="宋体" w:eastAsia="宋体" w:cs="宋体"/>
                <w:b w:val="0"/>
                <w:bCs w:val="0"/>
                <w:color w:val="000000" w:themeColor="text1"/>
                <w:sz w:val="21"/>
                <w:szCs w:val="21"/>
                <w:highlight w:val="none"/>
                <w14:textFill>
                  <w14:solidFill>
                    <w14:schemeClr w14:val="tx1"/>
                  </w14:solidFill>
                </w14:textFill>
              </w:rPr>
              <w:t>人事管理制度、廉洁从业制度、交接班制度；</w:t>
            </w:r>
            <w:r>
              <w:rPr>
                <w:rFonts w:hint="eastAsia" w:ascii="宋体" w:hAnsi="宋体" w:eastAsia="宋体" w:cs="宋体"/>
                <w:b w:val="0"/>
                <w:bCs w:val="0"/>
                <w:color w:val="000000" w:themeColor="text1"/>
                <w:sz w:val="21"/>
                <w:szCs w:val="21"/>
                <w:highlight w:val="none"/>
                <w:lang w:val="en-US"/>
                <w14:textFill>
                  <w14:solidFill>
                    <w14:schemeClr w14:val="tx1"/>
                  </w14:solidFill>
                </w14:textFill>
              </w:rPr>
              <w:t>④</w:t>
            </w:r>
            <w:r>
              <w:rPr>
                <w:rFonts w:hint="eastAsia" w:ascii="宋体" w:hAnsi="宋体" w:eastAsia="宋体" w:cs="宋体"/>
                <w:b w:val="0"/>
                <w:bCs w:val="0"/>
                <w:color w:val="000000" w:themeColor="text1"/>
                <w:sz w:val="21"/>
                <w:szCs w:val="21"/>
                <w:highlight w:val="none"/>
                <w14:textFill>
                  <w14:solidFill>
                    <w14:schemeClr w14:val="tx1"/>
                  </w14:solidFill>
                </w14:textFill>
              </w:rPr>
              <w:t>根据本项目采购需求的考核办法，提供的考核方案；</w:t>
            </w:r>
            <w:r>
              <w:rPr>
                <w:rFonts w:hint="eastAsia" w:ascii="宋体" w:hAnsi="宋体" w:eastAsia="宋体" w:cs="宋体"/>
                <w:b w:val="0"/>
                <w:bCs w:val="0"/>
                <w:color w:val="000000" w:themeColor="text1"/>
                <w:sz w:val="21"/>
                <w:szCs w:val="21"/>
                <w:highlight w:val="none"/>
                <w:lang w:val="en-US"/>
                <w14:textFill>
                  <w14:solidFill>
                    <w14:schemeClr w14:val="tx1"/>
                  </w14:solidFill>
                </w14:textFill>
              </w:rPr>
              <w:t>⑤</w:t>
            </w:r>
            <w:r>
              <w:rPr>
                <w:rFonts w:hint="eastAsia" w:ascii="宋体" w:hAnsi="宋体" w:eastAsia="宋体" w:cs="宋体"/>
                <w:b w:val="0"/>
                <w:bCs w:val="0"/>
                <w:color w:val="000000" w:themeColor="text1"/>
                <w:sz w:val="21"/>
                <w:szCs w:val="21"/>
                <w:highlight w:val="none"/>
                <w14:textFill>
                  <w14:solidFill>
                    <w14:schemeClr w14:val="tx1"/>
                  </w14:solidFill>
                </w14:textFill>
              </w:rPr>
              <w:t>消防安全预案；⑥</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信息安全和保密制度</w:t>
            </w:r>
            <w:r>
              <w:rPr>
                <w:rFonts w:hint="eastAsia" w:ascii="宋体" w:hAnsi="宋体" w:eastAsia="宋体" w:cs="宋体"/>
                <w:b w:val="0"/>
                <w:bCs w:val="0"/>
                <w:color w:val="000000" w:themeColor="text1"/>
                <w:sz w:val="21"/>
                <w:szCs w:val="21"/>
                <w:highlight w:val="none"/>
                <w:lang w:val="en-US"/>
                <w14:textFill>
                  <w14:solidFill>
                    <w14:schemeClr w14:val="tx1"/>
                  </w14:solidFill>
                </w14:textFill>
              </w:rPr>
              <w:t>等内容，根据方案对项目的理解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14:textFill>
                  <w14:solidFill>
                    <w14:schemeClr w14:val="tx1"/>
                  </w14:solidFill>
                </w14:textFill>
              </w:rPr>
              <w:t>业务熟悉程度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14:textFill>
                  <w14:solidFill>
                    <w14:schemeClr w14:val="tx1"/>
                  </w14:solidFill>
                </w14:textFill>
              </w:rPr>
              <w:t>完整性</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14:textFill>
                  <w14:solidFill>
                    <w14:schemeClr w14:val="tx1"/>
                  </w14:solidFill>
                </w14:textFill>
              </w:rPr>
              <w:t>合理可行情况，</w:t>
            </w:r>
            <w:r>
              <w:rPr>
                <w:rFonts w:hint="eastAsia" w:ascii="宋体" w:hAnsi="宋体" w:eastAsia="宋体" w:cs="宋体"/>
                <w:b w:val="0"/>
                <w:bCs w:val="0"/>
                <w:snapToGrid w:val="0"/>
                <w:sz w:val="21"/>
                <w:szCs w:val="21"/>
                <w:highlight w:val="none"/>
              </w:rPr>
              <w:t>每有一项满足要求的得</w:t>
            </w:r>
            <w:r>
              <w:rPr>
                <w:rFonts w:hint="eastAsia" w:ascii="宋体" w:hAnsi="宋体" w:eastAsia="宋体" w:cs="宋体"/>
                <w:b w:val="0"/>
                <w:bCs w:val="0"/>
                <w:snapToGrid w:val="0"/>
                <w:sz w:val="21"/>
                <w:szCs w:val="21"/>
                <w:highlight w:val="none"/>
                <w:lang w:val="en-US" w:eastAsia="zh-CN"/>
              </w:rPr>
              <w:t>2</w:t>
            </w:r>
            <w:r>
              <w:rPr>
                <w:rFonts w:hint="eastAsia" w:ascii="宋体" w:hAnsi="宋体" w:eastAsia="宋体" w:cs="宋体"/>
                <w:b w:val="0"/>
                <w:bCs w:val="0"/>
                <w:snapToGrid w:val="0"/>
                <w:sz w:val="21"/>
                <w:szCs w:val="21"/>
                <w:highlight w:val="none"/>
              </w:rPr>
              <w:t>分，本项最高得</w:t>
            </w:r>
            <w:r>
              <w:rPr>
                <w:rFonts w:hint="eastAsia" w:ascii="宋体" w:hAnsi="宋体" w:cs="宋体"/>
                <w:b w:val="0"/>
                <w:bCs w:val="0"/>
                <w:snapToGrid w:val="0"/>
                <w:sz w:val="21"/>
                <w:szCs w:val="21"/>
                <w:highlight w:val="none"/>
                <w:lang w:val="en-US" w:eastAsia="zh-CN"/>
              </w:rPr>
              <w:t>12</w:t>
            </w:r>
            <w:r>
              <w:rPr>
                <w:rFonts w:hint="eastAsia" w:ascii="宋体" w:hAnsi="宋体" w:eastAsia="宋体" w:cs="宋体"/>
                <w:b w:val="0"/>
                <w:bCs w:val="0"/>
                <w:snapToGrid w:val="0"/>
                <w:sz w:val="21"/>
                <w:szCs w:val="21"/>
                <w:highlight w:val="none"/>
              </w:rPr>
              <w:t>分。</w:t>
            </w:r>
          </w:p>
        </w:tc>
        <w:tc>
          <w:tcPr>
            <w:tcW w:w="660" w:type="dxa"/>
            <w:vAlign w:val="center"/>
          </w:tcPr>
          <w:p>
            <w:pPr>
              <w:pStyle w:val="34"/>
              <w:snapToGrid w:val="0"/>
              <w:spacing w:line="320" w:lineRule="exact"/>
              <w:jc w:val="center"/>
              <w:rPr>
                <w:rFonts w:hint="default" w:ascii="宋体" w:hAnsi="宋体" w:eastAsia="宋体" w:cs="宋体"/>
                <w:snapToGrid/>
                <w:color w:val="000000" w:themeColor="text1"/>
                <w:sz w:val="21"/>
                <w:szCs w:val="21"/>
                <w:highlight w:val="none"/>
                <w:lang w:val="en-US" w:eastAsia="zh-CN"/>
                <w14:textFill>
                  <w14:solidFill>
                    <w14:schemeClr w14:val="tx1"/>
                  </w14:solidFill>
                </w14:textFill>
              </w:rPr>
            </w:pPr>
            <w:r>
              <w:rPr>
                <w:rFonts w:hint="eastAsia" w:ascii="宋体" w:hAnsi="宋体" w:eastAsia="宋体" w:cs="宋体"/>
                <w:snapToGrid/>
                <w:color w:val="000000" w:themeColor="text1"/>
                <w:sz w:val="21"/>
                <w:szCs w:val="21"/>
                <w:highlight w:val="none"/>
                <w14:textFill>
                  <w14:solidFill>
                    <w14:schemeClr w14:val="tx1"/>
                  </w14:solidFill>
                </w14:textFill>
              </w:rPr>
              <w:t>0-</w:t>
            </w:r>
            <w:r>
              <w:rPr>
                <w:rFonts w:hint="eastAsia" w:hAnsi="宋体" w:cs="宋体"/>
                <w:snapToGrid/>
                <w:color w:val="000000" w:themeColor="text1"/>
                <w:sz w:val="21"/>
                <w:szCs w:val="21"/>
                <w:highlight w:val="none"/>
                <w:lang w:val="en-US" w:eastAsia="zh-CN"/>
                <w14:textFill>
                  <w14:solidFill>
                    <w14:schemeClr w14:val="tx1"/>
                  </w14:solidFill>
                </w14:textFill>
              </w:rPr>
              <w:t>12</w:t>
            </w:r>
          </w:p>
        </w:tc>
        <w:tc>
          <w:tcPr>
            <w:tcW w:w="1200"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主观分</w:t>
            </w:r>
          </w:p>
        </w:tc>
        <w:tc>
          <w:tcPr>
            <w:tcW w:w="1772" w:type="dxa"/>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内控管理制度及考核方案等内容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660" w:type="dxa"/>
            <w:vAlign w:val="center"/>
          </w:tcPr>
          <w:p>
            <w:pPr>
              <w:spacing w:line="360" w:lineRule="auto"/>
              <w:jc w:val="center"/>
              <w:outlineLvl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w:t>
            </w:r>
          </w:p>
        </w:tc>
        <w:tc>
          <w:tcPr>
            <w:tcW w:w="4755" w:type="dxa"/>
            <w:vAlign w:val="center"/>
          </w:tcPr>
          <w:p>
            <w:pPr>
              <w:pStyle w:val="34"/>
              <w:snapToGrid w:val="0"/>
              <w:spacing w:line="3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根据对本项目需求的理解，对该项目的重点、难点进行阐述和说明，</w:t>
            </w:r>
            <w:r>
              <w:rPr>
                <w:rFonts w:hint="eastAsia" w:ascii="宋体" w:hAnsi="宋体" w:eastAsia="宋体" w:cs="宋体"/>
                <w:sz w:val="21"/>
                <w:szCs w:val="21"/>
              </w:rPr>
              <w:t>方案分析详尽、业务熟悉、针对性强且合理的，得3分；内容有欠缺、基本合理的，得2分；分析不全面或合理性有欠缺的，得1分；未提供或完全不符的，不得分。</w:t>
            </w:r>
          </w:p>
        </w:tc>
        <w:tc>
          <w:tcPr>
            <w:tcW w:w="660" w:type="dxa"/>
            <w:vAlign w:val="center"/>
          </w:tcPr>
          <w:p>
            <w:pPr>
              <w:pStyle w:val="34"/>
              <w:snapToGrid w:val="0"/>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color w:val="000000" w:themeColor="text1"/>
                <w:sz w:val="21"/>
                <w:szCs w:val="21"/>
                <w14:textFill>
                  <w14:solidFill>
                    <w14:schemeClr w14:val="tx1"/>
                  </w14:solidFill>
                </w14:textFill>
              </w:rPr>
              <w:t>0-3</w:t>
            </w:r>
          </w:p>
        </w:tc>
        <w:tc>
          <w:tcPr>
            <w:tcW w:w="1200"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主</w:t>
            </w:r>
            <w:bookmarkStart w:id="436" w:name="_GoBack"/>
            <w:bookmarkEnd w:id="436"/>
            <w:r>
              <w:rPr>
                <w:rFonts w:hint="eastAsia" w:ascii="宋体" w:hAnsi="宋体" w:eastAsia="宋体" w:cs="宋体"/>
                <w:color w:val="000000" w:themeColor="text1"/>
                <w:sz w:val="21"/>
                <w:szCs w:val="21"/>
                <w14:textFill>
                  <w14:solidFill>
                    <w14:schemeClr w14:val="tx1"/>
                  </w14:solidFill>
                </w14:textFill>
              </w:rPr>
              <w:t>观分</w:t>
            </w:r>
          </w:p>
        </w:tc>
        <w:tc>
          <w:tcPr>
            <w:tcW w:w="1772" w:type="dxa"/>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660" w:type="dxa"/>
            <w:vMerge w:val="restart"/>
            <w:vAlign w:val="center"/>
          </w:tcPr>
          <w:p>
            <w:pPr>
              <w:spacing w:line="360" w:lineRule="auto"/>
              <w:jc w:val="center"/>
              <w:outlineLvl w:val="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w:t>
            </w:r>
          </w:p>
        </w:tc>
        <w:tc>
          <w:tcPr>
            <w:tcW w:w="4755"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根据投标人针对本项目提出的档</w:t>
            </w:r>
            <w:r>
              <w:rPr>
                <w:rFonts w:hint="eastAsia" w:ascii="宋体" w:hAnsi="宋体" w:eastAsia="宋体" w:cs="宋体"/>
                <w:snapToGrid w:val="0"/>
                <w:sz w:val="21"/>
                <w:szCs w:val="21"/>
                <w:highlight w:val="none"/>
              </w:rPr>
              <w:t>案建立与管理：</w:t>
            </w:r>
            <w:r>
              <w:rPr>
                <w:rFonts w:hint="eastAsia" w:ascii="宋体" w:hAnsi="宋体" w:cs="宋体"/>
                <w:snapToGrid w:val="0"/>
                <w:sz w:val="21"/>
                <w:szCs w:val="21"/>
                <w:highlight w:val="none"/>
                <w:lang w:eastAsia="zh-CN"/>
              </w:rPr>
              <w:t>①</w:t>
            </w:r>
            <w:r>
              <w:rPr>
                <w:rFonts w:hint="eastAsia" w:ascii="宋体" w:hAnsi="宋体" w:eastAsia="宋体" w:cs="宋体"/>
                <w:snapToGrid w:val="0"/>
                <w:sz w:val="21"/>
                <w:szCs w:val="21"/>
                <w:highlight w:val="none"/>
              </w:rPr>
              <w:t>维修档案</w:t>
            </w:r>
            <w:r>
              <w:rPr>
                <w:rFonts w:hint="eastAsia" w:ascii="宋体" w:hAnsi="宋体" w:cs="宋体"/>
                <w:snapToGrid w:val="0"/>
                <w:sz w:val="21"/>
                <w:szCs w:val="21"/>
                <w:highlight w:val="none"/>
                <w:lang w:eastAsia="zh-CN"/>
              </w:rPr>
              <w:t>②</w:t>
            </w:r>
            <w:r>
              <w:rPr>
                <w:rFonts w:hint="eastAsia" w:ascii="宋体" w:hAnsi="宋体" w:eastAsia="宋体" w:cs="宋体"/>
                <w:snapToGrid w:val="0"/>
                <w:sz w:val="21"/>
                <w:szCs w:val="21"/>
                <w:highlight w:val="none"/>
              </w:rPr>
              <w:t>巡视记录</w:t>
            </w:r>
            <w:r>
              <w:rPr>
                <w:rFonts w:hint="eastAsia" w:ascii="宋体" w:hAnsi="宋体" w:cs="宋体"/>
                <w:snapToGrid w:val="0"/>
                <w:sz w:val="21"/>
                <w:szCs w:val="21"/>
                <w:highlight w:val="none"/>
                <w:lang w:eastAsia="zh-CN"/>
              </w:rPr>
              <w:t>③</w:t>
            </w:r>
            <w:r>
              <w:rPr>
                <w:rFonts w:hint="eastAsia" w:ascii="宋体" w:hAnsi="宋体" w:eastAsia="宋体" w:cs="宋体"/>
                <w:snapToGrid w:val="0"/>
                <w:sz w:val="21"/>
                <w:szCs w:val="21"/>
                <w:highlight w:val="none"/>
              </w:rPr>
              <w:t>投诉与回访记录</w:t>
            </w:r>
            <w:r>
              <w:rPr>
                <w:rFonts w:hint="eastAsia" w:ascii="宋体" w:hAnsi="宋体" w:cs="宋体"/>
                <w:snapToGrid w:val="0"/>
                <w:sz w:val="21"/>
                <w:szCs w:val="21"/>
                <w:highlight w:val="none"/>
                <w:lang w:eastAsia="zh-CN"/>
              </w:rPr>
              <w:t>④</w:t>
            </w:r>
            <w:r>
              <w:rPr>
                <w:rFonts w:hint="eastAsia" w:ascii="宋体" w:hAnsi="宋体" w:eastAsia="宋体" w:cs="宋体"/>
                <w:snapToGrid w:val="0"/>
                <w:sz w:val="21"/>
                <w:szCs w:val="21"/>
                <w:highlight w:val="none"/>
              </w:rPr>
              <w:t>其他管理服务流动记录及档案，从完整性、合理性、可行性方面进行评分，每有一项满足要求的得1分，本项最高得</w:t>
            </w:r>
            <w:r>
              <w:rPr>
                <w:rFonts w:hint="eastAsia" w:ascii="宋体" w:hAnsi="宋体" w:cs="宋体"/>
                <w:snapToGrid w:val="0"/>
                <w:sz w:val="21"/>
                <w:szCs w:val="21"/>
                <w:highlight w:val="none"/>
                <w:lang w:val="en-US" w:eastAsia="zh-CN"/>
              </w:rPr>
              <w:t>4</w:t>
            </w:r>
            <w:r>
              <w:rPr>
                <w:rFonts w:hint="eastAsia" w:ascii="宋体" w:hAnsi="宋体" w:eastAsia="宋体" w:cs="宋体"/>
                <w:snapToGrid w:val="0"/>
                <w:sz w:val="21"/>
                <w:szCs w:val="21"/>
                <w:highlight w:val="none"/>
              </w:rPr>
              <w:t>分。（</w:t>
            </w:r>
            <w:r>
              <w:rPr>
                <w:rFonts w:hint="eastAsia" w:ascii="宋体" w:hAnsi="宋体" w:cs="宋体"/>
                <w:snapToGrid w:val="0"/>
                <w:sz w:val="21"/>
                <w:szCs w:val="21"/>
                <w:highlight w:val="none"/>
                <w:lang w:val="en-US" w:eastAsia="zh-CN"/>
              </w:rPr>
              <w:t>4</w:t>
            </w:r>
            <w:r>
              <w:rPr>
                <w:rFonts w:hint="eastAsia" w:ascii="宋体" w:hAnsi="宋体" w:eastAsia="宋体" w:cs="宋体"/>
                <w:snapToGrid w:val="0"/>
                <w:sz w:val="21"/>
                <w:szCs w:val="21"/>
                <w:highlight w:val="none"/>
              </w:rPr>
              <w:t>分）</w:t>
            </w:r>
          </w:p>
        </w:tc>
        <w:tc>
          <w:tcPr>
            <w:tcW w:w="660" w:type="dxa"/>
            <w:vAlign w:val="center"/>
          </w:tcPr>
          <w:p>
            <w:pPr>
              <w:pStyle w:val="34"/>
              <w:snapToGrid w:val="0"/>
              <w:spacing w:line="32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napToGrid/>
                <w:color w:val="000000" w:themeColor="text1"/>
                <w:sz w:val="21"/>
                <w:szCs w:val="21"/>
                <w14:textFill>
                  <w14:solidFill>
                    <w14:schemeClr w14:val="tx1"/>
                  </w14:solidFill>
                </w14:textFill>
              </w:rPr>
              <w:t>0-</w:t>
            </w:r>
            <w:r>
              <w:rPr>
                <w:rFonts w:hint="eastAsia" w:hAnsi="宋体" w:cs="宋体"/>
                <w:snapToGrid/>
                <w:color w:val="000000" w:themeColor="text1"/>
                <w:sz w:val="21"/>
                <w:szCs w:val="21"/>
                <w:lang w:val="en-US" w:eastAsia="zh-CN"/>
                <w14:textFill>
                  <w14:solidFill>
                    <w14:schemeClr w14:val="tx1"/>
                  </w14:solidFill>
                </w14:textFill>
              </w:rPr>
              <w:t>4</w:t>
            </w:r>
          </w:p>
        </w:tc>
        <w:tc>
          <w:tcPr>
            <w:tcW w:w="1200"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主观分</w:t>
            </w:r>
          </w:p>
        </w:tc>
        <w:tc>
          <w:tcPr>
            <w:tcW w:w="1772" w:type="dxa"/>
            <w:vMerge w:val="restart"/>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具体服务管理计划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trPr>
        <w:tc>
          <w:tcPr>
            <w:tcW w:w="660" w:type="dxa"/>
            <w:vMerge w:val="continue"/>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p>
        </w:tc>
        <w:tc>
          <w:tcPr>
            <w:tcW w:w="4755" w:type="dxa"/>
            <w:vAlign w:val="center"/>
          </w:tcPr>
          <w:p>
            <w:pPr>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sz w:val="21"/>
                <w:szCs w:val="21"/>
                <w:highlight w:val="none"/>
              </w:rPr>
              <w:t>针对本项目提出的保洁方案有①区域内整体清洁及时并干净整洁；②卫生死角、乱堆乱放、乱贴乱画的处理；③垃圾分类及清运；④建筑装修垃圾的处理，⑤道路、水沟养护等，从完整性、合理性、可行性方面进行评分，每有一项满足要求的得1分，本项最高得</w:t>
            </w:r>
            <w:r>
              <w:rPr>
                <w:rFonts w:hint="eastAsia" w:ascii="宋体" w:hAnsi="宋体" w:cs="宋体"/>
                <w:snapToGrid w:val="0"/>
                <w:sz w:val="21"/>
                <w:szCs w:val="21"/>
                <w:highlight w:val="none"/>
                <w:lang w:val="en-US" w:eastAsia="zh-CN"/>
              </w:rPr>
              <w:t>5</w:t>
            </w:r>
            <w:r>
              <w:rPr>
                <w:rFonts w:hint="eastAsia" w:ascii="宋体" w:hAnsi="宋体" w:eastAsia="宋体" w:cs="宋体"/>
                <w:snapToGrid w:val="0"/>
                <w:sz w:val="21"/>
                <w:szCs w:val="21"/>
                <w:highlight w:val="none"/>
              </w:rPr>
              <w:t>分。（</w:t>
            </w:r>
            <w:r>
              <w:rPr>
                <w:rFonts w:hint="eastAsia" w:ascii="宋体" w:hAnsi="宋体" w:cs="宋体"/>
                <w:snapToGrid w:val="0"/>
                <w:sz w:val="21"/>
                <w:szCs w:val="21"/>
                <w:highlight w:val="none"/>
                <w:lang w:val="en-US" w:eastAsia="zh-CN"/>
              </w:rPr>
              <w:t>5</w:t>
            </w:r>
            <w:r>
              <w:rPr>
                <w:rFonts w:hint="eastAsia" w:ascii="宋体" w:hAnsi="宋体" w:eastAsia="宋体" w:cs="宋体"/>
                <w:snapToGrid w:val="0"/>
                <w:sz w:val="21"/>
                <w:szCs w:val="21"/>
                <w:highlight w:val="none"/>
              </w:rPr>
              <w:t>分）</w:t>
            </w:r>
          </w:p>
        </w:tc>
        <w:tc>
          <w:tcPr>
            <w:tcW w:w="660" w:type="dxa"/>
            <w:vAlign w:val="center"/>
          </w:tcPr>
          <w:p>
            <w:pPr>
              <w:spacing w:line="360" w:lineRule="auto"/>
              <w:jc w:val="center"/>
              <w:outlineLvl w:val="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5</w:t>
            </w:r>
          </w:p>
        </w:tc>
        <w:tc>
          <w:tcPr>
            <w:tcW w:w="1200" w:type="dxa"/>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主观分</w:t>
            </w:r>
          </w:p>
        </w:tc>
        <w:tc>
          <w:tcPr>
            <w:tcW w:w="1772" w:type="dxa"/>
            <w:vMerge w:val="continue"/>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660" w:type="dxa"/>
            <w:vMerge w:val="continue"/>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p>
        </w:tc>
        <w:tc>
          <w:tcPr>
            <w:tcW w:w="4755" w:type="dxa"/>
            <w:vAlign w:val="center"/>
          </w:tcPr>
          <w:p>
            <w:pPr>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sz w:val="21"/>
                <w:szCs w:val="21"/>
                <w:highlight w:val="none"/>
              </w:rPr>
              <w:t>针对本项目提出的安保服务方案有①汽车停放管理；②电瓶车充电安全防范；③公共秩序维护；④台账记录等，从完整性、合理性、可行性方面进行评分，每有一项满足要求的得1分，本项最高得</w:t>
            </w:r>
            <w:r>
              <w:rPr>
                <w:rFonts w:hint="eastAsia" w:ascii="宋体" w:hAnsi="宋体" w:cs="宋体"/>
                <w:snapToGrid w:val="0"/>
                <w:sz w:val="21"/>
                <w:szCs w:val="21"/>
                <w:highlight w:val="none"/>
                <w:lang w:val="en-US" w:eastAsia="zh-CN"/>
              </w:rPr>
              <w:t>4</w:t>
            </w:r>
            <w:r>
              <w:rPr>
                <w:rFonts w:hint="eastAsia" w:ascii="宋体" w:hAnsi="宋体" w:eastAsia="宋体" w:cs="宋体"/>
                <w:snapToGrid w:val="0"/>
                <w:sz w:val="21"/>
                <w:szCs w:val="21"/>
                <w:highlight w:val="none"/>
              </w:rPr>
              <w:t>分。</w:t>
            </w:r>
          </w:p>
        </w:tc>
        <w:tc>
          <w:tcPr>
            <w:tcW w:w="660" w:type="dxa"/>
            <w:vAlign w:val="center"/>
          </w:tcPr>
          <w:p>
            <w:pPr>
              <w:pStyle w:val="34"/>
              <w:snapToGrid w:val="0"/>
              <w:spacing w:line="320" w:lineRule="exact"/>
              <w:jc w:val="center"/>
              <w:rPr>
                <w:rFonts w:hint="eastAsia" w:ascii="宋体" w:hAnsi="宋体" w:eastAsia="宋体" w:cs="宋体"/>
                <w:snapToGrid/>
                <w:color w:val="000000" w:themeColor="text1"/>
                <w:sz w:val="21"/>
                <w:szCs w:val="21"/>
                <w:lang w:eastAsia="zh-CN"/>
                <w14:textFill>
                  <w14:solidFill>
                    <w14:schemeClr w14:val="tx1"/>
                  </w14:solidFill>
                </w14:textFill>
              </w:rPr>
            </w:pPr>
            <w:r>
              <w:rPr>
                <w:rFonts w:hint="eastAsia" w:ascii="宋体" w:hAnsi="宋体" w:eastAsia="宋体" w:cs="宋体"/>
                <w:snapToGrid/>
                <w:color w:val="000000" w:themeColor="text1"/>
                <w:sz w:val="21"/>
                <w:szCs w:val="21"/>
                <w14:textFill>
                  <w14:solidFill>
                    <w14:schemeClr w14:val="tx1"/>
                  </w14:solidFill>
                </w14:textFill>
              </w:rPr>
              <w:t>0-</w:t>
            </w:r>
            <w:r>
              <w:rPr>
                <w:rFonts w:hint="eastAsia" w:hAnsi="宋体" w:cs="宋体"/>
                <w:snapToGrid/>
                <w:color w:val="000000" w:themeColor="text1"/>
                <w:sz w:val="21"/>
                <w:szCs w:val="21"/>
                <w:lang w:val="en-US" w:eastAsia="zh-CN"/>
                <w14:textFill>
                  <w14:solidFill>
                    <w14:schemeClr w14:val="tx1"/>
                  </w14:solidFill>
                </w14:textFill>
              </w:rPr>
              <w:t>4</w:t>
            </w:r>
          </w:p>
        </w:tc>
        <w:tc>
          <w:tcPr>
            <w:tcW w:w="1200"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主观分</w:t>
            </w:r>
          </w:p>
        </w:tc>
        <w:tc>
          <w:tcPr>
            <w:tcW w:w="1772" w:type="dxa"/>
            <w:vMerge w:val="continue"/>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660" w:type="dxa"/>
            <w:vMerge w:val="continue"/>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p>
        </w:tc>
        <w:tc>
          <w:tcPr>
            <w:tcW w:w="4755" w:type="dxa"/>
            <w:vAlign w:val="center"/>
          </w:tcPr>
          <w:p>
            <w:pPr>
              <w:spacing w:line="360" w:lineRule="exact"/>
              <w:rPr>
                <w:rFonts w:hint="eastAsia"/>
                <w:highlight w:val="none"/>
              </w:rPr>
            </w:pPr>
            <w:r>
              <w:rPr>
                <w:rFonts w:hint="eastAsia"/>
                <w:highlight w:val="none"/>
              </w:rPr>
              <w:t>针对本项目提出的工程维修实施方案有①办公楼内出现的公共设施维修问题，②消防设施、安防等设备定期维护③楼道亮灯等，</w:t>
            </w:r>
            <w:r>
              <w:rPr>
                <w:rFonts w:hint="eastAsia" w:ascii="宋体" w:hAnsi="宋体" w:eastAsia="宋体" w:cs="宋体"/>
                <w:snapToGrid w:val="0"/>
                <w:sz w:val="21"/>
                <w:szCs w:val="21"/>
                <w:highlight w:val="none"/>
              </w:rPr>
              <w:t>从完整性、合理性、可行性方面进行评分，每有一项满足要求的得1分，本项最高得</w:t>
            </w:r>
            <w:r>
              <w:rPr>
                <w:rFonts w:hint="eastAsia" w:ascii="宋体" w:hAnsi="宋体" w:cs="宋体"/>
                <w:snapToGrid w:val="0"/>
                <w:sz w:val="21"/>
                <w:szCs w:val="21"/>
                <w:highlight w:val="none"/>
                <w:lang w:val="en-US" w:eastAsia="zh-CN"/>
              </w:rPr>
              <w:t>3</w:t>
            </w:r>
            <w:r>
              <w:rPr>
                <w:rFonts w:hint="eastAsia" w:ascii="宋体" w:hAnsi="宋体" w:eastAsia="宋体" w:cs="宋体"/>
                <w:snapToGrid w:val="0"/>
                <w:sz w:val="21"/>
                <w:szCs w:val="21"/>
                <w:highlight w:val="none"/>
              </w:rPr>
              <w:t>分。</w:t>
            </w:r>
          </w:p>
        </w:tc>
        <w:tc>
          <w:tcPr>
            <w:tcW w:w="660" w:type="dxa"/>
            <w:vAlign w:val="center"/>
          </w:tcPr>
          <w:p>
            <w:pPr>
              <w:spacing w:line="360" w:lineRule="auto"/>
              <w:jc w:val="center"/>
              <w:outlineLvl w:val="0"/>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0-3</w:t>
            </w:r>
          </w:p>
        </w:tc>
        <w:tc>
          <w:tcPr>
            <w:tcW w:w="1200" w:type="dxa"/>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主观分</w:t>
            </w:r>
          </w:p>
        </w:tc>
        <w:tc>
          <w:tcPr>
            <w:tcW w:w="1772" w:type="dxa"/>
            <w:vMerge w:val="continue"/>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660" w:type="dxa"/>
            <w:vMerge w:val="continue"/>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p>
        </w:tc>
        <w:tc>
          <w:tcPr>
            <w:tcW w:w="4755" w:type="dxa"/>
            <w:vAlign w:val="center"/>
          </w:tcPr>
          <w:p>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根据投标人针对本项目提出的绿化养护方案有①实施专业绿化养护管理，②定期修剪养护等内容，</w:t>
            </w:r>
            <w:r>
              <w:rPr>
                <w:rFonts w:hint="eastAsia" w:ascii="宋体" w:hAnsi="宋体" w:eastAsia="宋体" w:cs="宋体"/>
                <w:sz w:val="21"/>
                <w:szCs w:val="21"/>
              </w:rPr>
              <w:t>方案详尽、准确、针对性强且合理的，得3分；内容有欠缺、基本合理的，得2分；分析不全面或合理性有欠缺的，得1分；未提供或完全不符的，不得分。（3分）</w:t>
            </w:r>
          </w:p>
        </w:tc>
        <w:tc>
          <w:tcPr>
            <w:tcW w:w="660" w:type="dxa"/>
            <w:vAlign w:val="center"/>
          </w:tcPr>
          <w:p>
            <w:pPr>
              <w:pStyle w:val="34"/>
              <w:snapToGrid w:val="0"/>
              <w:spacing w:line="320" w:lineRule="exact"/>
              <w:jc w:val="center"/>
              <w:rPr>
                <w:rFonts w:hint="eastAsia" w:ascii="宋体" w:hAnsi="宋体" w:eastAsia="宋体" w:cs="宋体"/>
                <w:snapToGrid/>
                <w:color w:val="000000" w:themeColor="text1"/>
                <w:sz w:val="21"/>
                <w:szCs w:val="21"/>
                <w14:textFill>
                  <w14:solidFill>
                    <w14:schemeClr w14:val="tx1"/>
                  </w14:solidFill>
                </w14:textFill>
              </w:rPr>
            </w:pPr>
            <w:r>
              <w:rPr>
                <w:rFonts w:hint="eastAsia" w:ascii="宋体" w:hAnsi="宋体" w:eastAsia="宋体" w:cs="宋体"/>
                <w:snapToGrid/>
                <w:color w:val="000000" w:themeColor="text1"/>
                <w:sz w:val="21"/>
                <w:szCs w:val="21"/>
                <w14:textFill>
                  <w14:solidFill>
                    <w14:schemeClr w14:val="tx1"/>
                  </w14:solidFill>
                </w14:textFill>
              </w:rPr>
              <w:t>0-3</w:t>
            </w:r>
          </w:p>
        </w:tc>
        <w:tc>
          <w:tcPr>
            <w:tcW w:w="1200"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主观分</w:t>
            </w:r>
          </w:p>
        </w:tc>
        <w:tc>
          <w:tcPr>
            <w:tcW w:w="1772" w:type="dxa"/>
            <w:vMerge w:val="continue"/>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660" w:type="dxa"/>
            <w:vMerge w:val="continue"/>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p>
        </w:tc>
        <w:tc>
          <w:tcPr>
            <w:tcW w:w="4755" w:type="dxa"/>
            <w:vAlign w:val="center"/>
          </w:tcPr>
          <w:p>
            <w:pPr>
              <w:spacing w:line="360" w:lineRule="exact"/>
              <w:rPr>
                <w:rFonts w:hint="eastAsia" w:ascii="宋体" w:hAnsi="宋体" w:eastAsia="宋体" w:cs="宋体"/>
                <w:sz w:val="21"/>
                <w:szCs w:val="21"/>
                <w:highlight w:val="none"/>
              </w:rPr>
            </w:pPr>
            <w:r>
              <w:rPr>
                <w:rFonts w:hint="eastAsia" w:ascii="宋体" w:hAnsi="宋体" w:eastAsia="宋体" w:cs="宋体"/>
                <w:snapToGrid w:val="0"/>
                <w:sz w:val="21"/>
                <w:szCs w:val="21"/>
                <w:highlight w:val="none"/>
              </w:rPr>
              <w:t>针对本项目提出①消防和安全事故、②防汛抗台、③雨雪冰冻、④重大活动和重点区域的应急能力保障方案⑤新冠疫情防控、防范措施方案</w:t>
            </w:r>
            <w:r>
              <w:rPr>
                <w:rFonts w:hint="eastAsia" w:ascii="宋体" w:hAnsi="宋体" w:cs="宋体"/>
                <w:snapToGrid w:val="0"/>
                <w:sz w:val="21"/>
                <w:szCs w:val="21"/>
                <w:highlight w:val="none"/>
                <w:lang w:eastAsia="zh-CN"/>
              </w:rPr>
              <w:t>。</w:t>
            </w:r>
            <w:r>
              <w:rPr>
                <w:rFonts w:hint="eastAsia" w:ascii="宋体" w:hAnsi="宋体" w:eastAsia="宋体" w:cs="宋体"/>
                <w:snapToGrid w:val="0"/>
                <w:sz w:val="21"/>
                <w:szCs w:val="21"/>
                <w:highlight w:val="none"/>
              </w:rPr>
              <w:t>从内容</w:t>
            </w:r>
            <w:r>
              <w:rPr>
                <w:rFonts w:hint="eastAsia" w:ascii="宋体" w:hAnsi="宋体" w:eastAsia="宋体" w:cs="宋体"/>
                <w:snapToGrid w:val="0"/>
                <w:sz w:val="21"/>
                <w:szCs w:val="21"/>
                <w:highlight w:val="none"/>
                <w:lang w:eastAsia="zh-CN"/>
              </w:rPr>
              <w:t>的</w:t>
            </w:r>
            <w:r>
              <w:rPr>
                <w:rFonts w:hint="eastAsia" w:ascii="宋体" w:hAnsi="宋体" w:eastAsia="宋体" w:cs="宋体"/>
                <w:snapToGrid w:val="0"/>
                <w:sz w:val="21"/>
                <w:szCs w:val="21"/>
                <w:highlight w:val="none"/>
              </w:rPr>
              <w:t>针对性</w:t>
            </w:r>
            <w:r>
              <w:rPr>
                <w:rFonts w:hint="eastAsia" w:ascii="宋体" w:hAnsi="宋体" w:eastAsia="宋体" w:cs="宋体"/>
                <w:snapToGrid w:val="0"/>
                <w:sz w:val="21"/>
                <w:szCs w:val="21"/>
                <w:highlight w:val="none"/>
                <w:lang w:eastAsia="zh-CN"/>
              </w:rPr>
              <w:t>、</w:t>
            </w:r>
            <w:r>
              <w:rPr>
                <w:rFonts w:hint="eastAsia" w:ascii="宋体" w:hAnsi="宋体" w:eastAsia="宋体" w:cs="宋体"/>
                <w:snapToGrid w:val="0"/>
                <w:sz w:val="21"/>
                <w:szCs w:val="21"/>
                <w:highlight w:val="none"/>
              </w:rPr>
              <w:t>完整性、合理性、可行性方面进行评分，每有一项满足要求的得1分，本项最高得</w:t>
            </w:r>
            <w:r>
              <w:rPr>
                <w:rFonts w:hint="eastAsia" w:ascii="宋体" w:hAnsi="宋体" w:cs="宋体"/>
                <w:snapToGrid w:val="0"/>
                <w:sz w:val="21"/>
                <w:szCs w:val="21"/>
                <w:highlight w:val="none"/>
                <w:lang w:val="en-US" w:eastAsia="zh-CN"/>
              </w:rPr>
              <w:t>5</w:t>
            </w:r>
            <w:r>
              <w:rPr>
                <w:rFonts w:hint="eastAsia" w:ascii="宋体" w:hAnsi="宋体" w:eastAsia="宋体" w:cs="宋体"/>
                <w:snapToGrid w:val="0"/>
                <w:sz w:val="21"/>
                <w:szCs w:val="21"/>
                <w:highlight w:val="none"/>
              </w:rPr>
              <w:t>分。</w:t>
            </w:r>
          </w:p>
        </w:tc>
        <w:tc>
          <w:tcPr>
            <w:tcW w:w="660" w:type="dxa"/>
            <w:vAlign w:val="center"/>
          </w:tcPr>
          <w:p>
            <w:pPr>
              <w:pStyle w:val="34"/>
              <w:snapToGrid w:val="0"/>
              <w:spacing w:line="32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napToGrid/>
                <w:color w:val="000000" w:themeColor="text1"/>
                <w:sz w:val="21"/>
                <w:szCs w:val="21"/>
                <w14:textFill>
                  <w14:solidFill>
                    <w14:schemeClr w14:val="tx1"/>
                  </w14:solidFill>
                </w14:textFill>
              </w:rPr>
              <w:t>0-</w:t>
            </w:r>
            <w:r>
              <w:rPr>
                <w:rFonts w:hint="eastAsia" w:hAnsi="宋体" w:cs="宋体"/>
                <w:snapToGrid/>
                <w:color w:val="000000" w:themeColor="text1"/>
                <w:sz w:val="21"/>
                <w:szCs w:val="21"/>
                <w:lang w:val="en-US" w:eastAsia="zh-CN"/>
                <w14:textFill>
                  <w14:solidFill>
                    <w14:schemeClr w14:val="tx1"/>
                  </w14:solidFill>
                </w14:textFill>
              </w:rPr>
              <w:t>5</w:t>
            </w:r>
          </w:p>
        </w:tc>
        <w:tc>
          <w:tcPr>
            <w:tcW w:w="1200"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主观分</w:t>
            </w:r>
          </w:p>
        </w:tc>
        <w:tc>
          <w:tcPr>
            <w:tcW w:w="1772" w:type="dxa"/>
            <w:vMerge w:val="continue"/>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60" w:type="dxa"/>
            <w:vMerge w:val="continue"/>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p>
        </w:tc>
        <w:tc>
          <w:tcPr>
            <w:tcW w:w="4755" w:type="dxa"/>
            <w:vAlign w:val="center"/>
          </w:tcPr>
          <w:p>
            <w:pPr>
              <w:pStyle w:val="34"/>
              <w:snapToGrid w:val="0"/>
              <w:spacing w:line="320" w:lineRule="exact"/>
              <w:rPr>
                <w:rFonts w:hint="eastAsia" w:ascii="宋体" w:hAnsi="宋体" w:eastAsia="宋体" w:cs="宋体"/>
                <w:sz w:val="21"/>
                <w:szCs w:val="21"/>
              </w:rPr>
            </w:pPr>
            <w:r>
              <w:rPr>
                <w:rFonts w:hint="eastAsia" w:ascii="宋体" w:hAnsi="宋体" w:eastAsia="宋体" w:cs="宋体"/>
                <w:b w:val="0"/>
                <w:bCs w:val="0"/>
                <w:color w:val="000000" w:themeColor="text1"/>
                <w:sz w:val="21"/>
                <w:szCs w:val="21"/>
                <w14:textFill>
                  <w14:solidFill>
                    <w14:schemeClr w14:val="tx1"/>
                  </w14:solidFill>
                </w14:textFill>
              </w:rPr>
              <w:t>投标人提供质量保证及相关服务的承诺，得2分，不提供不得分。（承诺函格式自拟）</w:t>
            </w:r>
          </w:p>
        </w:tc>
        <w:tc>
          <w:tcPr>
            <w:tcW w:w="660" w:type="dxa"/>
            <w:vAlign w:val="center"/>
          </w:tcPr>
          <w:p>
            <w:pPr>
              <w:pStyle w:val="34"/>
              <w:snapToGrid w:val="0"/>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0-2</w:t>
            </w:r>
          </w:p>
        </w:tc>
        <w:tc>
          <w:tcPr>
            <w:tcW w:w="1200" w:type="dxa"/>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客观分</w:t>
            </w:r>
          </w:p>
        </w:tc>
        <w:tc>
          <w:tcPr>
            <w:tcW w:w="1772" w:type="dxa"/>
            <w:vMerge w:val="continue"/>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660" w:type="dxa"/>
            <w:vMerge w:val="continue"/>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p>
        </w:tc>
        <w:tc>
          <w:tcPr>
            <w:tcW w:w="4755" w:type="dxa"/>
            <w:vAlign w:val="center"/>
          </w:tcPr>
          <w:p>
            <w:pPr>
              <w:pStyle w:val="34"/>
              <w:snapToGrid w:val="0"/>
              <w:spacing w:line="3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为保证项目有序开展，以及工作顺利实施，投标文件中应提供服务的质量保证措施及质量，方案详尽、准确、针对性强且合理的，得3分；内容有欠缺、基本合理的，得2分；分析不全面或合理性有欠缺的，得1分；未提供或完全不符的，不得分。（3分）</w:t>
            </w:r>
          </w:p>
        </w:tc>
        <w:tc>
          <w:tcPr>
            <w:tcW w:w="660" w:type="dxa"/>
            <w:vAlign w:val="center"/>
          </w:tcPr>
          <w:p>
            <w:pPr>
              <w:pStyle w:val="34"/>
              <w:snapToGrid w:val="0"/>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color w:val="000000" w:themeColor="text1"/>
                <w:sz w:val="21"/>
                <w:szCs w:val="21"/>
                <w14:textFill>
                  <w14:solidFill>
                    <w14:schemeClr w14:val="tx1"/>
                  </w14:solidFill>
                </w14:textFill>
              </w:rPr>
              <w:t>0-3</w:t>
            </w:r>
          </w:p>
        </w:tc>
        <w:tc>
          <w:tcPr>
            <w:tcW w:w="1200"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主观分</w:t>
            </w:r>
          </w:p>
        </w:tc>
        <w:tc>
          <w:tcPr>
            <w:tcW w:w="1772" w:type="dxa"/>
            <w:vMerge w:val="continue"/>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660" w:type="dxa"/>
            <w:vMerge w:val="continue"/>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p>
        </w:tc>
        <w:tc>
          <w:tcPr>
            <w:tcW w:w="4755"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根据投标人针对本项目整体实施方案和实施过程中的安全生产管理、责任管理措施，方案详尽、准确、</w:t>
            </w:r>
            <w:r>
              <w:rPr>
                <w:rFonts w:hint="eastAsia" w:ascii="宋体" w:hAnsi="宋体" w:eastAsia="宋体" w:cs="宋体"/>
                <w:snapToGrid w:val="0"/>
                <w:sz w:val="21"/>
                <w:szCs w:val="21"/>
              </w:rPr>
              <w:t>针对性强且合理的，得3分；内容有欠缺、基本合理的，得2分；分析不全面或合理性有欠缺的，得1分；未提供或完全不符的，不得分。（3分）</w:t>
            </w:r>
          </w:p>
        </w:tc>
        <w:tc>
          <w:tcPr>
            <w:tcW w:w="660" w:type="dxa"/>
            <w:vAlign w:val="center"/>
          </w:tcPr>
          <w:p>
            <w:pPr>
              <w:pStyle w:val="34"/>
              <w:snapToGrid w:val="0"/>
              <w:spacing w:line="320" w:lineRule="exact"/>
              <w:jc w:val="center"/>
              <w:rPr>
                <w:rFonts w:hint="eastAsia" w:ascii="宋体" w:hAnsi="宋体" w:eastAsia="宋体" w:cs="宋体"/>
                <w:snapToGrid/>
                <w:color w:val="000000" w:themeColor="text1"/>
                <w:sz w:val="21"/>
                <w:szCs w:val="21"/>
                <w14:textFill>
                  <w14:solidFill>
                    <w14:schemeClr w14:val="tx1"/>
                  </w14:solidFill>
                </w14:textFill>
              </w:rPr>
            </w:pPr>
            <w:r>
              <w:rPr>
                <w:rFonts w:hint="eastAsia" w:ascii="宋体" w:hAnsi="宋体" w:eastAsia="宋体" w:cs="宋体"/>
                <w:snapToGrid/>
                <w:color w:val="000000" w:themeColor="text1"/>
                <w:sz w:val="21"/>
                <w:szCs w:val="21"/>
                <w14:textFill>
                  <w14:solidFill>
                    <w14:schemeClr w14:val="tx1"/>
                  </w14:solidFill>
                </w14:textFill>
              </w:rPr>
              <w:t>0-3</w:t>
            </w:r>
          </w:p>
        </w:tc>
        <w:tc>
          <w:tcPr>
            <w:tcW w:w="1200"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主观分</w:t>
            </w:r>
          </w:p>
        </w:tc>
        <w:tc>
          <w:tcPr>
            <w:tcW w:w="1772" w:type="dxa"/>
            <w:vMerge w:val="continue"/>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660" w:type="dxa"/>
            <w:vMerge w:val="continue"/>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p>
        </w:tc>
        <w:tc>
          <w:tcPr>
            <w:tcW w:w="4755" w:type="dxa"/>
            <w:vAlign w:val="center"/>
          </w:tcPr>
          <w:p>
            <w:pPr>
              <w:rPr>
                <w:rFonts w:hint="eastAsia" w:ascii="宋体" w:hAnsi="宋体" w:eastAsia="宋体" w:cs="宋体"/>
                <w:sz w:val="21"/>
                <w:szCs w:val="21"/>
                <w:highlight w:val="none"/>
              </w:rPr>
            </w:pPr>
            <w:r>
              <w:rPr>
                <w:rFonts w:hint="eastAsia" w:ascii="宋体" w:hAnsi="宋体" w:eastAsia="宋体" w:cs="宋体"/>
                <w:snapToGrid w:val="0"/>
                <w:sz w:val="21"/>
                <w:szCs w:val="21"/>
                <w:highlight w:val="none"/>
              </w:rPr>
              <w:t>投标人提供完整的人员垃圾分类工作培训方案，内容包含但不限于①岗位标准②专业知识③职业道德规范等内容，根据培训内容的全面性、合理性、科学性，每有一项满足要求的得1分，本项最高得</w:t>
            </w:r>
            <w:r>
              <w:rPr>
                <w:rFonts w:hint="eastAsia" w:ascii="宋体" w:hAnsi="宋体" w:cs="宋体"/>
                <w:snapToGrid w:val="0"/>
                <w:sz w:val="21"/>
                <w:szCs w:val="21"/>
                <w:highlight w:val="none"/>
                <w:lang w:val="en-US" w:eastAsia="zh-CN"/>
              </w:rPr>
              <w:t>3</w:t>
            </w:r>
            <w:r>
              <w:rPr>
                <w:rFonts w:hint="eastAsia" w:ascii="宋体" w:hAnsi="宋体" w:eastAsia="宋体" w:cs="宋体"/>
                <w:snapToGrid w:val="0"/>
                <w:sz w:val="21"/>
                <w:szCs w:val="21"/>
                <w:highlight w:val="none"/>
              </w:rPr>
              <w:t>分。</w:t>
            </w:r>
          </w:p>
        </w:tc>
        <w:tc>
          <w:tcPr>
            <w:tcW w:w="660" w:type="dxa"/>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0-3</w:t>
            </w:r>
          </w:p>
        </w:tc>
        <w:tc>
          <w:tcPr>
            <w:tcW w:w="1200" w:type="dxa"/>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主观分</w:t>
            </w:r>
          </w:p>
        </w:tc>
        <w:tc>
          <w:tcPr>
            <w:tcW w:w="1772" w:type="dxa"/>
            <w:vMerge w:val="continue"/>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660" w:type="dxa"/>
            <w:vMerge w:val="continue"/>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p>
        </w:tc>
        <w:tc>
          <w:tcPr>
            <w:tcW w:w="4755" w:type="dxa"/>
            <w:vAlign w:val="center"/>
          </w:tcPr>
          <w:p>
            <w:pPr>
              <w:rPr>
                <w:rFonts w:hint="eastAsia" w:ascii="宋体" w:hAnsi="宋体" w:eastAsia="宋体" w:cs="宋体"/>
                <w:sz w:val="21"/>
                <w:szCs w:val="21"/>
                <w:highlight w:val="none"/>
              </w:rPr>
            </w:pPr>
            <w:r>
              <w:rPr>
                <w:rFonts w:hint="eastAsia" w:ascii="宋体" w:hAnsi="宋体" w:cs="宋体"/>
                <w:snapToGrid w:val="0"/>
                <w:sz w:val="21"/>
                <w:szCs w:val="21"/>
                <w:highlight w:val="none"/>
                <w:lang w:eastAsia="zh-CN"/>
              </w:rPr>
              <w:t>根据①</w:t>
            </w:r>
            <w:r>
              <w:rPr>
                <w:rFonts w:hint="eastAsia" w:ascii="宋体" w:hAnsi="宋体" w:eastAsia="宋体" w:cs="宋体"/>
                <w:snapToGrid w:val="0"/>
                <w:sz w:val="21"/>
                <w:szCs w:val="21"/>
                <w:highlight w:val="none"/>
              </w:rPr>
              <w:t>理论学习和实践操作相结合</w:t>
            </w:r>
            <w:r>
              <w:rPr>
                <w:rFonts w:hint="eastAsia" w:ascii="宋体" w:hAnsi="宋体" w:cs="宋体"/>
                <w:snapToGrid w:val="0"/>
                <w:sz w:val="21"/>
                <w:szCs w:val="21"/>
                <w:highlight w:val="none"/>
                <w:lang w:eastAsia="zh-CN"/>
              </w:rPr>
              <w:t>②</w:t>
            </w:r>
            <w:r>
              <w:rPr>
                <w:rFonts w:hint="eastAsia" w:ascii="宋体" w:hAnsi="宋体" w:eastAsia="宋体" w:cs="宋体"/>
                <w:snapToGrid w:val="0"/>
                <w:sz w:val="21"/>
                <w:szCs w:val="21"/>
                <w:highlight w:val="none"/>
              </w:rPr>
              <w:t>定期培训</w:t>
            </w:r>
            <w:r>
              <w:rPr>
                <w:rFonts w:hint="eastAsia" w:ascii="宋体" w:hAnsi="宋体" w:cs="宋体"/>
                <w:snapToGrid w:val="0"/>
                <w:sz w:val="21"/>
                <w:szCs w:val="21"/>
                <w:highlight w:val="none"/>
                <w:lang w:eastAsia="zh-CN"/>
              </w:rPr>
              <w:t>③</w:t>
            </w:r>
            <w:r>
              <w:rPr>
                <w:rFonts w:hint="eastAsia" w:ascii="宋体" w:hAnsi="宋体" w:eastAsia="宋体" w:cs="宋体"/>
                <w:snapToGrid w:val="0"/>
                <w:sz w:val="21"/>
                <w:szCs w:val="21"/>
                <w:highlight w:val="none"/>
              </w:rPr>
              <w:t>考试等培训方式</w:t>
            </w:r>
            <w:r>
              <w:rPr>
                <w:rFonts w:hint="eastAsia" w:ascii="宋体" w:hAnsi="宋体" w:eastAsia="宋体" w:cs="宋体"/>
                <w:snapToGrid w:val="0"/>
                <w:sz w:val="21"/>
                <w:szCs w:val="21"/>
                <w:highlight w:val="none"/>
                <w:lang w:eastAsia="zh-CN"/>
              </w:rPr>
              <w:t>，</w:t>
            </w:r>
            <w:r>
              <w:rPr>
                <w:rFonts w:hint="eastAsia" w:ascii="宋体" w:hAnsi="宋体" w:eastAsia="宋体" w:cs="宋体"/>
                <w:snapToGrid w:val="0"/>
                <w:sz w:val="21"/>
                <w:szCs w:val="21"/>
                <w:highlight w:val="none"/>
              </w:rPr>
              <w:t>从</w:t>
            </w:r>
            <w:r>
              <w:rPr>
                <w:rFonts w:hint="eastAsia" w:ascii="宋体" w:hAnsi="宋体" w:cs="宋体"/>
                <w:snapToGrid w:val="0"/>
                <w:sz w:val="21"/>
                <w:szCs w:val="21"/>
                <w:highlight w:val="none"/>
                <w:lang w:eastAsia="zh-CN"/>
              </w:rPr>
              <w:t>培训方式</w:t>
            </w:r>
            <w:r>
              <w:rPr>
                <w:rFonts w:hint="eastAsia" w:ascii="宋体" w:hAnsi="宋体" w:eastAsia="宋体" w:cs="宋体"/>
                <w:snapToGrid w:val="0"/>
                <w:sz w:val="21"/>
                <w:szCs w:val="21"/>
                <w:highlight w:val="none"/>
                <w:lang w:eastAsia="zh-CN"/>
              </w:rPr>
              <w:t>的</w:t>
            </w:r>
            <w:r>
              <w:rPr>
                <w:rFonts w:hint="eastAsia" w:ascii="宋体" w:hAnsi="宋体" w:eastAsia="宋体" w:cs="宋体"/>
                <w:snapToGrid w:val="0"/>
                <w:sz w:val="21"/>
                <w:szCs w:val="21"/>
                <w:highlight w:val="none"/>
              </w:rPr>
              <w:t>针对性</w:t>
            </w:r>
            <w:r>
              <w:rPr>
                <w:rFonts w:hint="eastAsia" w:ascii="宋体" w:hAnsi="宋体" w:eastAsia="宋体" w:cs="宋体"/>
                <w:snapToGrid w:val="0"/>
                <w:sz w:val="21"/>
                <w:szCs w:val="21"/>
                <w:highlight w:val="none"/>
                <w:lang w:eastAsia="zh-CN"/>
              </w:rPr>
              <w:t>、</w:t>
            </w:r>
            <w:r>
              <w:rPr>
                <w:rFonts w:hint="eastAsia" w:ascii="宋体" w:hAnsi="宋体" w:eastAsia="宋体" w:cs="宋体"/>
                <w:snapToGrid w:val="0"/>
                <w:sz w:val="21"/>
                <w:szCs w:val="21"/>
                <w:highlight w:val="none"/>
              </w:rPr>
              <w:t>完整性、合理性、可行性方面进行评分，每有一项满足要求的得1分，本项最高得</w:t>
            </w:r>
            <w:r>
              <w:rPr>
                <w:rFonts w:hint="eastAsia" w:ascii="宋体" w:hAnsi="宋体" w:cs="宋体"/>
                <w:snapToGrid w:val="0"/>
                <w:sz w:val="21"/>
                <w:szCs w:val="21"/>
                <w:highlight w:val="none"/>
                <w:lang w:val="en-US" w:eastAsia="zh-CN"/>
              </w:rPr>
              <w:t>3</w:t>
            </w:r>
            <w:r>
              <w:rPr>
                <w:rFonts w:hint="eastAsia" w:ascii="宋体" w:hAnsi="宋体" w:eastAsia="宋体" w:cs="宋体"/>
                <w:snapToGrid w:val="0"/>
                <w:sz w:val="21"/>
                <w:szCs w:val="21"/>
                <w:highlight w:val="none"/>
              </w:rPr>
              <w:t>分。</w:t>
            </w:r>
          </w:p>
        </w:tc>
        <w:tc>
          <w:tcPr>
            <w:tcW w:w="660" w:type="dxa"/>
            <w:vAlign w:val="center"/>
          </w:tcPr>
          <w:p>
            <w:pPr>
              <w:pStyle w:val="34"/>
              <w:snapToGrid w:val="0"/>
              <w:spacing w:line="320" w:lineRule="exact"/>
              <w:jc w:val="center"/>
              <w:rPr>
                <w:rFonts w:hint="eastAsia" w:ascii="宋体" w:hAnsi="宋体" w:eastAsia="宋体" w:cs="宋体"/>
                <w:snapToGrid/>
                <w:color w:val="000000" w:themeColor="text1"/>
                <w:sz w:val="21"/>
                <w:szCs w:val="21"/>
                <w14:textFill>
                  <w14:solidFill>
                    <w14:schemeClr w14:val="tx1"/>
                  </w14:solidFill>
                </w14:textFill>
              </w:rPr>
            </w:pPr>
            <w:r>
              <w:rPr>
                <w:rFonts w:hint="eastAsia" w:ascii="宋体" w:hAnsi="宋体" w:eastAsia="宋体" w:cs="宋体"/>
                <w:snapToGrid/>
                <w:color w:val="000000" w:themeColor="text1"/>
                <w:sz w:val="21"/>
                <w:szCs w:val="21"/>
                <w14:textFill>
                  <w14:solidFill>
                    <w14:schemeClr w14:val="tx1"/>
                  </w14:solidFill>
                </w14:textFill>
              </w:rPr>
              <w:t>0-3</w:t>
            </w:r>
          </w:p>
        </w:tc>
        <w:tc>
          <w:tcPr>
            <w:tcW w:w="1200"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主观分</w:t>
            </w:r>
          </w:p>
        </w:tc>
        <w:tc>
          <w:tcPr>
            <w:tcW w:w="1772" w:type="dxa"/>
            <w:vMerge w:val="continue"/>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60" w:type="dxa"/>
            <w:vAlign w:val="center"/>
          </w:tcPr>
          <w:p>
            <w:pPr>
              <w:spacing w:line="360" w:lineRule="auto"/>
              <w:jc w:val="center"/>
              <w:outlineLvl w:val="0"/>
              <w:rPr>
                <w:rFonts w:hint="eastAsia" w:ascii="宋体" w:hAnsi="宋体" w:eastAsia="宋体" w:cs="宋体"/>
                <w:color w:val="000000" w:themeColor="text1"/>
                <w:sz w:val="21"/>
                <w:szCs w:val="21"/>
                <w:highlight w:val="yellow"/>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1</w:t>
            </w:r>
          </w:p>
        </w:tc>
        <w:tc>
          <w:tcPr>
            <w:tcW w:w="4755" w:type="dxa"/>
          </w:tcPr>
          <w:p>
            <w:pPr>
              <w:snapToGrid w:val="0"/>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有效投标报价的最低价作为评标基准价，其最低报价为满分；按［投标报价得分=（评标基准价/投标报价）*10］的计算公式计算。</w:t>
            </w:r>
          </w:p>
          <w:p>
            <w:pPr>
              <w:snapToGrid w:val="0"/>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评标过程中，不得去掉报价中的最高报价和最低报价。</w:t>
            </w:r>
          </w:p>
          <w:p>
            <w:pPr>
              <w:snapToGrid w:val="0"/>
              <w:spacing w:line="360" w:lineRule="exact"/>
              <w:rPr>
                <w:rFonts w:hint="eastAsia" w:ascii="宋体" w:hAnsi="宋体" w:eastAsia="宋体" w:cs="宋体"/>
                <w:bCs/>
                <w:snapToGrid w:val="0"/>
                <w:color w:val="000000"/>
                <w:kern w:val="0"/>
                <w:sz w:val="21"/>
                <w:szCs w:val="21"/>
                <w:lang w:bidi="ar"/>
              </w:rPr>
            </w:pPr>
            <w:r>
              <w:rPr>
                <w:rFonts w:hint="eastAsia" w:ascii="宋体" w:hAnsi="宋体" w:eastAsia="宋体" w:cs="宋体"/>
                <w:color w:val="000000" w:themeColor="text1"/>
                <w:sz w:val="21"/>
                <w:szCs w:val="21"/>
                <w14:textFill>
                  <w14:solidFill>
                    <w14:schemeClr w14:val="tx1"/>
                  </w14:solidFill>
                </w14:textFill>
              </w:rPr>
              <w:t>因落实政府采购政策需要进行价格调整的，以调整后的价格计算评标基准价和投标报价。</w:t>
            </w:r>
          </w:p>
        </w:tc>
        <w:tc>
          <w:tcPr>
            <w:tcW w:w="660" w:type="dxa"/>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0-10</w:t>
            </w:r>
          </w:p>
        </w:tc>
        <w:tc>
          <w:tcPr>
            <w:tcW w:w="1200" w:type="dxa"/>
            <w:vAlign w:val="center"/>
          </w:tcPr>
          <w:p>
            <w:pPr>
              <w:spacing w:line="360" w:lineRule="auto"/>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价格分</w:t>
            </w:r>
          </w:p>
        </w:tc>
        <w:tc>
          <w:tcPr>
            <w:tcW w:w="1772" w:type="dxa"/>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hint="eastAsia" w:ascii="宋体" w:hAnsi="宋体" w:cs="宋体"/>
          <w:b/>
          <w:sz w:val="32"/>
        </w:rPr>
      </w:pP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4.2.13</w:t>
      </w:r>
      <w:r>
        <w:rPr>
          <w:rFonts w:hint="eastAsia" w:ascii="宋体" w:hAnsi="宋体" w:cs="宋体"/>
          <w:kern w:val="0"/>
          <w:sz w:val="24"/>
          <w:highlight w:val="none"/>
        </w:rPr>
        <w:t>投标人未提供样品或提供的样品不满足采购需求实质性条件的，投标无效；</w:t>
      </w:r>
    </w:p>
    <w:p>
      <w:pPr>
        <w:pStyle w:val="4"/>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highlight w:val="none"/>
        </w:rPr>
        <w:t>4.2.15法律、法规、规章</w:t>
      </w:r>
      <w:r>
        <w:rPr>
          <w:rFonts w:hint="eastAsia" w:ascii="宋体" w:hAnsi="宋体" w:cs="宋体"/>
          <w:kern w:val="0"/>
          <w:sz w:val="24"/>
        </w:rPr>
        <w:t>（适用本市的）及省级以上规范性文件（适用本市的）规定的其他无效情形。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pPr>
        <w:pStyle w:val="62"/>
        <w:rPr>
          <w:rFonts w:ascii="宋体" w:hAnsi="宋体" w:cs="宋体"/>
          <w:b/>
          <w:sz w:val="36"/>
          <w:szCs w:val="36"/>
        </w:rPr>
      </w:pPr>
    </w:p>
    <w:p>
      <w:pPr>
        <w:pStyle w:val="62"/>
        <w:rPr>
          <w:rFonts w:ascii="宋体" w:hAnsi="宋体" w:cs="宋体"/>
          <w:b/>
          <w:sz w:val="36"/>
          <w:szCs w:val="36"/>
        </w:rPr>
      </w:pPr>
    </w:p>
    <w:p>
      <w:pPr>
        <w:pStyle w:val="62"/>
        <w:rPr>
          <w:rFonts w:ascii="宋体" w:hAnsi="宋体" w:cs="宋体"/>
          <w:b/>
          <w:sz w:val="36"/>
          <w:szCs w:val="36"/>
        </w:rPr>
      </w:pPr>
    </w:p>
    <w:p>
      <w:pPr>
        <w:pStyle w:val="62"/>
        <w:rPr>
          <w:rFonts w:ascii="宋体" w:hAnsi="宋体" w:cs="宋体"/>
          <w:b/>
          <w:sz w:val="36"/>
          <w:szCs w:val="36"/>
        </w:rPr>
      </w:pPr>
    </w:p>
    <w:p>
      <w:pPr>
        <w:pStyle w:val="19"/>
        <w:rPr>
          <w:rFonts w:ascii="宋体" w:hAnsi="宋体" w:cs="宋体"/>
          <w:b/>
          <w:sz w:val="36"/>
          <w:szCs w:val="36"/>
        </w:rPr>
      </w:pPr>
    </w:p>
    <w:p>
      <w:pPr>
        <w:rPr>
          <w:rFonts w:ascii="宋体" w:hAnsi="宋体" w:cs="宋体"/>
          <w:b/>
          <w:sz w:val="36"/>
          <w:szCs w:val="36"/>
        </w:rPr>
      </w:pPr>
    </w:p>
    <w:p>
      <w:pPr>
        <w:pStyle w:val="4"/>
        <w:rPr>
          <w:rFonts w:ascii="宋体" w:hAnsi="宋体" w:cs="宋体"/>
          <w:b/>
          <w:sz w:val="36"/>
          <w:szCs w:val="36"/>
        </w:rPr>
      </w:pPr>
    </w:p>
    <w:p>
      <w:pPr>
        <w:rPr>
          <w:rFonts w:ascii="宋体" w:hAnsi="宋体" w:cs="宋体"/>
          <w:b/>
          <w:sz w:val="36"/>
          <w:szCs w:val="36"/>
        </w:rPr>
      </w:pPr>
    </w:p>
    <w:p>
      <w:pPr>
        <w:pStyle w:val="4"/>
        <w:rPr>
          <w:rFonts w:ascii="宋体" w:hAnsi="宋体" w:cs="宋体"/>
          <w:b/>
          <w:sz w:val="36"/>
          <w:szCs w:val="36"/>
        </w:rPr>
      </w:pPr>
    </w:p>
    <w:p>
      <w:pPr>
        <w:rPr>
          <w:rFonts w:ascii="宋体" w:hAnsi="宋体" w:cs="宋体"/>
          <w:b/>
          <w:sz w:val="36"/>
          <w:szCs w:val="36"/>
        </w:rPr>
      </w:pPr>
    </w:p>
    <w:p>
      <w:pPr>
        <w:pStyle w:val="4"/>
        <w:rPr>
          <w:rFonts w:ascii="宋体" w:hAnsi="宋体" w:cs="宋体"/>
          <w:b/>
          <w:sz w:val="36"/>
          <w:szCs w:val="36"/>
        </w:rPr>
      </w:pPr>
    </w:p>
    <w:p>
      <w:pPr>
        <w:rPr>
          <w:rFonts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0"/>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4"/>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杭州市上城区人民法院物业管理服务项目</w:t>
      </w: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杭州市上城区人民法院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bCs w:val="0"/>
          <w:sz w:val="24"/>
        </w:rPr>
      </w:pPr>
    </w:p>
    <w:p>
      <w:pPr>
        <w:spacing w:line="360" w:lineRule="auto"/>
        <w:ind w:firstLine="960" w:firstLineChars="400"/>
        <w:rPr>
          <w:rFonts w:hint="eastAsia" w:ascii="宋体" w:hAnsi="宋体" w:eastAsia="宋体" w:cs="宋体"/>
          <w:sz w:val="24"/>
        </w:rPr>
      </w:pPr>
      <w:bookmarkStart w:id="395" w:name="_Toc28855"/>
      <w:bookmarkStart w:id="396" w:name="_Toc15367"/>
      <w:bookmarkStart w:id="397" w:name="_Toc20421"/>
      <w:bookmarkStart w:id="398" w:name="_Toc19273"/>
      <w:bookmarkStart w:id="399" w:name="_Toc22967"/>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杭州市上城区人民法院   </w:t>
      </w:r>
      <w:r>
        <w:rPr>
          <w:rFonts w:hint="eastAsia" w:ascii="宋体" w:hAnsi="宋体" w:eastAsia="宋体" w:cs="宋体"/>
          <w:sz w:val="24"/>
        </w:rPr>
        <w:t>以</w:t>
      </w:r>
      <w:r>
        <w:rPr>
          <w:rFonts w:hint="eastAsia" w:ascii="宋体" w:hAnsi="宋体" w:eastAsia="宋体" w:cs="宋体"/>
          <w:sz w:val="24"/>
          <w:u w:val="single"/>
        </w:rPr>
        <w:t xml:space="preserve">  公开招标  </w:t>
      </w:r>
      <w:r>
        <w:rPr>
          <w:rFonts w:hint="eastAsia" w:ascii="宋体" w:hAnsi="宋体" w:eastAsia="宋体" w:cs="宋体"/>
          <w:sz w:val="24"/>
        </w:rPr>
        <w:t>对</w:t>
      </w:r>
      <w:r>
        <w:rPr>
          <w:rFonts w:hint="eastAsia" w:ascii="宋体" w:hAnsi="宋体" w:eastAsia="宋体" w:cs="宋体"/>
          <w:sz w:val="24"/>
          <w:u w:val="single"/>
        </w:rPr>
        <w:t xml:space="preserve">   杭州市上城区人民法院物业管理服务项目   </w:t>
      </w:r>
      <w:r>
        <w:rPr>
          <w:rFonts w:hint="eastAsia" w:ascii="宋体" w:hAnsi="宋体" w:eastAsia="宋体" w:cs="宋体"/>
          <w:sz w:val="24"/>
        </w:rPr>
        <w:t xml:space="preserve"> 项目进行了采购。经</w:t>
      </w:r>
      <w:r>
        <w:rPr>
          <w:rFonts w:hint="eastAsia" w:ascii="宋体" w:hAnsi="宋体" w:eastAsia="宋体" w:cs="宋体"/>
          <w:sz w:val="24"/>
          <w:u w:val="single"/>
        </w:rPr>
        <w:t xml:space="preserve">   （相关评定主体名称）   </w:t>
      </w:r>
      <w:r>
        <w:rPr>
          <w:rFonts w:hint="eastAsia" w:ascii="宋体" w:hAnsi="宋体" w:eastAsia="宋体" w:cs="宋体"/>
          <w:sz w:val="24"/>
        </w:rPr>
        <w:t>评定，</w:t>
      </w:r>
      <w:r>
        <w:rPr>
          <w:rFonts w:hint="eastAsia" w:ascii="宋体" w:hAnsi="宋体" w:eastAsia="宋体" w:cs="宋体"/>
          <w:sz w:val="24"/>
          <w:u w:val="single"/>
        </w:rPr>
        <w:t xml:space="preserve">   （中标或者成交供应商名称） </w:t>
      </w:r>
      <w:r>
        <w:rPr>
          <w:rFonts w:hint="eastAsia" w:ascii="宋体" w:hAnsi="宋体" w:eastAsia="宋体" w:cs="宋体"/>
          <w:sz w:val="24"/>
        </w:rPr>
        <w:t>为该项目中标或者成交供应商。现于中标或者成交通知书发出之日起10个工作日内，按照采购文件确定的事项签订本合同。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根据《中华人民共和国民法典》《中华人民共和国政府采购法》等相关法律法规之规定，按照平等、自愿、公平和诚实信用的原则，经</w:t>
      </w:r>
      <w:r>
        <w:rPr>
          <w:rFonts w:hint="eastAsia" w:ascii="宋体" w:hAnsi="宋体" w:eastAsia="宋体" w:cs="宋体"/>
          <w:sz w:val="24"/>
          <w:u w:val="single"/>
        </w:rPr>
        <w:t>杭州市上城区人民法院</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（中或者成交标供应商名称）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pPr>
        <w:spacing w:line="560" w:lineRule="exact"/>
        <w:ind w:firstLine="482" w:firstLineChars="200"/>
        <w:outlineLvl w:val="0"/>
        <w:rPr>
          <w:rFonts w:ascii="宋体" w:hAnsi="宋体"/>
          <w:sz w:val="24"/>
        </w:rPr>
      </w:pPr>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0" w:firstLineChars="200"/>
        <w:rPr>
          <w:rFonts w:hint="eastAsia" w:ascii="宋体" w:hAnsi="宋体"/>
          <w:sz w:val="24"/>
        </w:rPr>
      </w:pP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sz w:val="24"/>
        </w:rPr>
      </w:pPr>
      <w:bookmarkStart w:id="400" w:name="_Toc6311"/>
      <w:bookmarkStart w:id="401" w:name="_Toc2918"/>
      <w:bookmarkStart w:id="402" w:name="_Toc22185"/>
      <w:bookmarkStart w:id="403" w:name="_Toc18585"/>
      <w:bookmarkStart w:id="404" w:name="_Toc6773"/>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u w:val="single"/>
          <w:lang w:val="en-US" w:eastAsia="zh-CN"/>
        </w:rPr>
        <w:t>杭州市上城区人民法院物业管理服务项目</w:t>
      </w:r>
      <w:r>
        <w:rPr>
          <w:rFonts w:ascii="宋体" w:hAnsi="宋体"/>
          <w:sz w:val="24"/>
          <w:u w:val="single"/>
        </w:rPr>
        <w:t xml:space="preserve">               </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sz w:val="24"/>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cs="宋体"/>
          <w:sz w:val="24"/>
          <w:u w:val="single"/>
        </w:rPr>
        <w:t>根据采购文件确定的技术指标或者服务要求确定验收指标和标准。未进行相应约定的，应当符合国家强制性规定、政策要求、安全标准、行业或企业有关标准等</w:t>
      </w:r>
      <w:r>
        <w:rPr>
          <w:rFonts w:ascii="宋体" w:hAnsi="宋体"/>
          <w:sz w:val="24"/>
          <w:u w:val="single"/>
        </w:rPr>
        <w:t xml:space="preserve">     </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1.2.3 物业类型：</w:t>
      </w:r>
      <w:r>
        <w:rPr>
          <w:rFonts w:hint="eastAsia" w:ascii="宋体" w:hAnsi="宋体" w:eastAsia="宋体" w:cs="宋体"/>
          <w:sz w:val="24"/>
          <w:highlight w:val="none"/>
          <w:lang w:eastAsia="zh-CN"/>
        </w:rPr>
        <w:t>写字楼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highlight w:val="none"/>
          <w:lang w:val="en-US" w:eastAsia="zh-CN"/>
        </w:rPr>
      </w:pPr>
    </w:p>
    <w:p>
      <w:pPr>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eastAsia="宋体" w:cs="宋体"/>
          <w:b/>
          <w:sz w:val="24"/>
          <w:highlight w:val="none"/>
        </w:rPr>
      </w:pPr>
      <w:bookmarkStart w:id="405" w:name="_Toc21124"/>
      <w:bookmarkStart w:id="406" w:name="_Toc13918"/>
      <w:bookmarkStart w:id="407" w:name="_Toc1386"/>
      <w:bookmarkStart w:id="408" w:name="_Toc4929"/>
      <w:bookmarkStart w:id="409" w:name="_Toc5635"/>
      <w:r>
        <w:rPr>
          <w:rFonts w:ascii="宋体" w:hAnsi="宋体"/>
          <w:b/>
          <w:sz w:val="24"/>
        </w:rPr>
        <w:t xml:space="preserve">1.3 </w:t>
      </w:r>
      <w:bookmarkEnd w:id="405"/>
      <w:bookmarkEnd w:id="406"/>
      <w:bookmarkEnd w:id="407"/>
      <w:bookmarkEnd w:id="408"/>
      <w:bookmarkEnd w:id="409"/>
      <w:r>
        <w:rPr>
          <w:rFonts w:hint="eastAsia" w:ascii="宋体" w:hAnsi="宋体" w:eastAsia="宋体" w:cs="宋体"/>
          <w:b/>
          <w:sz w:val="24"/>
          <w:highlight w:val="none"/>
        </w:rPr>
        <w:t>委托管理服务期限及费用</w:t>
      </w:r>
    </w:p>
    <w:p>
      <w:pPr>
        <w:pageBreakBefore w:val="0"/>
        <w:widowControl w:val="0"/>
        <w:tabs>
          <w:tab w:val="left" w:pos="4152"/>
        </w:tabs>
        <w:kinsoku/>
        <w:wordWrap/>
        <w:overflowPunct/>
        <w:topLinePunct w:val="0"/>
        <w:bidi w:val="0"/>
        <w:adjustRightIn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1.3.1</w:t>
      </w:r>
      <w:r>
        <w:rPr>
          <w:rFonts w:hint="eastAsia" w:ascii="宋体" w:hAnsi="宋体" w:eastAsia="宋体" w:cs="宋体"/>
          <w:sz w:val="24"/>
          <w:highlight w:val="none"/>
        </w:rPr>
        <w:t>委托管理期限定为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b/>
          <w:sz w:val="24"/>
          <w:highlight w:val="none"/>
          <w:u w:val="single"/>
        </w:rPr>
        <w:t xml:space="preserve"> </w:t>
      </w:r>
      <w:r>
        <w:rPr>
          <w:rFonts w:hint="eastAsia" w:ascii="宋体" w:hAnsi="宋体" w:eastAsia="宋体" w:cs="宋体"/>
          <w:sz w:val="24"/>
          <w:highlight w:val="none"/>
          <w:u w:val="single"/>
        </w:rPr>
        <w:t>年</w:t>
      </w:r>
      <w:r>
        <w:rPr>
          <w:rFonts w:hint="eastAsia" w:ascii="宋体" w:hAnsi="宋体" w:eastAsia="宋体" w:cs="宋体"/>
          <w:sz w:val="24"/>
          <w:highlight w:val="none"/>
        </w:rPr>
        <w:t>，自</w:t>
      </w:r>
      <w:r>
        <w:rPr>
          <w:rFonts w:hint="eastAsia" w:ascii="宋体" w:hAnsi="宋体" w:eastAsia="宋体" w:cs="宋体"/>
          <w:sz w:val="24"/>
          <w:highlight w:val="none"/>
          <w:u w:val="single"/>
        </w:rPr>
        <w:t xml:space="preserve"> </w:t>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rPr>
        <w:t>年</w:t>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rPr>
        <w:t>月</w:t>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rPr>
        <w:t>日至</w:t>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rPr>
        <w:t>年</w:t>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rPr>
        <w:t xml:space="preserve">月 </w:t>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rPr>
        <w:t>日止。</w:t>
      </w:r>
    </w:p>
    <w:p>
      <w:pPr>
        <w:pStyle w:val="24"/>
        <w:pageBreakBefore w:val="0"/>
        <w:widowControl w:val="0"/>
        <w:kinsoku/>
        <w:wordWrap/>
        <w:overflowPunct/>
        <w:topLinePunct w:val="0"/>
        <w:bidi w:val="0"/>
        <w:adjustRightInd w:val="0"/>
        <w:spacing w:line="360" w:lineRule="auto"/>
        <w:ind w:firstLine="480" w:firstLineChars="200"/>
        <w:textAlignment w:val="auto"/>
        <w:rPr>
          <w:rFonts w:ascii="宋体" w:hAnsi="宋体"/>
          <w:b/>
          <w:sz w:val="24"/>
        </w:rPr>
      </w:pPr>
      <w:r>
        <w:rPr>
          <w:rFonts w:hint="eastAsia" w:ascii="宋体" w:hAnsi="宋体" w:eastAsia="宋体" w:cs="宋体"/>
          <w:highlight w:val="none"/>
          <w:lang w:val="en-US" w:eastAsia="zh-CN"/>
        </w:rPr>
        <w:t xml:space="preserve">1.3.2 </w:t>
      </w:r>
      <w:r>
        <w:rPr>
          <w:rFonts w:hint="eastAsia" w:ascii="宋体" w:hAnsi="宋体" w:eastAsia="宋体" w:cs="宋体"/>
          <w:highlight w:val="none"/>
        </w:rPr>
        <w:t>合同金额：物业管理</w:t>
      </w:r>
      <w:r>
        <w:rPr>
          <w:rFonts w:hint="eastAsia" w:ascii="宋体" w:hAnsi="宋体" w:eastAsia="宋体" w:cs="宋体"/>
          <w:highlight w:val="none"/>
          <w:lang w:val="en-US"/>
        </w:rPr>
        <w:t>服务</w:t>
      </w:r>
      <w:r>
        <w:rPr>
          <w:rFonts w:hint="eastAsia" w:ascii="宋体" w:hAnsi="宋体" w:eastAsia="宋体" w:cs="宋体"/>
          <w:highlight w:val="none"/>
        </w:rPr>
        <w:t>费为</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万元（大写：     </w:t>
      </w:r>
      <w:r>
        <w:rPr>
          <w:rFonts w:hint="eastAsia" w:ascii="宋体" w:hAnsi="宋体" w:eastAsia="宋体" w:cs="宋体"/>
          <w:highlight w:val="none"/>
        </w:rPr>
        <w:t>）。</w:t>
      </w:r>
    </w:p>
    <w:p>
      <w:pPr>
        <w:pStyle w:val="24"/>
        <w:pageBreakBefore w:val="0"/>
        <w:widowControl w:val="0"/>
        <w:kinsoku/>
        <w:wordWrap/>
        <w:overflowPunct/>
        <w:topLinePunct w:val="0"/>
        <w:bidi w:val="0"/>
        <w:adjustRightInd w:val="0"/>
        <w:spacing w:line="360" w:lineRule="auto"/>
        <w:ind w:firstLine="480" w:firstLineChars="200"/>
        <w:textAlignment w:val="auto"/>
        <w:rPr>
          <w:rFonts w:ascii="宋体" w:hAnsi="宋体"/>
          <w:sz w:val="24"/>
        </w:rPr>
      </w:pPr>
      <w:r>
        <w:rPr>
          <w:rFonts w:hint="eastAsia" w:ascii="宋体" w:hAnsi="宋体" w:eastAsia="宋体" w:cs="宋体"/>
          <w:snapToGrid w:val="0"/>
          <w:kern w:val="2"/>
          <w:sz w:val="24"/>
          <w:szCs w:val="21"/>
          <w:highlight w:val="none"/>
          <w:lang w:val="zh-CN" w:eastAsia="zh-CN" w:bidi="ar-SA"/>
        </w:rPr>
        <w:t>1.3.1</w:t>
      </w:r>
      <w:bookmarkStart w:id="410" w:name="_Toc26916"/>
      <w:bookmarkStart w:id="411" w:name="_Toc30158"/>
      <w:bookmarkStart w:id="412" w:name="_Toc3654"/>
      <w:bookmarkStart w:id="413" w:name="_Toc30506"/>
      <w:bookmarkStart w:id="414" w:name="_Toc14993"/>
      <w:r>
        <w:rPr>
          <w:rFonts w:hint="eastAsia" w:ascii="宋体" w:hAnsi="宋体" w:eastAsia="宋体" w:cs="宋体"/>
          <w:snapToGrid w:val="0"/>
          <w:kern w:val="2"/>
          <w:sz w:val="24"/>
          <w:szCs w:val="21"/>
          <w:highlight w:val="none"/>
          <w:lang w:val="zh-CN" w:eastAsia="zh-CN" w:bidi="ar-SA"/>
        </w:rPr>
        <w:t>费用支付：按</w:t>
      </w:r>
      <w:r>
        <w:rPr>
          <w:rFonts w:hint="eastAsia" w:ascii="宋体" w:hAnsi="宋体" w:cs="宋体"/>
          <w:sz w:val="24"/>
        </w:rPr>
        <w:t>照每</w:t>
      </w:r>
      <w:r>
        <w:rPr>
          <w:rFonts w:hint="eastAsia" w:ascii="宋体" w:hAnsi="宋体" w:cs="宋体"/>
          <w:sz w:val="24"/>
          <w:lang w:eastAsia="zh-CN"/>
        </w:rPr>
        <w:t>季</w:t>
      </w:r>
      <w:r>
        <w:rPr>
          <w:rFonts w:ascii="宋体" w:hAnsi="宋体"/>
          <w:sz w:val="24"/>
          <w:u w:val="single"/>
        </w:rPr>
        <w:t xml:space="preserve">           </w:t>
      </w:r>
      <w:r>
        <w:rPr>
          <w:rFonts w:hint="eastAsia" w:ascii="宋体" w:hAnsi="宋体" w:cs="宋体"/>
          <w:sz w:val="24"/>
          <w:lang w:val="en-US" w:eastAsia="zh-CN"/>
        </w:rPr>
        <w:t xml:space="preserve"> </w:t>
      </w:r>
      <w:r>
        <w:rPr>
          <w:rFonts w:hint="eastAsia" w:ascii="宋体" w:hAnsi="宋体" w:cs="宋体"/>
          <w:sz w:val="24"/>
        </w:rPr>
        <w:t>元/</w:t>
      </w:r>
      <w:r>
        <w:rPr>
          <w:rFonts w:hint="eastAsia" w:ascii="宋体" w:hAnsi="宋体" w:cs="宋体"/>
          <w:sz w:val="24"/>
          <w:lang w:eastAsia="zh-CN"/>
        </w:rPr>
        <w:t>季</w:t>
      </w:r>
      <w:r>
        <w:rPr>
          <w:rFonts w:hint="eastAsia"/>
          <w:sz w:val="24"/>
        </w:rPr>
        <w:t>支付，</w:t>
      </w:r>
      <w:r>
        <w:rPr>
          <w:rFonts w:hint="eastAsia" w:ascii="宋体" w:hAnsi="宋体" w:cs="宋体"/>
          <w:sz w:val="24"/>
        </w:rPr>
        <w:t>每</w:t>
      </w:r>
      <w:r>
        <w:rPr>
          <w:rFonts w:hint="eastAsia" w:ascii="宋体" w:hAnsi="宋体" w:cs="宋体"/>
          <w:sz w:val="24"/>
          <w:lang w:eastAsia="zh-CN"/>
        </w:rPr>
        <w:t>季次月</w:t>
      </w:r>
      <w:r>
        <w:rPr>
          <w:rFonts w:hint="eastAsia" w:ascii="宋体" w:hAnsi="宋体" w:cs="宋体"/>
          <w:sz w:val="24"/>
        </w:rPr>
        <w:t>15日前乙方将增值税发票交于甲方，甲方在7天内支付给乙方</w:t>
      </w:r>
      <w:r>
        <w:rPr>
          <w:rFonts w:hint="eastAsia" w:ascii="宋体" w:hAnsi="宋体" w:cs="宋体"/>
          <w:sz w:val="24"/>
          <w:lang w:val="en-US" w:eastAsia="zh-CN"/>
        </w:rPr>
        <w:t>,</w:t>
      </w:r>
      <w:r>
        <w:rPr>
          <w:rFonts w:hint="eastAsia"/>
          <w:sz w:val="24"/>
        </w:rPr>
        <w:t>乙方需开具增值税专用发票</w:t>
      </w:r>
      <w:r>
        <w:rPr>
          <w:rFonts w:hint="eastAsia"/>
          <w:sz w:val="24"/>
          <w:lang w:eastAsia="zh-CN"/>
        </w:rPr>
        <w:t>，</w:t>
      </w:r>
      <w:r>
        <w:rPr>
          <w:rFonts w:hint="eastAsia" w:ascii="宋体" w:hAnsi="宋体" w:eastAsia="宋体" w:cs="宋体"/>
          <w:color w:val="auto"/>
          <w:highlight w:val="none"/>
          <w:lang w:val="en-US"/>
        </w:rPr>
        <w:t>否则甲方有权顺延付款期限。且乙方未出具相应发票的，甲方有权拒绝支付相应款项，且不承担违约责任。</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cs="宋体"/>
          <w:b/>
          <w:bCs/>
          <w:kern w:val="0"/>
          <w:sz w:val="24"/>
          <w:lang w:val="zh-CN"/>
        </w:rPr>
      </w:pPr>
      <w:r>
        <w:rPr>
          <w:rFonts w:hint="eastAsia" w:ascii="宋体" w:hAnsi="宋体" w:cs="宋体"/>
          <w:b/>
          <w:bCs/>
          <w:sz w:val="24"/>
        </w:rPr>
        <w:t>注：合同价格已包含</w:t>
      </w:r>
      <w:r>
        <w:rPr>
          <w:rFonts w:hint="eastAsia" w:ascii="宋体" w:hAnsi="宋体" w:cs="宋体"/>
          <w:b/>
          <w:bCs/>
          <w:kern w:val="0"/>
          <w:sz w:val="24"/>
          <w:lang w:val="zh-CN"/>
        </w:rPr>
        <w:t>本项目实施所需的所有费用，包括但不限于人工费、保险费、劳保用品、员工住宿、加班费、管理费等费用（含税费）。</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cs="宋体"/>
          <w:b/>
          <w:bCs/>
          <w:kern w:val="0"/>
          <w:sz w:val="24"/>
          <w:lang w:val="en-US"/>
        </w:rPr>
      </w:pPr>
    </w:p>
    <w:bookmarkEnd w:id="410"/>
    <w:bookmarkEnd w:id="411"/>
    <w:bookmarkEnd w:id="412"/>
    <w:bookmarkEnd w:id="413"/>
    <w:bookmarkEnd w:id="414"/>
    <w:p>
      <w:pPr>
        <w:pStyle w:val="958"/>
        <w:spacing w:before="0" w:beforeAutospacing="0" w:after="0" w:afterAutospacing="0" w:line="360" w:lineRule="auto"/>
        <w:ind w:firstLine="480"/>
        <w:rPr>
          <w:rFonts w:hint="eastAsia"/>
          <w:b/>
        </w:rPr>
      </w:pPr>
      <w:bookmarkStart w:id="415" w:name="_Toc4760"/>
      <w:bookmarkStart w:id="416" w:name="_Toc3625"/>
      <w:bookmarkStart w:id="417" w:name="_Toc1814"/>
      <w:bookmarkStart w:id="418" w:name="_Toc8772"/>
      <w:bookmarkStart w:id="419" w:name="_Toc10340"/>
      <w:bookmarkStart w:id="420" w:name="_Toc11108"/>
      <w:bookmarkStart w:id="421" w:name="_Toc31421"/>
      <w:bookmarkStart w:id="422" w:name="_Toc22618"/>
      <w:r>
        <w:rPr>
          <w:rFonts w:hint="eastAsia"/>
          <w:b/>
        </w:rPr>
        <w:t>1.4履约保证金</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1.4.1</w:t>
      </w:r>
      <w:r>
        <w:rPr>
          <w:rFonts w:hint="eastAsia" w:ascii="宋体" w:hAnsi="宋体" w:eastAsia="宋体" w:cs="宋体"/>
          <w:sz w:val="24"/>
          <w:highlight w:val="none"/>
        </w:rPr>
        <w:t>乙方在收到中标通知书后，需向甲方提供合同价1%的履约保证金。履约保证金在乙方与甲方签订合同前递交</w:t>
      </w:r>
      <w:r>
        <w:rPr>
          <w:rFonts w:hint="eastAsia" w:ascii="宋体" w:hAnsi="宋体" w:eastAsia="宋体" w:cs="宋体"/>
          <w:sz w:val="24"/>
          <w:highlight w:val="none"/>
          <w:lang w:val="en-US" w:eastAsia="zh-CN"/>
        </w:rPr>
        <w:t>,以银行转账方式支付</w:t>
      </w:r>
      <w:r>
        <w:rPr>
          <w:rFonts w:hint="eastAsia" w:ascii="宋体" w:hAnsi="宋体" w:eastAsia="宋体" w:cs="宋体"/>
          <w:sz w:val="24"/>
          <w:highlight w:val="none"/>
        </w:rPr>
        <w:t>。履约保证金自提交之日起至项目结束前有效。</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1.4.2</w:t>
      </w:r>
      <w:r>
        <w:rPr>
          <w:rFonts w:hint="eastAsia" w:ascii="宋体" w:hAnsi="宋体" w:eastAsia="宋体" w:cs="宋体"/>
          <w:sz w:val="24"/>
          <w:highlight w:val="none"/>
        </w:rPr>
        <w:t>甲方有权从履约保证金中扣除用于修复乙方损坏甲方的设备、设施、场地或因乙方违约而导致损失的金额或违约金，且乙方应在接到扣除履约保证金通知后一周内补足扣除差额，保证承包期间履约保证金的完整。</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1.4.3</w:t>
      </w:r>
      <w:r>
        <w:rPr>
          <w:rFonts w:hint="eastAsia" w:ascii="宋体" w:hAnsi="宋体" w:eastAsia="宋体" w:cs="宋体"/>
          <w:sz w:val="24"/>
          <w:highlight w:val="none"/>
        </w:rPr>
        <w:t>甲方认为乙方在承包期内没有涉及甲方的应付而未付金额或违约行为，甲方在承包期满后或提前解除或终止合同履行后一个月内全额退还履约保证金的本金，否则，甲方将在扣除乙方应付金额或违约金后退还保证金余额。</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highlight w:val="none"/>
        </w:rPr>
      </w:pPr>
    </w:p>
    <w:bookmarkEnd w:id="415"/>
    <w:bookmarkEnd w:id="416"/>
    <w:bookmarkEnd w:id="417"/>
    <w:bookmarkEnd w:id="418"/>
    <w:bookmarkEnd w:id="419"/>
    <w:bookmarkEnd w:id="420"/>
    <w:bookmarkEnd w:id="421"/>
    <w:bookmarkEnd w:id="422"/>
    <w:p>
      <w:pPr>
        <w:spacing w:line="360" w:lineRule="exact"/>
        <w:ind w:firstLine="480"/>
        <w:jc w:val="left"/>
        <w:rPr>
          <w:sz w:val="24"/>
        </w:rPr>
      </w:pPr>
      <w:r>
        <w:rPr>
          <w:rFonts w:hint="eastAsia"/>
          <w:b/>
          <w:sz w:val="24"/>
          <w:lang w:val="en-US" w:eastAsia="zh-CN"/>
        </w:rPr>
        <w:t>1.5</w:t>
      </w:r>
      <w:r>
        <w:rPr>
          <w:rFonts w:hint="eastAsia"/>
          <w:b/>
          <w:sz w:val="24"/>
        </w:rPr>
        <w:t>委托管理服务事项</w:t>
      </w:r>
    </w:p>
    <w:p>
      <w:pPr>
        <w:numPr>
          <w:ilvl w:val="0"/>
          <w:numId w:val="0"/>
        </w:numPr>
        <w:spacing w:line="480" w:lineRule="exact"/>
        <w:ind w:firstLine="480" w:firstLineChars="200"/>
        <w:rPr>
          <w:sz w:val="24"/>
        </w:rPr>
      </w:pPr>
      <w:r>
        <w:rPr>
          <w:rFonts w:hint="eastAsia"/>
          <w:sz w:val="24"/>
          <w:lang w:val="en-US" w:eastAsia="zh-CN"/>
        </w:rPr>
        <w:t>1.5.1</w:t>
      </w:r>
      <w:r>
        <w:rPr>
          <w:rFonts w:hint="eastAsia"/>
          <w:sz w:val="24"/>
        </w:rPr>
        <w:t>房屋建筑本体共用部位的维护、使用、管理，包括：楼盖、屋顶、外墙面、承重结构、楼梯间、走廊通道、门厅。</w:t>
      </w:r>
    </w:p>
    <w:p>
      <w:pPr>
        <w:spacing w:line="480" w:lineRule="exact"/>
        <w:ind w:firstLine="482"/>
        <w:rPr>
          <w:sz w:val="24"/>
        </w:rPr>
      </w:pPr>
      <w:r>
        <w:rPr>
          <w:rFonts w:hint="eastAsia"/>
          <w:sz w:val="24"/>
          <w:lang w:val="en-US" w:eastAsia="zh-CN"/>
        </w:rPr>
        <w:t>1.5.2</w:t>
      </w:r>
      <w:r>
        <w:rPr>
          <w:rFonts w:hint="eastAsia"/>
          <w:sz w:val="24"/>
        </w:rPr>
        <w:t xml:space="preserve"> 共用设施、设备的维修、运行和管理，包括：共用的上下水管道、落水管、烟囱、共用照明、高压泵房、楼内消防监控设备、电梯、中央监控设备、建筑物防雷设施、附属建筑物、构筑物的维修、养护和管理，包括道路、室外上下水管道、化粪池、沟渠、池、井、停车场。</w:t>
      </w:r>
    </w:p>
    <w:p>
      <w:pPr>
        <w:spacing w:line="480" w:lineRule="exact"/>
        <w:ind w:firstLine="482"/>
        <w:rPr>
          <w:sz w:val="24"/>
        </w:rPr>
      </w:pPr>
      <w:r>
        <w:rPr>
          <w:rFonts w:hint="eastAsia"/>
          <w:sz w:val="24"/>
          <w:lang w:val="en-US" w:eastAsia="zh-CN"/>
        </w:rPr>
        <w:t>1.5.3</w:t>
      </w:r>
      <w:r>
        <w:rPr>
          <w:rFonts w:hint="eastAsia"/>
          <w:sz w:val="24"/>
        </w:rPr>
        <w:t>共用绿地、花木等的维护与管理。</w:t>
      </w:r>
    </w:p>
    <w:p>
      <w:pPr>
        <w:spacing w:line="480" w:lineRule="exact"/>
        <w:ind w:firstLine="482"/>
        <w:rPr>
          <w:sz w:val="24"/>
        </w:rPr>
      </w:pPr>
      <w:r>
        <w:rPr>
          <w:rFonts w:hint="eastAsia"/>
          <w:sz w:val="24"/>
          <w:lang w:val="en-US" w:eastAsia="zh-CN"/>
        </w:rPr>
        <w:t>1.5.4</w:t>
      </w:r>
      <w:r>
        <w:rPr>
          <w:rFonts w:hint="eastAsia"/>
          <w:sz w:val="24"/>
        </w:rPr>
        <w:t xml:space="preserve"> 附属配套建筑及其设施的维修、养护和管理。</w:t>
      </w:r>
    </w:p>
    <w:p>
      <w:pPr>
        <w:spacing w:line="480" w:lineRule="exact"/>
        <w:ind w:firstLine="482"/>
        <w:rPr>
          <w:sz w:val="24"/>
        </w:rPr>
      </w:pPr>
      <w:r>
        <w:rPr>
          <w:rFonts w:hint="eastAsia"/>
          <w:sz w:val="24"/>
          <w:lang w:val="en-US" w:eastAsia="zh-CN"/>
        </w:rPr>
        <w:t>1.5.5</w:t>
      </w:r>
      <w:r>
        <w:rPr>
          <w:rFonts w:hint="eastAsia" w:ascii="宋体" w:hAnsi="宋体" w:cs="宋体"/>
          <w:sz w:val="24"/>
        </w:rPr>
        <w:t>委托管理范围内环境卫生:</w:t>
      </w:r>
    </w:p>
    <w:p>
      <w:pPr>
        <w:pStyle w:val="782"/>
        <w:numPr>
          <w:ilvl w:val="0"/>
          <w:numId w:val="0"/>
        </w:numPr>
        <w:spacing w:line="560" w:lineRule="exact"/>
        <w:ind w:firstLine="480" w:firstLineChars="200"/>
        <w:rPr>
          <w:rFonts w:hint="default" w:ascii="宋体" w:hAnsi="宋体" w:cs="宋体"/>
          <w:sz w:val="24"/>
        </w:rPr>
      </w:pPr>
      <w:r>
        <w:rPr>
          <w:rFonts w:hint="eastAsia" w:ascii="宋体" w:hAnsi="宋体" w:cs="宋体"/>
          <w:sz w:val="24"/>
          <w:lang w:val="en-US" w:eastAsia="zh-CN"/>
        </w:rPr>
        <w:t>1.5.5.1上城法院</w:t>
      </w:r>
      <w:r>
        <w:rPr>
          <w:rFonts w:hint="eastAsia" w:ascii="宋体" w:hAnsi="宋体" w:cs="宋体"/>
          <w:sz w:val="24"/>
          <w:szCs w:val="24"/>
          <w:highlight w:val="none"/>
          <w:lang w:val="en-US" w:eastAsia="zh-CN"/>
        </w:rPr>
        <w:t>紫花支路6号审判大楼、九堡人民法庭、笕桥人民法庭、基金小镇人民法庭及甲方指定的临时服务场所，包括</w:t>
      </w:r>
      <w:r>
        <w:rPr>
          <w:rFonts w:hint="eastAsia" w:ascii="宋体" w:hAnsi="宋体" w:cs="宋体"/>
          <w:sz w:val="24"/>
          <w:lang w:val="en-US" w:eastAsia="zh-CN"/>
        </w:rPr>
        <w:t>外围、</w:t>
      </w:r>
      <w:r>
        <w:rPr>
          <w:rFonts w:hint="eastAsia" w:ascii="宋体" w:hAnsi="宋体" w:cs="宋体"/>
          <w:sz w:val="24"/>
          <w:szCs w:val="24"/>
          <w:highlight w:val="none"/>
          <w:lang w:val="en-US" w:eastAsia="zh-CN"/>
        </w:rPr>
        <w:t>所有</w:t>
      </w:r>
      <w:r>
        <w:rPr>
          <w:rFonts w:hint="eastAsia" w:ascii="宋体" w:hAnsi="宋体" w:cs="宋体"/>
          <w:sz w:val="24"/>
          <w:lang w:val="en-US" w:eastAsia="zh-CN"/>
        </w:rPr>
        <w:t>楼层</w:t>
      </w:r>
      <w:r>
        <w:rPr>
          <w:rFonts w:ascii="宋体" w:hAnsi="宋体" w:cs="宋体"/>
          <w:sz w:val="24"/>
        </w:rPr>
        <w:t>、过道、电梯厅、办公区域、卫生间（含地面、台面、镜面、水池、便池、便器）、门窗、玻璃、墙壁、标牌、会议室（含地面、桌椅、茶具等）、垃圾箱篓、消防器材具柜、天花板设施的卫生和保洁，并根据法院要求完成的其他零星卫生和保洁工作；</w:t>
      </w:r>
    </w:p>
    <w:p>
      <w:pPr>
        <w:pStyle w:val="782"/>
        <w:numPr>
          <w:ilvl w:val="0"/>
          <w:numId w:val="0"/>
        </w:numPr>
        <w:spacing w:line="56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1.5.5.2卫生保洁在不影响法院工作人员办公的情况下完成。白天工作时间需安排保洁员巡检，确保公共区域的地面清洁。</w:t>
      </w:r>
    </w:p>
    <w:p>
      <w:pPr>
        <w:pStyle w:val="782"/>
        <w:numPr>
          <w:ilvl w:val="0"/>
          <w:numId w:val="0"/>
        </w:numPr>
        <w:spacing w:line="56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1.5.5.3卫生质量要求：</w:t>
      </w:r>
    </w:p>
    <w:p>
      <w:pPr>
        <w:pStyle w:val="782"/>
        <w:numPr>
          <w:ilvl w:val="5"/>
          <w:numId w:val="2"/>
        </w:numPr>
        <w:spacing w:line="560" w:lineRule="exact"/>
        <w:ind w:firstLine="480" w:firstLineChars="200"/>
        <w:rPr>
          <w:rFonts w:hint="default" w:ascii="宋体" w:hAnsi="宋体" w:cs="宋体"/>
          <w:sz w:val="24"/>
        </w:rPr>
      </w:pPr>
      <w:r>
        <w:rPr>
          <w:rFonts w:ascii="宋体" w:hAnsi="宋体" w:cs="宋体"/>
          <w:sz w:val="24"/>
        </w:rPr>
        <w:t>地面：无灰尘、无水渍、无污渍、无废弃物；</w:t>
      </w:r>
    </w:p>
    <w:p>
      <w:pPr>
        <w:pStyle w:val="782"/>
        <w:numPr>
          <w:ilvl w:val="5"/>
          <w:numId w:val="2"/>
        </w:numPr>
        <w:spacing w:line="560" w:lineRule="exact"/>
        <w:ind w:firstLine="480" w:firstLineChars="200"/>
        <w:rPr>
          <w:rFonts w:hint="default" w:ascii="宋体" w:hAnsi="宋体" w:cs="宋体"/>
          <w:sz w:val="24"/>
        </w:rPr>
      </w:pPr>
      <w:r>
        <w:rPr>
          <w:rFonts w:ascii="宋体" w:hAnsi="宋体" w:cs="宋体"/>
          <w:sz w:val="24"/>
        </w:rPr>
        <w:t>墙面及扶手、柱子等无灰尘；</w:t>
      </w:r>
    </w:p>
    <w:p>
      <w:pPr>
        <w:pStyle w:val="782"/>
        <w:numPr>
          <w:ilvl w:val="5"/>
          <w:numId w:val="2"/>
        </w:numPr>
        <w:spacing w:line="560" w:lineRule="exact"/>
        <w:ind w:firstLine="480" w:firstLineChars="200"/>
        <w:rPr>
          <w:rFonts w:hint="default" w:ascii="宋体" w:hAnsi="宋体" w:cs="宋体"/>
          <w:sz w:val="24"/>
        </w:rPr>
      </w:pPr>
      <w:r>
        <w:rPr>
          <w:rFonts w:ascii="宋体" w:hAnsi="宋体" w:cs="宋体"/>
          <w:sz w:val="24"/>
        </w:rPr>
        <w:t>桌椅：无灰尘、污垢；</w:t>
      </w:r>
    </w:p>
    <w:p>
      <w:pPr>
        <w:pStyle w:val="782"/>
        <w:numPr>
          <w:ilvl w:val="5"/>
          <w:numId w:val="2"/>
        </w:numPr>
        <w:spacing w:line="560" w:lineRule="exact"/>
        <w:ind w:firstLine="480" w:firstLineChars="200"/>
        <w:rPr>
          <w:rFonts w:hint="default" w:ascii="宋体" w:hAnsi="宋体" w:cs="宋体"/>
          <w:sz w:val="24"/>
        </w:rPr>
      </w:pPr>
      <w:r>
        <w:rPr>
          <w:rFonts w:ascii="宋体" w:hAnsi="宋体" w:cs="宋体"/>
          <w:sz w:val="24"/>
        </w:rPr>
        <w:t>玻璃窗、指示牌、广告栏：光亮无灰尘；</w:t>
      </w:r>
    </w:p>
    <w:p>
      <w:pPr>
        <w:pStyle w:val="782"/>
        <w:numPr>
          <w:ilvl w:val="5"/>
          <w:numId w:val="2"/>
        </w:numPr>
        <w:spacing w:line="560" w:lineRule="exact"/>
        <w:ind w:firstLine="480" w:firstLineChars="200"/>
        <w:rPr>
          <w:rFonts w:hint="default" w:ascii="宋体" w:hAnsi="宋体" w:cs="宋体"/>
          <w:sz w:val="24"/>
        </w:rPr>
      </w:pPr>
      <w:r>
        <w:rPr>
          <w:rFonts w:ascii="宋体" w:hAnsi="宋体" w:cs="宋体"/>
          <w:sz w:val="24"/>
        </w:rPr>
        <w:t>卫生间、台面、镜面、水槽、便池：无水渍、干净、无污迹、积垢、无异味；</w:t>
      </w:r>
    </w:p>
    <w:p>
      <w:pPr>
        <w:pStyle w:val="782"/>
        <w:numPr>
          <w:ilvl w:val="5"/>
          <w:numId w:val="2"/>
        </w:numPr>
        <w:spacing w:line="560" w:lineRule="exact"/>
        <w:ind w:firstLine="480" w:firstLineChars="200"/>
        <w:rPr>
          <w:sz w:val="24"/>
        </w:rPr>
      </w:pPr>
      <w:r>
        <w:rPr>
          <w:rFonts w:ascii="宋体" w:hAnsi="宋体" w:cs="宋体"/>
          <w:sz w:val="24"/>
        </w:rPr>
        <w:t>天花顶无蛛网、塔灰。</w:t>
      </w:r>
    </w:p>
    <w:p>
      <w:pPr>
        <w:spacing w:line="480" w:lineRule="exact"/>
        <w:ind w:firstLine="482"/>
        <w:rPr>
          <w:sz w:val="24"/>
        </w:rPr>
      </w:pPr>
      <w:r>
        <w:rPr>
          <w:rFonts w:hint="eastAsia"/>
          <w:sz w:val="24"/>
          <w:lang w:val="en-US" w:eastAsia="zh-CN"/>
        </w:rPr>
        <w:t>1.5.6</w:t>
      </w:r>
      <w:r>
        <w:rPr>
          <w:rFonts w:hint="eastAsia"/>
          <w:sz w:val="24"/>
        </w:rPr>
        <w:t xml:space="preserve"> 区域内交通与车辆停放秩序的管理。</w:t>
      </w:r>
    </w:p>
    <w:p>
      <w:pPr>
        <w:spacing w:line="480" w:lineRule="exact"/>
        <w:ind w:firstLine="482"/>
        <w:rPr>
          <w:sz w:val="24"/>
        </w:rPr>
      </w:pPr>
      <w:r>
        <w:rPr>
          <w:rFonts w:hint="eastAsia"/>
          <w:sz w:val="24"/>
          <w:lang w:val="en-US" w:eastAsia="zh-CN"/>
        </w:rPr>
        <w:t>1.5.7</w:t>
      </w:r>
      <w:r>
        <w:rPr>
          <w:rFonts w:hint="eastAsia"/>
          <w:sz w:val="24"/>
        </w:rPr>
        <w:t xml:space="preserve"> 维护物业管理区域内的公共秩序，包括巡视、门岗执勤、安检。</w:t>
      </w:r>
    </w:p>
    <w:p>
      <w:pPr>
        <w:spacing w:line="480" w:lineRule="exact"/>
        <w:ind w:firstLine="482"/>
        <w:rPr>
          <w:sz w:val="24"/>
        </w:rPr>
      </w:pPr>
      <w:r>
        <w:rPr>
          <w:rFonts w:hint="eastAsia"/>
          <w:sz w:val="24"/>
          <w:lang w:val="en-US" w:eastAsia="zh-CN"/>
        </w:rPr>
        <w:t>1.5.8</w:t>
      </w:r>
      <w:r>
        <w:rPr>
          <w:rFonts w:hint="eastAsia"/>
          <w:sz w:val="24"/>
        </w:rPr>
        <w:t xml:space="preserve"> 管理与物业相关的竣工验收资料，设施设备的安装、使用和维护保养等技术资料，物业质量保修文件和物业使用说明文件。</w:t>
      </w:r>
    </w:p>
    <w:p>
      <w:pPr>
        <w:spacing w:line="480" w:lineRule="exact"/>
        <w:ind w:firstLine="482"/>
        <w:rPr>
          <w:rFonts w:hint="default" w:eastAsia="宋体"/>
          <w:sz w:val="24"/>
          <w:lang w:val="en-US" w:eastAsia="zh-CN"/>
        </w:rPr>
      </w:pPr>
      <w:r>
        <w:rPr>
          <w:rFonts w:hint="eastAsia"/>
          <w:sz w:val="24"/>
          <w:lang w:val="en-US" w:eastAsia="zh-CN"/>
        </w:rPr>
        <w:t>1.5.9</w:t>
      </w:r>
      <w:r>
        <w:rPr>
          <w:rFonts w:hint="eastAsia"/>
          <w:sz w:val="24"/>
        </w:rPr>
        <w:t xml:space="preserve"> 业主和物业使用人房屋自用部位、自用设施及设备的维修、养护，在当事人提出委托时，乙方原则上应接受委托，但收费由当事双方协商，协商价格不高于市场价格的80%。</w:t>
      </w:r>
    </w:p>
    <w:p>
      <w:pPr>
        <w:spacing w:line="480" w:lineRule="exact"/>
        <w:ind w:firstLine="482"/>
        <w:rPr>
          <w:sz w:val="24"/>
        </w:rPr>
      </w:pPr>
      <w:r>
        <w:rPr>
          <w:rFonts w:hint="eastAsia"/>
          <w:sz w:val="24"/>
          <w:lang w:val="en-US" w:eastAsia="zh-CN"/>
        </w:rPr>
        <w:t>1.5.10</w:t>
      </w:r>
      <w:r>
        <w:rPr>
          <w:rFonts w:hint="eastAsia"/>
          <w:sz w:val="24"/>
        </w:rPr>
        <w:t xml:space="preserve"> 建筑物的屋面、外墙、承重结构、门厅、道路、公共设施设备等的维修。贰仟元以下的维修工作（包括贰仟元）由乙方负责修复并承担费用；贰仟元至壹万元的维修工作由乙方负责先行修复，所涉费用由甲方承担；壹万元以上的大修费用需报甲方书面同意后再进行维修，所涉资金由甲方承担。甲方承担维修费用前，乙方需向甲方提供书面说明（包括维修项目，维修金额等）和维修金额对应的增值税专用发票。</w:t>
      </w:r>
    </w:p>
    <w:p>
      <w:pPr>
        <w:numPr>
          <w:ilvl w:val="0"/>
          <w:numId w:val="0"/>
        </w:numPr>
        <w:spacing w:line="480" w:lineRule="exact"/>
        <w:ind w:firstLine="480" w:firstLineChars="200"/>
        <w:rPr>
          <w:rFonts w:hint="eastAsia"/>
          <w:sz w:val="24"/>
        </w:rPr>
      </w:pPr>
      <w:r>
        <w:rPr>
          <w:rFonts w:hint="eastAsia"/>
          <w:sz w:val="24"/>
          <w:lang w:val="en-US" w:eastAsia="zh-CN"/>
        </w:rPr>
        <w:t>1.5.11</w:t>
      </w:r>
      <w:r>
        <w:rPr>
          <w:rFonts w:hint="eastAsia"/>
          <w:sz w:val="24"/>
        </w:rPr>
        <w:t>对业主和物业使用人违反《物业使用守则》的行为，采取规劝、制止，如规劝、制止无效的向甲方进行书面报告。</w:t>
      </w:r>
    </w:p>
    <w:p>
      <w:pPr>
        <w:numPr>
          <w:ilvl w:val="0"/>
          <w:numId w:val="0"/>
        </w:numPr>
        <w:spacing w:line="480" w:lineRule="exact"/>
        <w:ind w:firstLine="480" w:firstLineChars="200"/>
        <w:rPr>
          <w:rFonts w:hint="eastAsia"/>
          <w:sz w:val="24"/>
        </w:rPr>
      </w:pPr>
    </w:p>
    <w:p>
      <w:pPr>
        <w:spacing w:line="360" w:lineRule="exact"/>
        <w:ind w:firstLine="241" w:firstLineChars="100"/>
        <w:jc w:val="both"/>
        <w:rPr>
          <w:sz w:val="24"/>
        </w:rPr>
      </w:pPr>
      <w:r>
        <w:rPr>
          <w:rFonts w:hint="eastAsia"/>
          <w:b/>
          <w:sz w:val="24"/>
          <w:lang w:val="en-US" w:eastAsia="zh-CN"/>
        </w:rPr>
        <w:t>1.6</w:t>
      </w:r>
      <w:r>
        <w:rPr>
          <w:rFonts w:hint="eastAsia"/>
          <w:b/>
          <w:sz w:val="24"/>
        </w:rPr>
        <w:t>物业管理服务质量</w:t>
      </w:r>
    </w:p>
    <w:p>
      <w:pPr>
        <w:spacing w:line="480" w:lineRule="exact"/>
        <w:ind w:firstLine="480"/>
        <w:rPr>
          <w:sz w:val="24"/>
        </w:rPr>
      </w:pPr>
      <w:r>
        <w:rPr>
          <w:rFonts w:hint="eastAsia"/>
          <w:sz w:val="24"/>
          <w:lang w:val="en-US" w:eastAsia="zh-CN"/>
        </w:rPr>
        <w:t>1.6.1</w:t>
      </w:r>
      <w:r>
        <w:rPr>
          <w:rFonts w:hint="eastAsia"/>
          <w:sz w:val="24"/>
        </w:rPr>
        <w:t>乙方须按下列约定，实现管理目标：</w:t>
      </w:r>
    </w:p>
    <w:p>
      <w:pPr>
        <w:spacing w:line="480" w:lineRule="exact"/>
        <w:ind w:firstLine="480"/>
        <w:rPr>
          <w:sz w:val="24"/>
        </w:rPr>
      </w:pPr>
      <w:r>
        <w:rPr>
          <w:rFonts w:hint="eastAsia"/>
          <w:sz w:val="24"/>
        </w:rPr>
        <w:t xml:space="preserve">1、房屋外观：保持原设计标准；                       </w:t>
      </w:r>
    </w:p>
    <w:p>
      <w:pPr>
        <w:spacing w:line="480" w:lineRule="exact"/>
        <w:ind w:firstLine="480"/>
        <w:rPr>
          <w:sz w:val="24"/>
        </w:rPr>
      </w:pPr>
      <w:r>
        <w:rPr>
          <w:rFonts w:hint="eastAsia"/>
          <w:sz w:val="24"/>
        </w:rPr>
        <w:t xml:space="preserve">2、设备运行：各项设备正常运行；                           </w:t>
      </w:r>
    </w:p>
    <w:p>
      <w:pPr>
        <w:spacing w:line="480" w:lineRule="exact"/>
        <w:ind w:firstLine="480"/>
        <w:rPr>
          <w:sz w:val="24"/>
        </w:rPr>
      </w:pPr>
      <w:r>
        <w:rPr>
          <w:rFonts w:hint="eastAsia"/>
          <w:sz w:val="24"/>
        </w:rPr>
        <w:t xml:space="preserve">3、房屋及设施、设备的维修、养护；                </w:t>
      </w:r>
    </w:p>
    <w:p>
      <w:pPr>
        <w:spacing w:line="480" w:lineRule="exact"/>
        <w:ind w:firstLine="480"/>
        <w:rPr>
          <w:sz w:val="24"/>
        </w:rPr>
      </w:pPr>
      <w:r>
        <w:rPr>
          <w:rFonts w:hint="eastAsia"/>
          <w:sz w:val="24"/>
        </w:rPr>
        <w:t xml:space="preserve">4、公共环境：保证良好的环境；                           </w:t>
      </w:r>
    </w:p>
    <w:p>
      <w:pPr>
        <w:spacing w:line="480" w:lineRule="exact"/>
        <w:ind w:firstLine="480"/>
        <w:rPr>
          <w:sz w:val="24"/>
        </w:rPr>
      </w:pPr>
      <w:r>
        <w:rPr>
          <w:rFonts w:hint="eastAsia"/>
          <w:sz w:val="24"/>
        </w:rPr>
        <w:t xml:space="preserve">5、绿化：达到国家三级保养的标准；                               </w:t>
      </w:r>
    </w:p>
    <w:p>
      <w:pPr>
        <w:spacing w:line="480" w:lineRule="exact"/>
        <w:ind w:firstLine="480"/>
        <w:rPr>
          <w:sz w:val="24"/>
        </w:rPr>
      </w:pPr>
      <w:r>
        <w:rPr>
          <w:rFonts w:hint="eastAsia"/>
          <w:sz w:val="24"/>
        </w:rPr>
        <w:t xml:space="preserve">6、交通秩序：维护正常的交通秩序；                              </w:t>
      </w:r>
    </w:p>
    <w:p>
      <w:pPr>
        <w:spacing w:line="480" w:lineRule="exact"/>
        <w:ind w:firstLine="480"/>
        <w:rPr>
          <w:sz w:val="24"/>
        </w:rPr>
      </w:pPr>
      <w:r>
        <w:rPr>
          <w:rFonts w:hint="eastAsia"/>
          <w:sz w:val="24"/>
        </w:rPr>
        <w:t xml:space="preserve">7、公共秩序维护与协助消防：24小时确保各项设施及治安安全；         </w:t>
      </w:r>
    </w:p>
    <w:p>
      <w:pPr>
        <w:spacing w:line="480" w:lineRule="exact"/>
        <w:ind w:firstLine="480"/>
        <w:rPr>
          <w:sz w:val="24"/>
        </w:rPr>
      </w:pPr>
      <w:r>
        <w:rPr>
          <w:rFonts w:hint="eastAsia"/>
          <w:sz w:val="24"/>
        </w:rPr>
        <w:t>8、房屋共用部位、共用设施设备的急修、小修：不超过4小时；</w:t>
      </w:r>
    </w:p>
    <w:p>
      <w:pPr>
        <w:spacing w:line="480" w:lineRule="exact"/>
        <w:ind w:firstLine="480"/>
        <w:rPr>
          <w:sz w:val="24"/>
        </w:rPr>
      </w:pPr>
      <w:r>
        <w:rPr>
          <w:rFonts w:hint="eastAsia"/>
          <w:sz w:val="24"/>
        </w:rPr>
        <w:t xml:space="preserve">9、业主和物业使用人对乙方的满意率达到95%。           </w:t>
      </w:r>
    </w:p>
    <w:p>
      <w:pPr>
        <w:spacing w:line="480" w:lineRule="exact"/>
        <w:ind w:firstLine="480"/>
        <w:rPr>
          <w:rFonts w:hint="eastAsia"/>
          <w:sz w:val="24"/>
        </w:rPr>
      </w:pPr>
      <w:r>
        <w:rPr>
          <w:rFonts w:hint="eastAsia"/>
          <w:sz w:val="24"/>
        </w:rPr>
        <w:t>上述1—9项物业管理服务质量不低于物业管理服务的行业指导标准。</w:t>
      </w:r>
    </w:p>
    <w:p>
      <w:pPr>
        <w:spacing w:line="480" w:lineRule="exact"/>
        <w:ind w:firstLine="480"/>
        <w:rPr>
          <w:rFonts w:hint="eastAsia"/>
          <w:sz w:val="24"/>
        </w:rPr>
      </w:pPr>
    </w:p>
    <w:p>
      <w:pPr>
        <w:spacing w:line="480" w:lineRule="exact"/>
        <w:ind w:firstLine="241" w:firstLineChars="100"/>
        <w:jc w:val="both"/>
        <w:rPr>
          <w:sz w:val="24"/>
        </w:rPr>
      </w:pPr>
      <w:r>
        <w:rPr>
          <w:rFonts w:hint="eastAsia"/>
          <w:b/>
          <w:sz w:val="24"/>
          <w:lang w:val="en-US" w:eastAsia="zh-CN"/>
        </w:rPr>
        <w:t>1.7</w:t>
      </w:r>
      <w:r>
        <w:rPr>
          <w:rFonts w:hint="eastAsia"/>
          <w:b/>
          <w:sz w:val="24"/>
        </w:rPr>
        <w:t>双方权利义务</w:t>
      </w:r>
    </w:p>
    <w:p>
      <w:pPr>
        <w:spacing w:line="480" w:lineRule="exact"/>
        <w:ind w:firstLine="482"/>
        <w:rPr>
          <w:sz w:val="24"/>
        </w:rPr>
      </w:pPr>
      <w:r>
        <w:rPr>
          <w:rFonts w:hint="eastAsia"/>
          <w:sz w:val="24"/>
          <w:lang w:val="en-US" w:eastAsia="zh-CN"/>
        </w:rPr>
        <w:t>1.7.1</w:t>
      </w:r>
      <w:r>
        <w:rPr>
          <w:rFonts w:hint="eastAsia"/>
          <w:sz w:val="24"/>
        </w:rPr>
        <w:t>甲方权利义务</w:t>
      </w:r>
    </w:p>
    <w:p>
      <w:pPr>
        <w:spacing w:line="480" w:lineRule="exact"/>
        <w:ind w:firstLine="482"/>
        <w:rPr>
          <w:sz w:val="24"/>
        </w:rPr>
      </w:pPr>
      <w:r>
        <w:rPr>
          <w:rFonts w:hint="eastAsia"/>
          <w:sz w:val="24"/>
        </w:rPr>
        <w:t>1、审定乙方制定的物业管理预算；</w:t>
      </w:r>
    </w:p>
    <w:p>
      <w:pPr>
        <w:spacing w:line="480" w:lineRule="exact"/>
        <w:ind w:firstLine="482"/>
        <w:rPr>
          <w:sz w:val="24"/>
        </w:rPr>
      </w:pPr>
      <w:r>
        <w:rPr>
          <w:rFonts w:hint="eastAsia"/>
          <w:sz w:val="24"/>
        </w:rPr>
        <w:t xml:space="preserve">2、检查、监督乙方管理工作的实施及制度的执行情况；    </w:t>
      </w:r>
    </w:p>
    <w:p>
      <w:pPr>
        <w:spacing w:line="480" w:lineRule="exact"/>
        <w:ind w:firstLine="482"/>
        <w:rPr>
          <w:sz w:val="24"/>
        </w:rPr>
      </w:pPr>
      <w:r>
        <w:rPr>
          <w:rFonts w:hint="eastAsia"/>
          <w:sz w:val="24"/>
        </w:rPr>
        <w:t>3、审定乙方提出的物业管理服务年度计划、财务预算及决算报告；</w:t>
      </w:r>
    </w:p>
    <w:p>
      <w:pPr>
        <w:spacing w:line="480" w:lineRule="exact"/>
        <w:ind w:firstLine="482"/>
        <w:rPr>
          <w:sz w:val="24"/>
        </w:rPr>
      </w:pPr>
      <w:r>
        <w:rPr>
          <w:rFonts w:hint="eastAsia"/>
          <w:sz w:val="24"/>
        </w:rPr>
        <w:t>4、委托乙方管理的房屋、设施、设备应达到国家验收标准要求；在保修责任内，如存在质量问题，按以下2种方式处理：</w:t>
      </w:r>
    </w:p>
    <w:p>
      <w:pPr>
        <w:spacing w:line="480" w:lineRule="exact"/>
        <w:ind w:firstLine="482"/>
        <w:rPr>
          <w:sz w:val="24"/>
        </w:rPr>
      </w:pPr>
      <w:r>
        <w:rPr>
          <w:rFonts w:hint="eastAsia"/>
          <w:sz w:val="24"/>
        </w:rPr>
        <w:t>[1]甲方负责维修；</w:t>
      </w:r>
    </w:p>
    <w:p>
      <w:pPr>
        <w:spacing w:line="480" w:lineRule="exact"/>
        <w:ind w:firstLine="482"/>
        <w:rPr>
          <w:sz w:val="24"/>
        </w:rPr>
      </w:pPr>
      <w:r>
        <w:rPr>
          <w:rFonts w:hint="eastAsia"/>
          <w:sz w:val="24"/>
        </w:rPr>
        <w:t>[2]委托乙方维修，甲方根据乙方提供的书面说明（包括维修项目，维修金额等）和维修金额对应的增值税专用发票支付全部费用。</w:t>
      </w:r>
    </w:p>
    <w:p>
      <w:pPr>
        <w:spacing w:line="480" w:lineRule="exact"/>
        <w:ind w:firstLine="482"/>
        <w:rPr>
          <w:sz w:val="24"/>
        </w:rPr>
      </w:pPr>
      <w:r>
        <w:rPr>
          <w:rFonts w:hint="eastAsia"/>
          <w:sz w:val="24"/>
        </w:rPr>
        <w:t>5、在物业管理交接验收时，负责向乙方移交下列资料：</w:t>
      </w:r>
    </w:p>
    <w:p>
      <w:pPr>
        <w:spacing w:line="480" w:lineRule="exact"/>
        <w:ind w:firstLine="482"/>
        <w:rPr>
          <w:sz w:val="24"/>
        </w:rPr>
      </w:pPr>
      <w:r>
        <w:rPr>
          <w:rFonts w:hint="eastAsia"/>
          <w:sz w:val="24"/>
        </w:rPr>
        <w:t>（1）竣工总平面图，单体建筑、结构、设备竣工图，附属配套设施、地下管网工程竣工图等竣工验收资料；</w:t>
      </w:r>
    </w:p>
    <w:p>
      <w:pPr>
        <w:spacing w:line="480" w:lineRule="exact"/>
        <w:ind w:firstLine="482"/>
        <w:rPr>
          <w:sz w:val="24"/>
        </w:rPr>
      </w:pPr>
      <w:r>
        <w:rPr>
          <w:rFonts w:hint="eastAsia"/>
          <w:sz w:val="24"/>
        </w:rPr>
        <w:t>（2）设备设施的安装、使用和维护保养技术资料；</w:t>
      </w:r>
    </w:p>
    <w:p>
      <w:pPr>
        <w:spacing w:line="480" w:lineRule="exact"/>
        <w:ind w:firstLine="482"/>
        <w:rPr>
          <w:sz w:val="24"/>
        </w:rPr>
      </w:pPr>
      <w:r>
        <w:rPr>
          <w:rFonts w:hint="eastAsia"/>
          <w:sz w:val="24"/>
        </w:rPr>
        <w:t>（3）物业质量保修文件和物业使用说明文件；</w:t>
      </w:r>
    </w:p>
    <w:p>
      <w:pPr>
        <w:spacing w:line="480" w:lineRule="exact"/>
        <w:ind w:firstLine="482"/>
        <w:rPr>
          <w:sz w:val="24"/>
        </w:rPr>
      </w:pPr>
      <w:r>
        <w:rPr>
          <w:rFonts w:hint="eastAsia"/>
          <w:sz w:val="24"/>
        </w:rPr>
        <w:t>（4）物业管理所必需的其他资料。</w:t>
      </w:r>
    </w:p>
    <w:p>
      <w:pPr>
        <w:spacing w:line="480" w:lineRule="exact"/>
        <w:ind w:firstLine="482"/>
        <w:rPr>
          <w:sz w:val="24"/>
        </w:rPr>
      </w:pPr>
      <w:r>
        <w:rPr>
          <w:rFonts w:hint="eastAsia"/>
          <w:sz w:val="24"/>
        </w:rPr>
        <w:t>6、协调、处理物业管理公司在前期介入中，提出的合理化建议和发现的问题。解决在综合验收时提出的各项遗留问题，在规定时间内必须整改完结。</w:t>
      </w:r>
    </w:p>
    <w:p>
      <w:pPr>
        <w:spacing w:line="480" w:lineRule="exact"/>
        <w:ind w:firstLine="482"/>
        <w:rPr>
          <w:sz w:val="24"/>
        </w:rPr>
      </w:pPr>
      <w:r>
        <w:rPr>
          <w:rFonts w:hint="eastAsia"/>
          <w:sz w:val="24"/>
          <w:lang w:val="en-US" w:eastAsia="zh-CN"/>
        </w:rPr>
        <w:t>1.7.2</w:t>
      </w:r>
      <w:r>
        <w:rPr>
          <w:rFonts w:hint="eastAsia"/>
          <w:sz w:val="24"/>
        </w:rPr>
        <w:t xml:space="preserve"> 乙方权利义务</w:t>
      </w:r>
    </w:p>
    <w:p>
      <w:pPr>
        <w:spacing w:line="480" w:lineRule="exact"/>
        <w:ind w:firstLine="482"/>
        <w:rPr>
          <w:sz w:val="24"/>
        </w:rPr>
      </w:pPr>
      <w:r>
        <w:rPr>
          <w:rFonts w:hint="eastAsia"/>
          <w:sz w:val="24"/>
        </w:rPr>
        <w:t>1、根据有关法律法规及本合同的约定，在本合同签订之日起</w:t>
      </w:r>
      <w:r>
        <w:rPr>
          <w:rFonts w:hint="eastAsia"/>
          <w:sz w:val="24"/>
          <w:u w:val="single"/>
        </w:rPr>
        <w:t>15日</w:t>
      </w:r>
      <w:r>
        <w:rPr>
          <w:rFonts w:hint="eastAsia"/>
          <w:sz w:val="24"/>
        </w:rPr>
        <w:t>内制定本物业管理方案并向甲方备案，自主开展物业经营管理服务活动；</w:t>
      </w:r>
    </w:p>
    <w:p>
      <w:pPr>
        <w:spacing w:line="480" w:lineRule="exact"/>
        <w:ind w:firstLine="482"/>
        <w:rPr>
          <w:sz w:val="24"/>
        </w:rPr>
      </w:pPr>
      <w:r>
        <w:rPr>
          <w:rFonts w:hint="eastAsia"/>
          <w:sz w:val="24"/>
        </w:rPr>
        <w:t>2、配备工作人员参与物业管理区域内的共用部位、共用设施设备制定合理的工程维保计划；</w:t>
      </w:r>
    </w:p>
    <w:p>
      <w:pPr>
        <w:spacing w:line="480" w:lineRule="exact"/>
        <w:ind w:firstLine="482"/>
        <w:rPr>
          <w:sz w:val="24"/>
        </w:rPr>
      </w:pPr>
      <w:r>
        <w:rPr>
          <w:rFonts w:hint="eastAsia"/>
          <w:sz w:val="24"/>
        </w:rPr>
        <w:t>3、对业主和物业使用人违反法规、规章的行为，进行劝阻、制止，并提请有关部门处理；</w:t>
      </w:r>
    </w:p>
    <w:p>
      <w:pPr>
        <w:spacing w:line="480" w:lineRule="exact"/>
        <w:ind w:firstLine="482"/>
        <w:rPr>
          <w:sz w:val="24"/>
        </w:rPr>
      </w:pPr>
      <w:r>
        <w:rPr>
          <w:rFonts w:hint="eastAsia"/>
          <w:sz w:val="24"/>
        </w:rPr>
        <w:t>4、按本合同第十四条的约定，对业主和物业使用人违反《物业使用守则》及相关管理规定的行为进行制止和处理；</w:t>
      </w:r>
    </w:p>
    <w:p>
      <w:pPr>
        <w:spacing w:line="480" w:lineRule="exact"/>
        <w:ind w:firstLine="482"/>
        <w:rPr>
          <w:sz w:val="24"/>
        </w:rPr>
      </w:pPr>
      <w:r>
        <w:rPr>
          <w:rFonts w:hint="eastAsia"/>
          <w:sz w:val="24"/>
        </w:rPr>
        <w:t>5、征得甲方事先书面同意，乙方可以将物业管理区域内的专项服务业务委托给专业性服务企业，但不得将该区域内的全部物业管理一并委托给他人；</w:t>
      </w:r>
    </w:p>
    <w:p>
      <w:pPr>
        <w:spacing w:line="480" w:lineRule="exact"/>
        <w:ind w:firstLine="482"/>
        <w:rPr>
          <w:sz w:val="24"/>
        </w:rPr>
      </w:pPr>
      <w:r>
        <w:rPr>
          <w:rFonts w:hint="eastAsia"/>
          <w:sz w:val="24"/>
        </w:rPr>
        <w:t>6、负责编制房屋及其附属建筑物、构筑物、设施、设备、绿化等的年度维修养护计划和保修期满后的大修、中修、更新、改造方案，乙方应在合同签订之日起</w:t>
      </w:r>
      <w:r>
        <w:rPr>
          <w:rFonts w:hint="eastAsia"/>
          <w:sz w:val="24"/>
          <w:u w:val="single"/>
        </w:rPr>
        <w:t xml:space="preserve"> 15日</w:t>
      </w:r>
      <w:r>
        <w:rPr>
          <w:rFonts w:hint="eastAsia"/>
          <w:sz w:val="24"/>
        </w:rPr>
        <w:t xml:space="preserve">内制定完毕，经双方议定后由乙方组织实施； </w:t>
      </w:r>
    </w:p>
    <w:p>
      <w:pPr>
        <w:spacing w:line="480" w:lineRule="exact"/>
        <w:ind w:firstLine="482"/>
        <w:rPr>
          <w:sz w:val="24"/>
        </w:rPr>
      </w:pPr>
      <w:r>
        <w:rPr>
          <w:rFonts w:hint="eastAsia"/>
          <w:sz w:val="24"/>
        </w:rPr>
        <w:t>7、向业主和物业使用人书面告知物业使用的有关规定，当业主和物业使用人装修物业时，书面告知有关注意事项和禁止行为，并负责监督；</w:t>
      </w:r>
    </w:p>
    <w:p>
      <w:pPr>
        <w:spacing w:line="480" w:lineRule="exact"/>
        <w:ind w:firstLine="482"/>
        <w:rPr>
          <w:sz w:val="24"/>
        </w:rPr>
      </w:pPr>
      <w:r>
        <w:rPr>
          <w:rFonts w:hint="eastAsia"/>
          <w:sz w:val="24"/>
        </w:rPr>
        <w:t>8、对本物业的公共设施不得擅自占用和改变使用功能，如需在本物业内改、扩建或改善配套项目，须与甲方协商经甲方同意后报有关部门批准方可实施，不得擅自改变房屋共用部位的用途；</w:t>
      </w:r>
    </w:p>
    <w:p>
      <w:pPr>
        <w:spacing w:line="480" w:lineRule="exact"/>
        <w:ind w:firstLine="482"/>
        <w:rPr>
          <w:sz w:val="24"/>
        </w:rPr>
      </w:pPr>
      <w:r>
        <w:rPr>
          <w:rFonts w:hint="eastAsia"/>
          <w:sz w:val="24"/>
        </w:rPr>
        <w:t>9、建立、妥善保管和正确使用本物业的管理档案，并负责及时记载有关变更情况。没有甲方事先书面同意，乙方不得将由甲方提供的任何图纸或资料提供给与履行本合同无关的任何其他人。即使向履行本合同有关的人员提供也应注意保密并限于履行合同的必需范围。本保密义务在本合同期满、解除或终止后仍然有效；</w:t>
      </w:r>
    </w:p>
    <w:p>
      <w:pPr>
        <w:spacing w:line="480" w:lineRule="exact"/>
        <w:ind w:firstLine="482"/>
        <w:rPr>
          <w:sz w:val="24"/>
        </w:rPr>
      </w:pPr>
      <w:r>
        <w:rPr>
          <w:rFonts w:hint="eastAsia"/>
          <w:sz w:val="24"/>
        </w:rPr>
        <w:t>10、接受业主、使用人、甲方和物业管理主管部门等的监督，不断完善管理服务，每一季度向甲方报告本合同履行情况.</w:t>
      </w:r>
    </w:p>
    <w:p>
      <w:pPr>
        <w:spacing w:line="480" w:lineRule="exact"/>
        <w:rPr>
          <w:rFonts w:hint="eastAsia"/>
          <w:sz w:val="24"/>
        </w:rPr>
      </w:pPr>
    </w:p>
    <w:p>
      <w:pPr>
        <w:spacing w:line="360" w:lineRule="exact"/>
        <w:ind w:firstLine="241" w:firstLineChars="100"/>
        <w:jc w:val="both"/>
        <w:rPr>
          <w:sz w:val="24"/>
        </w:rPr>
      </w:pPr>
      <w:r>
        <w:rPr>
          <w:rFonts w:hint="eastAsia"/>
          <w:b/>
          <w:sz w:val="24"/>
          <w:lang w:val="en-US" w:eastAsia="zh-CN"/>
        </w:rPr>
        <w:t>1.8</w:t>
      </w:r>
      <w:r>
        <w:rPr>
          <w:rFonts w:hint="eastAsia"/>
          <w:b/>
          <w:sz w:val="24"/>
        </w:rPr>
        <w:t>违约责任</w:t>
      </w:r>
    </w:p>
    <w:p>
      <w:pPr>
        <w:spacing w:line="480" w:lineRule="exact"/>
        <w:ind w:firstLine="482"/>
        <w:rPr>
          <w:sz w:val="24"/>
        </w:rPr>
      </w:pPr>
      <w:r>
        <w:rPr>
          <w:rFonts w:hint="eastAsia"/>
          <w:sz w:val="24"/>
          <w:lang w:val="en-US" w:eastAsia="zh-CN"/>
        </w:rPr>
        <w:t>1.8.1</w:t>
      </w:r>
      <w:r>
        <w:rPr>
          <w:rFonts w:hint="eastAsia"/>
          <w:sz w:val="24"/>
        </w:rPr>
        <w:t xml:space="preserve"> 甲方违反本合同约定，使乙方未完成约定管理目标，乙方有权要求甲方在一定期限内解决，逾期未解决的，乙方有权终止合同；造成乙方经济损失的，甲方应给予乙方经济赔偿。</w:t>
      </w:r>
    </w:p>
    <w:p>
      <w:pPr>
        <w:spacing w:line="480" w:lineRule="exact"/>
        <w:ind w:firstLine="482"/>
        <w:rPr>
          <w:sz w:val="24"/>
        </w:rPr>
      </w:pPr>
      <w:r>
        <w:rPr>
          <w:rFonts w:hint="eastAsia"/>
          <w:sz w:val="24"/>
          <w:lang w:val="en-US" w:eastAsia="zh-CN"/>
        </w:rPr>
        <w:t>1.8.2</w:t>
      </w:r>
      <w:r>
        <w:rPr>
          <w:rFonts w:hint="eastAsia"/>
          <w:sz w:val="24"/>
        </w:rPr>
        <w:t xml:space="preserve"> 乙方违反本合同第三章的约定，未能达到约定的管理目标，甲方有权要求乙方在收到甲方通知之日起</w:t>
      </w:r>
      <w:r>
        <w:rPr>
          <w:rFonts w:hint="eastAsia"/>
          <w:sz w:val="24"/>
          <w:u w:val="single"/>
        </w:rPr>
        <w:t>10日</w:t>
      </w:r>
      <w:r>
        <w:rPr>
          <w:rFonts w:hint="eastAsia"/>
          <w:sz w:val="24"/>
        </w:rPr>
        <w:t>内整改并达到合同约定；逾期未整改的，或整改不符合合同约定的，甲方有权终止合同并不支付当期物业管理费用，且要求乙方承担本合同金额30%的违约责任；造成甲方其他经济损失的，乙方应给予甲方经济赔偿。</w:t>
      </w:r>
    </w:p>
    <w:p>
      <w:pPr>
        <w:spacing w:line="480" w:lineRule="exact"/>
        <w:ind w:firstLine="482"/>
        <w:rPr>
          <w:sz w:val="24"/>
        </w:rPr>
      </w:pPr>
      <w:r>
        <w:rPr>
          <w:rFonts w:hint="eastAsia"/>
          <w:sz w:val="24"/>
          <w:lang w:val="en-US" w:eastAsia="zh-CN"/>
        </w:rPr>
        <w:t xml:space="preserve">1.8.3 </w:t>
      </w:r>
      <w:r>
        <w:rPr>
          <w:rFonts w:hint="eastAsia"/>
          <w:sz w:val="24"/>
        </w:rPr>
        <w:t>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spacing w:line="480" w:lineRule="exact"/>
        <w:ind w:firstLine="480" w:firstLineChars="200"/>
        <w:rPr>
          <w:sz w:val="24"/>
        </w:rPr>
      </w:pPr>
      <w:r>
        <w:rPr>
          <w:rFonts w:hint="eastAsia"/>
          <w:sz w:val="24"/>
          <w:lang w:val="en-US" w:eastAsia="zh-CN"/>
        </w:rPr>
        <w:t>1.8.4</w:t>
      </w:r>
      <w:r>
        <w:rPr>
          <w:rFonts w:hint="eastAsia"/>
          <w:sz w:val="24"/>
        </w:rPr>
        <w:t xml:space="preserve"> 乙方有下列情形的：</w:t>
      </w:r>
    </w:p>
    <w:p>
      <w:pPr>
        <w:spacing w:line="480" w:lineRule="exact"/>
        <w:ind w:firstLine="482"/>
        <w:rPr>
          <w:sz w:val="24"/>
        </w:rPr>
      </w:pPr>
      <w:r>
        <w:rPr>
          <w:rFonts w:hint="eastAsia"/>
          <w:sz w:val="24"/>
        </w:rPr>
        <w:t>（1）未按照合同约定制定本物业管理方案并向甲方备案的；</w:t>
      </w:r>
    </w:p>
    <w:p>
      <w:pPr>
        <w:spacing w:line="480" w:lineRule="exact"/>
        <w:ind w:firstLine="482"/>
        <w:rPr>
          <w:sz w:val="24"/>
        </w:rPr>
      </w:pPr>
      <w:r>
        <w:rPr>
          <w:rFonts w:hint="eastAsia"/>
          <w:sz w:val="24"/>
        </w:rPr>
        <w:t>（2）未按照合同约定制定年度维修养护计划和保修期满后的大修、中修、更新、改造方案。</w:t>
      </w:r>
    </w:p>
    <w:p>
      <w:pPr>
        <w:spacing w:line="480" w:lineRule="exact"/>
        <w:ind w:firstLine="482"/>
        <w:rPr>
          <w:sz w:val="24"/>
        </w:rPr>
      </w:pPr>
      <w:r>
        <w:rPr>
          <w:rFonts w:hint="eastAsia"/>
          <w:sz w:val="24"/>
          <w:lang w:val="en-US" w:eastAsia="zh-CN"/>
        </w:rPr>
        <w:t>1.8.5</w:t>
      </w:r>
      <w:r>
        <w:rPr>
          <w:rFonts w:hint="eastAsia"/>
          <w:sz w:val="24"/>
        </w:rPr>
        <w:t xml:space="preserve"> 乙方未经甲方书面同意擅自委托第三方进行物业管理的，甲方有权解除合同，并有权要求乙方承担本合同金额30%的违约责任，若仍不足以弥补甲方损失的，甲方有权继续追偿。</w:t>
      </w:r>
    </w:p>
    <w:p>
      <w:pPr>
        <w:spacing w:line="480" w:lineRule="exact"/>
        <w:ind w:firstLine="482"/>
        <w:rPr>
          <w:rFonts w:hint="eastAsia"/>
          <w:sz w:val="24"/>
        </w:rPr>
      </w:pPr>
      <w:r>
        <w:rPr>
          <w:rFonts w:hint="eastAsia"/>
          <w:sz w:val="24"/>
          <w:lang w:val="en-US" w:eastAsia="zh-CN"/>
        </w:rPr>
        <w:t>1.8.6</w:t>
      </w:r>
      <w:r>
        <w:rPr>
          <w:rFonts w:hint="eastAsia"/>
          <w:sz w:val="24"/>
        </w:rPr>
        <w:t xml:space="preserve"> 乙方未向甲方提供书面说明（包括维修项目，维修金额等）和维修金额对应的增值税专用发票的，甲方有权拒绝支付维修费用，并不承担任何违约责任。</w:t>
      </w:r>
      <w:bookmarkStart w:id="423" w:name="_Toc16021"/>
      <w:bookmarkStart w:id="424" w:name="_Toc15583"/>
      <w:bookmarkStart w:id="425" w:name="_Toc28375"/>
    </w:p>
    <w:p>
      <w:pPr>
        <w:spacing w:line="480" w:lineRule="exact"/>
        <w:ind w:firstLine="482"/>
        <w:rPr>
          <w:rFonts w:hint="eastAsia"/>
          <w:sz w:val="24"/>
        </w:rPr>
      </w:pPr>
    </w:p>
    <w:p>
      <w:pPr>
        <w:spacing w:line="360" w:lineRule="exact"/>
        <w:ind w:firstLine="480"/>
        <w:rPr>
          <w:sz w:val="24"/>
        </w:rPr>
      </w:pPr>
      <w:r>
        <w:rPr>
          <w:rFonts w:hint="eastAsia" w:ascii="宋体" w:hAnsi="宋体" w:cs="宋体"/>
          <w:b/>
          <w:sz w:val="24"/>
        </w:rPr>
        <w:t>1.9</w:t>
      </w:r>
      <w:bookmarkEnd w:id="423"/>
      <w:bookmarkEnd w:id="424"/>
      <w:bookmarkEnd w:id="425"/>
      <w:r>
        <w:rPr>
          <w:rFonts w:hint="eastAsia"/>
          <w:b/>
          <w:sz w:val="24"/>
        </w:rPr>
        <w:t xml:space="preserve"> 附则</w:t>
      </w:r>
    </w:p>
    <w:p>
      <w:pPr>
        <w:spacing w:line="560" w:lineRule="exact"/>
        <w:ind w:firstLine="480" w:firstLineChars="200"/>
        <w:rPr>
          <w:rFonts w:hint="eastAsia"/>
          <w:sz w:val="24"/>
        </w:rPr>
      </w:pPr>
      <w:r>
        <w:rPr>
          <w:rFonts w:hint="eastAsia" w:ascii="宋体" w:hAnsi="宋体" w:cs="宋体"/>
          <w:sz w:val="24"/>
          <w:lang w:val="en-US" w:eastAsia="zh-CN"/>
        </w:rPr>
        <w:t>1.9.1</w:t>
      </w:r>
      <w:r>
        <w:rPr>
          <w:rFonts w:hint="eastAsia" w:ascii="宋体" w:hAnsi="宋体" w:cs="宋体"/>
          <w:sz w:val="24"/>
        </w:rPr>
        <w:t>本合同自双方当事人盖章签字时生效。</w:t>
      </w:r>
    </w:p>
    <w:p>
      <w:pPr>
        <w:spacing w:line="480" w:lineRule="exact"/>
        <w:ind w:firstLine="480" w:firstLineChars="200"/>
        <w:rPr>
          <w:sz w:val="24"/>
        </w:rPr>
      </w:pPr>
      <w:r>
        <w:rPr>
          <w:rFonts w:hint="eastAsia" w:ascii="宋体" w:hAnsi="宋体" w:cs="宋体"/>
          <w:sz w:val="24"/>
          <w:lang w:val="en-US" w:eastAsia="zh-CN"/>
        </w:rPr>
        <w:t>1.9.2</w:t>
      </w:r>
      <w:r>
        <w:rPr>
          <w:rFonts w:hint="eastAsia"/>
          <w:sz w:val="24"/>
        </w:rPr>
        <w:t>自本合同生效之日起30天内，根据甲方委托管理事项，办理完交接验收手续。</w:t>
      </w:r>
    </w:p>
    <w:p>
      <w:pPr>
        <w:spacing w:line="480" w:lineRule="exact"/>
        <w:ind w:firstLine="482"/>
        <w:rPr>
          <w:sz w:val="24"/>
        </w:rPr>
      </w:pPr>
      <w:r>
        <w:rPr>
          <w:rFonts w:hint="eastAsia" w:ascii="宋体" w:hAnsi="宋体" w:cs="宋体"/>
          <w:sz w:val="24"/>
          <w:lang w:val="en-US" w:eastAsia="zh-CN"/>
        </w:rPr>
        <w:t>1.9.3</w:t>
      </w:r>
      <w:r>
        <w:rPr>
          <w:rFonts w:hint="eastAsia"/>
          <w:sz w:val="24"/>
        </w:rPr>
        <w:t>为维护业主、使用人的切身利益，在不可预见情况下，如发生煤气泄漏、漏电、火灾、水管破裂、救助人命、协助公安机关执行任务等突发事件，甲方/业主、物业使用人应积极配合乙方对上述灾害发生时所采取的紧急避险措施。</w:t>
      </w:r>
    </w:p>
    <w:p>
      <w:pPr>
        <w:spacing w:line="480" w:lineRule="exact"/>
        <w:ind w:firstLine="482"/>
        <w:rPr>
          <w:sz w:val="24"/>
        </w:rPr>
      </w:pPr>
      <w:r>
        <w:rPr>
          <w:rFonts w:hint="eastAsia" w:ascii="宋体" w:hAnsi="宋体" w:cs="宋体"/>
          <w:sz w:val="24"/>
          <w:lang w:val="en-US" w:eastAsia="zh-CN"/>
        </w:rPr>
        <w:t>1.9.4</w:t>
      </w:r>
      <w:r>
        <w:rPr>
          <w:rFonts w:hint="eastAsia"/>
          <w:sz w:val="24"/>
        </w:rPr>
        <w:t>甲乙双方可对本合同的条款进行补充，以书面形式签订补充协议，补充协议与本合同具有同等效力。</w:t>
      </w:r>
    </w:p>
    <w:p>
      <w:pPr>
        <w:spacing w:line="480" w:lineRule="exact"/>
        <w:ind w:firstLine="482"/>
        <w:rPr>
          <w:sz w:val="24"/>
        </w:rPr>
      </w:pPr>
      <w:r>
        <w:rPr>
          <w:rFonts w:hint="eastAsia" w:ascii="宋体" w:hAnsi="宋体" w:cs="宋体"/>
          <w:sz w:val="24"/>
          <w:lang w:val="en-US" w:eastAsia="zh-CN"/>
        </w:rPr>
        <w:t>1.9.5</w:t>
      </w:r>
      <w:r>
        <w:rPr>
          <w:rFonts w:hint="eastAsia"/>
          <w:sz w:val="24"/>
        </w:rPr>
        <w:t>本合同之附件均为合同有效组成部分。本合同及其附件内，空格部分填写的文字与印刷文字具有同等效力。</w:t>
      </w:r>
    </w:p>
    <w:p>
      <w:pPr>
        <w:spacing w:line="480" w:lineRule="exact"/>
        <w:ind w:firstLine="482"/>
        <w:rPr>
          <w:sz w:val="24"/>
        </w:rPr>
      </w:pPr>
      <w:r>
        <w:rPr>
          <w:rFonts w:hint="eastAsia" w:ascii="宋体" w:hAnsi="宋体" w:cs="宋体"/>
          <w:sz w:val="24"/>
          <w:lang w:val="en-US" w:eastAsia="zh-CN"/>
        </w:rPr>
        <w:t>1.9.6</w:t>
      </w:r>
      <w:r>
        <w:rPr>
          <w:rFonts w:hint="eastAsia"/>
          <w:sz w:val="24"/>
        </w:rPr>
        <w:t>本合同及其附件和补充协议中未规定的事宜，均遵照中华人民共和国有关法律、法规和规章执行。</w:t>
      </w:r>
    </w:p>
    <w:p>
      <w:pPr>
        <w:spacing w:line="480" w:lineRule="exact"/>
        <w:ind w:firstLine="482"/>
        <w:rPr>
          <w:sz w:val="24"/>
        </w:rPr>
      </w:pPr>
      <w:r>
        <w:rPr>
          <w:rFonts w:hint="eastAsia" w:ascii="宋体" w:hAnsi="宋体" w:cs="宋体"/>
          <w:sz w:val="24"/>
          <w:lang w:val="en-US" w:eastAsia="zh-CN"/>
        </w:rPr>
        <w:t>1.9.7</w:t>
      </w:r>
      <w:r>
        <w:rPr>
          <w:rFonts w:hint="eastAsia"/>
          <w:sz w:val="24"/>
        </w:rPr>
        <w:t>本合同一式</w:t>
      </w:r>
      <w:r>
        <w:rPr>
          <w:rFonts w:hint="eastAsia"/>
          <w:sz w:val="24"/>
          <w:lang w:eastAsia="zh-CN"/>
        </w:rPr>
        <w:t>伍</w:t>
      </w:r>
      <w:r>
        <w:rPr>
          <w:rFonts w:hint="eastAsia"/>
          <w:sz w:val="24"/>
        </w:rPr>
        <w:t>份，甲方执</w:t>
      </w:r>
      <w:r>
        <w:rPr>
          <w:rFonts w:hint="eastAsia"/>
          <w:sz w:val="24"/>
          <w:lang w:eastAsia="zh-CN"/>
        </w:rPr>
        <w:t>二</w:t>
      </w:r>
      <w:r>
        <w:rPr>
          <w:rFonts w:hint="eastAsia"/>
          <w:sz w:val="24"/>
        </w:rPr>
        <w:t>份，乙方执二份，报辖区物业管理主管部门（备案）一份，具有同等法律效力。</w:t>
      </w:r>
    </w:p>
    <w:p>
      <w:pPr>
        <w:spacing w:line="480" w:lineRule="exact"/>
        <w:ind w:firstLine="482"/>
        <w:rPr>
          <w:sz w:val="24"/>
        </w:rPr>
      </w:pPr>
      <w:r>
        <w:rPr>
          <w:rFonts w:hint="eastAsia" w:ascii="宋体" w:hAnsi="宋体" w:cs="宋体"/>
          <w:sz w:val="24"/>
          <w:lang w:val="en-US" w:eastAsia="zh-CN"/>
        </w:rPr>
        <w:t>1.9.8</w:t>
      </w:r>
      <w:r>
        <w:rPr>
          <w:rFonts w:hint="eastAsia"/>
          <w:sz w:val="24"/>
        </w:rPr>
        <w:t>本合同执行期间如遇不可抗力，致使合同无法履行时，双方应按有关法律规定及时协商处理。</w:t>
      </w:r>
    </w:p>
    <w:p>
      <w:pPr>
        <w:spacing w:line="480" w:lineRule="exact"/>
        <w:ind w:firstLine="482"/>
        <w:rPr>
          <w:sz w:val="24"/>
        </w:rPr>
      </w:pPr>
      <w:r>
        <w:rPr>
          <w:rFonts w:hint="eastAsia" w:ascii="宋体" w:hAnsi="宋体" w:cs="宋体"/>
          <w:sz w:val="24"/>
          <w:lang w:val="en-US" w:eastAsia="zh-CN"/>
        </w:rPr>
        <w:t>1.9.9</w:t>
      </w:r>
      <w:r>
        <w:rPr>
          <w:rFonts w:hint="eastAsia"/>
          <w:sz w:val="24"/>
        </w:rPr>
        <w:t>本合同在履行中如发生争议，双方应协商解决，协商不成的，双方同意提交杭州仲裁委员会仲裁的方式解决。</w:t>
      </w:r>
      <w:r>
        <w:rPr>
          <w:rFonts w:hint="eastAsia" w:ascii="宋体" w:hAnsi="宋体" w:cs="宋体"/>
          <w:sz w:val="24"/>
        </w:rPr>
        <w:t>违约方应承担守约方为主张和实现债权而发生的律师费、诉讼费、公证费、保全费、保全担保费等费用。</w:t>
      </w:r>
    </w:p>
    <w:p>
      <w:pPr>
        <w:spacing w:line="480" w:lineRule="exact"/>
        <w:ind w:firstLine="482"/>
        <w:rPr>
          <w:sz w:val="24"/>
        </w:rPr>
      </w:pPr>
      <w:r>
        <w:rPr>
          <w:rFonts w:hint="eastAsia" w:ascii="宋体" w:hAnsi="宋体" w:cs="宋体"/>
          <w:sz w:val="24"/>
          <w:lang w:val="en-US" w:eastAsia="zh-CN"/>
        </w:rPr>
        <w:t>1.9.10</w:t>
      </w:r>
      <w:r>
        <w:rPr>
          <w:rFonts w:hint="eastAsia"/>
          <w:sz w:val="24"/>
        </w:rPr>
        <w:t>合同期满，本合同自然终止，乙方如续订合同，应在该合同期满前</w:t>
      </w:r>
      <w:r>
        <w:rPr>
          <w:rFonts w:hint="eastAsia"/>
          <w:sz w:val="24"/>
          <w:u w:val="single"/>
        </w:rPr>
        <w:t>2个月</w:t>
      </w:r>
      <w:r>
        <w:rPr>
          <w:rFonts w:hint="eastAsia"/>
          <w:sz w:val="24"/>
        </w:rPr>
        <w:t>向甲方提出书面意见。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both"/>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杭州市上城区人民法院、</w:t>
      </w:r>
      <w:r>
        <w:rPr>
          <w:rFonts w:hint="eastAsia" w:cs="仿宋_GB2312" w:asciiTheme="minorEastAsia" w:hAnsiTheme="minorEastAsia" w:eastAsiaTheme="minorEastAsia"/>
          <w:sz w:val="24"/>
        </w:rPr>
        <w:t>杭州市公共资源交易中心上城分中心</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我方参与参与杭州市上城区人民法院物</w:t>
      </w:r>
      <w:r>
        <w:rPr>
          <w:rFonts w:hint="eastAsia" w:ascii="宋体" w:hAnsi="宋体" w:cs="宋体"/>
          <w:color w:val="auto"/>
          <w:sz w:val="24"/>
          <w:highlight w:val="none"/>
        </w:rPr>
        <w:t>业</w:t>
      </w:r>
      <w:r>
        <w:rPr>
          <w:rFonts w:hint="eastAsia" w:ascii="宋体" w:hAnsi="宋体" w:cs="宋体"/>
          <w:sz w:val="24"/>
        </w:rPr>
        <w:t>管理服务项目【招标编号：SCCG2023-GK-39】</w:t>
      </w:r>
      <w:r>
        <w:rPr>
          <w:rFonts w:hint="eastAsia" w:ascii="宋体" w:hAnsi="宋体" w:cs="宋体"/>
          <w:color w:val="auto"/>
          <w:sz w:val="24"/>
          <w:highlight w:val="none"/>
        </w:rPr>
        <w:t>政</w:t>
      </w:r>
      <w:r>
        <w:rPr>
          <w:rFonts w:hint="eastAsia" w:ascii="宋体" w:hAnsi="宋体" w:cs="宋体"/>
          <w:sz w:val="24"/>
        </w:rPr>
        <w:t>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firstLine="480" w:firstLineChars="200"/>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lang w:val="en-US" w:eastAsia="zh-CN"/>
        </w:rPr>
        <w:t>注：</w:t>
      </w:r>
      <w:r>
        <w:rPr>
          <w:rFonts w:hint="eastAsia" w:cs="仿宋_GB2312" w:asciiTheme="minorEastAsia" w:hAnsiTheme="minorEastAsia" w:eastAsiaTheme="minorEastAsia"/>
          <w:sz w:val="24"/>
          <w:highlight w:val="none"/>
        </w:rPr>
        <w:t>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left="479" w:leftChars="228"/>
        <w:rPr>
          <w:rFonts w:ascii="宋体" w:hAnsi="宋体" w:cs="宋体"/>
        </w:rPr>
      </w:pPr>
      <w:r>
        <w:rPr>
          <w:rFonts w:hint="eastAsia" w:cs="宋体"/>
          <w:sz w:val="24"/>
          <w:szCs w:val="24"/>
          <w:lang w:eastAsia="zh-CN"/>
        </w:rPr>
        <w:t>（</w:t>
      </w:r>
      <w:r>
        <w:rPr>
          <w:rFonts w:hint="eastAsia" w:cs="宋体"/>
          <w:sz w:val="24"/>
          <w:szCs w:val="24"/>
          <w:lang w:val="en-US" w:eastAsia="zh-CN"/>
        </w:rPr>
        <w:t>9</w:t>
      </w:r>
      <w:r>
        <w:rPr>
          <w:rFonts w:hint="eastAsia" w:cs="宋体"/>
          <w:sz w:val="24"/>
          <w:szCs w:val="24"/>
          <w:lang w:eastAsia="zh-CN"/>
        </w:rPr>
        <w:t>）各类承诺函</w:t>
      </w:r>
      <w:r>
        <w:rPr>
          <w:rFonts w:hint="eastAsia" w:ascii="宋体" w:hAnsi="宋体" w:cs="宋体"/>
        </w:rPr>
        <w:t>……………………………………………………………………………（页码）</w:t>
      </w:r>
    </w:p>
    <w:p>
      <w:pPr>
        <w:pStyle w:val="62"/>
        <w:ind w:left="0" w:leftChars="0" w:firstLine="480" w:firstLineChars="200"/>
        <w:rPr>
          <w:rFonts w:hint="eastAsia" w:eastAsia="宋体"/>
          <w:sz w:val="24"/>
          <w:szCs w:val="24"/>
          <w:lang w:eastAsia="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杭州市上城区人民法院、</w:t>
      </w:r>
      <w:r>
        <w:rPr>
          <w:rFonts w:hint="eastAsia" w:cs="仿宋_GB2312" w:asciiTheme="minorEastAsia" w:hAnsiTheme="minorEastAsia" w:eastAsiaTheme="minorEastAsia"/>
          <w:sz w:val="24"/>
        </w:rPr>
        <w:t>杭州市公共资源交易中心上城分中心</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我方参加你方组织的杭州市上城区人民法院物业管理服务项目【招标编号：SCCG2023-GK-39】招标的有关活动，并对此项目进行投标。为此：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26" w:name="_Hlk101257010"/>
      <w:r>
        <w:rPr>
          <w:rFonts w:hint="eastAsia" w:ascii="宋体" w:hAnsi="宋体" w:cs="宋体"/>
          <w:color w:val="FF0000"/>
          <w:sz w:val="24"/>
        </w:rPr>
        <w:t>（如果有)</w:t>
      </w:r>
      <w:bookmarkEnd w:id="426"/>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杭州市上城区人民法院、、</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杭州市上城区人民法院物业管理服务项目【招标编号：SCCG2023-GK-39】</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杭州市上城区人民法院、</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杭州市上城区人民法院物业管理服务项目【招标编号：SCCG2023-GK-39】</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en-US" w:eastAsia="zh-CN"/>
        </w:rPr>
        <w:t>注：</w:t>
      </w:r>
      <w:r>
        <w:rPr>
          <w:rFonts w:hint="eastAsia" w:ascii="宋体" w:hAnsi="宋体" w:cs="宋体"/>
          <w:kern w:val="0"/>
          <w:sz w:val="24"/>
          <w:highlight w:val="none"/>
          <w:lang w:val="zh-CN"/>
        </w:rPr>
        <w:t>▲供应商委派不在本单位缴纳社保的人员作为授权代表（代理人）的，应当在投标（响应）文件中，说明具体原因、授权代表缴纳社保的单位，并附列该授权代表缴纳社保清单。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杭州市上城区人民法院、</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pPr>
    </w:p>
    <w:p>
      <w:pPr>
        <w:widowControl/>
        <w:adjustRightInd/>
        <w:ind w:firstLine="2409" w:firstLineChars="800"/>
        <w:jc w:val="left"/>
        <w:rPr>
          <w:rFonts w:hint="eastAsia" w:ascii="仿宋" w:hAnsi="仿宋" w:eastAsia="仿宋" w:cs="仿宋"/>
          <w:color w:val="auto"/>
          <w:sz w:val="24"/>
          <w:highlight w:val="none"/>
        </w:rPr>
      </w:pPr>
      <w:r>
        <w:rPr>
          <w:rFonts w:hint="eastAsia" w:ascii="仿宋" w:hAnsi="仿宋" w:eastAsia="仿宋" w:cs="仿宋"/>
          <w:b/>
          <w:bCs/>
          <w:color w:val="auto"/>
          <w:sz w:val="30"/>
          <w:szCs w:val="30"/>
          <w:highlight w:val="none"/>
          <w:lang w:eastAsia="zh-CN"/>
        </w:rPr>
        <w:t>九</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val="en-US" w:eastAsia="zh-CN"/>
        </w:rPr>
        <w:t>各类</w:t>
      </w:r>
      <w:r>
        <w:rPr>
          <w:rFonts w:hint="eastAsia" w:ascii="仿宋" w:hAnsi="仿宋" w:eastAsia="仿宋" w:cs="仿宋"/>
          <w:b/>
          <w:bCs/>
          <w:color w:val="auto"/>
          <w:sz w:val="30"/>
          <w:szCs w:val="30"/>
          <w:highlight w:val="none"/>
        </w:rPr>
        <w:t>承诺函</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自行编制）</w:t>
      </w:r>
    </w:p>
    <w:p>
      <w:pPr>
        <w:spacing w:line="360" w:lineRule="auto"/>
        <w:rPr>
          <w:rFonts w:hint="eastAsia" w:ascii="仿宋" w:hAnsi="仿宋" w:eastAsia="仿宋" w:cs="仿宋"/>
          <w:color w:val="auto"/>
          <w:sz w:val="24"/>
          <w:highlight w:val="none"/>
        </w:rPr>
      </w:pPr>
    </w:p>
    <w:p>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投标人</w:t>
      </w:r>
      <w:r>
        <w:rPr>
          <w:rFonts w:hint="eastAsia" w:ascii="仿宋" w:hAnsi="仿宋" w:eastAsia="仿宋" w:cs="仿宋"/>
          <w:color w:val="auto"/>
          <w:kern w:val="0"/>
          <w:sz w:val="24"/>
          <w:highlight w:val="none"/>
        </w:rPr>
        <w:t>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pPr>
        <w:pStyle w:val="62"/>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杭州市上城区人民法院、</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杭州市上城区人民法院物业管理服务项目</w:t>
      </w:r>
      <w:r>
        <w:rPr>
          <w:rFonts w:hint="eastAsia" w:ascii="宋体" w:hAnsi="宋体" w:cs="宋体"/>
          <w:kern w:val="0"/>
          <w:sz w:val="24"/>
          <w:lang w:val="zh-CN"/>
        </w:rPr>
        <w:t>【招标编号：SCCG2023-GK-39</w:t>
      </w:r>
      <w:r>
        <w:rPr>
          <w:rFonts w:hint="eastAsia" w:ascii="宋体" w:hAnsi="宋体" w:cs="宋体"/>
          <w:sz w:val="24"/>
        </w:rPr>
        <w:t>】的实施</w:t>
      </w:r>
      <w:r>
        <w:rPr>
          <w:rFonts w:hint="eastAsia" w:ascii="宋体" w:hAnsi="宋体" w:cs="宋体"/>
          <w:kern w:val="0"/>
          <w:sz w:val="24"/>
          <w:lang w:val="zh-CN"/>
        </w:rPr>
        <w:t>。</w:t>
      </w:r>
    </w:p>
    <w:p>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16"/>
        <w:gridCol w:w="4695"/>
        <w:gridCol w:w="1650"/>
        <w:gridCol w:w="1860"/>
        <w:gridCol w:w="137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2616"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4695" w:type="dxa"/>
          </w:tcPr>
          <w:p>
            <w:pPr>
              <w:spacing w:line="360" w:lineRule="auto"/>
              <w:jc w:val="center"/>
              <w:rPr>
                <w:rFonts w:ascii="宋体" w:hAnsi="宋体" w:cs="宋体"/>
                <w:b/>
                <w:sz w:val="24"/>
              </w:rPr>
            </w:pPr>
          </w:p>
          <w:p>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具体服务</w:t>
            </w:r>
          </w:p>
        </w:tc>
        <w:tc>
          <w:tcPr>
            <w:tcW w:w="1650"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1860" w:type="dxa"/>
            <w:vAlign w:val="center"/>
          </w:tcPr>
          <w:p>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单价</w:t>
            </w:r>
          </w:p>
        </w:tc>
        <w:tc>
          <w:tcPr>
            <w:tcW w:w="1370" w:type="dxa"/>
          </w:tcPr>
          <w:p>
            <w:pPr>
              <w:spacing w:line="360" w:lineRule="auto"/>
              <w:jc w:val="center"/>
              <w:rPr>
                <w:rFonts w:ascii="宋体" w:hAnsi="宋体" w:cs="宋体"/>
                <w:b/>
                <w:sz w:val="24"/>
              </w:rPr>
            </w:pPr>
          </w:p>
          <w:p>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总价</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817" w:type="dxa"/>
            <w:vAlign w:val="center"/>
          </w:tcPr>
          <w:p>
            <w:pPr>
              <w:snapToGrid w:val="0"/>
              <w:spacing w:line="360" w:lineRule="auto"/>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w:t>
            </w:r>
          </w:p>
        </w:tc>
        <w:tc>
          <w:tcPr>
            <w:tcW w:w="2616" w:type="dxa"/>
            <w:vAlign w:val="center"/>
          </w:tcPr>
          <w:p>
            <w:pPr>
              <w:adjustRightInd/>
              <w:spacing w:line="360" w:lineRule="auto"/>
              <w:jc w:val="center"/>
              <w:rPr>
                <w:rFonts w:hint="eastAsia" w:ascii="宋体" w:hAnsi="宋体" w:cs="宋体"/>
                <w:sz w:val="16"/>
                <w:szCs w:val="16"/>
              </w:rPr>
            </w:pPr>
          </w:p>
          <w:p>
            <w:pPr>
              <w:adjustRightInd/>
              <w:spacing w:line="360" w:lineRule="auto"/>
              <w:jc w:val="center"/>
              <w:rPr>
                <w:rFonts w:hint="default" w:ascii="宋体" w:hAnsi="宋体" w:cs="宋体"/>
                <w:color w:val="auto"/>
                <w:sz w:val="18"/>
                <w:szCs w:val="18"/>
                <w:lang w:val="en-US" w:eastAsia="zh-CN"/>
              </w:rPr>
            </w:pPr>
            <w:r>
              <w:rPr>
                <w:rFonts w:hint="eastAsia" w:ascii="宋体" w:hAnsi="宋体" w:cs="宋体"/>
                <w:sz w:val="24"/>
              </w:rPr>
              <w:t>杭州市上城区人民法院物业管理服务项目</w:t>
            </w:r>
          </w:p>
        </w:tc>
        <w:tc>
          <w:tcPr>
            <w:tcW w:w="4695" w:type="dxa"/>
            <w:vAlign w:val="center"/>
          </w:tcPr>
          <w:p>
            <w:pPr>
              <w:snapToGrid w:val="0"/>
              <w:spacing w:line="360" w:lineRule="auto"/>
              <w:jc w:val="center"/>
            </w:pPr>
          </w:p>
          <w:p>
            <w:pPr>
              <w:pStyle w:val="2"/>
            </w:pPr>
          </w:p>
          <w:p/>
          <w:p>
            <w:pPr>
              <w:pStyle w:val="2"/>
            </w:pPr>
          </w:p>
          <w:p/>
        </w:tc>
        <w:tc>
          <w:tcPr>
            <w:tcW w:w="1650" w:type="dxa"/>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一年</w:t>
            </w:r>
          </w:p>
        </w:tc>
        <w:tc>
          <w:tcPr>
            <w:tcW w:w="1860" w:type="dxa"/>
            <w:vAlign w:val="center"/>
          </w:tcPr>
          <w:p>
            <w:pPr>
              <w:spacing w:line="360" w:lineRule="auto"/>
              <w:jc w:val="center"/>
              <w:rPr>
                <w:rFonts w:ascii="宋体" w:hAnsi="宋体" w:cs="宋体"/>
                <w:sz w:val="24"/>
              </w:rPr>
            </w:pPr>
          </w:p>
        </w:tc>
        <w:tc>
          <w:tcPr>
            <w:tcW w:w="1370"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28" w:type="dxa"/>
            <w:gridSpan w:val="3"/>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006"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28" w:type="dxa"/>
            <w:gridSpan w:val="3"/>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006" w:type="dxa"/>
            <w:gridSpan w:val="4"/>
          </w:tcPr>
          <w:p>
            <w:pPr>
              <w:spacing w:line="360" w:lineRule="auto"/>
              <w:jc w:val="center"/>
              <w:rPr>
                <w:rFonts w:ascii="宋体" w:hAnsi="宋体" w:cs="宋体"/>
                <w:sz w:val="24"/>
              </w:rPr>
            </w:pPr>
          </w:p>
        </w:tc>
      </w:tr>
    </w:tbl>
    <w:p>
      <w:pPr>
        <w:snapToGrid w:val="0"/>
        <w:spacing w:line="360" w:lineRule="auto"/>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cs="宋体"/>
          <w:color w:val="FF0000"/>
          <w:kern w:val="0"/>
          <w:sz w:val="24"/>
          <w:highlight w:val="none"/>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w:t>
      </w:r>
      <w:r>
        <w:rPr>
          <w:rFonts w:hint="eastAsia" w:ascii="宋体" w:hAnsi="宋体" w:cs="宋体"/>
          <w:color w:val="FF0000"/>
          <w:kern w:val="0"/>
          <w:sz w:val="24"/>
          <w:highlight w:val="none"/>
          <w:lang w:val="zh-CN"/>
        </w:rPr>
        <w:t>的，属于提供虚假材料谋取中标、成交，依照《中华人民共和国政府采购法》等国家有关规定追究相应责任。</w:t>
      </w:r>
    </w:p>
    <w:p>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lang w:val="en-US" w:eastAsia="zh-CN"/>
        </w:rPr>
        <w:t>5、</w:t>
      </w:r>
      <w:r>
        <w:rPr>
          <w:rFonts w:hint="eastAsia" w:ascii="宋体" w:hAnsi="宋体" w:cs="宋体"/>
          <w:b/>
          <w:sz w:val="24"/>
          <w:highlight w:val="none"/>
        </w:rPr>
        <w:t>特别说明：▲供应商报价低于项目预算50%的，应当在报价文件中详细阐述不影响产品质量或者诚信履约的具体原因。</w:t>
      </w:r>
    </w:p>
    <w:p>
      <w:pPr>
        <w:pStyle w:val="2"/>
        <w:rPr>
          <w:rFonts w:hint="eastAsia" w:ascii="宋体" w:hAnsi="宋体" w:cs="宋体"/>
          <w:b/>
          <w:sz w:val="24"/>
          <w:highlight w:val="none"/>
        </w:rPr>
      </w:pPr>
    </w:p>
    <w:p>
      <w:pPr>
        <w:snapToGrid w:val="0"/>
        <w:spacing w:line="360" w:lineRule="auto"/>
        <w:ind w:left="480"/>
        <w:jc w:val="center"/>
        <w:rPr>
          <w:rFonts w:hint="eastAsia" w:ascii="宋体" w:hAnsi="宋体" w:eastAsia="宋体" w:cs="宋体"/>
          <w:b/>
          <w:kern w:val="0"/>
          <w:sz w:val="24"/>
          <w:lang w:val="zh-CN"/>
        </w:rPr>
      </w:pPr>
      <w:r>
        <w:rPr>
          <w:rFonts w:hint="eastAsia" w:ascii="宋体" w:hAnsi="宋体" w:eastAsia="宋体" w:cs="宋体"/>
          <w:b/>
          <w:kern w:val="0"/>
          <w:sz w:val="24"/>
          <w:lang w:val="zh-CN"/>
        </w:rPr>
        <w:t>报价明细清单</w:t>
      </w:r>
    </w:p>
    <w:tbl>
      <w:tblPr>
        <w:tblStyle w:val="63"/>
        <w:tblW w:w="14278"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13" w:type="dxa"/>
          <w:bottom w:w="0" w:type="dxa"/>
          <w:right w:w="113" w:type="dxa"/>
        </w:tblCellMar>
      </w:tblPr>
      <w:tblGrid>
        <w:gridCol w:w="872"/>
        <w:gridCol w:w="601"/>
        <w:gridCol w:w="23"/>
        <w:gridCol w:w="3273"/>
        <w:gridCol w:w="2101"/>
        <w:gridCol w:w="2508"/>
        <w:gridCol w:w="2505"/>
        <w:gridCol w:w="2395"/>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r>
              <w:rPr>
                <w:rFonts w:hint="eastAsia" w:asciiTheme="minorEastAsia" w:hAnsiTheme="minorEastAsia" w:eastAsiaTheme="minorEastAsia" w:cstheme="minorEastAsia"/>
                <w:szCs w:val="21"/>
                <w:highlight w:val="none"/>
                <w:shd w:val="clear" w:color="auto" w:fill="auto"/>
              </w:rPr>
              <w:t>序号</w:t>
            </w:r>
          </w:p>
        </w:tc>
        <w:tc>
          <w:tcPr>
            <w:tcW w:w="3897" w:type="dxa"/>
            <w:gridSpan w:val="3"/>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r>
              <w:rPr>
                <w:rFonts w:hint="eastAsia" w:asciiTheme="minorEastAsia" w:hAnsiTheme="minorEastAsia" w:eastAsiaTheme="minorEastAsia" w:cstheme="minorEastAsia"/>
                <w:szCs w:val="21"/>
                <w:highlight w:val="none"/>
                <w:shd w:val="clear" w:color="auto" w:fill="auto"/>
              </w:rPr>
              <w:t>名称</w:t>
            </w:r>
          </w:p>
        </w:tc>
        <w:tc>
          <w:tcPr>
            <w:tcW w:w="2101"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r>
              <w:rPr>
                <w:rFonts w:hint="eastAsia" w:asciiTheme="minorEastAsia" w:hAnsiTheme="minorEastAsia" w:eastAsiaTheme="minorEastAsia" w:cstheme="minorEastAsia"/>
                <w:szCs w:val="21"/>
                <w:highlight w:val="none"/>
                <w:shd w:val="clear" w:color="auto" w:fill="auto"/>
              </w:rPr>
              <w:t>单价（元</w:t>
            </w:r>
            <w:r>
              <w:rPr>
                <w:rFonts w:hint="eastAsia" w:asciiTheme="minorEastAsia" w:hAnsiTheme="minorEastAsia" w:eastAsiaTheme="minorEastAsia" w:cstheme="minorEastAsia"/>
                <w:szCs w:val="21"/>
                <w:highlight w:val="none"/>
                <w:shd w:val="clear" w:color="auto" w:fill="auto"/>
                <w:lang w:val="en-US" w:eastAsia="zh-CN"/>
              </w:rPr>
              <w:t>/年</w:t>
            </w:r>
            <w:r>
              <w:rPr>
                <w:rFonts w:hint="eastAsia" w:asciiTheme="minorEastAsia" w:hAnsiTheme="minorEastAsia" w:eastAsiaTheme="minorEastAsia" w:cstheme="minorEastAsia"/>
                <w:szCs w:val="21"/>
                <w:highlight w:val="none"/>
                <w:shd w:val="clear" w:color="auto" w:fill="auto"/>
              </w:rPr>
              <w:t>）</w:t>
            </w:r>
          </w:p>
        </w:tc>
        <w:tc>
          <w:tcPr>
            <w:tcW w:w="2508"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kern w:val="2"/>
                <w:sz w:val="21"/>
                <w:szCs w:val="21"/>
                <w:highlight w:val="none"/>
                <w:shd w:val="clear" w:color="auto" w:fill="auto"/>
                <w:lang w:val="en-US" w:eastAsia="zh-CN" w:bidi="ar-SA"/>
              </w:rPr>
            </w:pPr>
            <w:r>
              <w:rPr>
                <w:rFonts w:hint="eastAsia" w:asciiTheme="minorEastAsia" w:hAnsiTheme="minorEastAsia" w:eastAsiaTheme="minorEastAsia" w:cstheme="minorEastAsia"/>
                <w:szCs w:val="21"/>
                <w:highlight w:val="none"/>
                <w:shd w:val="clear" w:color="auto" w:fill="auto"/>
              </w:rPr>
              <w:t>数量</w:t>
            </w:r>
            <w:r>
              <w:rPr>
                <w:rFonts w:hint="eastAsia" w:asciiTheme="minorEastAsia" w:hAnsiTheme="minorEastAsia" w:eastAsiaTheme="minorEastAsia" w:cstheme="minorEastAsia"/>
                <w:szCs w:val="21"/>
                <w:highlight w:val="none"/>
                <w:shd w:val="clear" w:color="auto" w:fill="auto"/>
                <w:lang w:eastAsia="zh-CN"/>
              </w:rPr>
              <w:t>（</w:t>
            </w:r>
            <w:r>
              <w:rPr>
                <w:rFonts w:hint="eastAsia" w:asciiTheme="minorEastAsia" w:hAnsiTheme="minorEastAsia" w:eastAsiaTheme="minorEastAsia" w:cstheme="minorEastAsia"/>
                <w:szCs w:val="21"/>
                <w:highlight w:val="none"/>
                <w:shd w:val="clear" w:color="auto" w:fill="auto"/>
                <w:lang w:val="en-US" w:eastAsia="zh-CN"/>
              </w:rPr>
              <w:t>年</w:t>
            </w:r>
            <w:r>
              <w:rPr>
                <w:rFonts w:hint="eastAsia" w:asciiTheme="minorEastAsia" w:hAnsiTheme="minorEastAsia" w:eastAsiaTheme="minorEastAsia" w:cstheme="minorEastAsia"/>
                <w:szCs w:val="21"/>
                <w:highlight w:val="none"/>
                <w:shd w:val="clear" w:color="auto" w:fill="auto"/>
                <w:lang w:eastAsia="zh-CN"/>
              </w:rPr>
              <w:t>）</w:t>
            </w:r>
          </w:p>
        </w:tc>
        <w:tc>
          <w:tcPr>
            <w:tcW w:w="2505"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lang w:eastAsia="zh-CN"/>
              </w:rPr>
            </w:pPr>
            <w:r>
              <w:rPr>
                <w:rFonts w:hint="eastAsia" w:asciiTheme="minorEastAsia" w:hAnsiTheme="minorEastAsia" w:eastAsiaTheme="minorEastAsia" w:cstheme="minorEastAsia"/>
                <w:szCs w:val="21"/>
                <w:highlight w:val="none"/>
                <w:shd w:val="clear" w:color="auto" w:fill="auto"/>
                <w:lang w:val="en-US" w:eastAsia="zh-CN"/>
              </w:rPr>
              <w:t>总计</w:t>
            </w:r>
          </w:p>
        </w:tc>
        <w:tc>
          <w:tcPr>
            <w:tcW w:w="2395"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lang w:val="en-US" w:eastAsia="zh-CN"/>
              </w:rPr>
            </w:pPr>
            <w:r>
              <w:rPr>
                <w:rFonts w:hint="eastAsia" w:asciiTheme="minorEastAsia" w:hAnsiTheme="minorEastAsia" w:eastAsiaTheme="minorEastAsia" w:cstheme="minorEastAsia"/>
                <w:szCs w:val="21"/>
                <w:highlight w:val="none"/>
                <w:shd w:val="clear" w:color="auto" w:fill="auto"/>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5" w:hRule="atLeast"/>
        </w:trPr>
        <w:tc>
          <w:tcPr>
            <w:tcW w:w="872" w:type="dxa"/>
            <w:vMerge w:val="restart"/>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r>
              <w:rPr>
                <w:rFonts w:hint="eastAsia" w:asciiTheme="minorEastAsia" w:hAnsiTheme="minorEastAsia" w:eastAsiaTheme="minorEastAsia" w:cstheme="minorEastAsia"/>
                <w:szCs w:val="21"/>
                <w:highlight w:val="none"/>
                <w:shd w:val="clear" w:color="auto" w:fill="auto"/>
              </w:rPr>
              <w:t>1</w:t>
            </w:r>
          </w:p>
        </w:tc>
        <w:tc>
          <w:tcPr>
            <w:tcW w:w="624" w:type="dxa"/>
            <w:gridSpan w:val="2"/>
            <w:vMerge w:val="restart"/>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r>
              <w:rPr>
                <w:rFonts w:hint="eastAsia" w:asciiTheme="minorEastAsia" w:hAnsiTheme="minorEastAsia" w:eastAsiaTheme="minorEastAsia" w:cstheme="minorEastAsia"/>
                <w:szCs w:val="21"/>
                <w:highlight w:val="none"/>
                <w:shd w:val="clear" w:color="auto" w:fill="auto"/>
              </w:rPr>
              <w:t>人工费用</w:t>
            </w:r>
          </w:p>
        </w:tc>
        <w:tc>
          <w:tcPr>
            <w:tcW w:w="3273"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r>
              <w:rPr>
                <w:rFonts w:hint="eastAsia" w:asciiTheme="minorEastAsia" w:hAnsiTheme="minorEastAsia" w:eastAsiaTheme="minorEastAsia" w:cstheme="minorEastAsia"/>
                <w:szCs w:val="21"/>
                <w:highlight w:val="none"/>
                <w:shd w:val="clear" w:color="auto" w:fill="auto"/>
              </w:rPr>
              <w:t>人员基础工资</w:t>
            </w:r>
          </w:p>
        </w:tc>
        <w:tc>
          <w:tcPr>
            <w:tcW w:w="2101" w:type="dxa"/>
            <w:vMerge w:val="restart"/>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kern w:val="2"/>
                <w:sz w:val="21"/>
                <w:szCs w:val="21"/>
                <w:highlight w:val="none"/>
                <w:shd w:val="clear" w:color="auto" w:fill="auto"/>
                <w:lang w:val="en-US" w:eastAsia="zh-CN" w:bidi="ar-SA"/>
              </w:rPr>
            </w:pPr>
            <w:r>
              <w:rPr>
                <w:rFonts w:hint="eastAsia" w:asciiTheme="minorEastAsia" w:hAnsiTheme="minorEastAsia" w:eastAsiaTheme="minorEastAsia" w:cstheme="minorEastAsia"/>
                <w:szCs w:val="21"/>
                <w:highlight w:val="none"/>
                <w:shd w:val="clear" w:color="auto" w:fill="auto"/>
              </w:rPr>
              <w:t xml:space="preserve">   人/年/元</w:t>
            </w:r>
          </w:p>
        </w:tc>
        <w:tc>
          <w:tcPr>
            <w:tcW w:w="2508" w:type="dxa"/>
            <w:vMerge w:val="restart"/>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r>
              <w:rPr>
                <w:rFonts w:hint="eastAsia" w:asciiTheme="minorEastAsia" w:hAnsiTheme="minorEastAsia" w:eastAsiaTheme="minorEastAsia" w:cstheme="minorEastAsia"/>
                <w:szCs w:val="21"/>
                <w:highlight w:val="none"/>
                <w:shd w:val="clear" w:color="auto" w:fill="auto"/>
              </w:rPr>
              <w:t xml:space="preserve"> </w:t>
            </w:r>
          </w:p>
        </w:tc>
        <w:tc>
          <w:tcPr>
            <w:tcW w:w="2505" w:type="dxa"/>
            <w:vMerge w:val="restart"/>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395" w:type="dxa"/>
            <w:vMerge w:val="restart"/>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r>
              <w:rPr>
                <w:rFonts w:hint="eastAsia" w:ascii="宋体" w:hAnsi="宋体" w:cs="宋体"/>
                <w:sz w:val="24"/>
              </w:rPr>
              <w:t>共</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人配置</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624" w:type="dxa"/>
            <w:gridSpan w:val="2"/>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3273"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r>
              <w:rPr>
                <w:rFonts w:hint="eastAsia" w:asciiTheme="minorEastAsia" w:hAnsiTheme="minorEastAsia" w:eastAsiaTheme="minorEastAsia" w:cstheme="minorEastAsia"/>
                <w:szCs w:val="21"/>
                <w:highlight w:val="none"/>
                <w:shd w:val="clear" w:color="auto" w:fill="auto"/>
              </w:rPr>
              <w:t>环卫特殊岗位津贴</w:t>
            </w:r>
          </w:p>
        </w:tc>
        <w:tc>
          <w:tcPr>
            <w:tcW w:w="2101"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508"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505"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395"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624" w:type="dxa"/>
            <w:gridSpan w:val="2"/>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3273"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r>
              <w:rPr>
                <w:rFonts w:hint="eastAsia" w:asciiTheme="minorEastAsia" w:hAnsiTheme="minorEastAsia" w:eastAsiaTheme="minorEastAsia" w:cstheme="minorEastAsia"/>
                <w:szCs w:val="21"/>
                <w:highlight w:val="none"/>
                <w:shd w:val="clear" w:color="auto" w:fill="auto"/>
              </w:rPr>
              <w:t>高温费</w:t>
            </w:r>
          </w:p>
        </w:tc>
        <w:tc>
          <w:tcPr>
            <w:tcW w:w="2101"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508"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505"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395"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624" w:type="dxa"/>
            <w:gridSpan w:val="2"/>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3273"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r>
              <w:rPr>
                <w:rFonts w:hint="eastAsia" w:asciiTheme="minorEastAsia" w:hAnsiTheme="minorEastAsia" w:eastAsiaTheme="minorEastAsia" w:cstheme="minorEastAsia"/>
                <w:szCs w:val="21"/>
                <w:highlight w:val="none"/>
                <w:shd w:val="clear" w:color="auto" w:fill="auto"/>
              </w:rPr>
              <w:t>社会保险费</w:t>
            </w:r>
          </w:p>
        </w:tc>
        <w:tc>
          <w:tcPr>
            <w:tcW w:w="2101"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508"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505"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395"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624" w:type="dxa"/>
            <w:gridSpan w:val="2"/>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3273"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r>
              <w:rPr>
                <w:rFonts w:hint="eastAsia" w:asciiTheme="minorEastAsia" w:hAnsiTheme="minorEastAsia" w:eastAsiaTheme="minorEastAsia" w:cstheme="minorEastAsia"/>
                <w:szCs w:val="21"/>
                <w:highlight w:val="none"/>
                <w:shd w:val="clear" w:color="auto" w:fill="auto"/>
              </w:rPr>
              <w:t>住房公积金</w:t>
            </w:r>
          </w:p>
        </w:tc>
        <w:tc>
          <w:tcPr>
            <w:tcW w:w="2101"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508"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505"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395"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624" w:type="dxa"/>
            <w:gridSpan w:val="2"/>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3273"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r>
              <w:rPr>
                <w:rFonts w:hint="eastAsia" w:asciiTheme="minorEastAsia" w:hAnsiTheme="minorEastAsia" w:eastAsiaTheme="minorEastAsia" w:cstheme="minorEastAsia"/>
                <w:szCs w:val="21"/>
                <w:highlight w:val="none"/>
                <w:shd w:val="clear" w:color="auto" w:fill="auto"/>
              </w:rPr>
              <w:t>双休日及法定节假日加班费</w:t>
            </w:r>
          </w:p>
        </w:tc>
        <w:tc>
          <w:tcPr>
            <w:tcW w:w="2101"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508"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505"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395"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624" w:type="dxa"/>
            <w:gridSpan w:val="2"/>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3273"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r>
              <w:rPr>
                <w:rFonts w:hint="eastAsia" w:asciiTheme="minorEastAsia" w:hAnsiTheme="minorEastAsia" w:eastAsiaTheme="minorEastAsia" w:cstheme="minorEastAsia"/>
                <w:szCs w:val="21"/>
                <w:highlight w:val="none"/>
                <w:shd w:val="clear" w:color="auto" w:fill="auto"/>
              </w:rPr>
              <w:t>医疗体检费</w:t>
            </w:r>
          </w:p>
        </w:tc>
        <w:tc>
          <w:tcPr>
            <w:tcW w:w="2101"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508"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505"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395" w:type="dxa"/>
            <w:vMerge w:val="continue"/>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64" w:hRule="atLeast"/>
        </w:trPr>
        <w:tc>
          <w:tcPr>
            <w:tcW w:w="872"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r>
              <w:rPr>
                <w:rFonts w:hint="eastAsia" w:asciiTheme="minorEastAsia" w:hAnsiTheme="minorEastAsia" w:eastAsiaTheme="minorEastAsia" w:cstheme="minorEastAsia"/>
                <w:szCs w:val="21"/>
                <w:highlight w:val="none"/>
                <w:shd w:val="clear" w:color="auto" w:fill="auto"/>
              </w:rPr>
              <w:t>2</w:t>
            </w:r>
          </w:p>
        </w:tc>
        <w:tc>
          <w:tcPr>
            <w:tcW w:w="3897" w:type="dxa"/>
            <w:gridSpan w:val="3"/>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r>
              <w:rPr>
                <w:rFonts w:hint="eastAsia" w:asciiTheme="minorEastAsia" w:hAnsiTheme="minorEastAsia" w:eastAsiaTheme="minorEastAsia" w:cstheme="minorEastAsia"/>
                <w:szCs w:val="21"/>
                <w:highlight w:val="none"/>
                <w:shd w:val="clear" w:color="auto" w:fill="auto"/>
              </w:rPr>
              <w:t>日常办公费用</w:t>
            </w:r>
          </w:p>
        </w:tc>
        <w:tc>
          <w:tcPr>
            <w:tcW w:w="2101"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kern w:val="2"/>
                <w:sz w:val="21"/>
                <w:szCs w:val="21"/>
                <w:highlight w:val="none"/>
                <w:shd w:val="clear" w:color="auto" w:fill="auto"/>
                <w:lang w:val="en-US" w:eastAsia="zh-CN" w:bidi="ar-SA"/>
              </w:rPr>
            </w:pPr>
          </w:p>
        </w:tc>
        <w:tc>
          <w:tcPr>
            <w:tcW w:w="2508"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505"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395"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95" w:hRule="atLeast"/>
        </w:trPr>
        <w:tc>
          <w:tcPr>
            <w:tcW w:w="872" w:type="dxa"/>
            <w:tcBorders>
              <w:bottom w:val="single" w:color="auto" w:sz="4" w:space="0"/>
            </w:tcBorders>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r>
              <w:rPr>
                <w:rFonts w:hint="eastAsia" w:asciiTheme="minorEastAsia" w:hAnsiTheme="minorEastAsia" w:eastAsiaTheme="minorEastAsia" w:cstheme="minorEastAsia"/>
                <w:szCs w:val="21"/>
                <w:highlight w:val="none"/>
                <w:shd w:val="clear" w:color="auto" w:fill="auto"/>
              </w:rPr>
              <w:t>3</w:t>
            </w:r>
          </w:p>
        </w:tc>
        <w:tc>
          <w:tcPr>
            <w:tcW w:w="3897" w:type="dxa"/>
            <w:gridSpan w:val="3"/>
            <w:tcBorders>
              <w:bottom w:val="single" w:color="auto" w:sz="4" w:space="0"/>
            </w:tcBorders>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r>
              <w:rPr>
                <w:rFonts w:hint="eastAsia" w:asciiTheme="minorEastAsia" w:hAnsiTheme="minorEastAsia" w:eastAsiaTheme="minorEastAsia" w:cstheme="minorEastAsia"/>
                <w:szCs w:val="21"/>
                <w:highlight w:val="none"/>
                <w:shd w:val="clear" w:color="auto" w:fill="auto"/>
              </w:rPr>
              <w:t>秩序维护部运行费用</w:t>
            </w:r>
          </w:p>
        </w:tc>
        <w:tc>
          <w:tcPr>
            <w:tcW w:w="2101" w:type="dxa"/>
            <w:tcBorders>
              <w:bottom w:val="single" w:color="auto" w:sz="4" w:space="0"/>
            </w:tcBorders>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kern w:val="2"/>
                <w:sz w:val="21"/>
                <w:szCs w:val="21"/>
                <w:highlight w:val="none"/>
                <w:shd w:val="clear" w:color="auto" w:fill="auto"/>
                <w:lang w:val="en-US" w:eastAsia="zh-CN" w:bidi="ar-SA"/>
              </w:rPr>
            </w:pPr>
          </w:p>
        </w:tc>
        <w:tc>
          <w:tcPr>
            <w:tcW w:w="2508" w:type="dxa"/>
            <w:tcBorders>
              <w:bottom w:val="single" w:color="auto" w:sz="4" w:space="0"/>
            </w:tcBorders>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505" w:type="dxa"/>
            <w:tcBorders>
              <w:bottom w:val="single" w:color="auto" w:sz="4" w:space="0"/>
            </w:tcBorders>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395" w:type="dxa"/>
            <w:tcBorders>
              <w:bottom w:val="single" w:color="auto" w:sz="4" w:space="0"/>
            </w:tcBorders>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80" w:hRule="atLeast"/>
        </w:trPr>
        <w:tc>
          <w:tcPr>
            <w:tcW w:w="872" w:type="dxa"/>
            <w:tcBorders>
              <w:top w:val="single" w:color="auto" w:sz="4" w:space="0"/>
              <w:bottom w:val="single" w:color="auto" w:sz="4" w:space="0"/>
            </w:tcBorders>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kern w:val="2"/>
                <w:sz w:val="21"/>
                <w:szCs w:val="21"/>
                <w:highlight w:val="none"/>
                <w:shd w:val="clear" w:color="auto" w:fill="auto"/>
                <w:lang w:val="en-US" w:eastAsia="zh-CN" w:bidi="ar-SA"/>
              </w:rPr>
            </w:pPr>
            <w:r>
              <w:rPr>
                <w:rFonts w:hint="eastAsia" w:asciiTheme="minorEastAsia" w:hAnsiTheme="minorEastAsia" w:eastAsiaTheme="minorEastAsia" w:cstheme="minorEastAsia"/>
                <w:szCs w:val="21"/>
                <w:highlight w:val="none"/>
                <w:shd w:val="clear" w:color="auto" w:fill="auto"/>
              </w:rPr>
              <w:t>4</w:t>
            </w:r>
          </w:p>
        </w:tc>
        <w:tc>
          <w:tcPr>
            <w:tcW w:w="3897" w:type="dxa"/>
            <w:gridSpan w:val="3"/>
            <w:tcBorders>
              <w:top w:val="single" w:color="auto" w:sz="4" w:space="0"/>
              <w:bottom w:val="single" w:color="auto" w:sz="4" w:space="0"/>
            </w:tcBorders>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r>
              <w:rPr>
                <w:rFonts w:hint="eastAsia" w:asciiTheme="minorEastAsia" w:hAnsiTheme="minorEastAsia" w:eastAsiaTheme="minorEastAsia" w:cstheme="minorEastAsia"/>
                <w:szCs w:val="21"/>
                <w:highlight w:val="none"/>
                <w:shd w:val="clear" w:color="auto" w:fill="auto"/>
              </w:rPr>
              <w:t>保洁绿化部运行费用</w:t>
            </w:r>
          </w:p>
        </w:tc>
        <w:tc>
          <w:tcPr>
            <w:tcW w:w="2101" w:type="dxa"/>
            <w:tcBorders>
              <w:top w:val="single" w:color="auto" w:sz="4" w:space="0"/>
              <w:bottom w:val="single" w:color="auto" w:sz="4" w:space="0"/>
            </w:tcBorders>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508" w:type="dxa"/>
            <w:tcBorders>
              <w:top w:val="single" w:color="auto" w:sz="4" w:space="0"/>
              <w:bottom w:val="single" w:color="auto" w:sz="4" w:space="0"/>
            </w:tcBorders>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505" w:type="dxa"/>
            <w:tcBorders>
              <w:top w:val="single" w:color="auto" w:sz="4" w:space="0"/>
              <w:bottom w:val="single" w:color="auto" w:sz="4" w:space="0"/>
            </w:tcBorders>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395" w:type="dxa"/>
            <w:tcBorders>
              <w:top w:val="single" w:color="auto" w:sz="4" w:space="0"/>
              <w:bottom w:val="single" w:color="auto" w:sz="4" w:space="0"/>
            </w:tcBorders>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80" w:hRule="atLeast"/>
        </w:trPr>
        <w:tc>
          <w:tcPr>
            <w:tcW w:w="872" w:type="dxa"/>
            <w:tcBorders>
              <w:top w:val="single" w:color="auto" w:sz="4" w:space="0"/>
              <w:bottom w:val="single" w:color="auto" w:sz="4" w:space="0"/>
            </w:tcBorders>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kern w:val="2"/>
                <w:sz w:val="21"/>
                <w:szCs w:val="21"/>
                <w:highlight w:val="none"/>
                <w:shd w:val="clear" w:color="auto" w:fill="auto"/>
                <w:lang w:val="en-US" w:eastAsia="zh-CN" w:bidi="ar-SA"/>
              </w:rPr>
            </w:pPr>
            <w:r>
              <w:rPr>
                <w:rFonts w:hint="eastAsia" w:asciiTheme="minorEastAsia" w:hAnsiTheme="minorEastAsia" w:eastAsiaTheme="minorEastAsia" w:cstheme="minorEastAsia"/>
                <w:szCs w:val="21"/>
                <w:highlight w:val="none"/>
                <w:shd w:val="clear" w:color="auto" w:fill="auto"/>
              </w:rPr>
              <w:t>5</w:t>
            </w:r>
          </w:p>
        </w:tc>
        <w:tc>
          <w:tcPr>
            <w:tcW w:w="3897" w:type="dxa"/>
            <w:gridSpan w:val="3"/>
            <w:tcBorders>
              <w:top w:val="single" w:color="auto" w:sz="4" w:space="0"/>
              <w:bottom w:val="single" w:color="auto" w:sz="4" w:space="0"/>
            </w:tcBorders>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r>
              <w:rPr>
                <w:rFonts w:hint="eastAsia" w:asciiTheme="minorEastAsia" w:hAnsiTheme="minorEastAsia" w:eastAsiaTheme="minorEastAsia" w:cstheme="minorEastAsia"/>
                <w:szCs w:val="21"/>
                <w:highlight w:val="none"/>
                <w:shd w:val="clear" w:color="auto" w:fill="auto"/>
              </w:rPr>
              <w:t>公共设施设备年检、维护费用</w:t>
            </w:r>
          </w:p>
        </w:tc>
        <w:tc>
          <w:tcPr>
            <w:tcW w:w="2101" w:type="dxa"/>
            <w:tcBorders>
              <w:top w:val="single" w:color="auto" w:sz="4" w:space="0"/>
              <w:bottom w:val="single" w:color="auto" w:sz="4" w:space="0"/>
            </w:tcBorders>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508" w:type="dxa"/>
            <w:tcBorders>
              <w:top w:val="single" w:color="auto" w:sz="4" w:space="0"/>
              <w:bottom w:val="single" w:color="auto" w:sz="4" w:space="0"/>
            </w:tcBorders>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505" w:type="dxa"/>
            <w:tcBorders>
              <w:top w:val="single" w:color="auto" w:sz="4" w:space="0"/>
              <w:bottom w:val="single" w:color="auto" w:sz="4" w:space="0"/>
            </w:tcBorders>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395" w:type="dxa"/>
            <w:tcBorders>
              <w:top w:val="single" w:color="auto" w:sz="4" w:space="0"/>
              <w:bottom w:val="single" w:color="auto" w:sz="4" w:space="0"/>
            </w:tcBorders>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lang w:val="en-US" w:eastAsia="zh-CN"/>
              </w:rPr>
            </w:pPr>
            <w:r>
              <w:rPr>
                <w:rFonts w:hint="eastAsia" w:asciiTheme="minorEastAsia" w:hAnsiTheme="minorEastAsia" w:eastAsiaTheme="minorEastAsia" w:cstheme="minorEastAsia"/>
                <w:szCs w:val="21"/>
                <w:highlight w:val="none"/>
                <w:shd w:val="clear" w:color="auto" w:fill="auto"/>
                <w:lang w:val="en-US" w:eastAsia="zh-CN"/>
              </w:rPr>
              <w:t>6</w:t>
            </w:r>
          </w:p>
        </w:tc>
        <w:tc>
          <w:tcPr>
            <w:tcW w:w="3897" w:type="dxa"/>
            <w:gridSpan w:val="3"/>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r>
              <w:rPr>
                <w:rFonts w:hint="eastAsia" w:asciiTheme="minorEastAsia" w:hAnsiTheme="minorEastAsia" w:eastAsiaTheme="minorEastAsia" w:cstheme="minorEastAsia"/>
                <w:szCs w:val="21"/>
                <w:highlight w:val="none"/>
                <w:shd w:val="clear" w:color="auto" w:fill="auto"/>
              </w:rPr>
              <w:t>管理费</w:t>
            </w:r>
          </w:p>
        </w:tc>
        <w:tc>
          <w:tcPr>
            <w:tcW w:w="2101"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508"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505"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395"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lang w:val="en-US" w:eastAsia="zh-CN"/>
              </w:rPr>
            </w:pPr>
            <w:r>
              <w:rPr>
                <w:rFonts w:hint="eastAsia" w:asciiTheme="minorEastAsia" w:hAnsiTheme="minorEastAsia" w:eastAsiaTheme="minorEastAsia" w:cstheme="minorEastAsia"/>
                <w:szCs w:val="21"/>
                <w:highlight w:val="none"/>
                <w:shd w:val="clear" w:color="auto" w:fill="auto"/>
                <w:lang w:val="en-US" w:eastAsia="zh-CN"/>
              </w:rPr>
              <w:t>7</w:t>
            </w:r>
          </w:p>
        </w:tc>
        <w:tc>
          <w:tcPr>
            <w:tcW w:w="3897" w:type="dxa"/>
            <w:gridSpan w:val="3"/>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r>
              <w:rPr>
                <w:rFonts w:hint="eastAsia" w:asciiTheme="minorEastAsia" w:hAnsiTheme="minorEastAsia" w:eastAsiaTheme="minorEastAsia" w:cstheme="minorEastAsia"/>
                <w:szCs w:val="21"/>
                <w:highlight w:val="none"/>
                <w:shd w:val="clear" w:color="auto" w:fill="auto"/>
              </w:rPr>
              <w:t>其它费用</w:t>
            </w:r>
          </w:p>
        </w:tc>
        <w:tc>
          <w:tcPr>
            <w:tcW w:w="2101"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508"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505"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c>
          <w:tcPr>
            <w:tcW w:w="2395" w:type="dxa"/>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848" w:hRule="atLeast"/>
        </w:trPr>
        <w:tc>
          <w:tcPr>
            <w:tcW w:w="1473" w:type="dxa"/>
            <w:gridSpan w:val="2"/>
            <w:tcBorders>
              <w:right w:val="single" w:color="auto" w:sz="4" w:space="0"/>
            </w:tcBorders>
            <w:noWrap w:val="0"/>
            <w:vAlign w:val="center"/>
          </w:tcPr>
          <w:p>
            <w:pPr>
              <w:shd w:val="clear" w:color="auto" w:fill="FFFFFF"/>
              <w:adjustRightInd w:val="0"/>
              <w:snapToGrid w:val="0"/>
              <w:spacing w:line="300" w:lineRule="auto"/>
              <w:jc w:val="center"/>
              <w:rPr>
                <w:rFonts w:hint="eastAsia" w:asciiTheme="minorEastAsia" w:hAnsiTheme="minorEastAsia" w:eastAsiaTheme="minorEastAsia" w:cstheme="minorEastAsia"/>
                <w:szCs w:val="21"/>
                <w:highlight w:val="none"/>
                <w:shd w:val="clear" w:color="auto" w:fill="auto"/>
              </w:rPr>
            </w:pPr>
            <w:r>
              <w:rPr>
                <w:rFonts w:hint="eastAsia" w:asciiTheme="minorEastAsia" w:hAnsiTheme="minorEastAsia" w:eastAsiaTheme="minorEastAsia" w:cstheme="minorEastAsia"/>
                <w:szCs w:val="21"/>
                <w:highlight w:val="none"/>
                <w:shd w:val="clear" w:color="auto" w:fill="auto"/>
              </w:rPr>
              <w:t>总计（结转至开标一览表）</w:t>
            </w:r>
          </w:p>
        </w:tc>
        <w:tc>
          <w:tcPr>
            <w:tcW w:w="12805" w:type="dxa"/>
            <w:gridSpan w:val="6"/>
            <w:tcBorders>
              <w:left w:val="single" w:color="auto" w:sz="4" w:space="0"/>
              <w:right w:val="single" w:color="auto" w:sz="4" w:space="0"/>
            </w:tcBorders>
            <w:noWrap w:val="0"/>
            <w:vAlign w:val="center"/>
          </w:tcPr>
          <w:p>
            <w:pPr>
              <w:shd w:val="clear" w:color="auto" w:fill="FFFFFF"/>
              <w:adjustRightInd w:val="0"/>
              <w:snapToGrid w:val="0"/>
              <w:spacing w:line="300" w:lineRule="auto"/>
              <w:rPr>
                <w:rFonts w:hint="eastAsia" w:asciiTheme="minorEastAsia" w:hAnsiTheme="minorEastAsia" w:eastAsiaTheme="minorEastAsia" w:cstheme="minorEastAsia"/>
                <w:szCs w:val="21"/>
                <w:highlight w:val="none"/>
                <w:shd w:val="clear" w:color="auto" w:fill="auto"/>
              </w:rPr>
            </w:pPr>
            <w:r>
              <w:rPr>
                <w:rFonts w:hint="eastAsia" w:asciiTheme="minorEastAsia" w:hAnsiTheme="minorEastAsia" w:eastAsiaTheme="minorEastAsia" w:cstheme="minorEastAsia"/>
                <w:szCs w:val="21"/>
                <w:highlight w:val="none"/>
                <w:shd w:val="clear" w:color="auto" w:fill="auto"/>
              </w:rPr>
              <w:t>大写：</w:t>
            </w:r>
            <w:r>
              <w:rPr>
                <w:rFonts w:hint="eastAsia" w:asciiTheme="minorEastAsia" w:hAnsiTheme="minorEastAsia" w:eastAsiaTheme="minorEastAsia" w:cstheme="minorEastAsia"/>
                <w:szCs w:val="21"/>
                <w:highlight w:val="none"/>
                <w:u w:val="single"/>
                <w:shd w:val="clear" w:color="auto" w:fill="auto"/>
              </w:rPr>
              <w:t xml:space="preserve">                               </w:t>
            </w:r>
            <w:r>
              <w:rPr>
                <w:rFonts w:hint="eastAsia" w:asciiTheme="minorEastAsia" w:hAnsiTheme="minorEastAsia" w:eastAsiaTheme="minorEastAsia" w:cstheme="minorEastAsia"/>
                <w:szCs w:val="21"/>
                <w:highlight w:val="none"/>
                <w:shd w:val="clear" w:color="auto" w:fill="auto"/>
              </w:rPr>
              <w:t>小写：</w:t>
            </w:r>
            <w:r>
              <w:rPr>
                <w:rFonts w:hint="eastAsia" w:asciiTheme="minorEastAsia" w:hAnsiTheme="minorEastAsia" w:eastAsiaTheme="minorEastAsia" w:cstheme="minorEastAsia"/>
                <w:szCs w:val="21"/>
                <w:highlight w:val="none"/>
                <w:u w:val="single"/>
                <w:shd w:val="clear" w:color="auto" w:fill="auto"/>
              </w:rPr>
              <w:t xml:space="preserve">                    </w:t>
            </w:r>
          </w:p>
        </w:tc>
      </w:tr>
    </w:tbl>
    <w:p>
      <w:pPr>
        <w:pStyle w:val="2"/>
      </w:pP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投标人名称(电子签名)：</w:t>
      </w:r>
    </w:p>
    <w:p>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  年  月  日</w:t>
      </w:r>
    </w:p>
    <w:p>
      <w:pPr>
        <w:snapToGrid w:val="0"/>
        <w:spacing w:before="159" w:beforeLines="50"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b/>
          <w:kern w:val="0"/>
          <w:sz w:val="24"/>
          <w:szCs w:val="24"/>
          <w:highlight w:val="none"/>
          <w:lang w:val="zh-CN"/>
        </w:rPr>
        <w:t>注：</w:t>
      </w:r>
      <w:r>
        <w:rPr>
          <w:rFonts w:hint="eastAsia" w:asciiTheme="minorEastAsia" w:hAnsiTheme="minorEastAsia" w:eastAsiaTheme="minorEastAsia" w:cstheme="minorEastAsia"/>
          <w:kern w:val="0"/>
          <w:sz w:val="24"/>
          <w:szCs w:val="24"/>
          <w:highlight w:val="none"/>
          <w:lang w:val="zh-CN"/>
        </w:rPr>
        <w:t>1、投标人可按上述的格式自行编制。</w:t>
      </w:r>
    </w:p>
    <w:p>
      <w:pPr>
        <w:snapToGrid w:val="0"/>
        <w:spacing w:line="360" w:lineRule="auto"/>
        <w:ind w:left="48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2、有关本项目实施所涉及的一切费用（详见前附表）均计入报价。</w:t>
      </w:r>
    </w:p>
    <w:p>
      <w:pPr>
        <w:snapToGrid w:val="0"/>
        <w:spacing w:line="360" w:lineRule="auto"/>
        <w:ind w:firstLine="480" w:firstLineChars="200"/>
        <w:jc w:val="left"/>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lang w:val="zh-CN"/>
        </w:rPr>
        <w:t>、人员工资不得低于《杭州市人民政府关于调整市区最低工资标准的通知》（杭政函[2021]69号）规定的市区最低工资标准相关工资要求，并充分考虑最低工资调整因素。）</w:t>
      </w:r>
    </w:p>
    <w:p>
      <w:pPr>
        <w:snapToGrid w:val="0"/>
        <w:spacing w:line="360" w:lineRule="auto"/>
        <w:ind w:firstLine="480" w:firstLineChars="200"/>
        <w:jc w:val="left"/>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en-US" w:eastAsia="zh-CN"/>
        </w:rPr>
        <w:t>4、</w:t>
      </w:r>
      <w:r>
        <w:rPr>
          <w:rFonts w:hint="eastAsia" w:asciiTheme="minorEastAsia" w:hAnsiTheme="minorEastAsia" w:eastAsiaTheme="minorEastAsia" w:cstheme="minorEastAsia"/>
          <w:kern w:val="0"/>
          <w:sz w:val="24"/>
          <w:szCs w:val="24"/>
          <w:highlight w:val="none"/>
          <w:lang w:val="zh-CN"/>
        </w:rPr>
        <w:t>特别提示：采购机构将对项目名称和项目编号，中标供应商名称、地址和中标金额，主要中标标的的名称、规格型号、数量、单价、服务要求等予以公示。</w:t>
      </w:r>
    </w:p>
    <w:p>
      <w:pPr>
        <w:pStyle w:val="4"/>
        <w:rPr>
          <w:sz w:val="24"/>
          <w:szCs w:val="24"/>
          <w:lang w:val="zh-CN"/>
        </w:rPr>
      </w:pP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27" w:name="OLE_LINK13"/>
      <w:bookmarkStart w:id="428" w:name="OLE_LINK14"/>
      <w:r>
        <w:rPr>
          <w:rFonts w:hint="eastAsia" w:ascii="宋体" w:hAnsi="宋体" w:cs="宋体"/>
          <w:b/>
          <w:spacing w:val="6"/>
          <w:sz w:val="32"/>
          <w:szCs w:val="32"/>
        </w:rPr>
        <w:t>残疾人福利性单位声明函</w:t>
      </w:r>
    </w:p>
    <w:bookmarkEnd w:id="427"/>
    <w:bookmarkEnd w:id="428"/>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141号）的规定，本单位为符合条件的残疾人福利性单位，且本单位参加杭州市上城区人民法院单位的 杭州市上城区人民法院物业管理服务项目项目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u w:val="single"/>
        </w:rPr>
      </w:pPr>
      <w:r>
        <w:rPr>
          <w:rFonts w:hint="eastAsia" w:ascii="宋体" w:hAnsi="宋体" w:cs="宋体"/>
          <w:sz w:val="24"/>
          <w:u w:val="single"/>
        </w:rPr>
        <w:t>杭州市上城区人民法院、</w:t>
      </w:r>
      <w:r>
        <w:rPr>
          <w:rFonts w:hint="eastAsia" w:cs="仿宋_GB2312" w:asciiTheme="minorEastAsia" w:hAnsiTheme="minorEastAsia" w:eastAsiaTheme="minorEastAsia"/>
          <w:sz w:val="24"/>
          <w:u w:val="single"/>
        </w:rPr>
        <w:t>杭州市公共资源交易中心上城分中心</w:t>
      </w:r>
      <w:r>
        <w:rPr>
          <w:rFonts w:hint="eastAsia" w:ascii="宋体" w:hAnsi="宋体" w:cs="宋体"/>
          <w:sz w:val="24"/>
          <w:u w:val="single"/>
        </w:rPr>
        <w:t>：</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你方组织的杭州市上城区人民法院物业管理服务项目【招标编号：SCCG2023-GK-39】</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杭州市上城区人民法院物业管理服务项目【招标编号：SCCG2023-GK-39】</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29"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29"/>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30"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30"/>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3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31"/>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杭州市上城区人民法院物业管理服务项目【招标编号：SCCG2023-GK-39】</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600" w:firstLineChars="2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杭州市上城区人民法院</w:t>
      </w:r>
      <w:r>
        <w:rPr>
          <w:rFonts w:hint="eastAsia" w:ascii="宋体" w:hAnsi="宋体" w:cs="宋体"/>
          <w:sz w:val="24"/>
        </w:rPr>
        <w:t xml:space="preserve">的 </w:t>
      </w:r>
      <w:r>
        <w:rPr>
          <w:rFonts w:hint="eastAsia" w:ascii="宋体" w:hAnsi="宋体" w:cs="宋体"/>
          <w:sz w:val="24"/>
          <w:u w:val="single"/>
        </w:rPr>
        <w:t>杭州市上城区人民法院物业管理服务项目</w:t>
      </w:r>
      <w:r>
        <w:rPr>
          <w:rFonts w:hint="eastAsia" w:ascii="宋体" w:hAnsi="宋体" w:cs="宋体"/>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pPr>
      <w:r>
        <w:rPr>
          <w:rFonts w:hint="eastAsia" w:ascii="宋体" w:hAnsi="宋体" w:cs="宋体"/>
          <w:sz w:val="24"/>
          <w:u w:val="single"/>
        </w:rPr>
        <w:t>杭州市上城区人民法院物业管理服务项目</w:t>
      </w:r>
      <w:r>
        <w:rPr>
          <w:rFonts w:hint="eastAsia" w:ascii="宋体" w:hAnsi="宋体" w:cs="宋体"/>
          <w:sz w:val="24"/>
        </w:rPr>
        <w:t>，属于</w:t>
      </w:r>
      <w:r>
        <w:rPr>
          <w:rFonts w:hint="eastAsia" w:ascii="宋体" w:hAnsi="宋体" w:cs="宋体"/>
          <w:sz w:val="24"/>
          <w:u w:val="single"/>
        </w:rPr>
        <w:t>物业管理行业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sz w:val="24"/>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bCs/>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7" w:bottom="124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32" w:name="_Toc91899912"/>
    <w:bookmarkStart w:id="433" w:name="_Toc36110187"/>
    <w:bookmarkStart w:id="434" w:name="_Toc164085800"/>
    <w:bookmarkStart w:id="435" w:name="_Toc131845147"/>
    <w:r>
      <w:rPr>
        <w:rFonts w:hint="eastAsia" w:ascii="仿宋_GB2312" w:eastAsia="仿宋_GB2312"/>
        <w:kern w:val="0"/>
        <w:szCs w:val="21"/>
      </w:rPr>
      <w:t xml:space="preserve"> 页</w:t>
    </w:r>
    <w:bookmarkEnd w:id="432"/>
    <w:bookmarkEnd w:id="433"/>
    <w:bookmarkEnd w:id="434"/>
    <w:bookmarkEnd w:id="43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rPr>
        <w:rFonts w:hint="eastAsia"/>
        <w:b w:val="0"/>
        <w:bCs/>
        <w:sz w:val="21"/>
        <w:szCs w:val="21"/>
      </w:rPr>
      <w:t>杭州市公共资源交易中心上城分中心</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rPr>
        <w:rFonts w:hint="eastAsia"/>
        <w:b w:val="0"/>
        <w:bCs/>
        <w:sz w:val="21"/>
        <w:szCs w:val="21"/>
      </w:rPr>
      <w:t>杭州市公共资源交易中心上城分中心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杭州市公共资源交易中心上城分中心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w:t>
    </w:r>
    <w:r>
      <w:rPr>
        <w:rFonts w:hint="eastAsia"/>
        <w:b w:val="0"/>
        <w:bCs/>
        <w:sz w:val="21"/>
        <w:szCs w:val="21"/>
      </w:rPr>
      <w:t>杭州市公共资源交易中心上城分中心</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rPr>
        <w:rFonts w:hint="eastAsia"/>
        <w:b w:val="0"/>
        <w:bCs/>
        <w:sz w:val="21"/>
        <w:szCs w:val="21"/>
      </w:rPr>
      <w:t>杭州市公共资源交易中心上城分中心</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rPr>
        <w:rFonts w:hint="eastAsia"/>
        <w:b w:val="0"/>
        <w:bCs/>
        <w:sz w:val="21"/>
        <w:szCs w:val="21"/>
      </w:rPr>
      <w:t>杭州市公共资源交易中心上城分中心</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rPr>
        <w:rFonts w:hint="eastAsia"/>
        <w:b w:val="0"/>
        <w:bCs/>
        <w:sz w:val="21"/>
        <w:szCs w:val="21"/>
      </w:rPr>
      <w:t>杭州市公共资源交易中心上城分中心</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rPr>
        <w:rFonts w:hint="eastAsia"/>
        <w:b w:val="0"/>
        <w:bCs/>
        <w:sz w:val="21"/>
        <w:szCs w:val="21"/>
      </w:rPr>
      <w:t>杭州市公共资源交易中心上城分中心</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rPr>
        <w:rFonts w:hint="eastAsia"/>
        <w:b w:val="0"/>
        <w:bCs/>
        <w:sz w:val="21"/>
        <w:szCs w:val="21"/>
      </w:rPr>
      <w:t>杭州市公共资源交易中心上城分中心</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b w:val="0"/>
        <w:bCs/>
        <w:sz w:val="21"/>
        <w:szCs w:val="21"/>
      </w:rPr>
      <w:t>杭州市公共资源交易中心上城分中心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AD306F"/>
    <w:multiLevelType w:val="multilevel"/>
    <w:tmpl w:val="3EAD306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2B9E868"/>
    <w:multiLevelType w:val="multilevel"/>
    <w:tmpl w:val="72B9E86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148" w:firstLine="402"/>
      </w:pPr>
      <w:rPr>
        <w:rFonts w:hint="eastAsia"/>
        <w:b w:val="0"/>
        <w:bCs w:val="0"/>
      </w:rPr>
    </w:lvl>
    <w:lvl w:ilvl="4" w:tentative="0">
      <w:start w:val="1"/>
      <w:numFmt w:val="decimal"/>
      <w:suff w:val="nothing"/>
      <w:lvlText w:val="%5．"/>
      <w:lvlJc w:val="left"/>
      <w:pPr>
        <w:ind w:left="-6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MjUwOTc3YWI4ODNlMDI0YzI4M2ViODNlODA1ZW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CE2"/>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1F09"/>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533D7"/>
    <w:rsid w:val="019F7441"/>
    <w:rsid w:val="01B37585"/>
    <w:rsid w:val="01D55165"/>
    <w:rsid w:val="01DF6BF8"/>
    <w:rsid w:val="01EC2C57"/>
    <w:rsid w:val="025F0711"/>
    <w:rsid w:val="026B2E25"/>
    <w:rsid w:val="026D1CA4"/>
    <w:rsid w:val="02824D4D"/>
    <w:rsid w:val="02DC4B10"/>
    <w:rsid w:val="02DD76CE"/>
    <w:rsid w:val="02F36323"/>
    <w:rsid w:val="02F5619C"/>
    <w:rsid w:val="03065425"/>
    <w:rsid w:val="030940A4"/>
    <w:rsid w:val="0326446A"/>
    <w:rsid w:val="032D5555"/>
    <w:rsid w:val="032F3AD5"/>
    <w:rsid w:val="036634D2"/>
    <w:rsid w:val="03697B58"/>
    <w:rsid w:val="03DD35E4"/>
    <w:rsid w:val="04076900"/>
    <w:rsid w:val="041A5A3B"/>
    <w:rsid w:val="042311BA"/>
    <w:rsid w:val="042B157A"/>
    <w:rsid w:val="0448537F"/>
    <w:rsid w:val="048F763B"/>
    <w:rsid w:val="049F330E"/>
    <w:rsid w:val="04AA775C"/>
    <w:rsid w:val="04AF1889"/>
    <w:rsid w:val="04F66F48"/>
    <w:rsid w:val="050F4CC1"/>
    <w:rsid w:val="05251E14"/>
    <w:rsid w:val="05A16594"/>
    <w:rsid w:val="05A7762D"/>
    <w:rsid w:val="060E5941"/>
    <w:rsid w:val="06110FAF"/>
    <w:rsid w:val="06493CA7"/>
    <w:rsid w:val="065A6178"/>
    <w:rsid w:val="066E604C"/>
    <w:rsid w:val="066F1CF3"/>
    <w:rsid w:val="06930BB8"/>
    <w:rsid w:val="06F063C1"/>
    <w:rsid w:val="07245D42"/>
    <w:rsid w:val="07264C62"/>
    <w:rsid w:val="0779354C"/>
    <w:rsid w:val="07F6721E"/>
    <w:rsid w:val="08061376"/>
    <w:rsid w:val="08452D77"/>
    <w:rsid w:val="084E51E7"/>
    <w:rsid w:val="086401F8"/>
    <w:rsid w:val="08751CAA"/>
    <w:rsid w:val="087E4C40"/>
    <w:rsid w:val="08A871D0"/>
    <w:rsid w:val="08D66AD6"/>
    <w:rsid w:val="08DA33A3"/>
    <w:rsid w:val="08E80F13"/>
    <w:rsid w:val="09335624"/>
    <w:rsid w:val="0944690F"/>
    <w:rsid w:val="094C087F"/>
    <w:rsid w:val="09535675"/>
    <w:rsid w:val="095F057D"/>
    <w:rsid w:val="09642282"/>
    <w:rsid w:val="09733572"/>
    <w:rsid w:val="09772C16"/>
    <w:rsid w:val="098353B5"/>
    <w:rsid w:val="09A92330"/>
    <w:rsid w:val="09B06B87"/>
    <w:rsid w:val="09C13146"/>
    <w:rsid w:val="09E04166"/>
    <w:rsid w:val="09E766C8"/>
    <w:rsid w:val="0A1C0718"/>
    <w:rsid w:val="0A3E7710"/>
    <w:rsid w:val="0A5B7E63"/>
    <w:rsid w:val="0AA374A5"/>
    <w:rsid w:val="0AAB7649"/>
    <w:rsid w:val="0ABC5606"/>
    <w:rsid w:val="0AD60903"/>
    <w:rsid w:val="0B30404E"/>
    <w:rsid w:val="0B4C6C14"/>
    <w:rsid w:val="0B547599"/>
    <w:rsid w:val="0B631A88"/>
    <w:rsid w:val="0B683D45"/>
    <w:rsid w:val="0B7F3F11"/>
    <w:rsid w:val="0B884417"/>
    <w:rsid w:val="0BF6188C"/>
    <w:rsid w:val="0BF73C91"/>
    <w:rsid w:val="0C07249F"/>
    <w:rsid w:val="0C170175"/>
    <w:rsid w:val="0C571A41"/>
    <w:rsid w:val="0C5C1171"/>
    <w:rsid w:val="0C5E1CBC"/>
    <w:rsid w:val="0C615B50"/>
    <w:rsid w:val="0C8445DA"/>
    <w:rsid w:val="0C87121B"/>
    <w:rsid w:val="0CC007F7"/>
    <w:rsid w:val="0CC617AC"/>
    <w:rsid w:val="0CD021C3"/>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40278"/>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3E3458"/>
    <w:rsid w:val="118963A1"/>
    <w:rsid w:val="11C6522A"/>
    <w:rsid w:val="11E104CC"/>
    <w:rsid w:val="11E20309"/>
    <w:rsid w:val="12255233"/>
    <w:rsid w:val="123553DF"/>
    <w:rsid w:val="12530213"/>
    <w:rsid w:val="127723A9"/>
    <w:rsid w:val="12862074"/>
    <w:rsid w:val="12883966"/>
    <w:rsid w:val="129E45B4"/>
    <w:rsid w:val="12D81596"/>
    <w:rsid w:val="12FB461F"/>
    <w:rsid w:val="13072A44"/>
    <w:rsid w:val="135F4BE2"/>
    <w:rsid w:val="139B1A0A"/>
    <w:rsid w:val="139D25C7"/>
    <w:rsid w:val="13BF3CE4"/>
    <w:rsid w:val="13CF60CB"/>
    <w:rsid w:val="141008D8"/>
    <w:rsid w:val="14125FE6"/>
    <w:rsid w:val="146D271E"/>
    <w:rsid w:val="14982588"/>
    <w:rsid w:val="149A5AD9"/>
    <w:rsid w:val="149C5D6A"/>
    <w:rsid w:val="14A317CD"/>
    <w:rsid w:val="14A7619D"/>
    <w:rsid w:val="15013E14"/>
    <w:rsid w:val="150536C3"/>
    <w:rsid w:val="150C1963"/>
    <w:rsid w:val="151447A0"/>
    <w:rsid w:val="154A6454"/>
    <w:rsid w:val="15660FD7"/>
    <w:rsid w:val="15762120"/>
    <w:rsid w:val="16843028"/>
    <w:rsid w:val="16A8729C"/>
    <w:rsid w:val="16B33777"/>
    <w:rsid w:val="16BC70A7"/>
    <w:rsid w:val="16C6339E"/>
    <w:rsid w:val="16D16CC7"/>
    <w:rsid w:val="16D734BF"/>
    <w:rsid w:val="171C0308"/>
    <w:rsid w:val="172F2D79"/>
    <w:rsid w:val="17557BEF"/>
    <w:rsid w:val="17D349C1"/>
    <w:rsid w:val="1830729E"/>
    <w:rsid w:val="1870062C"/>
    <w:rsid w:val="18817102"/>
    <w:rsid w:val="18830A15"/>
    <w:rsid w:val="18852B28"/>
    <w:rsid w:val="188B5321"/>
    <w:rsid w:val="19932372"/>
    <w:rsid w:val="19A20DD5"/>
    <w:rsid w:val="19AE03F1"/>
    <w:rsid w:val="19B62DB5"/>
    <w:rsid w:val="1A0202EB"/>
    <w:rsid w:val="1A071A03"/>
    <w:rsid w:val="1A1A3103"/>
    <w:rsid w:val="1A1F16AE"/>
    <w:rsid w:val="1A3B5C77"/>
    <w:rsid w:val="1A424257"/>
    <w:rsid w:val="1A984BAD"/>
    <w:rsid w:val="1AB8220E"/>
    <w:rsid w:val="1AB93E9F"/>
    <w:rsid w:val="1AE4166C"/>
    <w:rsid w:val="1AF06CFB"/>
    <w:rsid w:val="1AF11B8D"/>
    <w:rsid w:val="1B11359C"/>
    <w:rsid w:val="1B2A271F"/>
    <w:rsid w:val="1B530544"/>
    <w:rsid w:val="1B577BEC"/>
    <w:rsid w:val="1B713184"/>
    <w:rsid w:val="1BA209CF"/>
    <w:rsid w:val="1BB4777D"/>
    <w:rsid w:val="1BD75AB8"/>
    <w:rsid w:val="1C0459C2"/>
    <w:rsid w:val="1C1B3B4A"/>
    <w:rsid w:val="1C2B3EEE"/>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21428"/>
    <w:rsid w:val="1EF4547D"/>
    <w:rsid w:val="1F0A0FF3"/>
    <w:rsid w:val="1F5771FF"/>
    <w:rsid w:val="1FD52DD5"/>
    <w:rsid w:val="1FE868A9"/>
    <w:rsid w:val="20034907"/>
    <w:rsid w:val="20173E4B"/>
    <w:rsid w:val="203F3CE7"/>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C35BFE"/>
    <w:rsid w:val="23E95BEF"/>
    <w:rsid w:val="23FD0064"/>
    <w:rsid w:val="245375B0"/>
    <w:rsid w:val="245E659E"/>
    <w:rsid w:val="24642C0A"/>
    <w:rsid w:val="24B22173"/>
    <w:rsid w:val="24B95AD9"/>
    <w:rsid w:val="24BE24DA"/>
    <w:rsid w:val="24CF5825"/>
    <w:rsid w:val="24D02F61"/>
    <w:rsid w:val="24D663E6"/>
    <w:rsid w:val="24D77F2B"/>
    <w:rsid w:val="258B00E2"/>
    <w:rsid w:val="25A917A6"/>
    <w:rsid w:val="25BE27CC"/>
    <w:rsid w:val="25F74A5C"/>
    <w:rsid w:val="2628662C"/>
    <w:rsid w:val="262D45DE"/>
    <w:rsid w:val="26871DC8"/>
    <w:rsid w:val="26A53EF9"/>
    <w:rsid w:val="26A94201"/>
    <w:rsid w:val="26AC274F"/>
    <w:rsid w:val="27044A29"/>
    <w:rsid w:val="271D34C8"/>
    <w:rsid w:val="2724717E"/>
    <w:rsid w:val="276142BF"/>
    <w:rsid w:val="27783712"/>
    <w:rsid w:val="27907362"/>
    <w:rsid w:val="27AC6AEC"/>
    <w:rsid w:val="28333E1D"/>
    <w:rsid w:val="28454BD6"/>
    <w:rsid w:val="28455253"/>
    <w:rsid w:val="28551971"/>
    <w:rsid w:val="285B1C53"/>
    <w:rsid w:val="289F7086"/>
    <w:rsid w:val="28AB42B7"/>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991F9B"/>
    <w:rsid w:val="2CE82D6F"/>
    <w:rsid w:val="2D343236"/>
    <w:rsid w:val="2D833659"/>
    <w:rsid w:val="2DCC0D84"/>
    <w:rsid w:val="2DD15014"/>
    <w:rsid w:val="2DF72DE4"/>
    <w:rsid w:val="2E0220AF"/>
    <w:rsid w:val="2E4B082A"/>
    <w:rsid w:val="2E5D4E86"/>
    <w:rsid w:val="2E5D790B"/>
    <w:rsid w:val="2E9A3C18"/>
    <w:rsid w:val="2EBB0FEE"/>
    <w:rsid w:val="2EC06E4D"/>
    <w:rsid w:val="2EC63002"/>
    <w:rsid w:val="2F0A6B38"/>
    <w:rsid w:val="2F9214FF"/>
    <w:rsid w:val="2F946CCB"/>
    <w:rsid w:val="2FA969A4"/>
    <w:rsid w:val="2FC00586"/>
    <w:rsid w:val="2FD25781"/>
    <w:rsid w:val="2FDC745C"/>
    <w:rsid w:val="2FFD7934"/>
    <w:rsid w:val="30733ACD"/>
    <w:rsid w:val="308C3862"/>
    <w:rsid w:val="309379D8"/>
    <w:rsid w:val="30A270F7"/>
    <w:rsid w:val="30C27C14"/>
    <w:rsid w:val="30DF1478"/>
    <w:rsid w:val="30EC586F"/>
    <w:rsid w:val="314550B7"/>
    <w:rsid w:val="31863F85"/>
    <w:rsid w:val="319C6071"/>
    <w:rsid w:val="31AC537E"/>
    <w:rsid w:val="31E3679B"/>
    <w:rsid w:val="31E732FD"/>
    <w:rsid w:val="32517576"/>
    <w:rsid w:val="32BE5C2C"/>
    <w:rsid w:val="32FB6478"/>
    <w:rsid w:val="33263B3F"/>
    <w:rsid w:val="33394B99"/>
    <w:rsid w:val="336963EB"/>
    <w:rsid w:val="33816EEB"/>
    <w:rsid w:val="33EB55CD"/>
    <w:rsid w:val="33EC4C02"/>
    <w:rsid w:val="340D2360"/>
    <w:rsid w:val="3410665D"/>
    <w:rsid w:val="341A7EFC"/>
    <w:rsid w:val="34211214"/>
    <w:rsid w:val="342E63AB"/>
    <w:rsid w:val="34950E68"/>
    <w:rsid w:val="34986E94"/>
    <w:rsid w:val="34AF62C9"/>
    <w:rsid w:val="34CB4388"/>
    <w:rsid w:val="34FA6E12"/>
    <w:rsid w:val="354A30A0"/>
    <w:rsid w:val="354D7158"/>
    <w:rsid w:val="358D5588"/>
    <w:rsid w:val="363A3B40"/>
    <w:rsid w:val="365302AE"/>
    <w:rsid w:val="36607A0A"/>
    <w:rsid w:val="366E227C"/>
    <w:rsid w:val="366F2E0D"/>
    <w:rsid w:val="367B6A5C"/>
    <w:rsid w:val="36A74ADA"/>
    <w:rsid w:val="36AD60D5"/>
    <w:rsid w:val="36B224F9"/>
    <w:rsid w:val="36EC0CC9"/>
    <w:rsid w:val="373F410B"/>
    <w:rsid w:val="37591739"/>
    <w:rsid w:val="37EE7094"/>
    <w:rsid w:val="38296C89"/>
    <w:rsid w:val="383002EB"/>
    <w:rsid w:val="38586797"/>
    <w:rsid w:val="38BC0149"/>
    <w:rsid w:val="38D87D1C"/>
    <w:rsid w:val="39461996"/>
    <w:rsid w:val="39636459"/>
    <w:rsid w:val="396B7F6C"/>
    <w:rsid w:val="39B417A9"/>
    <w:rsid w:val="39FC5695"/>
    <w:rsid w:val="3A006D8E"/>
    <w:rsid w:val="3A012737"/>
    <w:rsid w:val="3A3651E5"/>
    <w:rsid w:val="3A50290F"/>
    <w:rsid w:val="3A744481"/>
    <w:rsid w:val="3A8A129F"/>
    <w:rsid w:val="3A8C7BEF"/>
    <w:rsid w:val="3A906246"/>
    <w:rsid w:val="3AC2539F"/>
    <w:rsid w:val="3AD02B32"/>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C13D0"/>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5B3C30"/>
    <w:rsid w:val="406E1CAE"/>
    <w:rsid w:val="407B6B12"/>
    <w:rsid w:val="40A0133A"/>
    <w:rsid w:val="40C31A53"/>
    <w:rsid w:val="40E67E92"/>
    <w:rsid w:val="40FF545D"/>
    <w:rsid w:val="410067C8"/>
    <w:rsid w:val="413D5CA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C84D35"/>
    <w:rsid w:val="43DE09EE"/>
    <w:rsid w:val="43F45BBB"/>
    <w:rsid w:val="4400098E"/>
    <w:rsid w:val="44002FAD"/>
    <w:rsid w:val="449101DD"/>
    <w:rsid w:val="44AC2711"/>
    <w:rsid w:val="44DE1391"/>
    <w:rsid w:val="451B225C"/>
    <w:rsid w:val="452410C9"/>
    <w:rsid w:val="45317DFB"/>
    <w:rsid w:val="456D3CE4"/>
    <w:rsid w:val="4579042C"/>
    <w:rsid w:val="457F0571"/>
    <w:rsid w:val="45851176"/>
    <w:rsid w:val="45C148E0"/>
    <w:rsid w:val="45C63B94"/>
    <w:rsid w:val="460E7DA5"/>
    <w:rsid w:val="46422483"/>
    <w:rsid w:val="4654642A"/>
    <w:rsid w:val="4659254A"/>
    <w:rsid w:val="465B0637"/>
    <w:rsid w:val="465E3F0D"/>
    <w:rsid w:val="466A16E6"/>
    <w:rsid w:val="46893F2B"/>
    <w:rsid w:val="46C4686E"/>
    <w:rsid w:val="477B778F"/>
    <w:rsid w:val="478203EC"/>
    <w:rsid w:val="479A7A37"/>
    <w:rsid w:val="47B025FA"/>
    <w:rsid w:val="4809698F"/>
    <w:rsid w:val="4811697D"/>
    <w:rsid w:val="487A3E25"/>
    <w:rsid w:val="488B5503"/>
    <w:rsid w:val="48937E21"/>
    <w:rsid w:val="489A0361"/>
    <w:rsid w:val="48B94FF3"/>
    <w:rsid w:val="48E37AAB"/>
    <w:rsid w:val="48EA2746"/>
    <w:rsid w:val="48FD4B4C"/>
    <w:rsid w:val="490A68E0"/>
    <w:rsid w:val="491055FE"/>
    <w:rsid w:val="495F5B3E"/>
    <w:rsid w:val="496F77D7"/>
    <w:rsid w:val="497654FD"/>
    <w:rsid w:val="49B64211"/>
    <w:rsid w:val="49E56AF9"/>
    <w:rsid w:val="49F6167F"/>
    <w:rsid w:val="4A064FA0"/>
    <w:rsid w:val="4A16615C"/>
    <w:rsid w:val="4A4424D7"/>
    <w:rsid w:val="4A527BD5"/>
    <w:rsid w:val="4A5D1959"/>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D0329A"/>
    <w:rsid w:val="4E4F165C"/>
    <w:rsid w:val="4E632333"/>
    <w:rsid w:val="4E793892"/>
    <w:rsid w:val="4E800872"/>
    <w:rsid w:val="4E833491"/>
    <w:rsid w:val="4EC569ED"/>
    <w:rsid w:val="4ED50EA1"/>
    <w:rsid w:val="4EEC050C"/>
    <w:rsid w:val="4EF365A6"/>
    <w:rsid w:val="4F104EC3"/>
    <w:rsid w:val="4F47354A"/>
    <w:rsid w:val="4F5F4D04"/>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259F7"/>
    <w:rsid w:val="5244713B"/>
    <w:rsid w:val="52615633"/>
    <w:rsid w:val="526F4DE4"/>
    <w:rsid w:val="52977FD4"/>
    <w:rsid w:val="52A25790"/>
    <w:rsid w:val="52A96B6F"/>
    <w:rsid w:val="52B45975"/>
    <w:rsid w:val="52D94AA4"/>
    <w:rsid w:val="52EA3A62"/>
    <w:rsid w:val="52F50BB8"/>
    <w:rsid w:val="53097272"/>
    <w:rsid w:val="53544462"/>
    <w:rsid w:val="5397158E"/>
    <w:rsid w:val="53B97566"/>
    <w:rsid w:val="54013861"/>
    <w:rsid w:val="54163489"/>
    <w:rsid w:val="54487265"/>
    <w:rsid w:val="544D6070"/>
    <w:rsid w:val="54605E1E"/>
    <w:rsid w:val="548B19DC"/>
    <w:rsid w:val="54B3506A"/>
    <w:rsid w:val="54CA0D16"/>
    <w:rsid w:val="54DD4057"/>
    <w:rsid w:val="54E7490F"/>
    <w:rsid w:val="550764A4"/>
    <w:rsid w:val="550B2BF6"/>
    <w:rsid w:val="55214EB5"/>
    <w:rsid w:val="55364EFD"/>
    <w:rsid w:val="555D4828"/>
    <w:rsid w:val="557A4C8B"/>
    <w:rsid w:val="5586115A"/>
    <w:rsid w:val="558931E1"/>
    <w:rsid w:val="55923347"/>
    <w:rsid w:val="55925180"/>
    <w:rsid w:val="55983B1B"/>
    <w:rsid w:val="55A8376B"/>
    <w:rsid w:val="55AB736A"/>
    <w:rsid w:val="55DC29B6"/>
    <w:rsid w:val="55DD4241"/>
    <w:rsid w:val="562D26E8"/>
    <w:rsid w:val="566B6D1E"/>
    <w:rsid w:val="56FE4A77"/>
    <w:rsid w:val="57032A2C"/>
    <w:rsid w:val="570F5219"/>
    <w:rsid w:val="572E1F76"/>
    <w:rsid w:val="575D12B5"/>
    <w:rsid w:val="57610A87"/>
    <w:rsid w:val="577B1140"/>
    <w:rsid w:val="577B7F21"/>
    <w:rsid w:val="577F181B"/>
    <w:rsid w:val="578F026E"/>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B7302F"/>
    <w:rsid w:val="59CF4E60"/>
    <w:rsid w:val="59F80043"/>
    <w:rsid w:val="5A09252F"/>
    <w:rsid w:val="5A0B2778"/>
    <w:rsid w:val="5A2A7C7B"/>
    <w:rsid w:val="5A3E2560"/>
    <w:rsid w:val="5A5D3B6E"/>
    <w:rsid w:val="5A637A76"/>
    <w:rsid w:val="5A6D33BA"/>
    <w:rsid w:val="5A792B1F"/>
    <w:rsid w:val="5A874767"/>
    <w:rsid w:val="5AA85BE2"/>
    <w:rsid w:val="5AAD6F28"/>
    <w:rsid w:val="5AD63A24"/>
    <w:rsid w:val="5B19553C"/>
    <w:rsid w:val="5B2E1A1D"/>
    <w:rsid w:val="5B411CCC"/>
    <w:rsid w:val="5B72075B"/>
    <w:rsid w:val="5B843A1C"/>
    <w:rsid w:val="5B873E3F"/>
    <w:rsid w:val="5C02690E"/>
    <w:rsid w:val="5C196DA7"/>
    <w:rsid w:val="5C2A048C"/>
    <w:rsid w:val="5C617797"/>
    <w:rsid w:val="5C785C74"/>
    <w:rsid w:val="5C80234E"/>
    <w:rsid w:val="5C8A680C"/>
    <w:rsid w:val="5CF978E4"/>
    <w:rsid w:val="5D0C1A41"/>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C02578"/>
    <w:rsid w:val="5EF94D5F"/>
    <w:rsid w:val="5EFC7377"/>
    <w:rsid w:val="5F06174D"/>
    <w:rsid w:val="5F3A3602"/>
    <w:rsid w:val="5F45733B"/>
    <w:rsid w:val="5F6277C6"/>
    <w:rsid w:val="5F6D0B1D"/>
    <w:rsid w:val="5F8D0B82"/>
    <w:rsid w:val="5F982DD0"/>
    <w:rsid w:val="5FCC5339"/>
    <w:rsid w:val="5FE34A5B"/>
    <w:rsid w:val="5FFE1E36"/>
    <w:rsid w:val="60232584"/>
    <w:rsid w:val="602F591E"/>
    <w:rsid w:val="607330CE"/>
    <w:rsid w:val="60825176"/>
    <w:rsid w:val="609F2AC4"/>
    <w:rsid w:val="60FA2EE8"/>
    <w:rsid w:val="61054A27"/>
    <w:rsid w:val="610A52BC"/>
    <w:rsid w:val="611D2366"/>
    <w:rsid w:val="614208B9"/>
    <w:rsid w:val="61421856"/>
    <w:rsid w:val="615227C4"/>
    <w:rsid w:val="61654E3F"/>
    <w:rsid w:val="6182292A"/>
    <w:rsid w:val="61837387"/>
    <w:rsid w:val="619F7F92"/>
    <w:rsid w:val="61C8720B"/>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67A84"/>
    <w:rsid w:val="64055776"/>
    <w:rsid w:val="64240056"/>
    <w:rsid w:val="643E143A"/>
    <w:rsid w:val="64491666"/>
    <w:rsid w:val="648B6EEF"/>
    <w:rsid w:val="64C158BF"/>
    <w:rsid w:val="64CE2EAA"/>
    <w:rsid w:val="64F812D5"/>
    <w:rsid w:val="653C3090"/>
    <w:rsid w:val="65854376"/>
    <w:rsid w:val="658767BE"/>
    <w:rsid w:val="65892531"/>
    <w:rsid w:val="65C52357"/>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557E3B"/>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8C2BF2"/>
    <w:rsid w:val="6AA33E09"/>
    <w:rsid w:val="6ADE0BD1"/>
    <w:rsid w:val="6AE96859"/>
    <w:rsid w:val="6B147746"/>
    <w:rsid w:val="6B24787C"/>
    <w:rsid w:val="6B573233"/>
    <w:rsid w:val="6B5B6274"/>
    <w:rsid w:val="6B935D53"/>
    <w:rsid w:val="6B9C7418"/>
    <w:rsid w:val="6C196F71"/>
    <w:rsid w:val="6C226FCB"/>
    <w:rsid w:val="6C31226F"/>
    <w:rsid w:val="6C552F0B"/>
    <w:rsid w:val="6C8C67B7"/>
    <w:rsid w:val="6C9D744C"/>
    <w:rsid w:val="6D167928"/>
    <w:rsid w:val="6D26299B"/>
    <w:rsid w:val="6D4772EC"/>
    <w:rsid w:val="6D535C20"/>
    <w:rsid w:val="6D9078AF"/>
    <w:rsid w:val="6DAA3FEF"/>
    <w:rsid w:val="6DBE346D"/>
    <w:rsid w:val="6DC0172B"/>
    <w:rsid w:val="6DCB690C"/>
    <w:rsid w:val="6DD41A5B"/>
    <w:rsid w:val="6DF43C2E"/>
    <w:rsid w:val="6DF51CA3"/>
    <w:rsid w:val="6DF92B0F"/>
    <w:rsid w:val="6E8335BD"/>
    <w:rsid w:val="6E8E12EF"/>
    <w:rsid w:val="6E972936"/>
    <w:rsid w:val="6ED446C5"/>
    <w:rsid w:val="6F282DD0"/>
    <w:rsid w:val="6F2A7D94"/>
    <w:rsid w:val="6F8331F1"/>
    <w:rsid w:val="6FAE1A09"/>
    <w:rsid w:val="6FD75BF8"/>
    <w:rsid w:val="707723D0"/>
    <w:rsid w:val="70F5661B"/>
    <w:rsid w:val="71360107"/>
    <w:rsid w:val="713B688E"/>
    <w:rsid w:val="71A808F1"/>
    <w:rsid w:val="71D43752"/>
    <w:rsid w:val="71F1796A"/>
    <w:rsid w:val="72095D23"/>
    <w:rsid w:val="72123B94"/>
    <w:rsid w:val="72154626"/>
    <w:rsid w:val="72262B5D"/>
    <w:rsid w:val="72283FF7"/>
    <w:rsid w:val="722E7212"/>
    <w:rsid w:val="723A0474"/>
    <w:rsid w:val="725923E4"/>
    <w:rsid w:val="72864BF7"/>
    <w:rsid w:val="729023FC"/>
    <w:rsid w:val="73181763"/>
    <w:rsid w:val="73C0646E"/>
    <w:rsid w:val="73F60AE0"/>
    <w:rsid w:val="742222F5"/>
    <w:rsid w:val="74476126"/>
    <w:rsid w:val="74706664"/>
    <w:rsid w:val="747F3682"/>
    <w:rsid w:val="749C4185"/>
    <w:rsid w:val="74EF5169"/>
    <w:rsid w:val="75067759"/>
    <w:rsid w:val="752E6DCD"/>
    <w:rsid w:val="7551380D"/>
    <w:rsid w:val="75577380"/>
    <w:rsid w:val="75600BE5"/>
    <w:rsid w:val="7564475C"/>
    <w:rsid w:val="7583797F"/>
    <w:rsid w:val="75A649F4"/>
    <w:rsid w:val="75D20F1D"/>
    <w:rsid w:val="75DA2C18"/>
    <w:rsid w:val="75F54412"/>
    <w:rsid w:val="761D08E0"/>
    <w:rsid w:val="765D347C"/>
    <w:rsid w:val="76826699"/>
    <w:rsid w:val="76900AD7"/>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541C6"/>
    <w:rsid w:val="78EA1D1F"/>
    <w:rsid w:val="7904172F"/>
    <w:rsid w:val="790F7E27"/>
    <w:rsid w:val="792A231A"/>
    <w:rsid w:val="792D0C0C"/>
    <w:rsid w:val="79316829"/>
    <w:rsid w:val="796746DD"/>
    <w:rsid w:val="797E66A9"/>
    <w:rsid w:val="798518A4"/>
    <w:rsid w:val="79A97383"/>
    <w:rsid w:val="79E27E8B"/>
    <w:rsid w:val="79F850CE"/>
    <w:rsid w:val="79FD443C"/>
    <w:rsid w:val="7A1D1975"/>
    <w:rsid w:val="7A3E5150"/>
    <w:rsid w:val="7A4670D6"/>
    <w:rsid w:val="7A534B63"/>
    <w:rsid w:val="7A615382"/>
    <w:rsid w:val="7A67303B"/>
    <w:rsid w:val="7AAB1D04"/>
    <w:rsid w:val="7AB2013C"/>
    <w:rsid w:val="7ABA4368"/>
    <w:rsid w:val="7AD05746"/>
    <w:rsid w:val="7B257FFD"/>
    <w:rsid w:val="7B273D20"/>
    <w:rsid w:val="7B343476"/>
    <w:rsid w:val="7B5A2978"/>
    <w:rsid w:val="7B5A7E4C"/>
    <w:rsid w:val="7B667AF9"/>
    <w:rsid w:val="7B7468F8"/>
    <w:rsid w:val="7BA230A0"/>
    <w:rsid w:val="7BEE0103"/>
    <w:rsid w:val="7C0A0FE4"/>
    <w:rsid w:val="7C254906"/>
    <w:rsid w:val="7C590818"/>
    <w:rsid w:val="7C7C10F6"/>
    <w:rsid w:val="7C853BEA"/>
    <w:rsid w:val="7C881368"/>
    <w:rsid w:val="7CE27788"/>
    <w:rsid w:val="7D0C32F1"/>
    <w:rsid w:val="7D0F408D"/>
    <w:rsid w:val="7D491C6C"/>
    <w:rsid w:val="7D5429C0"/>
    <w:rsid w:val="7D6E6D43"/>
    <w:rsid w:val="7D9F2E27"/>
    <w:rsid w:val="7DB57A34"/>
    <w:rsid w:val="7DE60973"/>
    <w:rsid w:val="7DEF0916"/>
    <w:rsid w:val="7E1E5218"/>
    <w:rsid w:val="7E9A4E1F"/>
    <w:rsid w:val="7EA7723A"/>
    <w:rsid w:val="7EA84CA7"/>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2"/>
    <w:basedOn w:val="1"/>
    <w:link w:val="300"/>
    <w:qFormat/>
    <w:uiPriority w:val="0"/>
    <w:pPr>
      <w:spacing w:after="120" w:line="480" w:lineRule="auto"/>
    </w:pPr>
  </w:style>
  <w:style w:type="paragraph" w:styleId="26">
    <w:name w:val="Body Text Indent"/>
    <w:basedOn w:val="1"/>
    <w:next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2"/>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next w:val="52"/>
    <w:link w:val="319"/>
    <w:qFormat/>
    <w:uiPriority w:val="0"/>
    <w:pPr>
      <w:ind w:firstLine="420"/>
    </w:pPr>
    <w:rPr>
      <w:rFonts w:hAnsi="Calibri" w:cs="Times New Roman"/>
      <w:snapToGrid/>
      <w:szCs w:val="20"/>
    </w:rPr>
  </w:style>
  <w:style w:type="paragraph" w:styleId="62">
    <w:name w:val="Body Text First Indent 2"/>
    <w:basedOn w:val="26"/>
    <w:next w:val="19"/>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2"/>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2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99"/>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2"/>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2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 w:type="paragraph" w:customStyle="1" w:styleId="964">
    <w:name w:val="_Style 2"/>
    <w:basedOn w:val="1"/>
    <w:next w:val="1"/>
    <w:qFormat/>
    <w:uiPriority w:val="0"/>
    <w:pPr>
      <w:ind w:firstLine="200" w:firstLineChars="200"/>
    </w:pPr>
    <w:rPr>
      <w:rFonts w:ascii="Calibri" w:hAnsi="Calibri"/>
      <w:sz w:val="28"/>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30749</Words>
  <Characters>32519</Characters>
  <Lines>281</Lines>
  <Paragraphs>79</Paragraphs>
  <TotalTime>66</TotalTime>
  <ScaleCrop>false</ScaleCrop>
  <LinksUpToDate>false</LinksUpToDate>
  <CharactersWithSpaces>37980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2023-09-01T06:54:42Z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1587AD966F39406FA4AF500F744A56B8</vt:lpwstr>
  </property>
</Properties>
</file>