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rPr>
          <w:rFonts w:hint="eastAsia" w:ascii="宋体" w:hAnsi="宋体" w:cs="宋体"/>
          <w:b/>
          <w:color w:val="auto"/>
          <w:sz w:val="36"/>
          <w:szCs w:val="36"/>
          <w:highlight w:val="none"/>
        </w:rPr>
      </w:pPr>
      <w:bookmarkStart w:id="2" w:name="_GoBack"/>
      <w:bookmarkEnd w:id="2"/>
    </w:p>
    <w:p>
      <w:pPr>
        <w:spacing w:before="120" w:beforeLines="50"/>
        <w:jc w:val="center"/>
        <w:rPr>
          <w:rFonts w:hint="eastAsia" w:ascii="宋体" w:hAnsi="宋体" w:cs="宋体"/>
          <w:b/>
          <w:color w:val="auto"/>
          <w:sz w:val="36"/>
          <w:szCs w:val="36"/>
          <w:highlight w:val="none"/>
        </w:rPr>
      </w:pPr>
    </w:p>
    <w:p>
      <w:pPr>
        <w:spacing w:line="800" w:lineRule="exact"/>
        <w:jc w:val="center"/>
        <w:rPr>
          <w:rFonts w:hint="eastAsia" w:ascii="宋体" w:hAnsi="宋体" w:cs="宋体"/>
          <w:b/>
          <w:bCs/>
          <w:color w:val="auto"/>
          <w:sz w:val="24"/>
          <w:highlight w:val="none"/>
        </w:rPr>
      </w:pPr>
      <w:r>
        <w:rPr>
          <w:rFonts w:hint="eastAsia" w:ascii="宋体" w:hAnsi="宋体" w:cs="宋体"/>
          <w:b/>
          <w:bCs/>
          <w:color w:val="auto"/>
          <w:sz w:val="40"/>
          <w:szCs w:val="40"/>
          <w:highlight w:val="none"/>
        </w:rPr>
        <w:t>山明美术院扩建工程弱电智能化设备采购项目</w:t>
      </w:r>
    </w:p>
    <w:p>
      <w:pPr>
        <w:spacing w:before="120" w:beforeLines="50"/>
        <w:jc w:val="center"/>
        <w:rPr>
          <w:rFonts w:hint="eastAsia" w:ascii="宋体" w:hAnsi="宋体" w:cs="宋体"/>
          <w:b/>
          <w:bCs/>
          <w:color w:val="auto"/>
          <w:sz w:val="36"/>
          <w:szCs w:val="36"/>
          <w:highlight w:val="none"/>
        </w:rPr>
      </w:pPr>
    </w:p>
    <w:p>
      <w:pPr>
        <w:spacing w:before="120" w:beforeLines="5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公开招标采购文件</w:t>
      </w:r>
    </w:p>
    <w:p>
      <w:pPr>
        <w:snapToGrid w:val="0"/>
        <w:spacing w:before="120" w:beforeLines="50" w:line="360" w:lineRule="auto"/>
        <w:rPr>
          <w:rFonts w:hint="eastAsia" w:ascii="宋体" w:hAnsi="宋体" w:cs="宋体"/>
          <w:color w:val="auto"/>
          <w:sz w:val="30"/>
          <w:szCs w:val="72"/>
          <w:highlight w:val="none"/>
        </w:rPr>
      </w:pPr>
    </w:p>
    <w:p>
      <w:pPr>
        <w:snapToGrid w:val="0"/>
        <w:spacing w:before="120" w:beforeLines="50"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（电子招投标）</w:t>
      </w:r>
    </w:p>
    <w:p>
      <w:pPr>
        <w:pStyle w:val="146"/>
        <w:spacing w:before="120"/>
        <w:rPr>
          <w:rFonts w:hint="eastAsia" w:ascii="宋体" w:hAnsi="宋体" w:cs="宋体"/>
          <w:color w:val="auto"/>
          <w:highlight w:val="none"/>
        </w:rPr>
      </w:pPr>
    </w:p>
    <w:p>
      <w:pPr>
        <w:spacing w:before="240" w:beforeLines="100" w:after="240" w:afterLines="100" w:line="360" w:lineRule="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项目编号：HZJSCGGK202200</w:t>
      </w:r>
      <w:r>
        <w:rPr>
          <w:rFonts w:hint="eastAsia" w:ascii="宋体" w:hAnsi="宋体" w:cs="宋体"/>
          <w:b/>
          <w:bCs/>
          <w:color w:val="auto"/>
          <w:sz w:val="28"/>
          <w:szCs w:val="28"/>
          <w:highlight w:val="none"/>
          <w:lang w:val="en-US" w:eastAsia="zh-CN"/>
        </w:rPr>
        <w:t>4</w:t>
      </w:r>
    </w:p>
    <w:p>
      <w:pPr>
        <w:spacing w:before="240" w:beforeLines="100" w:after="240" w:afterLines="100"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项目名称：山明美术院扩建工程弱电智能化设备采购项目</w:t>
      </w:r>
    </w:p>
    <w:p>
      <w:pPr>
        <w:pStyle w:val="28"/>
        <w:snapToGrid w:val="0"/>
        <w:spacing w:before="240" w:beforeLines="100" w:after="240" w:afterLines="100" w:line="360" w:lineRule="auto"/>
        <w:rPr>
          <w:rFonts w:hint="eastAsia" w:hAnsi="宋体" w:cs="宋体"/>
          <w:b/>
          <w:bCs/>
          <w:color w:val="auto"/>
          <w:sz w:val="28"/>
          <w:szCs w:val="28"/>
          <w:highlight w:val="none"/>
        </w:rPr>
      </w:pPr>
      <w:r>
        <w:rPr>
          <w:rFonts w:hint="eastAsia" w:hAnsi="宋体" w:cs="宋体"/>
          <w:b/>
          <w:bCs/>
          <w:color w:val="auto"/>
          <w:sz w:val="28"/>
          <w:szCs w:val="28"/>
          <w:highlight w:val="none"/>
        </w:rPr>
        <w:t>采购单位：山明美术院</w:t>
      </w:r>
    </w:p>
    <w:p>
      <w:pPr>
        <w:pStyle w:val="28"/>
        <w:snapToGrid w:val="0"/>
        <w:spacing w:before="240" w:beforeLines="100" w:after="240" w:afterLines="100" w:line="360" w:lineRule="auto"/>
        <w:rPr>
          <w:rFonts w:hint="eastAsia" w:hAnsi="宋体" w:cs="宋体"/>
          <w:b/>
          <w:bCs/>
          <w:color w:val="auto"/>
          <w:w w:val="95"/>
          <w:sz w:val="28"/>
          <w:szCs w:val="28"/>
          <w:highlight w:val="none"/>
        </w:rPr>
      </w:pPr>
      <w:r>
        <w:rPr>
          <w:rFonts w:hint="eastAsia" w:hAnsi="宋体" w:cs="宋体"/>
          <w:b/>
          <w:bCs/>
          <w:color w:val="auto"/>
          <w:w w:val="95"/>
          <w:sz w:val="28"/>
          <w:szCs w:val="28"/>
          <w:highlight w:val="none"/>
        </w:rPr>
        <w:t>代理机构：杭州市建设工程管理集团有限公司</w:t>
      </w:r>
    </w:p>
    <w:p>
      <w:pPr>
        <w:pStyle w:val="28"/>
        <w:snapToGrid w:val="0"/>
        <w:spacing w:before="240" w:beforeLines="100" w:after="240" w:afterLines="100" w:line="360" w:lineRule="auto"/>
        <w:rPr>
          <w:rFonts w:hint="eastAsia" w:hAnsi="宋体" w:cs="宋体"/>
          <w:b/>
          <w:bCs/>
          <w:color w:val="auto"/>
          <w:w w:val="95"/>
          <w:sz w:val="30"/>
          <w:szCs w:val="30"/>
          <w:highlight w:val="none"/>
        </w:rPr>
      </w:pPr>
    </w:p>
    <w:p>
      <w:pPr>
        <w:pStyle w:val="28"/>
        <w:snapToGrid w:val="0"/>
        <w:spacing w:before="240" w:beforeLines="100" w:after="240" w:afterLines="100" w:line="360" w:lineRule="auto"/>
        <w:rPr>
          <w:rFonts w:hint="eastAsia" w:hAnsi="宋体" w:cs="宋体"/>
          <w:b/>
          <w:bCs/>
          <w:color w:val="auto"/>
          <w:w w:val="95"/>
          <w:sz w:val="30"/>
          <w:szCs w:val="30"/>
          <w:highlight w:val="none"/>
        </w:rPr>
      </w:pPr>
    </w:p>
    <w:p>
      <w:pPr>
        <w:snapToGrid w:val="0"/>
        <w:spacing w:before="120" w:beforeLines="50" w:line="360" w:lineRule="auto"/>
        <w:ind w:left="384" w:leftChars="183" w:firstLine="4599" w:firstLineChars="1607"/>
        <w:rPr>
          <w:rFonts w:hint="eastAsia" w:ascii="宋体" w:hAnsi="宋体" w:cs="宋体"/>
          <w:b/>
          <w:bCs/>
          <w:color w:val="auto"/>
          <w:w w:val="95"/>
          <w:sz w:val="30"/>
          <w:szCs w:val="30"/>
          <w:highlight w:val="none"/>
        </w:rPr>
      </w:pPr>
    </w:p>
    <w:p>
      <w:pPr>
        <w:snapToGrid w:val="0"/>
        <w:spacing w:line="360" w:lineRule="auto"/>
        <w:jc w:val="right"/>
        <w:rPr>
          <w:rFonts w:hint="eastAsia" w:ascii="宋体" w:hAnsi="宋体" w:cs="宋体"/>
          <w:color w:val="auto"/>
          <w:sz w:val="30"/>
          <w:szCs w:val="20"/>
          <w:highlight w:val="none"/>
        </w:rPr>
      </w:pPr>
      <w:r>
        <w:rPr>
          <w:rFonts w:hint="eastAsia" w:ascii="宋体" w:hAnsi="宋体" w:cs="宋体"/>
          <w:b/>
          <w:bCs/>
          <w:color w:val="auto"/>
          <w:w w:val="95"/>
          <w:sz w:val="30"/>
          <w:szCs w:val="30"/>
          <w:highlight w:val="none"/>
        </w:rPr>
        <w:t xml:space="preserve">      </w:t>
      </w:r>
      <w:r>
        <w:rPr>
          <w:rFonts w:hint="eastAsia" w:ascii="宋体" w:hAnsi="宋体" w:cs="宋体"/>
          <w:b/>
          <w:bCs/>
          <w:color w:val="auto"/>
          <w:w w:val="95"/>
          <w:sz w:val="28"/>
          <w:szCs w:val="28"/>
          <w:highlight w:val="none"/>
        </w:rPr>
        <w:t xml:space="preserve">   </w:t>
      </w:r>
      <w:r>
        <w:rPr>
          <w:rFonts w:hint="eastAsia" w:ascii="宋体" w:hAnsi="宋体" w:cs="宋体"/>
          <w:b/>
          <w:bCs/>
          <w:color w:val="auto"/>
          <w:sz w:val="28"/>
          <w:szCs w:val="28"/>
          <w:highlight w:val="none"/>
        </w:rPr>
        <w:t>2022年8月</w:t>
      </w:r>
    </w:p>
    <w:p>
      <w:pPr>
        <w:pStyle w:val="28"/>
        <w:spacing w:before="120" w:beforeLines="0" w:after="120" w:afterLines="0" w:line="360" w:lineRule="auto"/>
        <w:rPr>
          <w:rFonts w:hint="eastAsia" w:hAnsi="宋体" w:cs="宋体"/>
          <w:color w:val="auto"/>
          <w:highlight w:val="none"/>
        </w:rPr>
      </w:pPr>
    </w:p>
    <w:p>
      <w:pPr>
        <w:pStyle w:val="28"/>
        <w:spacing w:before="120" w:beforeLines="0" w:after="120" w:afterLines="0" w:line="360" w:lineRule="auto"/>
        <w:rPr>
          <w:rFonts w:hint="eastAsia" w:hAnsi="宋体" w:cs="宋体"/>
          <w:color w:val="auto"/>
          <w:highlight w:val="none"/>
        </w:rPr>
      </w:pPr>
    </w:p>
    <w:p>
      <w:pPr>
        <w:pStyle w:val="28"/>
        <w:spacing w:before="120" w:beforeLines="0" w:after="120" w:afterLines="0" w:line="360" w:lineRule="auto"/>
        <w:rPr>
          <w:rFonts w:hint="eastAsia" w:hAnsi="宋体" w:cs="宋体"/>
          <w:color w:val="auto"/>
          <w:highlight w:val="none"/>
        </w:rPr>
      </w:pPr>
    </w:p>
    <w:p>
      <w:pPr>
        <w:pStyle w:val="28"/>
        <w:spacing w:before="120" w:beforeLines="0" w:after="120" w:afterLines="0" w:line="360" w:lineRule="auto"/>
        <w:rPr>
          <w:rFonts w:hint="eastAsia" w:hAnsi="宋体" w:cs="宋体"/>
          <w:color w:val="auto"/>
          <w:sz w:val="44"/>
          <w:szCs w:val="44"/>
          <w:highlight w:val="none"/>
        </w:rPr>
        <w:sectPr>
          <w:pgSz w:w="11906" w:h="16838"/>
          <w:pgMar w:top="1701" w:right="1474" w:bottom="1588" w:left="1587" w:header="851" w:footer="992" w:gutter="0"/>
          <w:cols w:space="720" w:num="1"/>
          <w:docGrid w:linePitch="602" w:charSpace="0"/>
        </w:sectPr>
      </w:pPr>
    </w:p>
    <w:p>
      <w:pPr>
        <w:pStyle w:val="28"/>
        <w:spacing w:before="120" w:beforeLines="0" w:after="120" w:afterLines="0" w:line="360" w:lineRule="auto"/>
        <w:ind w:firstLine="3520" w:firstLineChars="800"/>
        <w:rPr>
          <w:rFonts w:hint="eastAsia" w:hAnsi="宋体" w:cs="宋体"/>
          <w:color w:val="auto"/>
          <w:sz w:val="44"/>
          <w:szCs w:val="44"/>
          <w:highlight w:val="none"/>
        </w:rPr>
      </w:pPr>
      <w:r>
        <w:rPr>
          <w:rFonts w:hint="eastAsia" w:hAnsi="宋体" w:cs="宋体"/>
          <w:color w:val="auto"/>
          <w:sz w:val="44"/>
          <w:szCs w:val="44"/>
          <w:highlight w:val="none"/>
        </w:rPr>
        <w:t>目    录</w:t>
      </w:r>
    </w:p>
    <w:p>
      <w:pPr>
        <w:spacing w:before="120" w:beforeLines="50" w:line="480" w:lineRule="exact"/>
        <w:ind w:left="180"/>
        <w:rPr>
          <w:rFonts w:hint="eastAsia" w:ascii="宋体" w:hAnsi="宋体" w:cs="宋体"/>
          <w:color w:val="auto"/>
          <w:sz w:val="28"/>
          <w:szCs w:val="28"/>
          <w:highlight w:val="none"/>
        </w:rPr>
      </w:pPr>
      <w:r>
        <w:rPr>
          <w:rFonts w:hint="eastAsia" w:ascii="宋体" w:hAnsi="宋体" w:cs="宋体"/>
          <w:color w:val="auto"/>
          <w:sz w:val="28"/>
          <w:szCs w:val="28"/>
          <w:highlight w:val="none"/>
        </w:rPr>
        <w:t>第一部分  公开招标公告</w:t>
      </w:r>
    </w:p>
    <w:p>
      <w:pPr>
        <w:spacing w:before="120" w:beforeLines="50" w:line="480" w:lineRule="exact"/>
        <w:ind w:left="180"/>
        <w:rPr>
          <w:rFonts w:hint="eastAsia" w:ascii="宋体" w:hAnsi="宋体" w:cs="宋体"/>
          <w:color w:val="auto"/>
          <w:sz w:val="28"/>
          <w:szCs w:val="28"/>
          <w:highlight w:val="none"/>
        </w:rPr>
      </w:pPr>
      <w:r>
        <w:rPr>
          <w:rFonts w:hint="eastAsia" w:ascii="宋体" w:hAnsi="宋体" w:cs="宋体"/>
          <w:color w:val="auto"/>
          <w:sz w:val="28"/>
          <w:szCs w:val="28"/>
          <w:highlight w:val="none"/>
        </w:rPr>
        <w:t>第二部分  投标人须知</w:t>
      </w:r>
    </w:p>
    <w:p>
      <w:pPr>
        <w:spacing w:before="120" w:beforeLines="50" w:line="480" w:lineRule="exact"/>
        <w:ind w:left="180"/>
        <w:rPr>
          <w:rFonts w:hint="eastAsia" w:ascii="宋体" w:hAnsi="宋体" w:cs="宋体"/>
          <w:color w:val="auto"/>
          <w:sz w:val="28"/>
          <w:szCs w:val="28"/>
          <w:highlight w:val="none"/>
        </w:rPr>
      </w:pPr>
      <w:r>
        <w:rPr>
          <w:rFonts w:hint="eastAsia" w:ascii="宋体" w:hAnsi="宋体" w:cs="宋体"/>
          <w:color w:val="auto"/>
          <w:sz w:val="28"/>
          <w:szCs w:val="28"/>
          <w:highlight w:val="none"/>
        </w:rPr>
        <w:t>第三部分  招标需求</w:t>
      </w:r>
    </w:p>
    <w:p>
      <w:pPr>
        <w:spacing w:before="120" w:beforeLines="50" w:line="480" w:lineRule="exact"/>
        <w:ind w:left="180"/>
        <w:rPr>
          <w:rFonts w:hint="eastAsia"/>
          <w:color w:val="auto"/>
          <w:highlight w:val="none"/>
        </w:rPr>
      </w:pPr>
      <w:r>
        <w:rPr>
          <w:rFonts w:hint="eastAsia" w:ascii="宋体" w:hAnsi="宋体" w:cs="宋体"/>
          <w:color w:val="auto"/>
          <w:sz w:val="28"/>
          <w:szCs w:val="28"/>
          <w:highlight w:val="none"/>
        </w:rPr>
        <w:t>第四部分  评标办法及评分标准</w:t>
      </w:r>
    </w:p>
    <w:p>
      <w:pPr>
        <w:spacing w:before="120" w:beforeLines="50" w:line="480" w:lineRule="exact"/>
        <w:ind w:left="180"/>
        <w:rPr>
          <w:rFonts w:hint="eastAsia" w:ascii="宋体" w:hAnsi="宋体" w:cs="宋体"/>
          <w:color w:val="auto"/>
          <w:sz w:val="28"/>
          <w:szCs w:val="28"/>
          <w:highlight w:val="none"/>
        </w:rPr>
      </w:pPr>
      <w:r>
        <w:rPr>
          <w:rFonts w:hint="eastAsia" w:ascii="宋体" w:hAnsi="宋体" w:cs="宋体"/>
          <w:color w:val="auto"/>
          <w:sz w:val="28"/>
          <w:szCs w:val="28"/>
          <w:highlight w:val="none"/>
        </w:rPr>
        <w:t>第五部分  合同主要条款</w:t>
      </w:r>
    </w:p>
    <w:p>
      <w:pPr>
        <w:spacing w:before="120" w:beforeLines="50" w:line="480" w:lineRule="exact"/>
        <w:ind w:left="180"/>
        <w:rPr>
          <w:rFonts w:hint="eastAsia" w:ascii="宋体" w:hAnsi="宋体" w:cs="宋体"/>
          <w:color w:val="auto"/>
          <w:sz w:val="28"/>
          <w:szCs w:val="28"/>
          <w:highlight w:val="none"/>
        </w:rPr>
      </w:pPr>
      <w:r>
        <w:rPr>
          <w:rFonts w:hint="eastAsia" w:ascii="宋体" w:hAnsi="宋体" w:cs="宋体"/>
          <w:color w:val="auto"/>
          <w:sz w:val="28"/>
          <w:szCs w:val="28"/>
          <w:highlight w:val="none"/>
        </w:rPr>
        <w:t>第六部分  投标文件格式</w:t>
      </w:r>
    </w:p>
    <w:p>
      <w:pPr>
        <w:spacing w:before="120" w:beforeLines="50" w:line="480" w:lineRule="exact"/>
        <w:ind w:left="180"/>
        <w:rPr>
          <w:rFonts w:hint="eastAsia" w:ascii="宋体" w:hAnsi="宋体" w:cs="宋体"/>
          <w:color w:val="auto"/>
          <w:sz w:val="28"/>
          <w:szCs w:val="28"/>
          <w:highlight w:val="none"/>
        </w:rPr>
      </w:pPr>
      <w:r>
        <w:rPr>
          <w:rFonts w:hint="eastAsia" w:ascii="宋体" w:hAnsi="宋体" w:cs="宋体"/>
          <w:color w:val="auto"/>
          <w:sz w:val="28"/>
          <w:szCs w:val="28"/>
          <w:highlight w:val="none"/>
        </w:rPr>
        <w:t>第七部分  其他</w:t>
      </w:r>
    </w:p>
    <w:p>
      <w:pPr>
        <w:pStyle w:val="2"/>
        <w:ind w:left="0" w:leftChars="0" w:firstLine="0" w:firstLineChars="0"/>
        <w:rPr>
          <w:rFonts w:hint="eastAsia" w:ascii="宋体" w:hAnsi="宋体" w:cs="宋体"/>
          <w:color w:val="auto"/>
          <w:szCs w:val="28"/>
          <w:highlight w:val="none"/>
        </w:rPr>
      </w:pPr>
    </w:p>
    <w:p>
      <w:pPr>
        <w:pStyle w:val="2"/>
        <w:ind w:left="0" w:leftChars="0" w:firstLine="0" w:firstLineChars="0"/>
        <w:rPr>
          <w:rFonts w:hint="eastAsia" w:ascii="宋体" w:hAnsi="宋体" w:cs="宋体"/>
          <w:color w:val="auto"/>
          <w:szCs w:val="28"/>
          <w:highlight w:val="none"/>
        </w:rPr>
      </w:pPr>
    </w:p>
    <w:p>
      <w:pPr>
        <w:pStyle w:val="2"/>
        <w:ind w:left="0" w:leftChars="0" w:firstLine="0" w:firstLineChars="0"/>
        <w:rPr>
          <w:rFonts w:hint="eastAsia" w:ascii="宋体" w:hAnsi="宋体" w:cs="宋体"/>
          <w:color w:val="auto"/>
          <w:szCs w:val="28"/>
          <w:highlight w:val="none"/>
        </w:rPr>
      </w:pPr>
    </w:p>
    <w:p>
      <w:pPr>
        <w:pStyle w:val="2"/>
        <w:ind w:left="0" w:leftChars="0" w:firstLine="0" w:firstLineChars="0"/>
        <w:rPr>
          <w:rFonts w:hint="eastAsia" w:ascii="宋体" w:hAnsi="宋体" w:cs="宋体"/>
          <w:color w:val="auto"/>
          <w:szCs w:val="28"/>
          <w:highlight w:val="none"/>
        </w:rPr>
      </w:pPr>
    </w:p>
    <w:p>
      <w:pPr>
        <w:pStyle w:val="2"/>
        <w:ind w:left="0" w:leftChars="0" w:firstLine="0" w:firstLineChars="0"/>
        <w:rPr>
          <w:rFonts w:hint="eastAsia" w:ascii="宋体" w:hAnsi="宋体" w:cs="宋体"/>
          <w:color w:val="auto"/>
          <w:szCs w:val="28"/>
          <w:highlight w:val="none"/>
        </w:rPr>
      </w:pPr>
    </w:p>
    <w:p>
      <w:pPr>
        <w:spacing w:line="360" w:lineRule="auto"/>
        <w:rPr>
          <w:rFonts w:hint="eastAsia" w:ascii="宋体" w:hAnsi="宋体" w:cs="宋体"/>
          <w:b/>
          <w:bCs/>
          <w:color w:val="auto"/>
          <w:sz w:val="30"/>
          <w:highlight w:val="none"/>
        </w:rPr>
      </w:pPr>
      <w:r>
        <w:rPr>
          <w:rFonts w:hint="eastAsia" w:ascii="宋体" w:hAnsi="宋体" w:cs="宋体"/>
          <w:b/>
          <w:bCs/>
          <w:color w:val="auto"/>
          <w:sz w:val="30"/>
          <w:highlight w:val="none"/>
        </w:rPr>
        <w:t>温馨提示：</w:t>
      </w:r>
    </w:p>
    <w:p>
      <w:pPr>
        <w:spacing w:line="360" w:lineRule="auto"/>
        <w:ind w:firstLine="596" w:firstLineChars="198"/>
        <w:rPr>
          <w:rFonts w:hint="eastAsia" w:ascii="宋体" w:hAnsi="宋体" w:cs="宋体"/>
          <w:color w:val="auto"/>
          <w:sz w:val="28"/>
          <w:szCs w:val="28"/>
          <w:highlight w:val="none"/>
        </w:rPr>
        <w:sectPr>
          <w:footerReference r:id="rId3" w:type="default"/>
          <w:pgSz w:w="11906" w:h="16838"/>
          <w:pgMar w:top="1701" w:right="1474" w:bottom="1588" w:left="1587" w:header="851" w:footer="992" w:gutter="0"/>
          <w:pgNumType w:start="1"/>
          <w:cols w:space="720" w:num="1"/>
          <w:docGrid w:linePitch="602" w:charSpace="0"/>
        </w:sectPr>
      </w:pPr>
      <w:r>
        <w:rPr>
          <w:rFonts w:hint="eastAsia" w:ascii="宋体" w:hAnsi="宋体" w:cs="宋体"/>
          <w:b/>
          <w:bCs/>
          <w:color w:val="auto"/>
          <w:sz w:val="30"/>
          <w:highlight w:val="none"/>
        </w:rPr>
        <w:t>请认真阅读此招标文件，并按规定制作投标文件。</w:t>
      </w:r>
    </w:p>
    <w:p>
      <w:pPr>
        <w:pStyle w:val="5"/>
        <w:spacing w:before="100" w:beforeAutospacing="1" w:after="100" w:afterAutospacing="1"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 xml:space="preserve">第一部分 </w:t>
      </w:r>
      <w:r>
        <w:rPr>
          <w:rFonts w:ascii="宋体" w:hAnsi="宋体" w:cs="宋体"/>
          <w:color w:val="auto"/>
          <w:sz w:val="36"/>
          <w:szCs w:val="36"/>
          <w:highlight w:val="none"/>
        </w:rPr>
        <w:t>招标公告</w:t>
      </w:r>
    </w:p>
    <w:p>
      <w:pPr>
        <w:spacing w:line="360" w:lineRule="exact"/>
        <w:jc w:val="left"/>
        <w:rPr>
          <w:rFonts w:hint="eastAsia" w:ascii="宋体" w:hAnsi="宋体" w:cs="宋体"/>
          <w:color w:val="auto"/>
          <w:szCs w:val="21"/>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48"/>
              <w:spacing w:before="0" w:beforeAutospacing="0" w:after="0" w:afterAutospacing="0" w:line="400" w:lineRule="exact"/>
              <w:rPr>
                <w:rFonts w:cs="宋体"/>
                <w:color w:val="auto"/>
                <w:highlight w:val="none"/>
              </w:rPr>
            </w:pPr>
            <w:r>
              <w:rPr>
                <w:rFonts w:cs="宋体"/>
                <w:color w:val="auto"/>
                <w:highlight w:val="none"/>
              </w:rPr>
              <w:t>项目概况 </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山明美术院扩建工程弱电智能化设备采购项目招标项目的潜在投标人应在浙江政府采购网获取（下载）招标文件，并于2022年</w:t>
            </w:r>
            <w:r>
              <w:rPr>
                <w:rFonts w:hint="eastAsia" w:ascii="宋体" w:hAnsi="宋体" w:cs="宋体"/>
                <w:color w:val="auto"/>
                <w:sz w:val="24"/>
                <w:highlight w:val="none"/>
                <w:lang w:eastAsia="zh-CN"/>
              </w:rPr>
              <w:t>09月07日9:30</w:t>
            </w:r>
            <w:r>
              <w:rPr>
                <w:rFonts w:hint="eastAsia" w:ascii="宋体" w:hAnsi="宋体" w:cs="宋体"/>
                <w:color w:val="auto"/>
                <w:sz w:val="24"/>
                <w:highlight w:val="none"/>
              </w:rPr>
              <w:t>（北京时间）前递交（上传）投标文件。 </w:t>
            </w:r>
          </w:p>
        </w:tc>
      </w:tr>
    </w:tbl>
    <w:p>
      <w:pPr>
        <w:numPr>
          <w:ilvl w:val="0"/>
          <w:numId w:val="6"/>
        </w:numPr>
        <w:spacing w:line="400" w:lineRule="exact"/>
        <w:rPr>
          <w:rStyle w:val="56"/>
          <w:rFonts w:hint="eastAsia" w:ascii="宋体" w:hAnsi="宋体" w:cs="宋体"/>
          <w:color w:val="auto"/>
          <w:sz w:val="24"/>
          <w:highlight w:val="none"/>
        </w:rPr>
      </w:pPr>
      <w:r>
        <w:rPr>
          <w:rStyle w:val="56"/>
          <w:rFonts w:hint="eastAsia" w:ascii="宋体" w:hAnsi="宋体" w:cs="宋体"/>
          <w:color w:val="auto"/>
          <w:sz w:val="24"/>
          <w:highlight w:val="none"/>
        </w:rPr>
        <w:t>项目基本情况</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项目编号：HZJSCGGK2022003 </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项目名称：山明美术院扩建工程弱电智能化设备采购项目</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标项1：预算金额（元）：1560000    </w:t>
      </w:r>
    </w:p>
    <w:p>
      <w:pPr>
        <w:pStyle w:val="48"/>
        <w:spacing w:before="0" w:beforeAutospacing="0" w:after="0" w:afterAutospacing="0" w:line="400" w:lineRule="exact"/>
        <w:ind w:firstLine="480" w:firstLineChars="200"/>
        <w:rPr>
          <w:rFonts w:hint="default" w:cs="宋体"/>
          <w:color w:val="auto"/>
          <w:highlight w:val="none"/>
        </w:rPr>
      </w:pPr>
      <w:r>
        <w:rPr>
          <w:rFonts w:cs="宋体"/>
          <w:color w:val="auto"/>
          <w:highlight w:val="none"/>
        </w:rPr>
        <w:t xml:space="preserve">最高限价（元）：1560000 </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采购需求：</w:t>
      </w:r>
    </w:p>
    <w:p>
      <w:pPr>
        <w:pStyle w:val="48"/>
        <w:spacing w:before="0" w:beforeAutospacing="0" w:after="0" w:afterAutospacing="0" w:line="400" w:lineRule="exact"/>
        <w:ind w:left="479" w:leftChars="228"/>
        <w:rPr>
          <w:rFonts w:cs="宋体"/>
          <w:color w:val="auto"/>
          <w:highlight w:val="none"/>
        </w:rPr>
      </w:pPr>
      <w:r>
        <w:rPr>
          <w:rFonts w:cs="宋体"/>
          <w:color w:val="auto"/>
          <w:highlight w:val="none"/>
        </w:rPr>
        <w:t>标项名称:标项1 </w:t>
      </w:r>
    </w:p>
    <w:p>
      <w:pPr>
        <w:pStyle w:val="48"/>
        <w:spacing w:before="0" w:beforeAutospacing="0" w:after="0" w:afterAutospacing="0" w:line="400" w:lineRule="exact"/>
        <w:ind w:left="479" w:leftChars="228"/>
        <w:rPr>
          <w:rFonts w:cs="宋体"/>
          <w:color w:val="auto"/>
          <w:highlight w:val="none"/>
        </w:rPr>
      </w:pPr>
      <w:r>
        <w:rPr>
          <w:rFonts w:cs="宋体"/>
          <w:color w:val="auto"/>
          <w:highlight w:val="none"/>
        </w:rPr>
        <w:t>数量:1项  </w:t>
      </w:r>
    </w:p>
    <w:p>
      <w:pPr>
        <w:pStyle w:val="48"/>
        <w:spacing w:before="0" w:beforeAutospacing="0" w:after="0" w:afterAutospacing="0" w:line="400" w:lineRule="exact"/>
        <w:ind w:left="479" w:leftChars="228"/>
        <w:rPr>
          <w:rFonts w:cs="宋体"/>
          <w:color w:val="auto"/>
          <w:highlight w:val="none"/>
        </w:rPr>
      </w:pPr>
      <w:r>
        <w:rPr>
          <w:rFonts w:cs="宋体"/>
          <w:color w:val="auto"/>
          <w:highlight w:val="none"/>
        </w:rPr>
        <w:t>预算金额（元）:1560000 </w:t>
      </w:r>
    </w:p>
    <w:p>
      <w:pPr>
        <w:pStyle w:val="48"/>
        <w:spacing w:before="0" w:beforeAutospacing="0" w:after="0" w:afterAutospacing="0" w:line="400" w:lineRule="exact"/>
        <w:ind w:left="479" w:leftChars="228"/>
        <w:rPr>
          <w:rFonts w:cs="宋体"/>
          <w:color w:val="auto"/>
          <w:highlight w:val="none"/>
        </w:rPr>
      </w:pPr>
      <w:r>
        <w:rPr>
          <w:rFonts w:cs="宋体"/>
          <w:color w:val="auto"/>
          <w:highlight w:val="none"/>
        </w:rPr>
        <w:t>简要规格描述或项目基本概况介绍、用途：山明美术院智能化设施采购 </w:t>
      </w:r>
    </w:p>
    <w:p>
      <w:pPr>
        <w:pStyle w:val="48"/>
        <w:spacing w:before="0" w:beforeAutospacing="0" w:after="0" w:afterAutospacing="0" w:line="400" w:lineRule="exact"/>
        <w:ind w:left="479" w:leftChars="228"/>
        <w:rPr>
          <w:rFonts w:cs="宋体"/>
          <w:color w:val="auto"/>
          <w:highlight w:val="none"/>
        </w:rPr>
      </w:pPr>
      <w:r>
        <w:rPr>
          <w:rFonts w:cs="宋体"/>
          <w:color w:val="auto"/>
          <w:highlight w:val="none"/>
        </w:rPr>
        <w:t>备注： </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合同履约期限：</w:t>
      </w:r>
      <w:r>
        <w:rPr>
          <w:rFonts w:cs="宋体"/>
          <w:color w:val="auto"/>
          <w:highlight w:val="none"/>
          <w:lang w:val="en-GB"/>
        </w:rPr>
        <w:t>配套土建工程根据项目进度交货，安装实施，在具备安装条件后25天内完成安装调试，并验收通过。</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本项目接受联合体投标：</w:t>
      </w:r>
      <w:r>
        <w:rPr>
          <w:rFonts w:hint="eastAsia" w:ascii="宋体" w:hAnsi="宋体" w:cs="宋体"/>
          <w:color w:val="auto"/>
          <w:kern w:val="0"/>
          <w:sz w:val="24"/>
          <w:highlight w:val="none"/>
          <w:lang w:bidi="ar"/>
        </w:rPr>
        <w:t>☑</w:t>
      </w:r>
      <w:r>
        <w:rPr>
          <w:rFonts w:cs="宋体"/>
          <w:color w:val="auto"/>
          <w:highlight w:val="none"/>
        </w:rPr>
        <w:t>是，□否。</w:t>
      </w:r>
    </w:p>
    <w:p>
      <w:pPr>
        <w:pStyle w:val="48"/>
        <w:spacing w:before="0" w:beforeAutospacing="0" w:after="0" w:afterAutospacing="0" w:line="400" w:lineRule="exact"/>
        <w:rPr>
          <w:rFonts w:cs="宋体"/>
          <w:color w:val="auto"/>
          <w:highlight w:val="none"/>
        </w:rPr>
      </w:pPr>
      <w:r>
        <w:rPr>
          <w:rStyle w:val="56"/>
          <w:rFonts w:cs="宋体"/>
          <w:color w:val="auto"/>
          <w:highlight w:val="none"/>
        </w:rPr>
        <w:t>二、申请人的资格要求：</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8"/>
        <w:spacing w:before="0" w:beforeAutospacing="0" w:after="0" w:afterAutospacing="0" w:line="400" w:lineRule="exact"/>
        <w:ind w:firstLine="480" w:firstLineChars="200"/>
        <w:rPr>
          <w:rFonts w:hint="default" w:cs="宋体"/>
          <w:color w:val="auto"/>
          <w:highlight w:val="none"/>
        </w:rPr>
      </w:pPr>
      <w:r>
        <w:rPr>
          <w:rFonts w:cs="宋体"/>
          <w:color w:val="auto"/>
          <w:highlight w:val="none"/>
        </w:rPr>
        <w:t>2.落实政府采购政策需满足的资格要求：/</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 </w:t>
      </w:r>
    </w:p>
    <w:p>
      <w:pPr>
        <w:pStyle w:val="48"/>
        <w:spacing w:before="0" w:beforeAutospacing="0" w:after="0" w:afterAutospacing="0" w:line="400" w:lineRule="exact"/>
        <w:jc w:val="both"/>
        <w:rPr>
          <w:rFonts w:cs="宋体"/>
          <w:color w:val="auto"/>
          <w:highlight w:val="none"/>
        </w:rPr>
      </w:pPr>
      <w:r>
        <w:rPr>
          <w:rStyle w:val="56"/>
          <w:rFonts w:cs="宋体"/>
          <w:color w:val="auto"/>
          <w:highlight w:val="none"/>
        </w:rPr>
        <w:t>三、获取招标文件</w:t>
      </w:r>
      <w:r>
        <w:rPr>
          <w:rFonts w:cs="宋体"/>
          <w:color w:val="auto"/>
          <w:highlight w:val="none"/>
        </w:rPr>
        <w:t> </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时间：/至2022年</w:t>
      </w:r>
      <w:r>
        <w:rPr>
          <w:rFonts w:hint="eastAsia" w:cs="宋体"/>
          <w:color w:val="auto"/>
          <w:highlight w:val="none"/>
          <w:lang w:val="en-US" w:eastAsia="zh-CN"/>
        </w:rPr>
        <w:t>09</w:t>
      </w:r>
      <w:r>
        <w:rPr>
          <w:rFonts w:cs="宋体"/>
          <w:color w:val="auto"/>
          <w:highlight w:val="none"/>
        </w:rPr>
        <w:t>月</w:t>
      </w:r>
      <w:r>
        <w:rPr>
          <w:rFonts w:hint="eastAsia" w:cs="宋体"/>
          <w:color w:val="auto"/>
          <w:highlight w:val="none"/>
          <w:lang w:val="en-US" w:eastAsia="zh-CN"/>
        </w:rPr>
        <w:t>07</w:t>
      </w:r>
      <w:r>
        <w:rPr>
          <w:rFonts w:cs="宋体"/>
          <w:color w:val="auto"/>
          <w:highlight w:val="none"/>
        </w:rPr>
        <w:t>日，每天上午00:00至12:00，下午12:00至23:59（北京时间，线上获取法定节假日均可，线下获取文件法定节假日除外）</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地点（网址）：浙江政府采购网 </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 xml:space="preserve">方式：供应商登录政采云平台 https://www.zcygov.cn/在线申请获取采购文件（进入“项目采购”应用，在获取采购文件菜单中选择项目，申请获取采购文件）。 </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售价（元）：0 </w:t>
      </w:r>
    </w:p>
    <w:p>
      <w:pPr>
        <w:pStyle w:val="48"/>
        <w:spacing w:before="0" w:beforeAutospacing="0" w:after="0" w:afterAutospacing="0" w:line="400" w:lineRule="exact"/>
        <w:jc w:val="both"/>
        <w:rPr>
          <w:rFonts w:cs="宋体"/>
          <w:color w:val="auto"/>
          <w:highlight w:val="none"/>
        </w:rPr>
      </w:pPr>
      <w:r>
        <w:rPr>
          <w:rStyle w:val="56"/>
          <w:rFonts w:cs="宋体"/>
          <w:color w:val="auto"/>
          <w:highlight w:val="none"/>
        </w:rPr>
        <w:t>四、提交投标文件截止时间、开标时间和地点</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提交投标文件截止时间：2022年</w:t>
      </w:r>
      <w:r>
        <w:rPr>
          <w:rFonts w:hint="eastAsia" w:cs="宋体"/>
          <w:color w:val="auto"/>
          <w:highlight w:val="none"/>
          <w:lang w:val="en-US" w:eastAsia="zh-CN"/>
        </w:rPr>
        <w:t>09</w:t>
      </w:r>
      <w:r>
        <w:rPr>
          <w:rFonts w:cs="宋体"/>
          <w:color w:val="auto"/>
          <w:highlight w:val="none"/>
        </w:rPr>
        <w:t>月</w:t>
      </w:r>
      <w:r>
        <w:rPr>
          <w:rFonts w:hint="eastAsia" w:cs="宋体"/>
          <w:color w:val="auto"/>
          <w:highlight w:val="none"/>
          <w:lang w:val="en-US" w:eastAsia="zh-CN"/>
        </w:rPr>
        <w:t>07</w:t>
      </w:r>
      <w:r>
        <w:rPr>
          <w:rFonts w:cs="宋体"/>
          <w:color w:val="auto"/>
          <w:highlight w:val="none"/>
        </w:rPr>
        <w:t>日</w:t>
      </w:r>
      <w:r>
        <w:rPr>
          <w:rFonts w:cs="宋体"/>
          <w:color w:val="auto"/>
          <w:highlight w:val="none"/>
        </w:rPr>
        <w:t>09:30（北京时间）</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投标地点（网址）：在政府采购云平台 http://login.zcygov.cn/login 上自行加密上传电子投标文件，逾期上传或未按要求上传的投标文件将予以拒收。 </w:t>
      </w:r>
    </w:p>
    <w:p>
      <w:pPr>
        <w:pStyle w:val="48"/>
        <w:spacing w:before="0" w:beforeAutospacing="0" w:after="0" w:afterAutospacing="0" w:line="400" w:lineRule="exact"/>
        <w:ind w:firstLine="480" w:firstLineChars="200"/>
        <w:rPr>
          <w:rFonts w:hint="default" w:cs="宋体"/>
          <w:color w:val="auto"/>
          <w:highlight w:val="none"/>
        </w:rPr>
      </w:pPr>
      <w:r>
        <w:rPr>
          <w:rFonts w:cs="宋体"/>
          <w:color w:val="auto"/>
          <w:highlight w:val="none"/>
        </w:rPr>
        <w:t xml:space="preserve">开标时间：2022年 </w:t>
      </w:r>
      <w:r>
        <w:rPr>
          <w:rFonts w:hint="eastAsia" w:cs="宋体"/>
          <w:color w:val="auto"/>
          <w:highlight w:val="none"/>
          <w:lang w:val="en-US" w:eastAsia="zh-CN"/>
        </w:rPr>
        <w:t>09</w:t>
      </w:r>
      <w:r>
        <w:rPr>
          <w:rFonts w:cs="宋体"/>
          <w:color w:val="auto"/>
          <w:highlight w:val="none"/>
        </w:rPr>
        <w:t>月</w:t>
      </w:r>
      <w:r>
        <w:rPr>
          <w:rFonts w:hint="eastAsia" w:cs="宋体"/>
          <w:color w:val="auto"/>
          <w:highlight w:val="none"/>
          <w:lang w:val="en-US" w:eastAsia="zh-CN"/>
        </w:rPr>
        <w:t>07</w:t>
      </w:r>
      <w:r>
        <w:rPr>
          <w:rFonts w:cs="宋体"/>
          <w:color w:val="auto"/>
          <w:highlight w:val="none"/>
        </w:rPr>
        <w:t>日</w:t>
      </w:r>
      <w:r>
        <w:rPr>
          <w:rFonts w:cs="宋体"/>
          <w:color w:val="auto"/>
          <w:highlight w:val="none"/>
        </w:rPr>
        <w:t xml:space="preserve">09:30  </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开标地点（网址）：浦江县人民东路 83 号金华市公共资源交易中心浦江县分中心  </w:t>
      </w:r>
    </w:p>
    <w:p>
      <w:pPr>
        <w:pStyle w:val="48"/>
        <w:spacing w:before="0" w:beforeAutospacing="0" w:after="0" w:afterAutospacing="0" w:line="400" w:lineRule="exact"/>
        <w:jc w:val="both"/>
        <w:rPr>
          <w:rStyle w:val="56"/>
          <w:rFonts w:cs="宋体"/>
          <w:color w:val="auto"/>
          <w:highlight w:val="none"/>
        </w:rPr>
      </w:pPr>
      <w:r>
        <w:rPr>
          <w:rStyle w:val="56"/>
          <w:rFonts w:cs="宋体"/>
          <w:color w:val="auto"/>
          <w:highlight w:val="none"/>
        </w:rPr>
        <w:t>五、采购意向公开链接</w:t>
      </w:r>
    </w:p>
    <w:p>
      <w:pPr>
        <w:pStyle w:val="48"/>
        <w:spacing w:before="0" w:beforeAutospacing="0" w:after="0" w:afterAutospacing="0" w:line="400" w:lineRule="exact"/>
        <w:ind w:firstLine="480" w:firstLineChars="200"/>
        <w:rPr>
          <w:rFonts w:hint="default" w:cs="宋体"/>
          <w:color w:val="auto"/>
          <w:highlight w:val="none"/>
        </w:rPr>
      </w:pPr>
      <w:r>
        <w:rPr>
          <w:rFonts w:cs="宋体"/>
          <w:color w:val="auto"/>
          <w:highlight w:val="none"/>
        </w:rPr>
        <w:t>https://zfcg.czt.zj.gov.cn/innerUsed_noticeDetails/index.html?noticeId=8821281&amp;utm=web-government-front.49399a16.0.0.954b58c01bbf11edb1f85194ec6e3605</w:t>
      </w:r>
    </w:p>
    <w:p>
      <w:pPr>
        <w:pStyle w:val="48"/>
        <w:spacing w:before="0" w:beforeAutospacing="0" w:after="0" w:afterAutospacing="0" w:line="400" w:lineRule="exact"/>
        <w:jc w:val="both"/>
        <w:rPr>
          <w:rFonts w:cs="宋体"/>
          <w:color w:val="auto"/>
          <w:highlight w:val="none"/>
        </w:rPr>
      </w:pPr>
      <w:r>
        <w:rPr>
          <w:rStyle w:val="56"/>
          <w:rFonts w:cs="宋体"/>
          <w:color w:val="auto"/>
          <w:highlight w:val="none"/>
        </w:rPr>
        <w:t>六、公告期限</w:t>
      </w:r>
      <w:r>
        <w:rPr>
          <w:rFonts w:cs="宋体"/>
          <w:color w:val="auto"/>
          <w:highlight w:val="none"/>
        </w:rPr>
        <w:t> </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自本公告发布之日起5个工作日。</w:t>
      </w:r>
    </w:p>
    <w:p>
      <w:pPr>
        <w:pStyle w:val="48"/>
        <w:spacing w:before="0" w:beforeAutospacing="0" w:after="0" w:afterAutospacing="0" w:line="400" w:lineRule="exact"/>
        <w:jc w:val="both"/>
        <w:rPr>
          <w:rFonts w:cs="宋体"/>
          <w:color w:val="auto"/>
          <w:highlight w:val="none"/>
        </w:rPr>
      </w:pPr>
      <w:r>
        <w:rPr>
          <w:rStyle w:val="56"/>
          <w:rFonts w:cs="宋体"/>
          <w:color w:val="auto"/>
          <w:highlight w:val="none"/>
        </w:rPr>
        <w:t>七、其他补充事宜</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1.投标人认为采购文件使自己的权益受到损害的，可以自获取采购文件之日或者采购 文件公告期限届满之日（公告期限届满后获取采购文件的，以公告期限届满之日为准）起 7 个工作日内，以书面形式向采购人和采购代理机构提出质疑。质疑投标人对采购人、采 购代理机构的答复不满意或者采购人、采购代理机构未在规定的时间内作出答复的，可以 在答复期满后十五个工作日内向同级政府采购监督管理部门投诉。质疑函范本、投诉书范 本请到浙江政府采购网下载专区下载。</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2.其他事项：（1）需要落实的政府采购政策：包括节约资源、保护环境、支持创新、促进中小企业发展等。详见招标文件的“第二部分 投标人须知”。（2）电子招投标的说明：①电子招投标：本项目以数据电文形式，依托“政府采购云平台</w:t>
      </w:r>
    </w:p>
    <w:p>
      <w:pPr>
        <w:pStyle w:val="48"/>
        <w:spacing w:before="0" w:beforeAutospacing="0" w:after="0" w:afterAutospacing="0" w:line="400" w:lineRule="exact"/>
        <w:rPr>
          <w:rFonts w:cs="宋体"/>
          <w:color w:val="auto"/>
          <w:highlight w:val="none"/>
        </w:rPr>
      </w:pPr>
      <w:r>
        <w:rPr>
          <w:rFonts w:cs="宋体"/>
          <w:color w:val="auto"/>
          <w:highlight w:val="none"/>
        </w:rPr>
        <w:t>（www.zcygov.cn）”进行招投标活动，不接受纸质投标文件；②投标准备：注册账号--点击“商家入驻”，进行政府采购供应商资料填写；申领 CA 数字证书---申领流程详见“浙江政府采购网-下载专区-电子交易客户端-CA 驱动和申领流程”；安装“政采云电子交易客户端”----前往“浙江政府采购网-下载专区-电子交易客户端”进行下载并安装；③招标文件的获取：使用账号登录或者使用 CA 登录政采云平台；进入“项目采购”应用，在获取采购文件菜单中选择项目，获取招标文件；④投标文件的制作：在“政采云电子交易客户端”中完成“填写基本信息”、“导入投标文件”、“投标文件关联”、“投标文件检查”、“电子签名”、“生成电子投标文件”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至招标文件规定的地点：浦江县新华东路121号二楼，洪先生收，联系方式：18969358637，邮编：322200，逾期送达、未按指定地点送达或未密封将予以拒收。电子备份投标文件的提交不作强制要求。电子备份投标文件的制作、存储、密封详见“第二部分 投标人须知”；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3.政府采购金融服务提示：为扩大政府采购金融服务面，除政采云网上金融服务合作银行外，金华市范围增加线下合作银行两家，具体信息如下：</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金华银行文创支行 联系人：张琳俊；联系电话：13586975082、0579-82479020</w:t>
      </w:r>
    </w:p>
    <w:p>
      <w:pPr>
        <w:pStyle w:val="48"/>
        <w:spacing w:before="0" w:beforeAutospacing="0" w:after="0" w:afterAutospacing="0" w:line="400" w:lineRule="exact"/>
        <w:ind w:firstLine="480" w:firstLineChars="200"/>
        <w:rPr>
          <w:rFonts w:cs="宋体"/>
          <w:color w:val="auto"/>
          <w:highlight w:val="none"/>
        </w:rPr>
      </w:pPr>
      <w:r>
        <w:rPr>
          <w:rFonts w:cs="宋体"/>
          <w:color w:val="auto"/>
          <w:highlight w:val="none"/>
        </w:rPr>
        <w:t>浙商银行金华浦江支行 联系人：严艳萍；联系电话：13566950560、0579-88088337</w:t>
      </w:r>
    </w:p>
    <w:p>
      <w:pPr>
        <w:pStyle w:val="48"/>
        <w:spacing w:before="0" w:beforeAutospacing="0" w:after="0" w:afterAutospacing="0" w:line="400" w:lineRule="exact"/>
        <w:rPr>
          <w:rFonts w:cs="宋体"/>
          <w:color w:val="auto"/>
          <w:highlight w:val="none"/>
        </w:rPr>
      </w:pPr>
      <w:r>
        <w:rPr>
          <w:rFonts w:cs="宋体"/>
          <w:color w:val="auto"/>
          <w:highlight w:val="none"/>
        </w:rPr>
        <w:t>（注：浙商银行金华浦江支行：①开立预收（付）款退款保函，全部免收手续费。</w:t>
      </w:r>
    </w:p>
    <w:p>
      <w:pPr>
        <w:pStyle w:val="48"/>
        <w:spacing w:before="0" w:beforeAutospacing="0" w:after="0" w:afterAutospacing="0" w:line="400" w:lineRule="exact"/>
        <w:rPr>
          <w:rFonts w:cs="宋体"/>
          <w:color w:val="auto"/>
          <w:highlight w:val="none"/>
        </w:rPr>
      </w:pPr>
      <w:r>
        <w:rPr>
          <w:rFonts w:cs="宋体"/>
          <w:color w:val="auto"/>
          <w:highlight w:val="none"/>
        </w:rPr>
        <w:t>②开立履约保函，不低于 1‰，最低 200 元/笔，不足 1 季的按 1 季计收。）</w:t>
      </w:r>
    </w:p>
    <w:p>
      <w:pPr>
        <w:pStyle w:val="48"/>
        <w:spacing w:before="0" w:beforeAutospacing="0" w:after="0" w:afterAutospacing="0" w:line="400" w:lineRule="exact"/>
        <w:jc w:val="both"/>
        <w:rPr>
          <w:rFonts w:cs="宋体"/>
          <w:color w:val="auto"/>
          <w:highlight w:val="none"/>
        </w:rPr>
      </w:pPr>
      <w:r>
        <w:rPr>
          <w:rStyle w:val="56"/>
          <w:rFonts w:cs="宋体"/>
          <w:color w:val="auto"/>
          <w:highlight w:val="none"/>
        </w:rPr>
        <w:t>把、对本次采购提出询问、质疑、投诉，请按以下方式联系</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1、采购单位：山明美术院</w:t>
      </w:r>
    </w:p>
    <w:p>
      <w:pPr>
        <w:pStyle w:val="28"/>
        <w:snapToGrid w:val="0"/>
        <w:spacing w:before="0" w:beforeLines="0" w:after="0" w:afterLines="0" w:line="360" w:lineRule="exact"/>
        <w:ind w:firstLine="480" w:firstLineChars="200"/>
        <w:outlineLvl w:val="0"/>
        <w:rPr>
          <w:rFonts w:hAnsi="宋体" w:cs="宋体"/>
          <w:color w:val="auto"/>
          <w:kern w:val="0"/>
          <w:highlight w:val="none"/>
        </w:rPr>
      </w:pPr>
      <w:r>
        <w:rPr>
          <w:rFonts w:hint="eastAsia" w:hAnsi="宋体" w:cs="宋体"/>
          <w:color w:val="auto"/>
          <w:kern w:val="0"/>
          <w:highlight w:val="none"/>
        </w:rPr>
        <w:t>地址：浦江县仙华路405号（山明美术院）</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传 真： /</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项目联系人（询问）：徐先生</w:t>
      </w:r>
    </w:p>
    <w:p>
      <w:pPr>
        <w:pStyle w:val="28"/>
        <w:snapToGrid w:val="0"/>
        <w:spacing w:before="0" w:beforeLines="0" w:after="0" w:afterLines="0" w:line="360" w:lineRule="exact"/>
        <w:ind w:firstLine="480" w:firstLineChars="200"/>
        <w:outlineLvl w:val="0"/>
        <w:rPr>
          <w:rFonts w:hAnsi="宋体" w:cs="宋体"/>
          <w:color w:val="auto"/>
          <w:kern w:val="0"/>
          <w:highlight w:val="none"/>
        </w:rPr>
      </w:pPr>
      <w:r>
        <w:rPr>
          <w:rFonts w:hint="eastAsia" w:hAnsi="宋体" w:cs="宋体"/>
          <w:color w:val="auto"/>
          <w:kern w:val="0"/>
          <w:highlight w:val="none"/>
        </w:rPr>
        <w:t>项目联系方式（询问）：13484093118</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质疑联系人：张先生</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 xml:space="preserve">质疑联系方式：18257998068 </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2、采购代理机构名称：杭州市建设工程管理集团有限公司</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地址：浦江县新华东路121号二楼</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传真：0579-84119288</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项目联系人（询问）：楼先生</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联系电话：0579-84121722，13867953630</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质疑联系人：洪先生</w:t>
      </w:r>
    </w:p>
    <w:p>
      <w:pPr>
        <w:pStyle w:val="28"/>
        <w:snapToGrid w:val="0"/>
        <w:spacing w:before="0" w:beforeLines="0" w:after="0" w:afterLines="0" w:line="360" w:lineRule="exact"/>
        <w:ind w:firstLine="480" w:firstLineChars="200"/>
        <w:outlineLvl w:val="0"/>
        <w:rPr>
          <w:rFonts w:hAnsi="宋体" w:cs="宋体"/>
          <w:color w:val="auto"/>
          <w:kern w:val="0"/>
          <w:highlight w:val="none"/>
        </w:rPr>
      </w:pPr>
      <w:r>
        <w:rPr>
          <w:rFonts w:hint="eastAsia" w:hAnsi="宋体" w:cs="宋体"/>
          <w:color w:val="auto"/>
          <w:kern w:val="0"/>
          <w:highlight w:val="none"/>
        </w:rPr>
        <w:t>质疑联系方式：18969358637</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3、同级政府采购监督管理部门名称：浦江县政府采购管理办公室</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联系人：金先生</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监督投诉电话：0579-84123011</w:t>
      </w:r>
    </w:p>
    <w:p>
      <w:pPr>
        <w:pStyle w:val="28"/>
        <w:snapToGrid w:val="0"/>
        <w:spacing w:before="0" w:beforeLines="0" w:after="0" w:afterLines="0" w:line="360" w:lineRule="exact"/>
        <w:ind w:firstLine="480" w:firstLineChars="200"/>
        <w:outlineLvl w:val="0"/>
        <w:rPr>
          <w:rFonts w:hint="eastAsia" w:hAnsi="宋体" w:cs="宋体"/>
          <w:color w:val="auto"/>
          <w:kern w:val="0"/>
          <w:highlight w:val="none"/>
        </w:rPr>
      </w:pPr>
      <w:r>
        <w:rPr>
          <w:rFonts w:hint="eastAsia" w:hAnsi="宋体" w:cs="宋体"/>
          <w:color w:val="auto"/>
          <w:kern w:val="0"/>
          <w:highlight w:val="none"/>
        </w:rPr>
        <w:t>传真：0579-84107222</w:t>
      </w:r>
    </w:p>
    <w:p>
      <w:pPr>
        <w:widowControl/>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地址：浦江县人民东路83号</w:t>
      </w:r>
    </w:p>
    <w:p>
      <w:pPr>
        <w:rPr>
          <w:rFonts w:hint="eastAsia" w:ascii="宋体" w:hAnsi="宋体" w:cs="宋体"/>
          <w:color w:val="auto"/>
          <w:kern w:val="0"/>
          <w:sz w:val="24"/>
          <w:highlight w:val="none"/>
        </w:rPr>
      </w:pPr>
    </w:p>
    <w:p>
      <w:pPr>
        <w:widowControl/>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若对项目采购电子交易系统操作有疑问，可登录政采云（https://www.zcygov.cn/），点击右侧咨询小采，获取采小蜜智能服务管家帮助，或拨打政采云服务热线400-881-7190获取热线服务帮助。       </w:t>
      </w:r>
    </w:p>
    <w:p>
      <w:pPr>
        <w:widowControl/>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CA问题联系电话（人工）：汇信CA 400-888-4636；天谷CA 400-087-8198。</w:t>
      </w:r>
    </w:p>
    <w:p>
      <w:pPr>
        <w:pStyle w:val="5"/>
        <w:spacing w:before="100" w:beforeAutospacing="1" w:after="100" w:afterAutospacing="1"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r>
        <w:rPr>
          <w:rFonts w:hint="eastAsia" w:ascii="宋体" w:hAnsi="宋体" w:cs="宋体"/>
          <w:color w:val="auto"/>
          <w:sz w:val="36"/>
          <w:szCs w:val="36"/>
          <w:highlight w:val="none"/>
        </w:rPr>
        <w:t>第二部分  投标人须知</w:t>
      </w:r>
    </w:p>
    <w:p>
      <w:pPr>
        <w:snapToGrid w:val="0"/>
        <w:spacing w:line="360" w:lineRule="exact"/>
        <w:ind w:left="238"/>
        <w:jc w:val="center"/>
        <w:outlineLvl w:val="1"/>
        <w:rPr>
          <w:rFonts w:hint="eastAsia" w:ascii="宋体" w:hAnsi="宋体" w:cs="宋体"/>
          <w:b/>
          <w:color w:val="auto"/>
          <w:sz w:val="24"/>
          <w:highlight w:val="none"/>
        </w:rPr>
      </w:pPr>
      <w:r>
        <w:rPr>
          <w:rFonts w:hint="eastAsia" w:ascii="宋体" w:hAnsi="宋体" w:cs="宋体"/>
          <w:b/>
          <w:color w:val="auto"/>
          <w:sz w:val="24"/>
          <w:highlight w:val="none"/>
        </w:rPr>
        <w:t>前附表</w:t>
      </w:r>
    </w:p>
    <w:tbl>
      <w:tblPr>
        <w:tblStyle w:val="53"/>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680"/>
        <w:gridCol w:w="68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山明美术院扩建工程弱电智能化设备采购项目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2"/>
                <w:szCs w:val="22"/>
                <w:highlight w:val="none"/>
                <w:lang w:bidi="ar"/>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项目编号</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HZJSCGGK2022003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采购方式</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公开招标（电子招投标）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2"/>
                <w:szCs w:val="22"/>
                <w:highlight w:val="none"/>
                <w:lang w:bidi="ar"/>
              </w:rPr>
              <w:t>4</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项目概况</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采购内容：详见“第三部分 采购需求”。</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项目实施地点：采购人指定。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2"/>
                <w:szCs w:val="22"/>
                <w:highlight w:val="none"/>
                <w:lang w:bidi="ar"/>
              </w:rPr>
              <w:t>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采购预算</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pStyle w:val="48"/>
              <w:spacing w:before="0" w:beforeAutospacing="0" w:after="0" w:afterAutospacing="0" w:line="400" w:lineRule="exact"/>
              <w:rPr>
                <w:rFonts w:hint="default" w:cs="宋体"/>
                <w:color w:val="auto"/>
                <w:highlight w:val="none"/>
              </w:rPr>
            </w:pPr>
            <w:r>
              <w:rPr>
                <w:rFonts w:cs="宋体"/>
                <w:color w:val="auto"/>
                <w:highlight w:val="none"/>
              </w:rPr>
              <w:t>采购预算：1560000 元，最高限价：1560000元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采购人</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exact"/>
              <w:outlineLvl w:val="0"/>
              <w:rPr>
                <w:rFonts w:hint="eastAsia" w:hAnsi="宋体" w:cs="宋体"/>
                <w:color w:val="auto"/>
                <w:kern w:val="0"/>
                <w:highlight w:val="none"/>
              </w:rPr>
            </w:pPr>
            <w:r>
              <w:rPr>
                <w:rFonts w:hint="eastAsia" w:hAnsi="宋体" w:cs="宋体"/>
                <w:color w:val="auto"/>
                <w:kern w:val="0"/>
                <w:highlight w:val="none"/>
              </w:rPr>
              <w:t>采购单位：山明美术院</w:t>
            </w:r>
          </w:p>
          <w:p>
            <w:pPr>
              <w:pStyle w:val="28"/>
              <w:snapToGrid w:val="0"/>
              <w:spacing w:before="0" w:beforeLines="0" w:after="0" w:afterLines="0" w:line="360" w:lineRule="exact"/>
              <w:outlineLvl w:val="0"/>
              <w:rPr>
                <w:rFonts w:hAnsi="宋体" w:cs="宋体"/>
                <w:color w:val="auto"/>
                <w:kern w:val="0"/>
                <w:highlight w:val="none"/>
              </w:rPr>
            </w:pPr>
            <w:r>
              <w:rPr>
                <w:rFonts w:hint="eastAsia" w:hAnsi="宋体" w:cs="宋体"/>
                <w:color w:val="auto"/>
                <w:kern w:val="0"/>
                <w:highlight w:val="none"/>
              </w:rPr>
              <w:t>地址：浦江县仙华路405号（山明美术院）</w:t>
            </w:r>
          </w:p>
          <w:p>
            <w:pPr>
              <w:pStyle w:val="28"/>
              <w:snapToGrid w:val="0"/>
              <w:spacing w:before="0" w:beforeLines="0" w:after="0" w:afterLines="0" w:line="360" w:lineRule="exact"/>
              <w:outlineLvl w:val="0"/>
              <w:rPr>
                <w:rFonts w:hint="eastAsia" w:hAnsi="宋体" w:cs="宋体"/>
                <w:color w:val="auto"/>
                <w:kern w:val="0"/>
                <w:highlight w:val="none"/>
              </w:rPr>
            </w:pPr>
            <w:r>
              <w:rPr>
                <w:rFonts w:hint="eastAsia" w:hAnsi="宋体" w:cs="宋体"/>
                <w:color w:val="auto"/>
                <w:kern w:val="0"/>
                <w:highlight w:val="none"/>
              </w:rPr>
              <w:t>传 真： /</w:t>
            </w:r>
          </w:p>
          <w:p>
            <w:pPr>
              <w:pStyle w:val="28"/>
              <w:snapToGrid w:val="0"/>
              <w:spacing w:before="0" w:beforeLines="0" w:after="0" w:afterLines="0" w:line="360" w:lineRule="exact"/>
              <w:outlineLvl w:val="0"/>
              <w:rPr>
                <w:rFonts w:hint="eastAsia" w:hAnsi="宋体" w:cs="宋体"/>
                <w:color w:val="auto"/>
                <w:kern w:val="0"/>
                <w:highlight w:val="none"/>
              </w:rPr>
            </w:pPr>
            <w:r>
              <w:rPr>
                <w:rFonts w:hint="eastAsia" w:hAnsi="宋体" w:cs="宋体"/>
                <w:color w:val="auto"/>
                <w:kern w:val="0"/>
                <w:highlight w:val="none"/>
              </w:rPr>
              <w:t>项目联系人（询问）：</w:t>
            </w:r>
            <w:r>
              <w:rPr>
                <w:rFonts w:hint="eastAsia" w:hAnsi="宋体" w:cs="宋体"/>
                <w:color w:val="auto"/>
                <w:kern w:val="0"/>
                <w:highlight w:val="none"/>
                <w:lang w:eastAsia="zh-CN"/>
              </w:rPr>
              <w:t>徐</w:t>
            </w:r>
            <w:r>
              <w:rPr>
                <w:rFonts w:hint="eastAsia" w:hAnsi="宋体" w:cs="宋体"/>
                <w:color w:val="auto"/>
                <w:kern w:val="0"/>
                <w:highlight w:val="none"/>
              </w:rPr>
              <w:t>先生</w:t>
            </w:r>
          </w:p>
          <w:p>
            <w:pPr>
              <w:pStyle w:val="28"/>
              <w:snapToGrid w:val="0"/>
              <w:spacing w:before="0" w:beforeLines="0" w:after="0" w:afterLines="0" w:line="360" w:lineRule="exact"/>
              <w:outlineLvl w:val="0"/>
              <w:rPr>
                <w:rFonts w:hint="eastAsia" w:hAnsi="宋体" w:cs="宋体"/>
                <w:color w:val="auto"/>
                <w:highlight w:val="none"/>
              </w:rPr>
            </w:pPr>
            <w:r>
              <w:rPr>
                <w:rFonts w:hint="eastAsia" w:hAnsi="宋体" w:cs="宋体"/>
                <w:color w:val="auto"/>
                <w:kern w:val="0"/>
                <w:highlight w:val="none"/>
              </w:rPr>
              <w:t>项目联系方式（询问）：13484093118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招标代理机构</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exact"/>
              <w:outlineLvl w:val="0"/>
              <w:rPr>
                <w:rFonts w:hint="eastAsia" w:hAnsi="宋体" w:cs="宋体"/>
                <w:color w:val="auto"/>
                <w:highlight w:val="none"/>
              </w:rPr>
            </w:pPr>
            <w:r>
              <w:rPr>
                <w:rFonts w:hint="eastAsia" w:hAnsi="宋体" w:cs="宋体"/>
                <w:color w:val="auto"/>
                <w:highlight w:val="none"/>
              </w:rPr>
              <w:t>名称：杭州市建设工程管理集团有限公司</w:t>
            </w:r>
          </w:p>
          <w:p>
            <w:pPr>
              <w:pStyle w:val="28"/>
              <w:snapToGrid w:val="0"/>
              <w:spacing w:before="0" w:beforeLines="0" w:after="0" w:afterLines="0" w:line="360" w:lineRule="exact"/>
              <w:outlineLvl w:val="0"/>
              <w:rPr>
                <w:rFonts w:hint="eastAsia" w:hAnsi="宋体" w:cs="宋体"/>
                <w:color w:val="auto"/>
                <w:highlight w:val="none"/>
              </w:rPr>
            </w:pPr>
            <w:r>
              <w:rPr>
                <w:rFonts w:hint="eastAsia" w:hAnsi="宋体" w:cs="宋体"/>
                <w:color w:val="auto"/>
                <w:highlight w:val="none"/>
              </w:rPr>
              <w:t>地址：浦江县新华东路121号二楼</w:t>
            </w:r>
          </w:p>
          <w:p>
            <w:pPr>
              <w:pStyle w:val="28"/>
              <w:snapToGrid w:val="0"/>
              <w:spacing w:before="0" w:beforeLines="0" w:after="0" w:afterLines="0" w:line="360" w:lineRule="exact"/>
              <w:outlineLvl w:val="0"/>
              <w:rPr>
                <w:rFonts w:hint="eastAsia" w:hAnsi="宋体" w:cs="宋体"/>
                <w:color w:val="auto"/>
                <w:highlight w:val="none"/>
              </w:rPr>
            </w:pPr>
            <w:r>
              <w:rPr>
                <w:rFonts w:hint="eastAsia" w:hAnsi="宋体" w:cs="宋体"/>
                <w:color w:val="auto"/>
                <w:highlight w:val="none"/>
              </w:rPr>
              <w:t>项目联系人（询问）：楼先生</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联系电话：0579-84121722，13867953630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电子交易平台</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浙江政府采购网政府采购云平台（政采云平台）（www.zcygov.cn）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资格条件</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3.本项目的特定资格要求：投标人须具有工业和商用电热食品加工设备生产许可证（当投标人为代理商时，需提供厂家的生产许可证）。</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资格审查资料：投标人近三个月内任一时间点依法缴纳税收和社保费的资料、营业执照、网站截图等</w:t>
            </w:r>
            <w:r>
              <w:rPr>
                <w:rFonts w:hint="eastAsia" w:ascii="宋体" w:hAnsi="宋体" w:cs="宋体"/>
                <w:color w:val="auto"/>
                <w:sz w:val="24"/>
                <w:highlight w:val="none"/>
                <w:lang w:eastAsia="zh-CN"/>
              </w:rPr>
              <w:t>扫描件或扫描件</w:t>
            </w:r>
            <w:r>
              <w:rPr>
                <w:rFonts w:hint="eastAsia" w:ascii="宋体" w:hAnsi="宋体" w:cs="宋体"/>
                <w:color w:val="auto"/>
                <w:sz w:val="24"/>
                <w:highlight w:val="none"/>
              </w:rPr>
              <w:t>。</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注：根据《浙江省财政厅关于简化供应商信息登记和试行供应商诚信管理的通知》浙财函〔2020〕298号文件，供应商提供书面承诺的，可不提供相关财务状况、缴纳税收和社会保障资金等证明材料。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联合体</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□本项目不接受联合体投标。</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如投标人组成联合体中标的，在项目实施中，招标人将直接向联合体牵头人支付项目预付款、项目进度款和项目结算款等。联合体各方请自行协议各方的权利、义务。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招标文件获取</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获取方式：政采云平台（www.zcygov.cn）用户登录-项目采购-获取采购文件-申请完成-下载文件；</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获取状态：政采云平台（www.zcygov.cn）用户登录-项目采购-获取采购文件-已申请-状态。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开标前答疑会或现场考察</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☑不组织。</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□组织，时间为：/年/月/日至/年/月/日（上午/至下午/），联系人：/，联系方式：/。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报价要求</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有关本项目实施所需的货款、标准附件、备品备件、包装、运输、装卸、货到就位、安装、检测、验收、管理费、利润、风险费、保险、税金、技术指导、服务费、专利费、</w:t>
            </w:r>
            <w:r>
              <w:rPr>
                <w:rFonts w:hint="eastAsia" w:ascii="宋体" w:hAnsi="宋体" w:cs="宋体"/>
                <w:color w:val="auto"/>
                <w:kern w:val="0"/>
                <w:sz w:val="24"/>
                <w:highlight w:val="none"/>
                <w:lang w:eastAsia="zh-CN" w:bidi="ar"/>
              </w:rPr>
              <w:t>代理费、总承包服务费、</w:t>
            </w:r>
            <w:r>
              <w:rPr>
                <w:rFonts w:hint="eastAsia" w:ascii="宋体" w:hAnsi="宋体" w:cs="宋体"/>
                <w:color w:val="auto"/>
                <w:kern w:val="0"/>
                <w:sz w:val="24"/>
                <w:highlight w:val="none"/>
                <w:lang w:bidi="ar"/>
              </w:rPr>
              <w:t>其他费用等完成招标内容及要求所提供的服务过程中涉及的一切费用（含税费）均计入报价。《开标一览表》（报价表）是报价的唯一载体。投标文件中价格全部采用人民币报价。</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招标文件未列明，而投标人认为必需的费用也需列入最后报价。</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投标报价出现下列情形的，投标无效：</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▲投标文件出现不是唯一的、有选择性投标报价的；</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▲投标报价超过招标文件中规定的预算金额或者最高限价的；</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▲报价明显低于其他通过符合性审查投标人的报价，有可能影响产品质量或者不能诚信履约的，未能按要求提供书面说明或者提交相关证明材料证明其报价合理性的；</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▲投标文件有采购人不能接受的附加条件的；</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▲《报价一览表》填写不完整或字迹不能辨认或有漏项的；</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▲投标人对根据修正原则修正后的报价不确认的；</w:t>
            </w:r>
          </w:p>
          <w:p>
            <w:pPr>
              <w:widowControl/>
              <w:spacing w:line="400" w:lineRule="exact"/>
              <w:jc w:val="left"/>
              <w:rPr>
                <w:rFonts w:hint="eastAsia"/>
                <w:color w:val="auto"/>
                <w:highlight w:val="none"/>
              </w:rPr>
            </w:pPr>
            <w:r>
              <w:rPr>
                <w:rFonts w:hint="eastAsia" w:ascii="宋体" w:hAnsi="宋体" w:cs="宋体"/>
                <w:color w:val="auto"/>
                <w:kern w:val="0"/>
                <w:sz w:val="24"/>
                <w:highlight w:val="none"/>
                <w:lang w:bidi="ar"/>
              </w:rPr>
              <w:t>▲不符合法律、法规和本招标文件规定的其他实质性要求的。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2"/>
                <w:szCs w:val="22"/>
                <w:highlight w:val="none"/>
                <w:lang w:bidi="ar"/>
              </w:rPr>
              <w:t>14</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交货时间</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sz w:val="24"/>
                <w:highlight w:val="none"/>
                <w:lang w:val="en-GB"/>
              </w:rPr>
              <w:t>配套土建工程根据项目进度交货，安装实施，在具备安装条件后25天内完成安装调试，并验收通过。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2"/>
                <w:szCs w:val="22"/>
                <w:highlight w:val="none"/>
                <w:lang w:bidi="ar"/>
              </w:rPr>
              <w:t>15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付款方式</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签订合同后7个工作日内，采购人向中标人支付合同总价的</w:t>
            </w:r>
            <w:r>
              <w:rPr>
                <w:rFonts w:hint="eastAsia" w:ascii="宋体" w:hAnsi="宋体" w:cs="宋体"/>
                <w:color w:val="auto"/>
                <w:kern w:val="0"/>
                <w:sz w:val="24"/>
                <w:highlight w:val="none"/>
                <w:lang w:eastAsia="zh-CN" w:bidi="ar"/>
              </w:rPr>
              <w:t>40%</w:t>
            </w:r>
            <w:r>
              <w:rPr>
                <w:rFonts w:hint="eastAsia" w:ascii="宋体" w:hAnsi="宋体" w:cs="宋体"/>
                <w:color w:val="auto"/>
                <w:kern w:val="0"/>
                <w:sz w:val="24"/>
                <w:highlight w:val="none"/>
                <w:lang w:bidi="ar"/>
              </w:rPr>
              <w:t>作为预付款（中标人需出具同金额预付款保函。如中标人明确表示无需预付款或者主动要求降低预付款比例的，采购人可不支付或减少预付款支付比例），项目结束且经验收合格后7个工作日内付清余款。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2"/>
                <w:szCs w:val="22"/>
                <w:highlight w:val="none"/>
                <w:lang w:bidi="ar"/>
              </w:rPr>
              <w:t>16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投标文件效期</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自投标截止日起 120 天内有效。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2"/>
                <w:szCs w:val="22"/>
                <w:highlight w:val="none"/>
                <w:lang w:bidi="ar"/>
              </w:rPr>
              <w:t>17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履约保证金</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□不要求。</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☑要求。履约保证金的数额为不超过政府采购合同金额的1%。</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履约保证金缴纳的形式：银行转账或电汇或银行保函或保险公司保证保险形式</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1履约保证金形式为现金（账户另行通知），履约保证金待验收通过后视履约情况到采购人处办理履约保证金的退还手续。</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3履约保证金退还时间：项目验收合格并经采购人认可后30日内无息退还。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2"/>
                <w:szCs w:val="22"/>
                <w:highlight w:val="none"/>
                <w:lang w:bidi="ar"/>
              </w:rPr>
              <w:t>18</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质量保证期（或保修期）</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质量保证期（或保修期）：验收合格后至少3年；</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卖方应保证合同项下所发产品完全是崭新的未曾使用过的且生产日期为近一年内。在质量保证期内，卖方应负责修理和替换不合格的部件并承担一切费用。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分包</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 同意将非主体、非关键性的工作分包，但事前须得到采购人同意。</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 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w:t>
            </w:r>
          </w:p>
        </w:tc>
        <w:tc>
          <w:tcPr>
            <w:tcW w:w="1680"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投标文件的上传和递交</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1.电子加密投标文件：投标文件制作完成并生成加密投标文件，在投标截止时间前，投标人需将加密的投标文件上传至在政府采购云平台 http://login.zcygov.cn/login 上自行加密上传电子投标文件，逾期上传或未按要求上传的投标文件将予以拒收。</w:t>
            </w:r>
            <w:r>
              <w:rPr>
                <w:rFonts w:hint="eastAsia" w:ascii="宋体" w:hAnsi="宋体" w:cs="宋体"/>
                <w:b/>
                <w:color w:val="auto"/>
                <w:kern w:val="0"/>
                <w:sz w:val="24"/>
                <w:highlight w:val="none"/>
                <w:lang w:bidi="ar"/>
              </w:rPr>
              <w:t>a.投标人在投标截止时间前未能成功上传或未按要求上传电子加密投标文件的，作投标无效处理。</w:t>
            </w:r>
            <w:r>
              <w:rPr>
                <w:rFonts w:hint="eastAsia" w:ascii="宋体" w:hAnsi="宋体" w:cs="宋体"/>
                <w:color w:val="auto"/>
                <w:kern w:val="0"/>
                <w:sz w:val="24"/>
                <w:highlight w:val="none"/>
                <w:lang w:bidi="ar"/>
              </w:rPr>
              <w:t>b.投标人成功上传电子加密投标文件后，可自行打印投标文件接收回执。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168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lang w:bidi="ar"/>
              </w:rPr>
            </w:pP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备份投标文件：投标人确保在投标截止时间前，将备份投标文件通过快递形式或现场送达形式送达采购代理机构处，以便投标文件解密异常时应急使用（邮寄/送达地址：浦江县新华东路121号二楼（杭州市建设工程管理集团有限公司浦江分公司招标代理部），洪先生收，电话号码：18969358637，邮编322200）。</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a.备份投标文件递交要求：投标人须将备份投标文件以U盘形式放在密封袋中，密封后并在密封袋上注明项目编号、投标项目名称（含标项）、投标人名称、备份电子投标文件”等，并注明“于</w:t>
            </w:r>
            <w:r>
              <w:rPr>
                <w:rFonts w:hint="eastAsia" w:ascii="宋体" w:hAnsi="宋体" w:cs="宋体"/>
                <w:color w:val="auto"/>
                <w:sz w:val="24"/>
                <w:highlight w:val="none"/>
              </w:rPr>
              <w:t>2022年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日09:30</w:t>
            </w:r>
            <w:r>
              <w:rPr>
                <w:rFonts w:hint="eastAsia" w:ascii="宋体" w:hAnsi="宋体" w:cs="宋体"/>
                <w:color w:val="auto"/>
                <w:kern w:val="0"/>
                <w:sz w:val="24"/>
                <w:highlight w:val="none"/>
                <w:lang w:bidi="ar"/>
              </w:rPr>
              <w:t>前不准启封”的字样并加盖公章。b.通过“政府采购云平台”成功上传递交的“电子加密投标文件”已按时解密的，“备份投标文件”自动失效。</w:t>
            </w:r>
            <w:r>
              <w:rPr>
                <w:rFonts w:hint="eastAsia" w:ascii="宋体" w:hAnsi="宋体" w:cs="宋体"/>
                <w:b/>
                <w:color w:val="auto"/>
                <w:kern w:val="0"/>
                <w:sz w:val="24"/>
                <w:highlight w:val="none"/>
                <w:lang w:bidi="ar"/>
              </w:rPr>
              <w:t>注：未密封包装或者逾期送达的“备份投标文件”将不予接收，未按规定标记的备份投标文件有被误投或提前拆封等风险，因未按规定密封或标记所造成的一切后果由投标人承担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投标文件开启</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时间：</w:t>
            </w:r>
            <w:r>
              <w:rPr>
                <w:rFonts w:hint="eastAsia" w:ascii="宋体" w:hAnsi="宋体" w:cs="宋体"/>
                <w:color w:val="auto"/>
                <w:sz w:val="24"/>
                <w:highlight w:val="none"/>
              </w:rPr>
              <w:t>2022年</w:t>
            </w:r>
            <w:r>
              <w:rPr>
                <w:rFonts w:hint="eastAsia" w:ascii="宋体" w:hAnsi="宋体" w:cs="宋体"/>
                <w:color w:val="auto"/>
                <w:sz w:val="24"/>
                <w:highlight w:val="none"/>
                <w:lang w:eastAsia="zh-CN"/>
              </w:rPr>
              <w:t>09月07日9:30</w:t>
            </w:r>
            <w:r>
              <w:rPr>
                <w:rFonts w:hint="eastAsia" w:ascii="宋体" w:hAnsi="宋体" w:cs="宋体"/>
                <w:color w:val="auto"/>
                <w:kern w:val="0"/>
                <w:sz w:val="24"/>
                <w:highlight w:val="none"/>
                <w:lang w:bidi="ar"/>
              </w:rPr>
              <w:t>（北京时间）。</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地点：政采云平台（www.zcygov.cn）。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解密时间</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投标文件解密时间为首次投标文件开启后30分钟。（以电子交易平台设定时间为准）登录“政采云-项目采购-开标评标”功能进行解密投标文件（为防止解密失败，建议采用制作投标文件的电脑进行解密）。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解密失败的异常处理</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投标文件未按时解密且未提供备份投标文件的，视为投标文件撤回，后果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活动现场</w:t>
            </w:r>
          </w:p>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确认声明</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标人名单公布后 30 分钟内，投标人通过邮件形式发送经授权代表签署的《政府采购活动现场确认声明书》（格式见附件），扫描件发至代理机构经办人邮箱：438567633@qq.com，联系人 ：洪先生，电话：18969358637。未按规定发送的，视为无异议，后果由投标人承担。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sz w:val="24"/>
                <w:highlight w:val="none"/>
              </w:rPr>
            </w:pPr>
            <w:r>
              <w:rPr>
                <w:rFonts w:hint="eastAsia" w:ascii="宋体" w:hAnsi="宋体" w:cs="宋体"/>
                <w:color w:val="auto"/>
                <w:sz w:val="24"/>
                <w:highlight w:val="none"/>
              </w:rPr>
              <w:t>采购标的对应的中小企业划</w:t>
            </w:r>
          </w:p>
          <w:p>
            <w:pPr>
              <w:widowControl/>
              <w:spacing w:line="400" w:lineRule="exact"/>
              <w:rPr>
                <w:rFonts w:hint="eastAsia" w:ascii="宋体" w:hAnsi="宋体" w:cs="宋体"/>
                <w:color w:val="auto"/>
                <w:sz w:val="24"/>
                <w:highlight w:val="none"/>
              </w:rPr>
            </w:pPr>
            <w:r>
              <w:rPr>
                <w:rFonts w:hint="eastAsia" w:ascii="宋体" w:hAnsi="宋体" w:cs="宋体"/>
                <w:color w:val="auto"/>
                <w:sz w:val="24"/>
                <w:highlight w:val="none"/>
              </w:rPr>
              <w:t>分标准所属行业</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1.本项目</w:t>
            </w:r>
            <w:r>
              <w:rPr>
                <w:rFonts w:hint="eastAsia" w:ascii="宋体" w:hAnsi="宋体" w:cs="宋体"/>
                <w:b/>
                <w:bCs/>
                <w:color w:val="auto"/>
                <w:sz w:val="24"/>
                <w:highlight w:val="none"/>
              </w:rPr>
              <w:t>不属于</w:t>
            </w:r>
            <w:r>
              <w:rPr>
                <w:rFonts w:hint="eastAsia" w:ascii="宋体" w:hAnsi="宋体" w:cs="宋体"/>
                <w:color w:val="auto"/>
                <w:sz w:val="24"/>
                <w:highlight w:val="none"/>
              </w:rPr>
              <w:t>预留份额专门面向中小企业采购的项目。根据《关于印发中小企业划型标准规定的通知》（工信部联企业〔2011〕300 号）规定，本项目采购标的对应的中小企业划分标准所属行业为</w:t>
            </w:r>
            <w:r>
              <w:rPr>
                <w:rFonts w:hint="eastAsia" w:ascii="宋体" w:hAnsi="宋体" w:cs="宋体"/>
                <w:color w:val="auto"/>
                <w:sz w:val="24"/>
                <w:highlight w:val="none"/>
                <w:u w:val="single"/>
              </w:rPr>
              <w:t>（二）工业</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中小企业</w:t>
            </w:r>
          </w:p>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扶持政策</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□本项目专门面向中小企业，不再进行价格政策扶持。 </w:t>
            </w:r>
          </w:p>
          <w:p>
            <w:pPr>
              <w:widowControl/>
              <w:spacing w:line="400" w:lineRule="exact"/>
              <w:jc w:val="left"/>
              <w:rPr>
                <w:rFonts w:hint="eastAsia"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本项目非专门面向中小企业，价格扣除：</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1.投标人按照《关于印发中小企业划型标准规定的通知》（工信部联企业〔2011〕300号）的所属行业规定为小型、微型企业【注：按规定提供《中小企业声明函》】。</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根据《政府采购促进中小企业发展管理办法》（财库[2020]46号文件）的规定，对小型、微型企业提供本企业制造的货物、承担的工程或者服务，或者小型、微型、中型企业提供其他小微企业制造的货物的，其价格给予20%扣除，用扣除后的价格参与评审；并在投标文件中提供《中小企业声明函》。</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格给予20%扣除，用扣除后的价格参与评审。属于享受政府采购支持政策的残疾人福利性单位，应满足财库[2017]141号文件第一条的规定，并在投标文件中提供《残疾人福利性单位声明函》；</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20%扣除，用扣除后的价格参与评审，并在投标文件中提供由省级以上监狱管理局、戒毒管理局（含新疆生产建设兵团）出具的属于监狱企业的说明文件。</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注：①残疾人福利性单位、监狱企业视同小型、微型企业，享受预留份额、评审中价格扣除等促进中小企业发展的政府采购政策，享受同样的价格扣除。</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②残疾人福利性单位、监狱企业属于小型、微型企业的，不重复享受价格扣除优惠。</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6%扣除，用扣除后的价格参与评审。组成联合体或者接受分包的小微企业与联合体内其他企业、分包企业之间存在直接控股、管理关系的，不享受价格扣除优惠政策。</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④联合体各方均为小型、微型企业的，联合体视同为小型、微型企业。</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⑤未提供以上材料的，均不给予价格扣除。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信用记录</w:t>
            </w:r>
          </w:p>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查询</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据财库[2016]125 号文件执行</w:t>
            </w:r>
          </w:p>
          <w:p>
            <w:pPr>
              <w:snapToGrid w:val="0"/>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查询渠道：</w:t>
            </w:r>
            <w:r>
              <w:rPr>
                <w:rFonts w:hint="eastAsia" w:ascii="宋体" w:hAnsi="宋体" w:cs="宋体"/>
                <w:color w:val="auto"/>
                <w:sz w:val="24"/>
                <w:highlight w:val="none"/>
              </w:rPr>
              <w:t>信用中国（www.creditchina.gov.cn）、中国政府采购网（www.ccgp.gov.cn）；截止时点：投标截止时间前 3 年内；</w:t>
            </w:r>
          </w:p>
          <w:p>
            <w:pPr>
              <w:snapToGrid w:val="0"/>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查询记录和证据的留存：</w:t>
            </w:r>
            <w:r>
              <w:rPr>
                <w:rFonts w:hint="eastAsia" w:ascii="宋体" w:hAnsi="宋体" w:cs="宋体"/>
                <w:color w:val="auto"/>
                <w:sz w:val="24"/>
                <w:highlight w:val="none"/>
              </w:rPr>
              <w:t>网站查询，打印留存。</w:t>
            </w:r>
          </w:p>
          <w:p>
            <w:pPr>
              <w:snapToGrid w:val="0"/>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使用规则：</w:t>
            </w:r>
            <w:r>
              <w:rPr>
                <w:rFonts w:hint="eastAsia" w:ascii="宋体" w:hAnsi="宋体" w:cs="宋体"/>
                <w:color w:val="auto"/>
                <w:sz w:val="24"/>
                <w:highlight w:val="none"/>
              </w:rPr>
              <w:t>被列入失信被执行人、重大税收违法案件当事人名单、政府采购严重违法失信行为记录名单及其他不符合《中华人民共和国政府采购法》第二十二条规定条件的，其投标将被拒绝。</w:t>
            </w:r>
          </w:p>
          <w:p>
            <w:pPr>
              <w:snapToGrid w:val="0"/>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联合体信用信息查询：</w:t>
            </w:r>
            <w:r>
              <w:rPr>
                <w:rFonts w:hint="eastAsia" w:ascii="宋体" w:hAnsi="宋体" w:cs="宋体"/>
                <w:color w:val="auto"/>
                <w:sz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28</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质疑</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sz w:val="24"/>
                <w:highlight w:val="none"/>
              </w:rPr>
            </w:pPr>
            <w:r>
              <w:rPr>
                <w:rFonts w:hint="eastAsia" w:ascii="宋体" w:hAnsi="宋体" w:cs="宋体"/>
                <w:color w:val="auto"/>
                <w:sz w:val="24"/>
                <w:highlight w:val="none"/>
              </w:rPr>
              <w:t>质疑：投标人在法定质疑期内应当一次性提出针对同一采购程序环节的质疑。</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接收质疑函的方式：①纸质形式，以快递方式送达。联系人：洪先生，联系电话：18969358637，地址：浦江县新华东路121号二楼。同时请将质疑函的 word 格式文件发送至邮箱：438567633@qq.com。②在线质疑菜单路径：应用中心-项目采购-询问质疑投诉-质疑列表，具体操作详见“ 政 府 采 购 项 目 电 子 交 易 管 理 操 作 指 南 - 供 应 商 ”（ https://service.zcygov.cn/#/knowledges/CW1EtGwBFdiHxlNd6I3m/6IMVAG0BFdiHxlNdQ8Na）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29</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节能产品、</w:t>
            </w:r>
          </w:p>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环境标志</w:t>
            </w:r>
          </w:p>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产品政策</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□本项目为服务项目，不适用节能环保政策。</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☑根据《关于调整优化节能产品、环境标志产品政府采购执行机制的通知》（财库〔2019〕9 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pPr>
              <w:widowControl/>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提供中国政府采购网（www.ccgp.gov.cn）网页查询打印材料等说明材料。</w:t>
            </w:r>
          </w:p>
          <w:p>
            <w:pPr>
              <w:widowControl/>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注：属于强制采购品目清单中的产品如未获得证书，其投标将被拒绝。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2"/>
                <w:szCs w:val="22"/>
                <w:highlight w:val="none"/>
                <w:lang w:bidi="ar"/>
              </w:rPr>
              <w:t>30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kern w:val="0"/>
                <w:sz w:val="24"/>
                <w:highlight w:val="none"/>
              </w:rPr>
              <w:t>代理服务费用</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本项目招标代理费</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eastAsia="zh-CN"/>
              </w:rPr>
              <w:t>计算出的金额</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0%</w:t>
            </w:r>
            <w:r>
              <w:rPr>
                <w:rFonts w:hint="eastAsia" w:ascii="宋体" w:hAnsi="宋体" w:eastAsia="宋体" w:cs="宋体"/>
                <w:color w:val="auto"/>
                <w:kern w:val="0"/>
                <w:sz w:val="24"/>
                <w:highlight w:val="none"/>
                <w:lang w:eastAsia="zh-CN"/>
              </w:rPr>
              <w:t>收</w:t>
            </w:r>
            <w:r>
              <w:rPr>
                <w:rFonts w:hint="eastAsia" w:ascii="宋体" w:hAnsi="宋体" w:eastAsia="宋体" w:cs="宋体"/>
                <w:color w:val="auto"/>
                <w:kern w:val="0"/>
                <w:sz w:val="24"/>
                <w:highlight w:val="none"/>
              </w:rPr>
              <w:t>取</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rPr>
              <w:t>由中标人在合同签订前支付给招标代理机构，请各投标人将上述费用自行考虑进投标报价中。</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69" w:type="dxa"/>
                  <w:tcBorders>
                    <w:tl2br w:val="single" w:color="auto" w:sz="4" w:space="0"/>
                  </w:tcBorders>
                  <w:noWrap w:val="0"/>
                  <w:vAlign w:val="center"/>
                </w:tcPr>
                <w:p>
                  <w:pPr>
                    <w:widowControl/>
                    <w:tabs>
                      <w:tab w:val="center" w:pos="4153"/>
                      <w:tab w:val="right" w:pos="8306"/>
                    </w:tabs>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 xml:space="preserve">        费率</w:t>
                  </w:r>
                </w:p>
                <w:p>
                  <w:pPr>
                    <w:widowControl/>
                    <w:tabs>
                      <w:tab w:val="center" w:pos="4153"/>
                      <w:tab w:val="right" w:pos="8306"/>
                    </w:tabs>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中标金额</w:t>
                  </w:r>
                </w:p>
              </w:tc>
              <w:tc>
                <w:tcPr>
                  <w:tcW w:w="2650" w:type="dxa"/>
                  <w:noWrap w:val="0"/>
                  <w:vAlign w:val="center"/>
                </w:tcPr>
                <w:p>
                  <w:pPr>
                    <w:widowControl/>
                    <w:tabs>
                      <w:tab w:val="center" w:pos="4153"/>
                      <w:tab w:val="right" w:pos="8306"/>
                    </w:tabs>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369" w:type="dxa"/>
                  <w:noWrap w:val="0"/>
                  <w:vAlign w:val="center"/>
                </w:tcPr>
                <w:p>
                  <w:pPr>
                    <w:widowControl/>
                    <w:tabs>
                      <w:tab w:val="center" w:pos="4153"/>
                      <w:tab w:val="right" w:pos="8306"/>
                    </w:tabs>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100万以下</w:t>
                  </w:r>
                </w:p>
              </w:tc>
              <w:tc>
                <w:tcPr>
                  <w:tcW w:w="2650" w:type="dxa"/>
                  <w:noWrap w:val="0"/>
                  <w:vAlign w:val="center"/>
                </w:tcPr>
                <w:p>
                  <w:pPr>
                    <w:widowControl/>
                    <w:tabs>
                      <w:tab w:val="center" w:pos="4153"/>
                      <w:tab w:val="right" w:pos="8306"/>
                    </w:tabs>
                    <w:jc w:val="center"/>
                    <w:rPr>
                      <w:rFonts w:hint="eastAsia" w:ascii="宋体" w:hAnsi="宋体" w:cs="宋体"/>
                      <w:snapToGrid w:val="0"/>
                      <w:color w:val="auto"/>
                      <w:szCs w:val="21"/>
                      <w:highlight w:val="none"/>
                    </w:rPr>
                  </w:pPr>
                  <w:r>
                    <w:rPr>
                      <w:rFonts w:hint="eastAsia" w:ascii="宋体" w:hAnsi="宋体" w:cs="宋体"/>
                      <w:snapToGrid w:val="0"/>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369" w:type="dxa"/>
                  <w:noWrap w:val="0"/>
                  <w:vAlign w:val="center"/>
                </w:tcPr>
                <w:p>
                  <w:pPr>
                    <w:widowControl/>
                    <w:tabs>
                      <w:tab w:val="center" w:pos="4153"/>
                      <w:tab w:val="right" w:pos="8306"/>
                    </w:tabs>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100～500万</w:t>
                  </w:r>
                </w:p>
              </w:tc>
              <w:tc>
                <w:tcPr>
                  <w:tcW w:w="2650" w:type="dxa"/>
                  <w:noWrap w:val="0"/>
                  <w:vAlign w:val="center"/>
                </w:tcPr>
                <w:p>
                  <w:pPr>
                    <w:widowControl/>
                    <w:tabs>
                      <w:tab w:val="center" w:pos="4153"/>
                      <w:tab w:val="right" w:pos="8306"/>
                    </w:tabs>
                    <w:jc w:val="center"/>
                    <w:rPr>
                      <w:rFonts w:hint="eastAsia" w:ascii="宋体" w:hAnsi="宋体" w:cs="宋体"/>
                      <w:snapToGrid w:val="0"/>
                      <w:color w:val="auto"/>
                      <w:szCs w:val="21"/>
                      <w:highlight w:val="none"/>
                    </w:rPr>
                  </w:pPr>
                  <w:r>
                    <w:rPr>
                      <w:rFonts w:hint="eastAsia" w:ascii="宋体" w:hAnsi="宋体" w:cs="宋体"/>
                      <w:snapToGrid w:val="0"/>
                      <w:color w:val="auto"/>
                      <w:kern w:val="0"/>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369" w:type="dxa"/>
                  <w:noWrap w:val="0"/>
                  <w:vAlign w:val="center"/>
                </w:tcPr>
                <w:p>
                  <w:pPr>
                    <w:widowControl/>
                    <w:tabs>
                      <w:tab w:val="center" w:pos="4153"/>
                      <w:tab w:val="right" w:pos="8306"/>
                    </w:tabs>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500～1000万</w:t>
                  </w:r>
                </w:p>
              </w:tc>
              <w:tc>
                <w:tcPr>
                  <w:tcW w:w="2650" w:type="dxa"/>
                  <w:noWrap w:val="0"/>
                  <w:vAlign w:val="center"/>
                </w:tcPr>
                <w:p>
                  <w:pPr>
                    <w:widowControl/>
                    <w:tabs>
                      <w:tab w:val="center" w:pos="4153"/>
                      <w:tab w:val="right" w:pos="8306"/>
                    </w:tabs>
                    <w:jc w:val="center"/>
                    <w:rPr>
                      <w:rFonts w:hint="eastAsia" w:ascii="宋体" w:hAnsi="宋体" w:cs="宋体"/>
                      <w:snapToGrid w:val="0"/>
                      <w:color w:val="auto"/>
                      <w:szCs w:val="21"/>
                      <w:highlight w:val="none"/>
                    </w:rPr>
                  </w:pPr>
                  <w:r>
                    <w:rPr>
                      <w:rFonts w:hint="eastAsia" w:ascii="宋体" w:hAnsi="宋体" w:cs="宋体"/>
                      <w:snapToGrid w:val="0"/>
                      <w:color w:val="auto"/>
                      <w:kern w:val="0"/>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69" w:type="dxa"/>
                  <w:noWrap w:val="0"/>
                  <w:vAlign w:val="center"/>
                </w:tcPr>
                <w:p>
                  <w:pPr>
                    <w:widowControl/>
                    <w:tabs>
                      <w:tab w:val="center" w:pos="4153"/>
                      <w:tab w:val="right" w:pos="8306"/>
                    </w:tabs>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1000～5000万</w:t>
                  </w:r>
                </w:p>
              </w:tc>
              <w:tc>
                <w:tcPr>
                  <w:tcW w:w="2650" w:type="dxa"/>
                  <w:noWrap w:val="0"/>
                  <w:vAlign w:val="center"/>
                </w:tcPr>
                <w:p>
                  <w:pPr>
                    <w:widowControl/>
                    <w:tabs>
                      <w:tab w:val="center" w:pos="4153"/>
                      <w:tab w:val="right" w:pos="8306"/>
                    </w:tabs>
                    <w:jc w:val="center"/>
                    <w:rPr>
                      <w:rFonts w:hint="eastAsia" w:ascii="宋体" w:hAnsi="宋体" w:cs="宋体"/>
                      <w:snapToGrid w:val="0"/>
                      <w:color w:val="auto"/>
                      <w:szCs w:val="21"/>
                      <w:highlight w:val="none"/>
                    </w:rPr>
                  </w:pPr>
                  <w:r>
                    <w:rPr>
                      <w:rFonts w:hint="eastAsia" w:ascii="宋体" w:hAnsi="宋体" w:cs="宋体"/>
                      <w:snapToGrid w:val="0"/>
                      <w:color w:val="auto"/>
                      <w:kern w:val="0"/>
                      <w:szCs w:val="21"/>
                      <w:highlight w:val="none"/>
                    </w:rPr>
                    <w:t>0.5％</w:t>
                  </w:r>
                </w:p>
              </w:tc>
            </w:tr>
          </w:tbl>
          <w:p>
            <w:pPr>
              <w:snapToGrid w:val="0"/>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投标人以银行电汇、转账等形式交至：</w:t>
            </w:r>
          </w:p>
          <w:p>
            <w:pPr>
              <w:snapToGrid w:val="0"/>
              <w:ind w:firstLine="540" w:firstLineChars="225"/>
              <w:rPr>
                <w:rFonts w:hint="eastAsia" w:ascii="宋体" w:hAnsi="宋体" w:cs="宋体"/>
                <w:color w:val="auto"/>
                <w:kern w:val="0"/>
                <w:sz w:val="24"/>
                <w:highlight w:val="none"/>
              </w:rPr>
            </w:pPr>
            <w:r>
              <w:rPr>
                <w:rFonts w:hint="eastAsia" w:ascii="宋体" w:hAnsi="宋体" w:cs="宋体"/>
                <w:color w:val="auto"/>
                <w:kern w:val="0"/>
                <w:sz w:val="24"/>
                <w:highlight w:val="none"/>
              </w:rPr>
              <w:t>开户银行：中国银行浦江县支行人民路支行</w:t>
            </w:r>
          </w:p>
          <w:p>
            <w:pPr>
              <w:snapToGrid w:val="0"/>
              <w:ind w:firstLine="540" w:firstLineChars="225"/>
              <w:rPr>
                <w:rFonts w:hint="eastAsia" w:ascii="宋体" w:hAnsi="宋体" w:cs="宋体"/>
                <w:color w:val="auto"/>
                <w:kern w:val="0"/>
                <w:sz w:val="24"/>
                <w:highlight w:val="none"/>
              </w:rPr>
            </w:pPr>
            <w:r>
              <w:rPr>
                <w:rFonts w:hint="eastAsia" w:ascii="宋体" w:hAnsi="宋体" w:cs="宋体"/>
                <w:color w:val="auto"/>
                <w:kern w:val="0"/>
                <w:sz w:val="24"/>
                <w:highlight w:val="none"/>
              </w:rPr>
              <w:t>开户名称：杭州市建设工程管理集团有限公司</w:t>
            </w:r>
          </w:p>
          <w:p>
            <w:pPr>
              <w:snapToGrid w:val="0"/>
              <w:spacing w:line="360" w:lineRule="exact"/>
              <w:ind w:firstLine="540" w:firstLineChars="225"/>
              <w:rPr>
                <w:rFonts w:hint="eastAsia" w:ascii="宋体" w:hAnsi="宋体" w:cs="宋体"/>
                <w:color w:val="auto"/>
                <w:sz w:val="24"/>
                <w:highlight w:val="none"/>
              </w:rPr>
            </w:pPr>
            <w:r>
              <w:rPr>
                <w:rFonts w:hint="eastAsia" w:ascii="宋体" w:hAnsi="宋体" w:cs="宋体"/>
                <w:color w:val="auto"/>
                <w:kern w:val="0"/>
                <w:sz w:val="24"/>
                <w:highlight w:val="none"/>
              </w:rPr>
              <w:t>帐    号：375365457605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是否允许采购进口产品</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r>
              <w:rPr>
                <w:rFonts w:hint="eastAsia" w:ascii="宋体" w:hAnsi="宋体" w:cs="宋体"/>
                <w:color w:val="auto"/>
                <w:sz w:val="24"/>
                <w:highlight w:val="none"/>
              </w:rPr>
              <w:t>本项目不允许采购进口产品。</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项目属性与核心产品</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b/>
                <w:bCs/>
                <w:color w:val="auto"/>
                <w:sz w:val="22"/>
                <w:szCs w:val="22"/>
                <w:highlight w:val="none"/>
              </w:rPr>
              <w:t>☑A 货物类，核心产品为</w:t>
            </w:r>
            <w:r>
              <w:rPr>
                <w:rFonts w:hint="eastAsia" w:ascii="宋体" w:hAnsi="宋体" w:cs="宋体"/>
                <w:color w:val="auto"/>
                <w:sz w:val="24"/>
                <w:highlight w:val="none"/>
              </w:rPr>
              <w:t>：</w:t>
            </w:r>
            <w:r>
              <w:rPr>
                <w:rFonts w:hint="eastAsia" w:ascii="宋体" w:hAnsi="宋体" w:cs="宋体"/>
                <w:b/>
                <w:color w:val="auto"/>
                <w:kern w:val="0"/>
                <w:sz w:val="24"/>
                <w:highlight w:val="none"/>
                <w:lang w:bidi="ar"/>
              </w:rPr>
              <w:t>室内LED全彩显示屏、户外全彩LED广告屏、智能交互平板</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☐B 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现场演示</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rPr>
              <w:t>不要求；</w:t>
            </w:r>
          </w:p>
          <w:p>
            <w:pPr>
              <w:widowControl/>
              <w:spacing w:line="400" w:lineRule="exact"/>
              <w:jc w:val="left"/>
              <w:rPr>
                <w:rFonts w:hint="default" w:ascii="宋体" w:hAnsi="宋体" w:cs="宋体"/>
                <w:color w:val="auto"/>
                <w:sz w:val="24"/>
                <w:highlight w:val="none"/>
                <w:lang w:val="en-US" w:eastAsia="zh-CN"/>
              </w:rPr>
            </w:pPr>
            <w:r>
              <w:rPr>
                <w:rFonts w:hint="eastAsia" w:ascii="宋体" w:hAnsi="宋体" w:cs="宋体"/>
                <w:color w:val="auto"/>
                <w:kern w:val="0"/>
                <w:sz w:val="24"/>
                <w:highlight w:val="none"/>
                <w:lang w:bidi="ar"/>
              </w:rPr>
              <w:t>☑</w:t>
            </w:r>
            <w:r>
              <w:rPr>
                <w:rFonts w:hint="eastAsia" w:ascii="宋体" w:hAnsi="宋体" w:cs="宋体"/>
                <w:b/>
                <w:bCs/>
                <w:color w:val="auto"/>
                <w:sz w:val="24"/>
                <w:highlight w:val="none"/>
              </w:rPr>
              <w:t>本项目要求进行现场演示，具体要求：</w:t>
            </w:r>
            <w:r>
              <w:rPr>
                <w:rFonts w:hint="eastAsia" w:ascii="宋体" w:hAnsi="宋体" w:cs="宋体"/>
                <w:b/>
                <w:bCs/>
                <w:color w:val="auto"/>
                <w:sz w:val="24"/>
                <w:highlight w:val="none"/>
                <w:lang w:eastAsia="zh-CN"/>
              </w:rPr>
              <w:t>演示内容详见第四部分</w:t>
            </w:r>
            <w:r>
              <w:rPr>
                <w:rFonts w:hint="eastAsia" w:ascii="宋体" w:hAnsi="宋体" w:cs="宋体"/>
                <w:b/>
                <w:bCs/>
                <w:color w:val="auto"/>
                <w:sz w:val="24"/>
                <w:highlight w:val="none"/>
                <w:lang w:val="en-US" w:eastAsia="zh-CN"/>
              </w:rPr>
              <w:t>评标办法及评分标准。</w:t>
            </w:r>
          </w:p>
          <w:p>
            <w:pPr>
              <w:pStyle w:val="162"/>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注：投标人提供视频形式演示。演示时间单个产品不得超过8分钟，合计不得超过30分钟，未提供演示视频光盘或U盘的本项不得分，但不作无效标处理。演示视频细则如下：</w:t>
            </w:r>
          </w:p>
          <w:p>
            <w:pPr>
              <w:pStyle w:val="162"/>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1、视频要求：请投标人采用与投标产品完全一致的产品进行视频演示录制（提供相关说明或承诺）；</w:t>
            </w:r>
          </w:p>
          <w:p>
            <w:pPr>
              <w:pStyle w:val="162"/>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2、送达说明：在开标截止前，邮寄或送达招标代理机构；收件地址：浦江县新华东路121号二楼，收件人：楼先生，联系电话：13867953630。</w:t>
            </w:r>
          </w:p>
          <w:p>
            <w:pPr>
              <w:pStyle w:val="162"/>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3、包装要求：演示视频光盘或U盘需密封送达；具体要求：内层封套写明：</w:t>
            </w:r>
            <w:bookmarkStart w:id="0" w:name="_Hlk110092701"/>
            <w:r>
              <w:rPr>
                <w:rFonts w:hint="eastAsia" w:ascii="宋体" w:hAnsi="宋体" w:eastAsia="宋体" w:cs="宋体"/>
                <w:b/>
                <w:bCs/>
                <w:color w:val="auto"/>
                <w:kern w:val="2"/>
                <w:sz w:val="24"/>
                <w:szCs w:val="24"/>
                <w:highlight w:val="none"/>
                <w:lang w:val="en-US" w:eastAsia="zh-CN" w:bidi="ar-SA"/>
              </w:rPr>
              <w:t>项目名称、项目编号、投标人名称（盖章）、开标时间</w:t>
            </w:r>
            <w:bookmarkEnd w:id="0"/>
            <w:r>
              <w:rPr>
                <w:rFonts w:hint="eastAsia" w:ascii="宋体" w:hAnsi="宋体" w:eastAsia="宋体" w:cs="宋体"/>
                <w:b/>
                <w:bCs/>
                <w:color w:val="auto"/>
                <w:kern w:val="2"/>
                <w:sz w:val="24"/>
                <w:szCs w:val="24"/>
                <w:highlight w:val="none"/>
                <w:lang w:val="en-US" w:eastAsia="zh-CN" w:bidi="ar-SA"/>
              </w:rPr>
              <w:t>；外层封套写明：项目名称、项目编号、开标时间；将演示视频光盘或U盘包装在内层封套里，再将内层封套装入外层封套中。外层封套上不应有任何投标人的识别标志或标识。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sz w:val="24"/>
                <w:highlight w:val="none"/>
              </w:rPr>
            </w:pPr>
            <w:r>
              <w:rPr>
                <w:rFonts w:hint="eastAsia" w:ascii="宋体" w:hAnsi="宋体" w:eastAsia="宋体" w:cs="宋体"/>
                <w:b/>
                <w:bCs/>
                <w:color w:val="auto"/>
                <w:kern w:val="2"/>
                <w:sz w:val="24"/>
                <w:szCs w:val="24"/>
                <w:highlight w:val="none"/>
                <w:lang w:val="en-US" w:eastAsia="zh-CN" w:bidi="ar-SA"/>
              </w:rPr>
              <w:t xml:space="preserve">补充说明：各投标人邮寄时应充分考虑邮寄时间的长短、邮寄中可能发生的破损、遗失等风险，招标人及招标代理机构不对邮寄到达时间超过投标文件的递交截止时间而被拒绝接收、邮寄过程中的遗失负责，也不对邮寄过程中的包封损毁等负责。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34</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方案讲解</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☑不要求；</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□本项目要求进行现场方案讲解，每个供应商时间不超过 / 分钟，并解答谈判小组的提问，解答提问时间另计。讲解顺序：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样品</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☑不提供。</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□提供，按招标文件“第三部分 采购需求”要求。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本招标文件规定如有与法律法规冲突的，以法律法规为准。</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解释：本招标文件的解释权属于招标采购单位</w:t>
            </w:r>
          </w:p>
        </w:tc>
      </w:tr>
    </w:tbl>
    <w:p>
      <w:pPr>
        <w:widowControl/>
        <w:spacing w:line="400" w:lineRule="exact"/>
        <w:ind w:firstLine="480" w:firstLineChars="200"/>
        <w:rPr>
          <w:rFonts w:hint="eastAsia" w:ascii="宋体" w:hAnsi="宋体" w:cs="宋体"/>
          <w:color w:val="auto"/>
          <w:szCs w:val="21"/>
          <w:highlight w:val="none"/>
        </w:rPr>
      </w:pPr>
      <w:r>
        <w:rPr>
          <w:rFonts w:hint="eastAsia" w:ascii="宋体" w:hAnsi="宋体" w:cs="宋体"/>
          <w:color w:val="auto"/>
          <w:kern w:val="0"/>
          <w:sz w:val="24"/>
          <w:highlight w:val="none"/>
          <w:lang w:bidi="ar"/>
        </w:rPr>
        <w:t>注：下文如有与本附表不一致处以本表为准。</w:t>
      </w:r>
      <w:r>
        <w:rPr>
          <w:rFonts w:hint="eastAsia" w:ascii="宋体" w:hAnsi="宋体" w:cs="宋体"/>
          <w:color w:val="auto"/>
          <w:szCs w:val="21"/>
          <w:highlight w:val="none"/>
        </w:rPr>
        <w:br w:type="page"/>
      </w:r>
      <w:r>
        <w:rPr>
          <w:rFonts w:hint="eastAsia" w:ascii="宋体" w:hAnsi="宋体" w:cs="宋体"/>
          <w:b/>
          <w:bCs/>
          <w:color w:val="auto"/>
          <w:sz w:val="28"/>
          <w:szCs w:val="28"/>
          <w:highlight w:val="none"/>
        </w:rPr>
        <w:t>一、总 则</w:t>
      </w:r>
    </w:p>
    <w:p>
      <w:pPr>
        <w:widowControl/>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1．适用范围</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2．定义</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 “采购人”：详见前附表。2.2 “采购代理机构”：详见前附表。</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2.5 “货物”系指投标人按投标文件或合同要求，须向采购人提供的一切材料、设备、机械、仪器、备件、配件、工具、手册及其他技术资料和文字材料。</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 “服务”系指投标人按投标文件或合同要求须承担的相关服务及义务。</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2.7 “投标文件”系指投标人提交的投标文件。</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2.8 “书面形式”是合同书、信件、电报、电传、传真等可以有形地表现所载内容的形式。以电子数据交换、电子邮件等方式能够有形地表现所载内容，并可以随时调取查用的数据电文，视为书面形式。</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2.9 “电子交易活动”是指以数据电文形式，依托政府采购项目电子交易平台（简称电子交易平台，详见前附表）进行的政府采购交易活动。</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2.11 “▲” 系指实质性要求条款，“★”系产品采购项目中重要技术参数，“☑”系指适用本项目的要求，“☐” 系指不适用本项目的要求。</w:t>
      </w:r>
    </w:p>
    <w:p>
      <w:pPr>
        <w:widowControl/>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3．采购项目需要落实的政府采购政策</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 支持绿色发展</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 支持中小企业发展</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3.3.2 在政府采购活动中，投标人提供的货物、工程或者服务符合下列情形的，享受中小企业扶持政策：</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3.3.2.1 在货物采购项目中，货物由中小企业制造，即货物由中小企业生产且使用该中小企业商号或者注册商标；</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3.3.2.2 在工程采购项目中，工程由中小企业承建，即工程施工单位为中小企业；</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3.3.2.3 在服务采购项目中，服务由中小企业承接，即提供服务的人员为中小企业依照《中华人民共和国劳动合同法》订立劳动合同的从业人员。在货物采购项目中，投标人提供的货物既有中小企业制造货物，也有大型企业制造货物的，不享受中小企业扶持政策。以联合体形式参加政府采购活动，联合体各方均为中小企业的，联合体视同中小企业。其中，联合体各方均为小微企业的，联合体视同小微企业。</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3.3.3 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 30%以上的，对联合体或者大中型企业的报价给予 6%的扣除，用扣除后的价格参加评审。组成联合体或者接受分包的小微企业与联合体内其他企业、分包企业之间存在直接控股、管理关系的，不享受价格扣除优惠政策。</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3.3.4 符合《关于促进残疾人就业政府采购政策的通知》（财库〔2017〕141 号）</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规定的条件并提供《残疾人福利性单位声明函》（详见附件）的残疾人福利性单位视同小型、微型企业；</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3.3.5 符合《关于政府采购支持监狱企业发展有关问题的通知》（财库[2014]68 号）规定的监狱企业并提供由省级以上监狱管理局、戒毒管理局（含新疆生产建设兵团）出具的属于监狱企业佐证文件的，视同为小型、微型企业。</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3.3.7 中小企业享受扶持政策获得政府采购合同的，小微企业不得将合同分包给大中型企业，中型企业不得将合同分包给大型企业。</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3.4 支持创新发展</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3.4.2 首台套产品被纳入《首台套产品推广应用指导目录》之日起 2 年内，以及产品核心技术高于国内领先水平，并具有明晰自主知识产权的“制造精品”产品，自认定之日起 2 年内视同已具备相应销售业绩，参加政府采购活动时业绩分值为满分。</w:t>
      </w:r>
    </w:p>
    <w:p>
      <w:pPr>
        <w:widowControl/>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4.询问、质疑、投诉</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4.1 供应商询问</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 供应商质疑</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4.2.1 提出质疑的供应商应当是参与所质疑项目采购活动的供应商。潜在供应商已依法获取其可质疑的招标文件的，可以对该文件提出质疑。</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4.2.2 供应商认为招标文件、采购过程和中标结果使自己的权益受到损害的，可以</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在知道或者应知其权益受到损害之日起七个工作日内，以书面形式向采购人或者采购机构提出质疑，否则，采购人或者采购机构不予受理：</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4.2.2.1 对招标文件提出质疑的，质疑期限为供应商获得招标文件之日或者招标文件公告期限届满之日起计算。</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4.2.2.2 对采购过程提出质疑的，质疑期限为各采购程序环节结束之日起计算。对同一采购程序环节的质疑，供应商须一次性提出。</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4.2.2.3 对采购结果提出质疑的，质疑期限自采购结果公告期限届满之日起计算。</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4.2.3 供应商提出质疑应当提交质疑函和必要的证明材料。质疑函应当包括下列内容：</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4.2.3.1 供应商的姓名或者名称、地址、邮编、联系人及联系电话；</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4.2.3.2 质疑项目的名称、编号；</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4.2.3.3 具体、明确的质疑事项和与质疑事项相关的请求；</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4.2.3.4 事实依据；</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4.2.3.5 必要的法律依据；</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4.2.3.6 提出质疑的日期。</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4.2.4 采购人或者采购机构应当在收到供应商的书面质疑后七个工作日内作出答复，并以书面形式通知质疑供应商和其他与质疑处理结果有利害关系的政府采购当事人，但答复的内容不得涉及商业秘密。根据《浙江省财政局关于进一步促进政府采购公平竞争打造最优营商环境的通知》（浙财采监〔2021〕22 号），采购人或者采购代理机构应将质疑答复内容及时在浙江政府采购网公开，涉及国家机密、个人隐私、商业秘密以及法律、法规规定应予以保密的信息内容除外。</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4.2.5 询问或者质疑事项可能影响采购结果的，采购人应当暂停签订合同，已经签合同的，应当中止履行合同。</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4.3 供应商投诉</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4.3.1 质疑供应商对采购人、采购机构的答复不满意或者采购人、采购机构未在规定的时间内作出答复的，可以在答复期满后十五个工作日内向同级政府采购监督管理部门提出投诉。</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4.3.2 供应商投诉的事项不得超出已质疑事项的范围，基于质疑答复内容提出的投诉事项除外。</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4.3.3 供应商投诉应当有明确的请求和必要的证明材料。</w:t>
      </w:r>
    </w:p>
    <w:p>
      <w:pPr>
        <w:widowControl/>
        <w:spacing w:line="400" w:lineRule="exact"/>
        <w:ind w:firstLine="480" w:firstLineChars="200"/>
        <w:jc w:val="left"/>
        <w:rPr>
          <w:rFonts w:hint="eastAsia" w:ascii="宋体" w:hAnsi="宋体" w:cs="宋体"/>
          <w:b/>
          <w:bCs/>
          <w:color w:val="auto"/>
          <w:sz w:val="28"/>
          <w:szCs w:val="28"/>
          <w:highlight w:val="none"/>
        </w:rPr>
      </w:pPr>
      <w:r>
        <w:rPr>
          <w:rFonts w:hint="eastAsia" w:ascii="宋体" w:hAnsi="宋体" w:cs="宋体"/>
          <w:color w:val="auto"/>
          <w:sz w:val="24"/>
          <w:highlight w:val="none"/>
        </w:rPr>
        <w:t xml:space="preserve">4.3.4 以联合体形式参加政府采购活动的，其投诉应当由组成联合体的所有供应商共同提出。投诉书范本及制作说明详见附件。 </w:t>
      </w:r>
    </w:p>
    <w:p>
      <w:pPr>
        <w:widowControl/>
        <w:spacing w:line="400" w:lineRule="exact"/>
        <w:ind w:firstLine="562" w:firstLineChars="20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二、招标文件构成、修改、解释</w:t>
      </w:r>
    </w:p>
    <w:p>
      <w:pPr>
        <w:widowControl/>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5．招标文件的构成</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5.1 招标文件包括下列文件及附件：</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5.1.1 公开招标公告；</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5.1.2 投标人须知；</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5.1.3 采购需求；</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5.1.4 评标办法；</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5.1.5 拟签订的合同文本；</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5.1.6 应提交的有关格式范例。</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5.1.7 其他</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5.2 与本项目有关的澄清或者修改的内容为招标文件的组成部分。</w:t>
      </w:r>
    </w:p>
    <w:p>
      <w:pPr>
        <w:widowControl/>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6. 招标文件的澄清、修改</w:t>
      </w:r>
    </w:p>
    <w:p>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 已获取招标文件的潜在投标人，若有问题需要澄清，应于投标截止时间前，以书面形式向采购机构提出。</w:t>
      </w:r>
    </w:p>
    <w:p>
      <w:pPr>
        <w:widowControl/>
        <w:spacing w:line="400" w:lineRule="exact"/>
        <w:ind w:firstLine="480" w:firstLineChars="200"/>
        <w:jc w:val="left"/>
        <w:rPr>
          <w:rFonts w:hint="eastAsia" w:ascii="宋体" w:hAnsi="宋体" w:cs="宋体"/>
          <w:b/>
          <w:bCs/>
          <w:color w:val="auto"/>
          <w:sz w:val="28"/>
          <w:szCs w:val="28"/>
          <w:highlight w:val="none"/>
        </w:rPr>
      </w:pPr>
      <w:r>
        <w:rPr>
          <w:rFonts w:hint="eastAsia" w:ascii="宋体" w:hAnsi="宋体" w:cs="宋体"/>
          <w:color w:val="auto"/>
          <w:sz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spacing w:after="0" w:line="400" w:lineRule="exact"/>
        <w:ind w:firstLine="562"/>
        <w:jc w:val="center"/>
        <w:rPr>
          <w:rFonts w:hint="eastAsia" w:ascii="宋体" w:hAnsi="宋体" w:cs="宋体"/>
          <w:b/>
          <w:bCs/>
          <w:color w:val="auto"/>
          <w:szCs w:val="28"/>
          <w:highlight w:val="none"/>
        </w:rPr>
      </w:pPr>
      <w:r>
        <w:rPr>
          <w:rFonts w:hint="eastAsia" w:ascii="宋体" w:hAnsi="宋体" w:cs="宋体"/>
          <w:b/>
          <w:bCs/>
          <w:color w:val="auto"/>
          <w:szCs w:val="28"/>
          <w:highlight w:val="none"/>
        </w:rPr>
        <w:t>三、投标</w:t>
      </w:r>
    </w:p>
    <w:p>
      <w:pPr>
        <w:pStyle w:val="2"/>
        <w:spacing w:after="0" w:line="400" w:lineRule="exact"/>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7.招标文件的获取</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详见招标公告中获取招标文件的时间期限、地点、方式及招标文件售价。</w:t>
      </w:r>
    </w:p>
    <w:p>
      <w:pPr>
        <w:pStyle w:val="2"/>
        <w:spacing w:after="0" w:line="400" w:lineRule="exact"/>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8.开标前答疑会或现场考察</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2"/>
        <w:spacing w:after="0" w:line="400" w:lineRule="exact"/>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9.投标保证金</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本项目不需缴纳投标保证金。</w:t>
      </w:r>
    </w:p>
    <w:p>
      <w:pPr>
        <w:pStyle w:val="2"/>
        <w:spacing w:after="0" w:line="400" w:lineRule="exact"/>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10.投标文件的语言</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投标文件及投标人与采购有关的来往通知、函件和文件均应使用中文。</w:t>
      </w:r>
    </w:p>
    <w:p>
      <w:pPr>
        <w:pStyle w:val="2"/>
        <w:spacing w:after="0" w:line="400" w:lineRule="exact"/>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11．投标文件的组成</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谈判供应商向采购人上传的谈判投标文件（以下简称投标文件）由资格文件、商务技术文件及报价文件三部分内容组成，具体如下：</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11.1 资格文件</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详见“第六部分 应提交的有关格式范例”要求</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 商务技术文件</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详见“第六部分 应提交的有关格式范例”要求</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11.3 报价文件</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详见“第六部分 应提交的有关格式范例”要求投标文件含有采购人不能接受的附加条件的，投标无效；投标人提供虚假材料投标的，投标无效。</w:t>
      </w:r>
    </w:p>
    <w:p>
      <w:pPr>
        <w:pStyle w:val="2"/>
        <w:spacing w:after="0" w:line="400" w:lineRule="exact"/>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12.投标文件的编制</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12.2 投标人进行电子投标应安装客户端软件—“政采云电子交易客户端”，并按照招标文件和电子交易平台的要求编制并加密投标文件。投标人未按规定加密的投标文件，电子交易平台将拒收并提示。12.3 使用“政采云电子交易客户端”需要提前申领 CA 数字证书，申领流程请自行前往“浙江政府采购网-下载专区-电子交易客户端-CA 驱动和申领流程”进行查阅。</w:t>
      </w:r>
    </w:p>
    <w:p>
      <w:pPr>
        <w:pStyle w:val="2"/>
        <w:spacing w:after="0" w:line="400" w:lineRule="exact"/>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13.投标文件的签署、盖章</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13.1 投标文件按照招标文件第六部分格式要求进行签署、盖章。▲投标人的投标文件未按照招标文件要求签署、盖章的，其投标无效。</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13.2 为确保网上操作合法、有效和安全，投标人应当在投标截止时间前完成在“政府采购云平台”的身份认证，确保在电子投标过程中能够对相关数据电文进行加密和使用电子签名。</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13.3 招标文件对投标文件签署、盖章的要求适用于电子签名。</w:t>
      </w:r>
    </w:p>
    <w:p>
      <w:pPr>
        <w:pStyle w:val="2"/>
        <w:spacing w:after="0" w:line="400" w:lineRule="exact"/>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14.投标文件的提交、补充、修改、撤回</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14.2 电子交易平台收到投标文件，将妥善保存并即时向供应商发出确认回执通知。在投标截止时间前，除供应商补充、修改或者撤回投标文件外，任何单位和个人不得解密或提取投标文件。</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14.3 采购人、采购机构可以视情况延长投标文件提交的截止时间。在上述情况下，采购机构与投标人以前在投标截止期方面的全部权利、责任和义务，将适用于延长至新的投标截止期。</w:t>
      </w:r>
    </w:p>
    <w:p>
      <w:pPr>
        <w:pStyle w:val="2"/>
        <w:spacing w:after="0" w:line="400" w:lineRule="exact"/>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15.备份投标文件</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15.1 投标人在电子交易平台传输递交投标文件后，还可以在投标截止时间前直接提交或者以快递方式递交备份投标文件1份，但采购人、采购机构不强制或变相强制投标人提交备份投标文件。</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15.2 备份投标文件须在“政采云投标客户端”制作生成（后缀格式为.bfbs），并储存在u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52"/>
        <w:spacing w:before="0" w:after="0" w:line="40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15.3 直接提交备份投标文件的，投标人应于投标截止时间前在招标公告中载明的开标地点将备份投标文件提交给采购机构，采购机构将拒绝接受逾期送达的备份投标文件。</w:t>
      </w:r>
    </w:p>
    <w:p>
      <w:pPr>
        <w:pStyle w:val="52"/>
        <w:spacing w:before="0" w:after="0" w:line="40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52"/>
        <w:spacing w:before="0" w:after="0" w:line="40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15.5 投标人仅提交备份投标文件，没有在电子交易平台传输递交投标文件的，投标无效。</w:t>
      </w:r>
    </w:p>
    <w:p>
      <w:pPr>
        <w:pStyle w:val="52"/>
        <w:spacing w:before="0" w:after="0" w:line="400" w:lineRule="exact"/>
        <w:ind w:firstLine="0" w:firstLineChars="0"/>
        <w:jc w:val="left"/>
        <w:rPr>
          <w:rFonts w:hint="eastAsia" w:ascii="宋体" w:hAnsi="宋体" w:cs="宋体"/>
          <w:b/>
          <w:bCs/>
          <w:color w:val="auto"/>
          <w:szCs w:val="24"/>
          <w:highlight w:val="none"/>
        </w:rPr>
      </w:pPr>
      <w:r>
        <w:rPr>
          <w:rFonts w:hint="eastAsia" w:ascii="宋体" w:hAnsi="宋体" w:cs="宋体"/>
          <w:b/>
          <w:bCs/>
          <w:color w:val="auto"/>
          <w:szCs w:val="24"/>
          <w:highlight w:val="none"/>
        </w:rPr>
        <w:t>16.投标文件的无效处理</w:t>
      </w:r>
    </w:p>
    <w:p>
      <w:pPr>
        <w:pStyle w:val="52"/>
        <w:spacing w:before="0" w:after="0" w:line="40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有招标文件“第四部分 评标办法”规定的情形之一的，投标无效：</w:t>
      </w:r>
    </w:p>
    <w:p>
      <w:pPr>
        <w:pStyle w:val="52"/>
        <w:spacing w:before="0" w:after="0" w:line="400" w:lineRule="exact"/>
        <w:ind w:firstLine="0" w:firstLineChars="0"/>
        <w:jc w:val="left"/>
        <w:rPr>
          <w:rFonts w:hint="eastAsia" w:ascii="宋体" w:hAnsi="宋体" w:cs="宋体"/>
          <w:b/>
          <w:bCs/>
          <w:color w:val="auto"/>
          <w:szCs w:val="24"/>
          <w:highlight w:val="none"/>
        </w:rPr>
      </w:pPr>
      <w:r>
        <w:rPr>
          <w:rFonts w:hint="eastAsia" w:ascii="宋体" w:hAnsi="宋体" w:cs="宋体"/>
          <w:b/>
          <w:bCs/>
          <w:color w:val="auto"/>
          <w:szCs w:val="24"/>
          <w:highlight w:val="none"/>
        </w:rPr>
        <w:t>17.投标有效期</w:t>
      </w:r>
    </w:p>
    <w:p>
      <w:pPr>
        <w:pStyle w:val="52"/>
        <w:spacing w:before="0" w:after="0" w:line="40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17.1 投标有效期为从提交投标文件的截止之日起 120 天。▲投标人的投标文件中承诺的投标有效期少于招标文件中载明的投标有效期的，投标无效。</w:t>
      </w:r>
    </w:p>
    <w:p>
      <w:pPr>
        <w:pStyle w:val="52"/>
        <w:spacing w:before="0" w:after="0" w:line="40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17.2 投标文件合格投递后，自投标截止日期起，在投标有效期内有效。</w:t>
      </w:r>
    </w:p>
    <w:p>
      <w:pPr>
        <w:pStyle w:val="52"/>
        <w:spacing w:before="0" w:after="0" w:line="40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 xml:space="preserve">17.3 在原定投标有效期满之前，如果出现特殊情况，采购机构可以以书面形式通知投标人延长投标有效期。投标人同意延长的，不得要求或被允许修改其投标文件，投标人拒绝延长的，其投标无效。 </w:t>
      </w:r>
    </w:p>
    <w:p>
      <w:pPr>
        <w:pStyle w:val="52"/>
        <w:spacing w:before="0" w:after="0" w:line="400" w:lineRule="exact"/>
        <w:ind w:firstLine="0" w:firstLineChars="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四、开标、资格审查与信用信息查询</w:t>
      </w:r>
    </w:p>
    <w:p>
      <w:pPr>
        <w:pStyle w:val="52"/>
        <w:spacing w:before="0" w:after="0" w:line="400" w:lineRule="exact"/>
        <w:ind w:firstLine="0" w:firstLineChars="0"/>
        <w:jc w:val="left"/>
        <w:rPr>
          <w:rFonts w:hint="eastAsia" w:ascii="宋体" w:hAnsi="宋体" w:cs="宋体"/>
          <w:b/>
          <w:bCs/>
          <w:color w:val="auto"/>
          <w:szCs w:val="24"/>
          <w:highlight w:val="none"/>
        </w:rPr>
      </w:pPr>
      <w:r>
        <w:rPr>
          <w:rFonts w:hint="eastAsia" w:ascii="宋体" w:hAnsi="宋体" w:cs="宋体"/>
          <w:b/>
          <w:bCs/>
          <w:color w:val="auto"/>
          <w:szCs w:val="24"/>
          <w:highlight w:val="none"/>
        </w:rPr>
        <w:t>18.开标</w:t>
      </w:r>
    </w:p>
    <w:p>
      <w:pPr>
        <w:pStyle w:val="52"/>
        <w:spacing w:before="0" w:after="0" w:line="40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18.1 采购机构按照招标文件规定的时间通过电子交易平台组织开标，所有投标人均应当准时在线参加。投标人不足3家的，不得开标。</w:t>
      </w:r>
    </w:p>
    <w:p>
      <w:pPr>
        <w:pStyle w:val="52"/>
        <w:spacing w:before="0" w:after="0" w:line="40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18.2 开标时，电子交易平台按开标时间自动提取所有投标文件。采购机构依托</w:t>
      </w:r>
    </w:p>
    <w:p>
      <w:pPr>
        <w:pStyle w:val="52"/>
        <w:spacing w:before="0" w:after="0" w:line="400" w:lineRule="exact"/>
        <w:ind w:firstLine="0" w:firstLineChars="0"/>
        <w:jc w:val="left"/>
        <w:rPr>
          <w:rFonts w:hint="eastAsia" w:ascii="宋体" w:hAnsi="宋体" w:cs="宋体"/>
          <w:color w:val="auto"/>
          <w:szCs w:val="24"/>
          <w:highlight w:val="none"/>
        </w:rPr>
      </w:pPr>
      <w:r>
        <w:rPr>
          <w:rFonts w:hint="eastAsia" w:ascii="宋体" w:hAnsi="宋体" w:cs="宋体"/>
          <w:color w:val="auto"/>
          <w:szCs w:val="24"/>
          <w:highlight w:val="none"/>
        </w:rPr>
        <w:t>电子交易平台发起开始解密指令，投标人按照平台提示和招标文件的规定在半小时内完成在线解密。</w:t>
      </w:r>
    </w:p>
    <w:p>
      <w:pPr>
        <w:pStyle w:val="52"/>
        <w:spacing w:before="0" w:after="0" w:line="40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18.3 投标文件未按时解密，投标人提供了备份投标文件的，以备份投标文件作为依据，否则视为投标文件撤回。投标文件已按时解密的，备份投标文件自动失效。</w:t>
      </w:r>
    </w:p>
    <w:p>
      <w:pPr>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19.资格审查</w:t>
      </w:r>
    </w:p>
    <w:p>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19.1 开标后，采购人或采购机构将依法对投标人的资格进行审查。</w:t>
      </w:r>
    </w:p>
    <w:p>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19.2 采购人或采购机构依据法律法规和招标文件的规定，对投标人的基本资格条件、特定资格条件进行审查。</w:t>
      </w:r>
    </w:p>
    <w:p>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19.3 投标人未按照招标文件要求提供与基本资格条件、特定资格条件相应的有效资格证明材料的，视为投标人不具备招标文件中规定的资格要求，其投标无效。</w:t>
      </w:r>
    </w:p>
    <w:p>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19.4 对未通过资格审查的投标人，采购人或采购机构告知其未通过的原因。</w:t>
      </w:r>
    </w:p>
    <w:p>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19.5 合格投标人不足 3 家的，不再评标。</w:t>
      </w:r>
    </w:p>
    <w:p>
      <w:pPr>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20.信用信息查询</w:t>
      </w:r>
    </w:p>
    <w:p>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20.1 信用信息查询渠道及截止时间：采购机构将通过“信用中国”网站</w:t>
      </w:r>
    </w:p>
    <w:p>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(www.creditchina.gov.cn)、中国政府采购网(www.ccgp.gov.cn)渠道查询投标人投标截止时间当天的信用记录。</w:t>
      </w:r>
    </w:p>
    <w:p>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20.2 信用信息查询记录和证据留存的具体方式：现场查询的投标人的信用记录、查询结果经确认后将与采购文件一起存档。</w:t>
      </w:r>
    </w:p>
    <w:p>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20.3 信用信息的使用规则：经查询列入失信被执行人名单、重大税收违法案件当事人名单、政府采购严重违法失信行为记录名单的投标人将被拒绝参与政府采购活动。</w:t>
      </w:r>
    </w:p>
    <w:p>
      <w:pPr>
        <w:spacing w:line="400" w:lineRule="exact"/>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 </w:t>
      </w:r>
      <w:r>
        <w:rPr>
          <w:rFonts w:hint="eastAsia" w:ascii="宋体" w:hAnsi="宋体" w:cs="宋体"/>
          <w:b/>
          <w:bCs/>
          <w:color w:val="auto"/>
          <w:sz w:val="28"/>
          <w:szCs w:val="28"/>
          <w:highlight w:val="none"/>
        </w:rPr>
        <w:t>五、评标</w:t>
      </w:r>
    </w:p>
    <w:p>
      <w:pPr>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 评标办法”。</w:t>
      </w:r>
    </w:p>
    <w:p>
      <w:pPr>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六、定标</w:t>
      </w:r>
    </w:p>
    <w:p>
      <w:pPr>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22.确定中标供应商</w:t>
      </w:r>
    </w:p>
    <w:p>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采购人将自收到评审报告之日起 5 个工作日内通过电子交易平台在评审报告推荐的中标候选人中按顺序确定中标供应商。</w:t>
      </w:r>
    </w:p>
    <w:p>
      <w:pPr>
        <w:pStyle w:val="2"/>
        <w:spacing w:after="0" w:line="400" w:lineRule="exact"/>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23.中标通知与中标结果公告</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23.1 自中标人确定之日起 2 个工作日内，采购机构通过电子交易平台向中标人发出中标通知书，同时编制发布采购结果公告。采购机构也可以以纸质形式进行中标通知。</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23.3 公告期限为1个工作日。</w:t>
      </w:r>
    </w:p>
    <w:p>
      <w:pPr>
        <w:pStyle w:val="2"/>
        <w:spacing w:after="0" w:line="400" w:lineRule="exact"/>
        <w:ind w:left="0" w:leftChars="0" w:firstLine="0" w:firstLineChars="0"/>
        <w:jc w:val="center"/>
        <w:rPr>
          <w:rFonts w:hint="eastAsia" w:ascii="宋体" w:hAnsi="宋体" w:cs="宋体"/>
          <w:b/>
          <w:bCs/>
          <w:color w:val="auto"/>
          <w:szCs w:val="28"/>
          <w:highlight w:val="none"/>
        </w:rPr>
      </w:pPr>
      <w:r>
        <w:rPr>
          <w:rFonts w:hint="eastAsia" w:ascii="宋体" w:hAnsi="宋体" w:cs="宋体"/>
          <w:b/>
          <w:bCs/>
          <w:color w:val="auto"/>
          <w:szCs w:val="28"/>
          <w:highlight w:val="none"/>
        </w:rPr>
        <w:t>七、合同授予</w:t>
      </w:r>
    </w:p>
    <w:p>
      <w:pPr>
        <w:pStyle w:val="2"/>
        <w:spacing w:after="0" w:line="400" w:lineRule="exact"/>
        <w:ind w:left="0" w:leftChars="0" w:firstLine="0" w:firstLineChars="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24.</w:t>
      </w:r>
      <w:r>
        <w:rPr>
          <w:rFonts w:hint="eastAsia" w:ascii="宋体" w:hAnsi="宋体" w:cs="宋体"/>
          <w:color w:val="auto"/>
          <w:sz w:val="24"/>
          <w:szCs w:val="24"/>
          <w:highlight w:val="none"/>
        </w:rPr>
        <w:t>合同主要条款详见“第五部分 拟签订的合同文本”。</w:t>
      </w:r>
    </w:p>
    <w:p>
      <w:pPr>
        <w:pStyle w:val="2"/>
        <w:spacing w:after="0" w:line="400" w:lineRule="exact"/>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25.合同的签订</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25.1 采购人与中标人应当通过电子交易平台在中标通知书发出之日起三十日内，按照招标文件确定的事项签订政府采购合同，并在合同签订之日起 2 个工作日内依法发布合同公告。</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25.2 中标人按规定的日期、时间、地点，由法定代表人或其授权代表与采购人代表签订合同。如中标人为联合体的，由联合体成员各方法定代表人或其授权代表与采购人代表签订合同。</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25.3 如签订合同并生效后，供应商无故拒绝或延期，除按照合同条款处理外，列入不良行为记录一次，并给予通报。</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25.4 中标供应商拒绝与采购人签订合同的，采购人可以按照评审报告推荐的中标或者成交候选人名单排序，确定下一候选人为中标供应商，也可以重新开展政府采购活动。</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25.5 采购合同由采购人与中标供应商根据招标文件、投标文件等内容通过政府采购电子交易平台在线签订，自动备案。</w:t>
      </w:r>
    </w:p>
    <w:p>
      <w:pPr>
        <w:pStyle w:val="2"/>
        <w:spacing w:after="0" w:line="400" w:lineRule="exact"/>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26.履约保证金</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 </w:t>
      </w:r>
    </w:p>
    <w:p>
      <w:pPr>
        <w:pStyle w:val="2"/>
        <w:spacing w:after="0" w:line="400" w:lineRule="exact"/>
        <w:ind w:left="0" w:leftChars="0" w:firstLine="0" w:firstLineChars="0"/>
        <w:jc w:val="center"/>
        <w:rPr>
          <w:rFonts w:hint="eastAsia" w:ascii="宋体" w:hAnsi="宋体" w:cs="宋体"/>
          <w:b/>
          <w:bCs/>
          <w:color w:val="auto"/>
          <w:szCs w:val="28"/>
          <w:highlight w:val="none"/>
        </w:rPr>
      </w:pPr>
      <w:r>
        <w:rPr>
          <w:rFonts w:hint="eastAsia" w:ascii="宋体" w:hAnsi="宋体" w:cs="宋体"/>
          <w:b/>
          <w:bCs/>
          <w:color w:val="auto"/>
          <w:szCs w:val="28"/>
          <w:highlight w:val="none"/>
        </w:rPr>
        <w:t>八、电子交易活动的中止</w:t>
      </w:r>
    </w:p>
    <w:p>
      <w:pPr>
        <w:pStyle w:val="2"/>
        <w:spacing w:after="0" w:line="400" w:lineRule="exact"/>
        <w:ind w:left="0" w:leftChars="0" w:firstLine="0" w:firstLineChars="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27.电子交易活动的中止。</w:t>
      </w:r>
      <w:r>
        <w:rPr>
          <w:rFonts w:hint="eastAsia" w:ascii="宋体" w:hAnsi="宋体" w:cs="宋体"/>
          <w:color w:val="auto"/>
          <w:sz w:val="24"/>
          <w:szCs w:val="24"/>
          <w:highlight w:val="none"/>
        </w:rPr>
        <w:t>采购过程中出现以下情形，导致电子交易平台无法正常运行，或者无法保证电子交易的公平、公正和安全时，采购机构可中止电子交易活动：</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27.1 电子交易平台发生故障而无法登录访问的；</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27.2 电子交易平台应用或数据库出现错误，不能进行正常操作的；</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27.3 电子交易平台发现严重安全漏洞，有潜在泄密危险的；</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27.4 病毒发作导致不能进行正常操作的；</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27.5 其他无法保证电子交易的公平、公正和安全的情况。</w:t>
      </w:r>
    </w:p>
    <w:p>
      <w:pPr>
        <w:pStyle w:val="2"/>
        <w:spacing w:after="0" w:line="400" w:lineRule="exact"/>
        <w:ind w:left="0" w:leftChars="0" w:firstLine="0" w:firstLineChars="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28.</w:t>
      </w:r>
      <w:r>
        <w:rPr>
          <w:rFonts w:hint="eastAsia" w:ascii="宋体" w:hAnsi="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2"/>
        <w:spacing w:after="0" w:line="400" w:lineRule="exact"/>
        <w:ind w:left="0" w:leftChars="0" w:firstLine="0" w:firstLineChars="0"/>
        <w:jc w:val="center"/>
        <w:rPr>
          <w:rFonts w:hint="eastAsia" w:ascii="宋体" w:hAnsi="宋体" w:cs="宋体"/>
          <w:b/>
          <w:bCs/>
          <w:color w:val="auto"/>
          <w:szCs w:val="28"/>
          <w:highlight w:val="none"/>
        </w:rPr>
      </w:pPr>
      <w:r>
        <w:rPr>
          <w:rFonts w:hint="eastAsia" w:ascii="宋体" w:hAnsi="宋体" w:cs="宋体"/>
          <w:b/>
          <w:bCs/>
          <w:color w:val="auto"/>
          <w:szCs w:val="28"/>
          <w:highlight w:val="none"/>
        </w:rPr>
        <w:t>九、验收</w:t>
      </w:r>
    </w:p>
    <w:p>
      <w:pPr>
        <w:pStyle w:val="2"/>
        <w:spacing w:after="0" w:line="400" w:lineRule="exact"/>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29.验收</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29.1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29.2 采购人可以邀请参加本项目的其他投标人或者第三方机构参与验收。参与验收的投标人或者第三方机构的意见作为验收书的参考资料一并存档。</w:t>
      </w:r>
    </w:p>
    <w:p>
      <w:pPr>
        <w:pStyle w:val="2"/>
        <w:spacing w:after="0" w:line="400" w:lineRule="exact"/>
        <w:ind w:left="0" w:leftChars="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29.3 严格按照采购合同开展履约验收。采购人成立验收小组，按照采购合同的约定对供应商履约情况进行验收。验收时，按照采购合同的约定对每一项技术、服务、安全标准的履约情况进行确认。验收结束后，应当出具验收报告，列明各项标准的验收情况及项目总体评价，由验收双方共同签署。验收结果与采购合同约定的资金支付及履约保证金返还条件挂钩。履约验收的各项资料应当存档备查。供应商向采购人提供项目过程中形成的记录、档案资料、成果资料、技术文件资料、验收报告等原件文档汇集成册（按采购人要求提供，含电子文件一套，不另计费用），并按采购人的档案管理要求完成资料归档工作，报送采购单位留存。</w:t>
      </w:r>
    </w:p>
    <w:p>
      <w:pPr>
        <w:pStyle w:val="2"/>
        <w:spacing w:after="0" w:line="400" w:lineRule="exact"/>
        <w:ind w:left="0" w:leftChars="0" w:firstLine="480"/>
        <w:jc w:val="left"/>
        <w:rPr>
          <w:color w:val="auto"/>
          <w:highlight w:val="none"/>
        </w:rPr>
      </w:pPr>
      <w:r>
        <w:rPr>
          <w:rFonts w:hint="eastAsia" w:ascii="宋体" w:hAnsi="宋体" w:cs="宋体"/>
          <w:color w:val="auto"/>
          <w:sz w:val="24"/>
          <w:szCs w:val="24"/>
          <w:highlight w:val="none"/>
        </w:rPr>
        <w:t>29.4 验收合格的项目，采购人将根据采购合同的约定及时向供应商支付采购资金、退还履约保证金。由于中标人原因超过时间达不到要求的或验收不能过的，中标人须退还已付货款，履约保证金不予退还，赔偿采购人损失，并报有关部门处理。采购合同的履行、违约责任和解决争议的方式等适用《中华人民共和国民法典》。供应商在履约过程中有政府采购法律法规规定的违法违规情形的，采购人应当及时报告本级财政部门</w:t>
      </w:r>
      <w:r>
        <w:rPr>
          <w:rFonts w:hint="eastAsia"/>
          <w:color w:val="auto"/>
          <w:highlight w:val="none"/>
        </w:rPr>
        <w:t>。</w:t>
      </w:r>
    </w:p>
    <w:p>
      <w:pPr>
        <w:pStyle w:val="28"/>
        <w:tabs>
          <w:tab w:val="clear" w:pos="900"/>
        </w:tabs>
        <w:snapToGrid w:val="0"/>
        <w:spacing w:before="0" w:beforeLines="0" w:after="0" w:afterLines="0" w:line="360" w:lineRule="exact"/>
        <w:outlineLvl w:val="1"/>
        <w:rPr>
          <w:rFonts w:hint="eastAsia" w:hAnsi="宋体" w:cs="宋体"/>
          <w:color w:val="auto"/>
          <w:sz w:val="21"/>
          <w:szCs w:val="21"/>
          <w:highlight w:val="none"/>
        </w:rPr>
      </w:pPr>
    </w:p>
    <w:p>
      <w:pPr>
        <w:pStyle w:val="28"/>
        <w:snapToGrid w:val="0"/>
        <w:spacing w:before="120" w:beforeLines="0" w:after="240" w:afterLines="0" w:line="240" w:lineRule="auto"/>
        <w:jc w:val="center"/>
        <w:rPr>
          <w:rFonts w:hAnsi="宋体" w:cs="宋体"/>
          <w:b/>
          <w:bCs/>
          <w:color w:val="auto"/>
          <w:sz w:val="28"/>
          <w:szCs w:val="28"/>
          <w:highlight w:val="none"/>
        </w:rPr>
      </w:pPr>
    </w:p>
    <w:p>
      <w:pPr>
        <w:rPr>
          <w:color w:val="auto"/>
          <w:highlight w:val="none"/>
        </w:rPr>
      </w:pPr>
    </w:p>
    <w:p>
      <w:pPr>
        <w:pStyle w:val="2"/>
        <w:ind w:firstLine="560"/>
        <w:rPr>
          <w:color w:val="auto"/>
          <w:highlight w:val="none"/>
        </w:rPr>
      </w:pPr>
    </w:p>
    <w:p>
      <w:pPr>
        <w:rPr>
          <w:rFonts w:hint="eastAsia"/>
          <w:color w:val="auto"/>
          <w:highlight w:val="none"/>
        </w:rPr>
      </w:pPr>
    </w:p>
    <w:p>
      <w:pPr>
        <w:pStyle w:val="5"/>
        <w:spacing w:before="100" w:beforeAutospacing="1" w:after="100" w:afterAutospacing="1" w:line="360" w:lineRule="auto"/>
        <w:jc w:val="center"/>
        <w:rPr>
          <w:rFonts w:hint="eastAsia" w:ascii="宋体" w:hAnsi="宋体" w:cs="宋体"/>
          <w:color w:val="auto"/>
          <w:kern w:val="0"/>
          <w:sz w:val="32"/>
          <w:szCs w:val="32"/>
          <w:highlight w:val="none"/>
        </w:rPr>
      </w:pPr>
      <w:r>
        <w:rPr>
          <w:rFonts w:hint="eastAsia" w:ascii="宋体" w:hAnsi="宋体" w:cs="宋体"/>
          <w:color w:val="auto"/>
          <w:sz w:val="36"/>
          <w:szCs w:val="36"/>
          <w:highlight w:val="none"/>
        </w:rPr>
        <w:t xml:space="preserve">第三部分  </w:t>
      </w:r>
      <w:r>
        <w:rPr>
          <w:rFonts w:hint="eastAsia" w:ascii="宋体" w:hAnsi="宋体" w:cs="宋体"/>
          <w:color w:val="auto"/>
          <w:kern w:val="0"/>
          <w:sz w:val="32"/>
          <w:szCs w:val="32"/>
          <w:highlight w:val="none"/>
        </w:rPr>
        <w:t>招标需求</w:t>
      </w:r>
    </w:p>
    <w:p>
      <w:pPr>
        <w:pStyle w:val="121"/>
        <w:ind w:firstLine="482"/>
        <w:rPr>
          <w:rFonts w:hint="eastAsia"/>
          <w:b/>
          <w:bCs/>
          <w:color w:val="auto"/>
          <w:kern w:val="0"/>
          <w:highlight w:val="none"/>
        </w:rPr>
      </w:pPr>
      <w:r>
        <w:rPr>
          <w:rFonts w:hint="eastAsia"/>
          <w:b/>
          <w:bCs/>
          <w:color w:val="auto"/>
          <w:highlight w:val="none"/>
        </w:rPr>
        <w:t>（标注“</w:t>
      </w:r>
      <w:r>
        <w:rPr>
          <w:rFonts w:hint="eastAsia"/>
          <w:b/>
          <w:bCs/>
          <w:color w:val="auto"/>
          <w:kern w:val="0"/>
          <w:highlight w:val="none"/>
        </w:rPr>
        <w:t>▲”的技术参数，</w:t>
      </w:r>
      <w:r>
        <w:rPr>
          <w:rFonts w:hint="eastAsia"/>
          <w:b/>
          <w:bCs/>
          <w:color w:val="auto"/>
          <w:highlight w:val="none"/>
        </w:rPr>
        <w:t>供应商所报货物必须满足（或正偏离）</w:t>
      </w:r>
      <w:r>
        <w:rPr>
          <w:rFonts w:hint="eastAsia"/>
          <w:b/>
          <w:bCs/>
          <w:color w:val="auto"/>
          <w:kern w:val="0"/>
          <w:highlight w:val="none"/>
        </w:rPr>
        <w:t>，否则将做无效投标处理。</w:t>
      </w:r>
      <w:r>
        <w:rPr>
          <w:rFonts w:hint="eastAsia"/>
          <w:b/>
          <w:bCs/>
          <w:color w:val="auto"/>
          <w:highlight w:val="none"/>
        </w:rPr>
        <w:t>技术指标（</w:t>
      </w:r>
      <w:r>
        <w:rPr>
          <w:rFonts w:hint="eastAsia"/>
          <w:b/>
          <w:bCs/>
          <w:color w:val="auto"/>
          <w:kern w:val="0"/>
          <w:highlight w:val="none"/>
          <w:lang w:bidi="ar"/>
        </w:rPr>
        <w:t>需提供</w:t>
      </w:r>
      <w:r>
        <w:rPr>
          <w:rFonts w:hint="eastAsia"/>
          <w:b/>
          <w:bCs/>
          <w:color w:val="auto"/>
          <w:kern w:val="1"/>
          <w:highlight w:val="none"/>
        </w:rPr>
        <w:t>证书、检测报告</w:t>
      </w:r>
      <w:r>
        <w:rPr>
          <w:rFonts w:hint="eastAsia"/>
          <w:b/>
          <w:bCs/>
          <w:color w:val="auto"/>
          <w:highlight w:val="none"/>
        </w:rPr>
        <w:t>）</w:t>
      </w:r>
      <w:r>
        <w:rPr>
          <w:rFonts w:hint="eastAsia"/>
          <w:b/>
          <w:bCs/>
          <w:color w:val="auto"/>
          <w:kern w:val="1"/>
          <w:highlight w:val="none"/>
        </w:rPr>
        <w:t>的要求</w:t>
      </w:r>
      <w:r>
        <w:rPr>
          <w:rFonts w:hint="eastAsia"/>
          <w:b/>
          <w:bCs/>
          <w:color w:val="auto"/>
          <w:highlight w:val="none"/>
        </w:rPr>
        <w:t>为关键性技术指标</w:t>
      </w:r>
      <w:r>
        <w:rPr>
          <w:rFonts w:hint="eastAsia"/>
          <w:b/>
          <w:bCs/>
          <w:color w:val="auto"/>
          <w:kern w:val="0"/>
          <w:highlight w:val="none"/>
        </w:rPr>
        <w:t>）</w:t>
      </w:r>
    </w:p>
    <w:p>
      <w:pPr>
        <w:rPr>
          <w:rFonts w:hint="eastAsia"/>
          <w:color w:val="auto"/>
          <w:sz w:val="24"/>
          <w:highlight w:val="none"/>
        </w:rPr>
      </w:pPr>
      <w:r>
        <w:rPr>
          <w:rFonts w:hint="eastAsia"/>
          <w:color w:val="auto"/>
          <w:sz w:val="30"/>
          <w:szCs w:val="30"/>
          <w:highlight w:val="none"/>
        </w:rPr>
        <w:t>项目清单及技术要求</w:t>
      </w:r>
    </w:p>
    <w:p>
      <w:pPr>
        <w:pStyle w:val="2"/>
        <w:numPr>
          <w:ilvl w:val="0"/>
          <w:numId w:val="7"/>
        </w:numPr>
        <w:ind w:leftChars="0" w:firstLineChars="0"/>
        <w:rPr>
          <w:b/>
          <w:bCs/>
          <w:color w:val="auto"/>
          <w:sz w:val="32"/>
          <w:szCs w:val="21"/>
          <w:highlight w:val="none"/>
        </w:rPr>
      </w:pPr>
      <w:r>
        <w:rPr>
          <w:rFonts w:hint="eastAsia"/>
          <w:b/>
          <w:bCs/>
          <w:color w:val="auto"/>
          <w:sz w:val="32"/>
          <w:szCs w:val="21"/>
          <w:highlight w:val="none"/>
        </w:rPr>
        <w:t>汇总清单</w:t>
      </w:r>
    </w:p>
    <w:tbl>
      <w:tblPr>
        <w:tblStyle w:val="53"/>
        <w:tblW w:w="9776" w:type="dxa"/>
        <w:tblInd w:w="113" w:type="dxa"/>
        <w:tblLayout w:type="autofit"/>
        <w:tblCellMar>
          <w:top w:w="0" w:type="dxa"/>
          <w:left w:w="108" w:type="dxa"/>
          <w:bottom w:w="0" w:type="dxa"/>
          <w:right w:w="108" w:type="dxa"/>
        </w:tblCellMar>
      </w:tblPr>
      <w:tblGrid>
        <w:gridCol w:w="1240"/>
        <w:gridCol w:w="3740"/>
        <w:gridCol w:w="2740"/>
        <w:gridCol w:w="2056"/>
      </w:tblGrid>
      <w:tr>
        <w:tblPrEx>
          <w:tblCellMar>
            <w:top w:w="0" w:type="dxa"/>
            <w:left w:w="108" w:type="dxa"/>
            <w:bottom w:w="0" w:type="dxa"/>
            <w:right w:w="108" w:type="dxa"/>
          </w:tblCellMar>
        </w:tblPrEx>
        <w:trPr>
          <w:trHeight w:val="487"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7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系统名称</w:t>
            </w:r>
          </w:p>
        </w:tc>
        <w:tc>
          <w:tcPr>
            <w:tcW w:w="27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配置清单</w:t>
            </w:r>
          </w:p>
        </w:tc>
        <w:tc>
          <w:tcPr>
            <w:tcW w:w="205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备注说明</w:t>
            </w:r>
          </w:p>
        </w:tc>
      </w:tr>
      <w:tr>
        <w:tblPrEx>
          <w:tblCellMar>
            <w:top w:w="0" w:type="dxa"/>
            <w:left w:w="108" w:type="dxa"/>
            <w:bottom w:w="0" w:type="dxa"/>
            <w:right w:w="108" w:type="dxa"/>
          </w:tblCellMar>
        </w:tblPrEx>
        <w:trPr>
          <w:trHeight w:val="690" w:hRule="atLeast"/>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〈一〉</w:t>
            </w:r>
          </w:p>
        </w:tc>
        <w:tc>
          <w:tcPr>
            <w:tcW w:w="37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计算机网络系统</w:t>
            </w:r>
          </w:p>
        </w:tc>
        <w:tc>
          <w:tcPr>
            <w:tcW w:w="27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05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tblPrEx>
          <w:tblCellMar>
            <w:top w:w="0" w:type="dxa"/>
            <w:left w:w="108" w:type="dxa"/>
            <w:bottom w:w="0" w:type="dxa"/>
            <w:right w:w="108" w:type="dxa"/>
          </w:tblCellMar>
        </w:tblPrEx>
        <w:trPr>
          <w:trHeight w:val="690" w:hRule="atLeast"/>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〈二〉</w:t>
            </w:r>
          </w:p>
        </w:tc>
        <w:tc>
          <w:tcPr>
            <w:tcW w:w="37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安防监控系统</w:t>
            </w:r>
          </w:p>
        </w:tc>
        <w:tc>
          <w:tcPr>
            <w:tcW w:w="27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05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tblPrEx>
          <w:tblCellMar>
            <w:top w:w="0" w:type="dxa"/>
            <w:left w:w="108" w:type="dxa"/>
            <w:bottom w:w="0" w:type="dxa"/>
            <w:right w:w="108" w:type="dxa"/>
          </w:tblCellMar>
        </w:tblPrEx>
        <w:trPr>
          <w:trHeight w:val="690" w:hRule="atLeast"/>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〈三〉</w:t>
            </w:r>
          </w:p>
        </w:tc>
        <w:tc>
          <w:tcPr>
            <w:tcW w:w="37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公共广播系统</w:t>
            </w:r>
          </w:p>
        </w:tc>
        <w:tc>
          <w:tcPr>
            <w:tcW w:w="27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05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tblPrEx>
          <w:tblCellMar>
            <w:top w:w="0" w:type="dxa"/>
            <w:left w:w="108" w:type="dxa"/>
            <w:bottom w:w="0" w:type="dxa"/>
            <w:right w:w="108" w:type="dxa"/>
          </w:tblCellMar>
        </w:tblPrEx>
        <w:trPr>
          <w:trHeight w:val="690" w:hRule="atLeast"/>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〈四〉</w:t>
            </w:r>
          </w:p>
        </w:tc>
        <w:tc>
          <w:tcPr>
            <w:tcW w:w="37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机房建设系统</w:t>
            </w:r>
          </w:p>
        </w:tc>
        <w:tc>
          <w:tcPr>
            <w:tcW w:w="27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05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tblPrEx>
          <w:tblCellMar>
            <w:top w:w="0" w:type="dxa"/>
            <w:left w:w="108" w:type="dxa"/>
            <w:bottom w:w="0" w:type="dxa"/>
            <w:right w:w="108" w:type="dxa"/>
          </w:tblCellMar>
        </w:tblPrEx>
        <w:trPr>
          <w:trHeight w:val="690"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〈五〉</w:t>
            </w:r>
          </w:p>
        </w:tc>
        <w:tc>
          <w:tcPr>
            <w:tcW w:w="37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信息发布系统</w:t>
            </w:r>
          </w:p>
        </w:tc>
        <w:tc>
          <w:tcPr>
            <w:tcW w:w="27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05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tblPrEx>
          <w:tblCellMar>
            <w:top w:w="0" w:type="dxa"/>
            <w:left w:w="108" w:type="dxa"/>
            <w:bottom w:w="0" w:type="dxa"/>
            <w:right w:w="108" w:type="dxa"/>
          </w:tblCellMar>
        </w:tblPrEx>
        <w:trPr>
          <w:trHeight w:val="690"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〈六〉</w:t>
            </w:r>
          </w:p>
        </w:tc>
        <w:tc>
          <w:tcPr>
            <w:tcW w:w="37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会议室多媒体系统</w:t>
            </w:r>
          </w:p>
        </w:tc>
        <w:tc>
          <w:tcPr>
            <w:tcW w:w="27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05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p>
        </w:tc>
      </w:tr>
      <w:tr>
        <w:tblPrEx>
          <w:tblCellMar>
            <w:top w:w="0" w:type="dxa"/>
            <w:left w:w="108" w:type="dxa"/>
            <w:bottom w:w="0" w:type="dxa"/>
            <w:right w:w="108" w:type="dxa"/>
          </w:tblCellMar>
        </w:tblPrEx>
        <w:trPr>
          <w:trHeight w:val="690"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〈七〉</w:t>
            </w:r>
          </w:p>
        </w:tc>
        <w:tc>
          <w:tcPr>
            <w:tcW w:w="37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中庭多媒体系统</w:t>
            </w:r>
          </w:p>
        </w:tc>
        <w:tc>
          <w:tcPr>
            <w:tcW w:w="27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05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p>
        </w:tc>
      </w:tr>
      <w:tr>
        <w:tblPrEx>
          <w:tblCellMar>
            <w:top w:w="0" w:type="dxa"/>
            <w:left w:w="108" w:type="dxa"/>
            <w:bottom w:w="0" w:type="dxa"/>
            <w:right w:w="108" w:type="dxa"/>
          </w:tblCellMar>
        </w:tblPrEx>
        <w:trPr>
          <w:trHeight w:val="690"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〈八〉</w:t>
            </w:r>
          </w:p>
        </w:tc>
        <w:tc>
          <w:tcPr>
            <w:tcW w:w="37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智能巡检系统</w:t>
            </w:r>
          </w:p>
        </w:tc>
        <w:tc>
          <w:tcPr>
            <w:tcW w:w="27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05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p>
        </w:tc>
      </w:tr>
    </w:tbl>
    <w:p>
      <w:pPr>
        <w:rPr>
          <w:rFonts w:hint="eastAsia"/>
          <w:color w:val="auto"/>
          <w:highlight w:val="none"/>
        </w:rPr>
      </w:pPr>
    </w:p>
    <w:p>
      <w:pPr>
        <w:pStyle w:val="2"/>
        <w:numPr>
          <w:ilvl w:val="0"/>
          <w:numId w:val="7"/>
        </w:numPr>
        <w:ind w:leftChars="0" w:firstLineChars="0"/>
        <w:rPr>
          <w:b/>
          <w:bCs/>
          <w:color w:val="auto"/>
          <w:sz w:val="32"/>
          <w:szCs w:val="21"/>
          <w:highlight w:val="none"/>
        </w:rPr>
      </w:pPr>
      <w:r>
        <w:rPr>
          <w:rFonts w:hint="eastAsia"/>
          <w:b/>
          <w:bCs/>
          <w:color w:val="auto"/>
          <w:sz w:val="32"/>
          <w:szCs w:val="21"/>
          <w:highlight w:val="none"/>
        </w:rPr>
        <w:t>分项清单</w:t>
      </w:r>
    </w:p>
    <w:p>
      <w:pPr>
        <w:pStyle w:val="2"/>
        <w:numPr>
          <w:ilvl w:val="0"/>
          <w:numId w:val="8"/>
        </w:numPr>
        <w:ind w:leftChars="0" w:firstLineChars="0"/>
        <w:rPr>
          <w:rFonts w:hint="eastAsia"/>
          <w:b/>
          <w:bCs/>
          <w:color w:val="auto"/>
          <w:highlight w:val="none"/>
        </w:rPr>
      </w:pPr>
      <w:r>
        <w:rPr>
          <w:rFonts w:hint="eastAsia"/>
          <w:b/>
          <w:bCs/>
          <w:color w:val="auto"/>
          <w:highlight w:val="none"/>
        </w:rPr>
        <w:t>计算机网络系统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18"/>
        <w:gridCol w:w="2126"/>
        <w:gridCol w:w="2268"/>
        <w:gridCol w:w="99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21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12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226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c>
          <w:tcPr>
            <w:tcW w:w="993"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99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27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机房后端设备</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防火墙</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无线控制器</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核心交换机</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24口POE交换机</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光纤模块</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1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楼层无线设备</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放装AP</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20</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消控室、门卫室设备</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24口千兆交换机</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光纤模块</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旧馆网络改造设备</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24口千兆交换机</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光纤模块</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网络语音线材及配件</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机柜</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光纤线材及配件</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网络+语音跳线及配件</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5</w:t>
            </w:r>
          </w:p>
        </w:tc>
        <w:tc>
          <w:tcPr>
            <w:tcW w:w="1218" w:type="dxa"/>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After w:w="0" w:type="dxa"/>
          <w:trHeight w:val="480" w:hRule="atLeast"/>
        </w:trPr>
        <w:tc>
          <w:tcPr>
            <w:tcW w:w="18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655" w:type="dxa"/>
            <w:gridSpan w:val="5"/>
            <w:tcBorders>
              <w:top w:val="single" w:color="auto" w:sz="4" w:space="0"/>
              <w:left w:val="nil"/>
              <w:bottom w:val="single" w:color="auto" w:sz="4" w:space="0"/>
              <w:right w:val="single" w:color="000000" w:sz="4" w:space="0"/>
            </w:tcBorders>
            <w:noWrap w:val="0"/>
            <w:vAlign w:val="center"/>
          </w:tcPr>
          <w:p>
            <w:pPr>
              <w:widowControl/>
              <w:jc w:val="left"/>
              <w:rPr>
                <w:rFonts w:hint="eastAsia"/>
                <w:b/>
                <w:bCs/>
                <w:color w:val="auto"/>
                <w:kern w:val="0"/>
                <w:sz w:val="24"/>
                <w:highlight w:val="none"/>
              </w:rPr>
            </w:pPr>
            <w:r>
              <w:rPr>
                <w:rFonts w:hint="eastAsia"/>
                <w:b/>
                <w:bCs/>
                <w:color w:val="auto"/>
                <w:highlight w:val="none"/>
              </w:rPr>
              <w:t>详见技术需求</w:t>
            </w:r>
          </w:p>
        </w:tc>
      </w:tr>
    </w:tbl>
    <w:p>
      <w:pPr>
        <w:pStyle w:val="2"/>
        <w:ind w:left="0" w:leftChars="0" w:firstLine="0" w:firstLineChars="0"/>
        <w:rPr>
          <w:rFonts w:hint="eastAsia"/>
          <w:color w:val="auto"/>
          <w:highlight w:val="none"/>
        </w:rPr>
      </w:pPr>
    </w:p>
    <w:p>
      <w:pPr>
        <w:pStyle w:val="2"/>
        <w:numPr>
          <w:ilvl w:val="0"/>
          <w:numId w:val="8"/>
        </w:numPr>
        <w:ind w:leftChars="0" w:firstLineChars="0"/>
        <w:rPr>
          <w:b/>
          <w:bCs/>
          <w:color w:val="auto"/>
          <w:highlight w:val="none"/>
        </w:rPr>
      </w:pPr>
      <w:r>
        <w:rPr>
          <w:rFonts w:hint="eastAsia"/>
          <w:b/>
          <w:bCs/>
          <w:color w:val="auto"/>
          <w:highlight w:val="none"/>
        </w:rPr>
        <w:t>安防监控系统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18"/>
        <w:gridCol w:w="2126"/>
        <w:gridCol w:w="2268"/>
        <w:gridCol w:w="99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21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12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226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c>
          <w:tcPr>
            <w:tcW w:w="993"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99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27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视频监控设备</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电梯专用彩色摄像机</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无线网桥</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对</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星光级半球摄像机</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40</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星光级筒型摄像机</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摄像机支架</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室内180°全景半球摄像机</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人脸抓拍摄像机</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客流统计摄像头</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人脸超脑</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存储服务器</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可视化管理软件</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平台服务器</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24口非网管POE交换机</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12路解码器</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46寸拼接屏</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拼接屏支架</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4路高清解码器</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操作台</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控制终端</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4</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门禁设备</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门禁机A款</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门禁机B款</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门禁套件</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测温设备</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测温摄像头</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bottom"/>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三脚架</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控制终端</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r>
              <w:rPr>
                <w:rFonts w:ascii="宋体" w:hAnsi="宋体" w:cs="宋体"/>
                <w:color w:val="auto"/>
                <w:kern w:val="0"/>
                <w:sz w:val="20"/>
                <w:szCs w:val="20"/>
                <w:highlight w:val="none"/>
              </w:rPr>
              <w:t>7</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测温显示屏及支架</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1218" w:type="dxa"/>
            <w:vMerge w:val="restart"/>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库房红外报警设备</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16路报警主机</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29</w:t>
            </w:r>
          </w:p>
        </w:tc>
        <w:tc>
          <w:tcPr>
            <w:tcW w:w="1218" w:type="dxa"/>
            <w:vMerge w:val="continue"/>
            <w:shd w:val="clear" w:color="000000" w:fill="FFFFFF"/>
            <w:noWrap w:val="0"/>
            <w:vAlign w:val="center"/>
          </w:tcPr>
          <w:p>
            <w:pPr>
              <w:jc w:val="center"/>
              <w:rPr>
                <w:rFonts w:hint="eastAsia"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单防区模块</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1276" w:type="dxa"/>
            <w:shd w:val="clear" w:color="000000" w:fill="FFFFFF"/>
            <w:noWrap w:val="0"/>
            <w:vAlign w:val="bottom"/>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1218" w:type="dxa"/>
            <w:vMerge w:val="continue"/>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键盘</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31</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警号、警灯</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壁挂式红外微波双鉴探测器</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33</w:t>
            </w:r>
          </w:p>
        </w:tc>
        <w:tc>
          <w:tcPr>
            <w:tcW w:w="1218" w:type="dxa"/>
            <w:vMerge w:val="restart"/>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视频线缆及配件</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34</w:t>
            </w:r>
          </w:p>
        </w:tc>
        <w:tc>
          <w:tcPr>
            <w:tcW w:w="1218"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电源线缆及配件</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35</w:t>
            </w:r>
          </w:p>
        </w:tc>
        <w:tc>
          <w:tcPr>
            <w:tcW w:w="12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226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After w:w="0" w:type="dxa"/>
          <w:trHeight w:val="480" w:hRule="atLeast"/>
        </w:trPr>
        <w:tc>
          <w:tcPr>
            <w:tcW w:w="183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655" w:type="dxa"/>
            <w:gridSpan w:val="5"/>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b/>
                <w:bCs/>
                <w:color w:val="auto"/>
                <w:kern w:val="0"/>
                <w:sz w:val="22"/>
                <w:szCs w:val="22"/>
                <w:highlight w:val="none"/>
              </w:rPr>
            </w:pPr>
            <w:r>
              <w:rPr>
                <w:rFonts w:hint="eastAsia"/>
                <w:b/>
                <w:bCs/>
                <w:color w:val="auto"/>
                <w:highlight w:val="none"/>
              </w:rPr>
              <w:t>详见技术需求</w:t>
            </w:r>
          </w:p>
        </w:tc>
      </w:tr>
    </w:tbl>
    <w:p>
      <w:pPr>
        <w:pStyle w:val="2"/>
        <w:ind w:left="0" w:leftChars="0" w:firstLine="0" w:firstLineChars="0"/>
        <w:rPr>
          <w:rFonts w:hint="eastAsia"/>
          <w:color w:val="auto"/>
          <w:highlight w:val="none"/>
        </w:rPr>
      </w:pPr>
    </w:p>
    <w:p>
      <w:pPr>
        <w:pStyle w:val="2"/>
        <w:numPr>
          <w:ilvl w:val="0"/>
          <w:numId w:val="8"/>
        </w:numPr>
        <w:ind w:leftChars="0" w:firstLineChars="0"/>
        <w:rPr>
          <w:b/>
          <w:bCs/>
          <w:color w:val="auto"/>
          <w:highlight w:val="none"/>
        </w:rPr>
      </w:pPr>
      <w:r>
        <w:rPr>
          <w:rFonts w:hint="eastAsia"/>
          <w:b/>
          <w:bCs/>
          <w:color w:val="auto"/>
          <w:highlight w:val="none"/>
        </w:rPr>
        <w:t>公共广播系统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360"/>
        <w:gridCol w:w="2100"/>
        <w:gridCol w:w="2152"/>
        <w:gridCol w:w="99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360"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100"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215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c>
          <w:tcPr>
            <w:tcW w:w="993"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99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27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360"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广播设备</w:t>
            </w: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智能广播控制器</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36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智能播放终端</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36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前置放大器</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36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广播话筒</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36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一拖二远距离无线话筒</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36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电源时序器</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tcBorders>
              <w:bottom w:val="single" w:color="auto" w:sz="4" w:space="0"/>
            </w:tcBorders>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360" w:type="dxa"/>
            <w:vMerge w:val="continue"/>
            <w:tcBorders>
              <w:bottom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tcBorders>
              <w:bottom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机柜</w:t>
            </w:r>
          </w:p>
        </w:tc>
        <w:tc>
          <w:tcPr>
            <w:tcW w:w="2152" w:type="dxa"/>
            <w:tcBorders>
              <w:bottom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tcBorders>
              <w:bottom w:val="single" w:color="auto" w:sz="4" w:space="0"/>
            </w:tcBorders>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tcBorders>
              <w:bottom w:val="single" w:color="auto" w:sz="4" w:space="0"/>
            </w:tcBorders>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276" w:type="dxa"/>
            <w:tcBorders>
              <w:bottom w:val="single" w:color="auto" w:sz="4" w:space="0"/>
            </w:tcBorders>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36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控制终端</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360" w:type="dxa"/>
            <w:vMerge w:val="continue"/>
            <w:shd w:val="clear" w:color="000000" w:fill="FFFFFF"/>
            <w:noWrap w:val="0"/>
            <w:vAlign w:val="center"/>
          </w:tcPr>
          <w:p>
            <w:pPr>
              <w:widowControl/>
              <w:jc w:val="center"/>
              <w:rPr>
                <w:rFonts w:hint="eastAsia" w:ascii="宋体" w:hAnsi="宋体" w:cs="宋体"/>
                <w:strike/>
                <w:color w:val="auto"/>
                <w:kern w:val="0"/>
                <w:sz w:val="20"/>
                <w:szCs w:val="20"/>
                <w:highlight w:val="none"/>
              </w:rPr>
            </w:pPr>
          </w:p>
        </w:tc>
        <w:tc>
          <w:tcPr>
            <w:tcW w:w="210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定压功放500W</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36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210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线材及配件</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360" w:type="dxa"/>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10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After w:w="0" w:type="dxa"/>
          <w:trHeight w:val="48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513"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
                <w:bCs/>
                <w:color w:val="auto"/>
                <w:kern w:val="0"/>
                <w:sz w:val="22"/>
                <w:szCs w:val="22"/>
                <w:highlight w:val="none"/>
              </w:rPr>
            </w:pPr>
            <w:r>
              <w:rPr>
                <w:rFonts w:hint="eastAsia"/>
                <w:b/>
                <w:bCs/>
                <w:color w:val="auto"/>
                <w:highlight w:val="none"/>
              </w:rPr>
              <w:t>详见技术需求</w:t>
            </w:r>
          </w:p>
        </w:tc>
      </w:tr>
    </w:tbl>
    <w:p>
      <w:pPr>
        <w:pStyle w:val="2"/>
        <w:ind w:left="0" w:leftChars="0" w:firstLine="0" w:firstLineChars="0"/>
        <w:rPr>
          <w:rFonts w:hint="eastAsia"/>
          <w:color w:val="auto"/>
          <w:highlight w:val="none"/>
        </w:rPr>
      </w:pPr>
    </w:p>
    <w:p>
      <w:pPr>
        <w:pStyle w:val="2"/>
        <w:numPr>
          <w:ilvl w:val="0"/>
          <w:numId w:val="8"/>
        </w:numPr>
        <w:ind w:leftChars="0" w:firstLineChars="0"/>
        <w:rPr>
          <w:b/>
          <w:bCs/>
          <w:color w:val="auto"/>
          <w:highlight w:val="none"/>
        </w:rPr>
      </w:pPr>
      <w:r>
        <w:rPr>
          <w:rFonts w:hint="eastAsia"/>
          <w:b/>
          <w:bCs/>
          <w:color w:val="auto"/>
          <w:highlight w:val="none"/>
        </w:rPr>
        <w:t>机房建设系统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440"/>
        <w:gridCol w:w="2020"/>
        <w:gridCol w:w="2152"/>
        <w:gridCol w:w="99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40"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020"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215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c>
          <w:tcPr>
            <w:tcW w:w="993"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99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27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44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一体化微机房设备</w:t>
            </w: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微型智能机房</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440"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不间断电源设备</w:t>
            </w: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UPS主机</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44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蓄电池</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节</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44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电池柜</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组</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44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配电柜</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440" w:type="dxa"/>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电缆</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440" w:type="dxa"/>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After w:w="0" w:type="dxa"/>
          <w:trHeight w:val="480" w:hRule="atLeast"/>
        </w:trPr>
        <w:tc>
          <w:tcPr>
            <w:tcW w:w="206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433" w:type="dxa"/>
            <w:gridSpan w:val="5"/>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b/>
                <w:bCs/>
                <w:color w:val="auto"/>
                <w:kern w:val="0"/>
                <w:sz w:val="22"/>
                <w:szCs w:val="22"/>
                <w:highlight w:val="none"/>
              </w:rPr>
            </w:pPr>
            <w:r>
              <w:rPr>
                <w:rFonts w:hint="eastAsia"/>
                <w:b/>
                <w:bCs/>
                <w:color w:val="auto"/>
                <w:highlight w:val="none"/>
              </w:rPr>
              <w:t>详见技术需求</w:t>
            </w:r>
          </w:p>
        </w:tc>
      </w:tr>
    </w:tbl>
    <w:p>
      <w:pPr>
        <w:pStyle w:val="2"/>
        <w:ind w:left="0" w:leftChars="0" w:firstLine="0" w:firstLineChars="0"/>
        <w:rPr>
          <w:rFonts w:hint="eastAsia"/>
          <w:color w:val="auto"/>
          <w:highlight w:val="none"/>
        </w:rPr>
      </w:pPr>
    </w:p>
    <w:p>
      <w:pPr>
        <w:pStyle w:val="2"/>
        <w:numPr>
          <w:ilvl w:val="0"/>
          <w:numId w:val="8"/>
        </w:numPr>
        <w:ind w:leftChars="0" w:firstLineChars="0"/>
        <w:rPr>
          <w:b/>
          <w:bCs/>
          <w:color w:val="auto"/>
          <w:highlight w:val="none"/>
        </w:rPr>
      </w:pPr>
      <w:r>
        <w:rPr>
          <w:rFonts w:hint="eastAsia"/>
          <w:b/>
          <w:bCs/>
          <w:color w:val="auto"/>
          <w:highlight w:val="none"/>
        </w:rPr>
        <w:t>信息发布系统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18"/>
        <w:gridCol w:w="2242"/>
        <w:gridCol w:w="2152"/>
        <w:gridCol w:w="99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21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24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215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c>
          <w:tcPr>
            <w:tcW w:w="993"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99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27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户外信息发布屏</w:t>
            </w: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户外全彩LED广告屏</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4.5</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LED播放软件</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left"/>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播放盒</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left"/>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扩音设备及线缆</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276" w:type="dxa"/>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18" w:type="dxa"/>
            <w:vMerge w:val="restart"/>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室内信息发布屏</w:t>
            </w: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云屏A款</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18"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云屏B款</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18"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智能交互平板</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218" w:type="dxa"/>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2152"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276" w:type="dxa"/>
            <w:shd w:val="clear" w:color="000000" w:fill="FFFFFF"/>
            <w:noWrap w:val="0"/>
            <w:vAlign w:val="center"/>
          </w:tcPr>
          <w:p>
            <w:pPr>
              <w:widowControl/>
              <w:jc w:val="center"/>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trPr>
        <w:tc>
          <w:tcPr>
            <w:tcW w:w="1838" w:type="dxa"/>
            <w:gridSpan w:val="2"/>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655" w:type="dxa"/>
            <w:gridSpan w:val="5"/>
            <w:noWrap w:val="0"/>
            <w:vAlign w:val="center"/>
          </w:tcPr>
          <w:p>
            <w:pPr>
              <w:widowControl/>
              <w:jc w:val="left"/>
              <w:rPr>
                <w:rFonts w:hint="eastAsia" w:ascii="宋体" w:hAnsi="宋体" w:cs="宋体"/>
                <w:b/>
                <w:bCs/>
                <w:color w:val="auto"/>
                <w:kern w:val="0"/>
                <w:sz w:val="20"/>
                <w:szCs w:val="20"/>
                <w:highlight w:val="none"/>
              </w:rPr>
            </w:pPr>
            <w:r>
              <w:rPr>
                <w:rFonts w:hint="eastAsia"/>
                <w:b/>
                <w:bCs/>
                <w:color w:val="auto"/>
                <w:highlight w:val="none"/>
              </w:rPr>
              <w:t>详见技术需求</w:t>
            </w:r>
          </w:p>
        </w:tc>
      </w:tr>
    </w:tbl>
    <w:p>
      <w:pPr>
        <w:pStyle w:val="2"/>
        <w:ind w:left="0" w:leftChars="0" w:firstLine="0" w:firstLineChars="0"/>
        <w:rPr>
          <w:rFonts w:hint="eastAsia"/>
          <w:color w:val="auto"/>
          <w:highlight w:val="none"/>
        </w:rPr>
      </w:pPr>
    </w:p>
    <w:p>
      <w:pPr>
        <w:pStyle w:val="2"/>
        <w:numPr>
          <w:ilvl w:val="0"/>
          <w:numId w:val="8"/>
        </w:numPr>
        <w:ind w:leftChars="0" w:firstLineChars="0"/>
        <w:rPr>
          <w:rFonts w:hint="eastAsia"/>
          <w:b/>
          <w:bCs/>
          <w:color w:val="auto"/>
          <w:highlight w:val="none"/>
        </w:rPr>
      </w:pPr>
      <w:r>
        <w:rPr>
          <w:rFonts w:hint="eastAsia"/>
          <w:b/>
          <w:bCs/>
          <w:color w:val="auto"/>
          <w:highlight w:val="none"/>
        </w:rPr>
        <w:t>会议室多媒体系统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30"/>
        <w:gridCol w:w="1997"/>
        <w:gridCol w:w="2201"/>
        <w:gridCol w:w="99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330"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1997"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2201"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c>
          <w:tcPr>
            <w:tcW w:w="993"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99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27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330" w:type="dxa"/>
            <w:vMerge w:val="restart"/>
            <w:shd w:val="clear" w:color="000000" w:fill="FFFFFF"/>
            <w:noWrap w:val="0"/>
            <w:vAlign w:val="center"/>
          </w:tcPr>
          <w:p>
            <w:pPr>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大屏显示设备</w:t>
            </w: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室内LED全彩显示屏</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11.06</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视频处理器</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屏体配电系统</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结构</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11.06</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工程线缆</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无线传屏</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高清信号分配器</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控制终端</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330" w:type="dxa"/>
            <w:vMerge w:val="restart"/>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录播设备</w:t>
            </w: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会议录播终端</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会议摄像头</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330" w:type="dxa"/>
            <w:vMerge w:val="restart"/>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音响设备</w:t>
            </w: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主扩音柱</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辅助音柱</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主扩音柱功放</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辅助音柱功放</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调音台</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音频处理器</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一拖二手持无线话筒</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一拖二头戴无线话筒</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一拖四鹅颈无线话筒</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时序电源</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330" w:type="dxa"/>
            <w:vMerge w:val="restart"/>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配套设备</w:t>
            </w: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多媒体插座</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机柜</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1330" w:type="dxa"/>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线材及配件</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1330" w:type="dxa"/>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220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993"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34" w:type="dxa"/>
            <w:gridSpan w:val="2"/>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b/>
                <w:bCs/>
                <w:color w:val="auto"/>
                <w:kern w:val="0"/>
                <w:sz w:val="24"/>
                <w:highlight w:val="none"/>
              </w:rPr>
              <w:t>备注说明</w:t>
            </w:r>
          </w:p>
        </w:tc>
        <w:tc>
          <w:tcPr>
            <w:tcW w:w="7459" w:type="dxa"/>
            <w:gridSpan w:val="5"/>
            <w:shd w:val="clear" w:color="000000" w:fill="FFFFFF"/>
            <w:noWrap w:val="0"/>
            <w:vAlign w:val="center"/>
          </w:tcPr>
          <w:p>
            <w:pPr>
              <w:widowControl/>
              <w:rPr>
                <w:rFonts w:hint="eastAsia"/>
                <w:color w:val="auto"/>
                <w:sz w:val="18"/>
                <w:szCs w:val="18"/>
                <w:highlight w:val="none"/>
              </w:rPr>
            </w:pPr>
            <w:r>
              <w:rPr>
                <w:rFonts w:hint="eastAsia"/>
                <w:b/>
                <w:bCs/>
                <w:color w:val="auto"/>
                <w:highlight w:val="none"/>
              </w:rPr>
              <w:t>详见技术需求</w:t>
            </w:r>
          </w:p>
        </w:tc>
      </w:tr>
    </w:tbl>
    <w:p>
      <w:pPr>
        <w:pStyle w:val="2"/>
        <w:ind w:left="0" w:leftChars="0" w:firstLine="0" w:firstLineChars="0"/>
        <w:rPr>
          <w:color w:val="auto"/>
          <w:highlight w:val="none"/>
        </w:rPr>
      </w:pPr>
    </w:p>
    <w:p>
      <w:pPr>
        <w:pStyle w:val="2"/>
        <w:numPr>
          <w:ilvl w:val="0"/>
          <w:numId w:val="8"/>
        </w:numPr>
        <w:ind w:leftChars="0" w:firstLineChars="0"/>
        <w:rPr>
          <w:b/>
          <w:bCs/>
          <w:color w:val="auto"/>
          <w:highlight w:val="none"/>
        </w:rPr>
      </w:pPr>
      <w:r>
        <w:rPr>
          <w:rFonts w:hint="eastAsia"/>
          <w:b/>
          <w:bCs/>
          <w:color w:val="auto"/>
          <w:highlight w:val="none"/>
        </w:rPr>
        <w:t>中庭多媒体系统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440"/>
        <w:gridCol w:w="2471"/>
        <w:gridCol w:w="1843"/>
        <w:gridCol w:w="851"/>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40"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471"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1843"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c>
          <w:tcPr>
            <w:tcW w:w="851"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99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27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44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大屏显示设备</w:t>
            </w: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智能交互平板</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440"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音响设备</w:t>
            </w: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有源全频音箱</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调音台</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手持无线话筒（一拖二）</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头戴无线话筒（一拖二）</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时序电源</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440" w:type="dxa"/>
            <w:vMerge w:val="restart"/>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配套设备</w:t>
            </w: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音箱支架</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44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话筒支架</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44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多媒体插座</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全频音箱航空箱</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控制机柜航空箱</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线材存储航空箱</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440" w:type="dxa"/>
            <w:vMerge w:val="restart"/>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信号电源组合线</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跳线及接插件</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color w:val="auto"/>
                <w:sz w:val="20"/>
                <w:szCs w:val="20"/>
                <w:highlight w:val="none"/>
              </w:rPr>
              <w:t>线材及配件</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color w:val="auto"/>
                <w:sz w:val="20"/>
                <w:szCs w:val="20"/>
                <w:highlight w:val="none"/>
              </w:rPr>
              <w:t>详见技术需求</w:t>
            </w:r>
          </w:p>
        </w:tc>
        <w:tc>
          <w:tcPr>
            <w:tcW w:w="85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color w:val="auto"/>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color w:val="auto"/>
                <w:sz w:val="20"/>
                <w:szCs w:val="20"/>
                <w:highlight w:val="none"/>
              </w:rPr>
              <w:t>批</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6</w:t>
            </w:r>
          </w:p>
        </w:tc>
        <w:tc>
          <w:tcPr>
            <w:tcW w:w="1440" w:type="dxa"/>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1843"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27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After w:w="0" w:type="dxa"/>
          <w:trHeight w:val="480" w:hRule="atLeast"/>
        </w:trPr>
        <w:tc>
          <w:tcPr>
            <w:tcW w:w="206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433" w:type="dxa"/>
            <w:gridSpan w:val="5"/>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b/>
                <w:bCs/>
                <w:color w:val="auto"/>
                <w:kern w:val="0"/>
                <w:sz w:val="20"/>
                <w:szCs w:val="20"/>
                <w:highlight w:val="none"/>
              </w:rPr>
            </w:pPr>
            <w:r>
              <w:rPr>
                <w:rFonts w:hint="eastAsia"/>
                <w:b/>
                <w:bCs/>
                <w:color w:val="auto"/>
                <w:highlight w:val="none"/>
              </w:rPr>
              <w:t>详见技术需求</w:t>
            </w:r>
          </w:p>
        </w:tc>
      </w:tr>
    </w:tbl>
    <w:p>
      <w:pPr>
        <w:pStyle w:val="2"/>
        <w:ind w:left="0" w:leftChars="0" w:firstLine="0" w:firstLineChars="0"/>
        <w:rPr>
          <w:color w:val="auto"/>
          <w:highlight w:val="none"/>
        </w:rPr>
      </w:pPr>
    </w:p>
    <w:p>
      <w:pPr>
        <w:pStyle w:val="2"/>
        <w:numPr>
          <w:ilvl w:val="0"/>
          <w:numId w:val="8"/>
        </w:numPr>
        <w:ind w:leftChars="0" w:firstLineChars="0"/>
        <w:rPr>
          <w:rFonts w:hint="eastAsia"/>
          <w:b/>
          <w:bCs/>
          <w:color w:val="auto"/>
          <w:highlight w:val="none"/>
        </w:rPr>
      </w:pPr>
      <w:r>
        <w:rPr>
          <w:rFonts w:hint="eastAsia"/>
          <w:b/>
          <w:bCs/>
          <w:color w:val="auto"/>
          <w:highlight w:val="none"/>
        </w:rPr>
        <w:t>智能巡检系统</w:t>
      </w:r>
    </w:p>
    <w:tbl>
      <w:tblPr>
        <w:tblStyle w:val="53"/>
        <w:tblW w:w="9493" w:type="dxa"/>
        <w:tblInd w:w="113" w:type="dxa"/>
        <w:tblLayout w:type="autofit"/>
        <w:tblCellMar>
          <w:top w:w="0" w:type="dxa"/>
          <w:left w:w="108" w:type="dxa"/>
          <w:bottom w:w="0" w:type="dxa"/>
          <w:right w:w="108" w:type="dxa"/>
        </w:tblCellMar>
      </w:tblPr>
      <w:tblGrid>
        <w:gridCol w:w="620"/>
        <w:gridCol w:w="1440"/>
        <w:gridCol w:w="2188"/>
        <w:gridCol w:w="2126"/>
        <w:gridCol w:w="851"/>
        <w:gridCol w:w="992"/>
        <w:gridCol w:w="1276"/>
      </w:tblGrid>
      <w:tr>
        <w:tblPrEx>
          <w:tblCellMar>
            <w:top w:w="0" w:type="dxa"/>
            <w:left w:w="108" w:type="dxa"/>
            <w:bottom w:w="0" w:type="dxa"/>
            <w:right w:w="108" w:type="dxa"/>
          </w:tblCellMar>
        </w:tblPrEx>
        <w:trPr>
          <w:trHeight w:val="45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4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18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212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备注说明</w:t>
            </w:r>
          </w:p>
        </w:tc>
      </w:tr>
      <w:tr>
        <w:tblPrEx>
          <w:tblCellMar>
            <w:top w:w="0" w:type="dxa"/>
            <w:left w:w="108" w:type="dxa"/>
            <w:bottom w:w="0" w:type="dxa"/>
            <w:right w:w="108" w:type="dxa"/>
          </w:tblCellMar>
        </w:tblPrEx>
        <w:trPr>
          <w:trHeight w:val="450" w:hRule="atLeast"/>
        </w:trPr>
        <w:tc>
          <w:tcPr>
            <w:tcW w:w="6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4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智能巡检设备</w:t>
            </w:r>
          </w:p>
        </w:tc>
        <w:tc>
          <w:tcPr>
            <w:tcW w:w="218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智能巡检管理平台</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6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4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218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智能巡检器</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6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4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18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详见技术需求</w:t>
            </w: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CellMar>
            <w:top w:w="0" w:type="dxa"/>
            <w:left w:w="108" w:type="dxa"/>
            <w:bottom w:w="0" w:type="dxa"/>
            <w:right w:w="108" w:type="dxa"/>
          </w:tblCellMar>
        </w:tblPrEx>
        <w:trPr>
          <w:wAfter w:w="0" w:type="dxa"/>
          <w:trHeight w:val="480" w:hRule="atLeast"/>
        </w:trPr>
        <w:tc>
          <w:tcPr>
            <w:tcW w:w="206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433" w:type="dxa"/>
            <w:gridSpan w:val="5"/>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b/>
                <w:bCs/>
                <w:color w:val="auto"/>
                <w:kern w:val="0"/>
                <w:sz w:val="20"/>
                <w:szCs w:val="20"/>
                <w:highlight w:val="none"/>
              </w:rPr>
            </w:pPr>
            <w:r>
              <w:rPr>
                <w:rFonts w:hint="eastAsia"/>
                <w:b/>
                <w:bCs/>
                <w:color w:val="auto"/>
                <w:highlight w:val="none"/>
              </w:rPr>
              <w:t>详见技术需求</w:t>
            </w:r>
          </w:p>
        </w:tc>
      </w:tr>
    </w:tbl>
    <w:p>
      <w:pPr>
        <w:pStyle w:val="2"/>
        <w:ind w:left="0" w:leftChars="0" w:firstLine="0" w:firstLineChars="0"/>
        <w:rPr>
          <w:rFonts w:hint="eastAsia"/>
          <w:color w:val="auto"/>
          <w:highlight w:val="none"/>
        </w:rPr>
      </w:pPr>
    </w:p>
    <w:p>
      <w:pPr>
        <w:pStyle w:val="2"/>
        <w:numPr>
          <w:ilvl w:val="0"/>
          <w:numId w:val="7"/>
        </w:numPr>
        <w:ind w:leftChars="0" w:firstLineChars="0"/>
        <w:rPr>
          <w:rFonts w:hint="eastAsia"/>
          <w:b/>
          <w:bCs/>
          <w:color w:val="auto"/>
          <w:sz w:val="32"/>
          <w:szCs w:val="21"/>
          <w:highlight w:val="none"/>
        </w:rPr>
      </w:pPr>
      <w:r>
        <w:rPr>
          <w:rFonts w:hint="eastAsia"/>
          <w:b/>
          <w:bCs/>
          <w:color w:val="auto"/>
          <w:sz w:val="32"/>
          <w:szCs w:val="21"/>
          <w:highlight w:val="none"/>
        </w:rPr>
        <w:t>技术需求</w:t>
      </w:r>
    </w:p>
    <w:p>
      <w:pPr>
        <w:pStyle w:val="2"/>
        <w:numPr>
          <w:ilvl w:val="0"/>
          <w:numId w:val="9"/>
        </w:numPr>
        <w:ind w:leftChars="0" w:firstLineChars="0"/>
        <w:rPr>
          <w:b/>
          <w:bCs/>
          <w:color w:val="auto"/>
          <w:highlight w:val="none"/>
        </w:rPr>
      </w:pPr>
      <w:r>
        <w:rPr>
          <w:rFonts w:hint="eastAsia"/>
          <w:b/>
          <w:bCs/>
          <w:color w:val="auto"/>
          <w:highlight w:val="none"/>
        </w:rPr>
        <w:t>计算机网络系统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18"/>
        <w:gridCol w:w="127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20" w:type="dxa"/>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218" w:type="dxa"/>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1276" w:type="dxa"/>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6379" w:type="dxa"/>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机房设备</w:t>
            </w: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防火墙</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硬件要求：</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★采用MIPS多核架构。（提供官网截图证明）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接口：6个千兆电口和2个千兆光口，128G SSD硬盘存储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★性能指标：防火墙吞吐量≥2Gbps；最大并发会话数≥30万；每秒新建会话数≥15000；开启IPS+AV功能，应用吞吐量≥430Mbps。</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基本功能：</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必须支持透明、路由、混合、旁路4种工作模式，同时支持旁路模式+在线模式部署。</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根据防火墙转发策略，支持8元组（应用、用户等）进行流量镜像。（提供官网截图证明）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支持一对一、一对多，多对多的NAT，且公网地址池支持轮询和源地址保持两种模式，支持夸协议NAT转换，NAT64支持：IVI、嵌入式地址、地址池三种转换方式，NAT46支持：IVI、地址方式转换方式。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支持基于标准SYSLOG及二进制NAT的日志格式；支持二进制日志外发，支持日志服务器负载，支持3种外发方式。（提供官网截图证明）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必须支持会话控制功能，要求能够基于源、连接数做会话数限制，支持按照用户、应用、时间、接口类型、地址、服务等方式对数据进行访问控制。（提供官网截图证明）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具备对应用程序的识别和控制能力。应用程序特征库≥3000种，并支持在线更新或手动更新。（提供官网截图证明）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支持P2P节点识别，支持常见的国际应用Google、Facebook、Twitter等应用。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支持对QQ的上下线进行审计，可审计QQ账号，支持聊天行为、发消息、发文件、收消息、收文件动作控制和审计。（提供官网截图证明）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HTTP，FTP，POP3，SMTP，IMAP协议的病毒查杀、病毒库自动更新、虚拟脱壳、自定义查杀文件大小、查杀可疑病毒、可疑脚本、图片病毒、查杀邮件正文、附件、网页及下载文件中包含的病毒。（提供官网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支持攻击源地图实时展示，支持TOP 10攻击源、攻击目的、攻击事件统计。</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内置IPS特征库，特征库数量≥3000条，支持检测库11000+，兼容CVE/CNCVE,支持事件集自定义自动和手动两种更新，支持应急事件及时更新。（提供官网截图证明）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资质要求：</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提供《计算机信息系统安全专用产品销售许可证》、《中国国家信息安全产品认证证书》、《电信设备进网许可证》；防火墙系统《计算机软件著作权登记证》证书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continue"/>
            <w:noWrap w:val="0"/>
            <w:vAlign w:val="center"/>
          </w:tcPr>
          <w:p>
            <w:pPr>
              <w:widowControl/>
              <w:jc w:val="left"/>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无线控制器</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★硬件指标：千兆电口端口≥6；USB接口数≥2，并提供1个RJ-45 Console管理口。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★性能指标：在线并发用户数≥1536；本次配置可管理接入AP数量≥32，最大可支持管理接入AP数量≥512。</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总体功能：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一套系统可同时支持无线ap、ac设备管理、用户上网账号管理，即具备无线控制功能、radius认证功能和网管功能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认证及管理：。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支持portal/802.1x认证；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支持授权访客二维码认证；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支持会议访客二维码认证；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支持短信认证；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portal页面支持自定义，弹出页面大小自适应。</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能与第三方安全审计系统对接，实现满足82号令的实名制上网日志功能。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设备管理：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支持管理AP，并可扩展管理交换机，并实现集中配置。</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实配802.11a/b/g/n/ac/ac wave2、802.11i、802.11e、WMM支持能力。</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支持频谱分析功能，实现对2.4G/5G的频谱分析功能，能识别微波炉、无绳电话、蓝牙、单音多音干扰等非wifi干扰。</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★支持AP、AC间跨广域网、城域网发现、集中配置、策略下发。</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实配WAPI的加解密功能、支持WAPI认证方式。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实配基于用户（终端）数量或AP负载率（流量）的负载均衡功能。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支持AP向AC注册的如下安全接入方法：支持AP mac地址的认证；支持AP口令密码的认证；支持AP、AC双向数字证书的认证。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支持对非法AP和假冒AP的检测；支持对客户端的各种管理报文洪泛攻击检测。</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支持静态黑名单，动态黑名单等防御，对非法AP进行反制。</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AC和AP之间的管理支持CAPWAP协议。</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用户管理：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管理员帐户：</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支持根据组织结构进行账户管理，实现账户添加、删除、修改、授权等功能。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普通用户：</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用户账号支持账号名、用户手机号和邮箱方式；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普通账号可以自己开通会议账户预约；</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★当账户在不同校间调动，系统支持调入与调出校管理进行自主操做，减少账户重复注册。</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用户通过自服务程序进行修改个人信息、找回密码、修改密码、重置密码等操作。</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用户可以通过用户名、邮箱、手机号等方式作为认证ID，使用同一密码进行认证，在首次使用认证时，需进行短信验证。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vMerge w:val="continue"/>
            <w:noWrap w:val="0"/>
            <w:vAlign w:val="center"/>
          </w:tcPr>
          <w:p>
            <w:pPr>
              <w:widowControl/>
              <w:jc w:val="left"/>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核心交换机</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整机性能：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★交换容量≥590Gbps、包转发率≥270Mpps。（提供官网截图证明）（如有多重指标，以最低指标为准）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★端口规格：万兆SFP+光口≥4；千兆SFP光口≥4；千兆电口≥24。</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基本功能：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支持IPv4/IPv6静态路由、支持IPv4/IPv6 RIP、OSPF、BGP路由。（提供官网截图证明）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支持虚拟化，优雅重启（GR），CPU安全防护。</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支持sflow，以太网OAM功能，支持CFM-OAM功能，当ULPP组成员端口收到与配置匹配的CFM（超时或恢复超时）时，能够进行联动操作。</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支持IPv6 SAVI接入网源地址验证。（提供第三方权威机构出具的检测报告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支持多session 镜像。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支持抓包功能，将抓到的报文存在flash中，可导出分析。</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支持FULL EAPS功能。</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支持生成树快速收敛功能，收敛时间≤60ms。（提供第三方权威机构出具的检测报告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支持BFD for VRRP/静态路由/RIP/OSPF/BGP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资质证明：</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提供IPv4/IPv6进网许可证、IPv6 Ready Logo认证证书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18" w:type="dxa"/>
            <w:vMerge w:val="continue"/>
            <w:noWrap w:val="0"/>
            <w:vAlign w:val="center"/>
          </w:tcPr>
          <w:p>
            <w:pPr>
              <w:widowControl/>
              <w:jc w:val="left"/>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24口POE交换机</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★整机性能：交换容量≥330Gbps，包转发率≥90Mpps。（提供官网截图证明）（如有多重指标，以最低指标为准）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★端口：固化10/100/1000M以太网端口≥24（支持POE供电），非复用SFP千兆光接口≥4个，最大可用千兆口≥28，POE+输出功率≥370W。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所投产品所有千兆电接口要求符合8KV防雷，MAC 地址表≥16K，支持标准的以太网OAM功能。（提供第三方权威机构出具的检测报告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设备提供断电告警功能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支持sflow，支持端口LED shutoff功能，支持能效以太网。（ 802.3az ），支持生成树快速收敛，要求广播收敛时间小于30ms。（提供第三方权威机构出具的检测报告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支持增强型多VLAN子网流量工程,实现非环网条件下的快速收敛。</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支持G.8032，要求恢复时间小于50ms；支持ARP自动防御、防Dos攻击、CPU安全防护、动态ARP检测、DHCP Snooping per vlan等安全特性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设备支持IPV6 SAVI特性。（提供第三方权威机构出具的检测报告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★支持IPV6 DHCP Server特性。（提供第三方权威机构出具的检测报告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资质要求：</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提供工信部进网许可证、节能产品认证证书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18" w:type="dxa"/>
            <w:vMerge w:val="continue"/>
            <w:noWrap w:val="0"/>
            <w:vAlign w:val="center"/>
          </w:tcPr>
          <w:p>
            <w:pPr>
              <w:widowControl/>
              <w:jc w:val="left"/>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光纤模块</w:t>
            </w:r>
          </w:p>
        </w:tc>
        <w:tc>
          <w:tcPr>
            <w:tcW w:w="6379"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千兆光模块-SFP-单模（1310nm，SMF，10km）-LC接口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18"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无线设备</w:t>
            </w: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放装AP</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★硬件规格：10/100/1000BASE-T 端口≥2个。</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外置USB 2.0接口，便于扩展蓝牙、物联网、外置存储等应用。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内置天线设计，支持壁挂、放装、吸顶等安装方式。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支持标准PoE供电，并支持本地适配器供电。</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基础规格：</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产品形态为室内双频放装式AP，发射功率≥20dBm。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基于802.11a/b/g/n/ac/ax标准，可同时工作在802.11a/n/ac/ax、802.11b/g/n/ax模式。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性能要求：</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★支持2个11ax 2x2MU-MIMO技术，2.4G支持2条空间流、5G支持2条空间流，最大速率≥1770Mbps。（提供官网截图证明）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功能要求：</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SSID数≥32。</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支持Free Resource访问控制。（提供官网截图证明）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支持SSID的定时开启和关闭。（提供官网截图证明）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支持FIT/FAT模式可切换。</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资质要求：</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提供软件著作权证书、工信部颁发的《无线电发射设备核准证》、WIFI联盟成员证书</w:t>
            </w:r>
            <w:r>
              <w:rPr>
                <w:rFonts w:hint="eastAsia" w:ascii="宋体" w:hAnsi="宋体" w:cs="宋体"/>
                <w:color w:val="auto"/>
                <w:kern w:val="0"/>
                <w:sz w:val="20"/>
                <w:szCs w:val="20"/>
                <w:highlight w:val="none"/>
                <w:lang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消控室、门卫室</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24口千兆交换机</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★整机性能：交换容量≥330Gbps、包转发率≥90Mpps。（提供官网截图证明）（如有多重指标，以最低指标为准）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★端口：配置≥24口千兆电、4口非复用千兆光。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要求支持标准的以太网OAM功能， 要求设备提供断电告警功能， 要求设备支持sflow，要求端口LED shutoff功能。（提供第三方权威机构出具的检测报告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要求设备支持能效以太网（ 802.3az ）。（提供第三方权威机构出具的检测报告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要求设备支持生成树快速收敛，要求广播收敛时间小于30ms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支持增强型多VLAN子网流量工程,实现非环网条件下的快速收敛。</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要求设备支持G.8032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安全特性：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要求支持ARP自动防御、防Dos攻击、CPU安全防护、动态ARP检测、DHCP Snooping per vlan等安全特性。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要求设备支持IPV6 SAVI特性。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资质要求：</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提供工信部进网许可证、节能产品认证证书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光纤模块</w:t>
            </w:r>
          </w:p>
        </w:tc>
        <w:tc>
          <w:tcPr>
            <w:tcW w:w="6379"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千兆光模块-SFP-单模（1310nm，SMF，10km）-LC接口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旧馆网络改造</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24口千兆交换机</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★整机性能：交换容量≥330Gbps、包转发率≥90Mpps。（提供官网截图证明）（如有多重指标，以最低指标为准）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★端口：配置≥24口千兆电、4口非复用千兆光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要求支持标准的以太网OAM功能， 要求设备提供断电告警功能， 要求设备支持sflow，要求端口LED shutoff功能。（提供第三方权威机构出具的检测报告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要求设备支持能效以太网（ 802.3az ）。（提供第三方权威机构出具的检测报告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要求设备支持生成树快速收敛，要求广播收敛时间小于30ms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支持增强型多VLAN子网流量工程,实现非环网条件下的快速收敛。</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要求设备支持G.8032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安全特性：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要求支持ARP自动防御、防Dos攻击、CPU安全防护、动态ARP检测、DHCP Snooping per vlan等安全特性。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要求设备支持IPV6 SAVI特性。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资质要求：</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提供工信部进网许可证、节能产品认证证书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光纤模块</w:t>
            </w:r>
          </w:p>
        </w:tc>
        <w:tc>
          <w:tcPr>
            <w:tcW w:w="6379"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千兆光模块-SFP-单模（1310nm，SMF，10km）-LC接口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线材及配件</w:t>
            </w:r>
          </w:p>
        </w:tc>
        <w:tc>
          <w:tcPr>
            <w:tcW w:w="6379" w:type="dxa"/>
            <w:shd w:val="clear" w:color="000000" w:fill="FFFFFF"/>
            <w:noWrap w:val="0"/>
            <w:vAlign w:val="center"/>
          </w:tcPr>
          <w:p>
            <w:pPr>
              <w:widowControl/>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网络线、语音线等一系列配件，数量按项目需要配置。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机柜</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≥24U 600*600*1200mm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218" w:type="dxa"/>
            <w:vMerge w:val="restart"/>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1276" w:type="dxa"/>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光纤线路及</w:t>
            </w:r>
          </w:p>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配件</w:t>
            </w:r>
          </w:p>
        </w:tc>
        <w:tc>
          <w:tcPr>
            <w:tcW w:w="6379" w:type="dxa"/>
            <w:shd w:val="clear" w:color="000000" w:fill="FFFFFF"/>
            <w:noWrap w:val="0"/>
            <w:vAlign w:val="center"/>
          </w:tcPr>
          <w:p>
            <w:pPr>
              <w:widowControl/>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光纤、光纤跳线、光纤尾纤、耦合器、终端盒、光纤熔接等一系列配件，数量按项目需要配置。</w:t>
            </w:r>
            <w:r>
              <w:rPr>
                <w:rFonts w:hint="eastAsia" w:ascii="宋体" w:hAnsi="宋体" w:cs="宋体"/>
                <w:b/>
                <w:bCs/>
                <w:color w:val="auto"/>
                <w:kern w:val="0"/>
                <w:sz w:val="20"/>
                <w:szCs w:val="20"/>
                <w:highlight w:val="none"/>
              </w:rPr>
              <w:t>（西侧、南侧门卫室以及旧馆）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网络+语音跳线及配件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网络+语音跳线、网络+语音配线架、网络理线架等一系列配件，数量按项目需要配置。【网线、网络模块、语音模块已在土建中采购，详见备注说明】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tcBorders>
              <w:bottom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15</w:t>
            </w:r>
          </w:p>
        </w:tc>
        <w:tc>
          <w:tcPr>
            <w:tcW w:w="1218" w:type="dxa"/>
            <w:tcBorders>
              <w:bottom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1276" w:type="dxa"/>
            <w:tcBorders>
              <w:bottom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6379" w:type="dxa"/>
            <w:tcBorders>
              <w:bottom w:val="single" w:color="auto" w:sz="4" w:space="0"/>
            </w:tcBorders>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设备安装，信号测试，仪器使用配置等一系列施工及调试，交钥匙工程。。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After w:w="0" w:type="dxa"/>
          <w:trHeight w:val="1389" w:hRule="atLeast"/>
        </w:trPr>
        <w:tc>
          <w:tcPr>
            <w:tcW w:w="18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本项目针对网络系统已在土建工程中采购：网线4</w:t>
            </w:r>
            <w:r>
              <w:rPr>
                <w:rFonts w:ascii="宋体" w:hAnsi="宋体" w:cs="宋体"/>
                <w:b/>
                <w:bCs/>
                <w:color w:val="auto"/>
                <w:kern w:val="0"/>
                <w:sz w:val="24"/>
                <w:highlight w:val="none"/>
              </w:rPr>
              <w:t>148.61</w:t>
            </w:r>
            <w:r>
              <w:rPr>
                <w:rFonts w:hint="eastAsia" w:ascii="宋体" w:hAnsi="宋体" w:cs="宋体"/>
                <w:b/>
                <w:bCs/>
                <w:color w:val="auto"/>
                <w:kern w:val="0"/>
                <w:sz w:val="24"/>
                <w:highlight w:val="none"/>
              </w:rPr>
              <w:t>米（与监控系统共用）、网络+语音模块1</w:t>
            </w:r>
            <w:r>
              <w:rPr>
                <w:rFonts w:ascii="宋体" w:hAnsi="宋体" w:cs="宋体"/>
                <w:b/>
                <w:bCs/>
                <w:color w:val="auto"/>
                <w:kern w:val="0"/>
                <w:sz w:val="24"/>
                <w:highlight w:val="none"/>
              </w:rPr>
              <w:t>2</w:t>
            </w:r>
            <w:r>
              <w:rPr>
                <w:rFonts w:hint="eastAsia" w:ascii="宋体" w:hAnsi="宋体" w:cs="宋体"/>
                <w:b/>
                <w:bCs/>
                <w:color w:val="auto"/>
                <w:kern w:val="0"/>
                <w:sz w:val="24"/>
                <w:highlight w:val="none"/>
              </w:rPr>
              <w:t>块、无线A</w:t>
            </w:r>
            <w:r>
              <w:rPr>
                <w:rFonts w:ascii="宋体" w:hAnsi="宋体" w:cs="宋体"/>
                <w:b/>
                <w:bCs/>
                <w:color w:val="auto"/>
                <w:kern w:val="0"/>
                <w:sz w:val="24"/>
                <w:highlight w:val="none"/>
              </w:rPr>
              <w:t>P</w:t>
            </w:r>
            <w:r>
              <w:rPr>
                <w:rFonts w:hint="eastAsia" w:ascii="宋体" w:hAnsi="宋体" w:cs="宋体"/>
                <w:b/>
                <w:bCs/>
                <w:color w:val="auto"/>
                <w:kern w:val="0"/>
                <w:sz w:val="24"/>
                <w:highlight w:val="none"/>
              </w:rPr>
              <w:t>点位1</w:t>
            </w:r>
            <w:r>
              <w:rPr>
                <w:rFonts w:ascii="宋体" w:hAnsi="宋体" w:cs="宋体"/>
                <w:b/>
                <w:bCs/>
                <w:color w:val="auto"/>
                <w:kern w:val="0"/>
                <w:sz w:val="24"/>
                <w:highlight w:val="none"/>
              </w:rPr>
              <w:t>9</w:t>
            </w:r>
            <w:r>
              <w:rPr>
                <w:rFonts w:hint="eastAsia" w:ascii="宋体" w:hAnsi="宋体" w:cs="宋体"/>
                <w:b/>
                <w:bCs/>
                <w:color w:val="auto"/>
                <w:kern w:val="0"/>
                <w:sz w:val="24"/>
                <w:highlight w:val="none"/>
              </w:rPr>
              <w:t>个，由土建单位负责拉线到位及模块安装（并且数量可以按实际需求做追加变更），不在本次招标范围。但本次招标需配合组网。</w:t>
            </w:r>
          </w:p>
        </w:tc>
      </w:tr>
    </w:tbl>
    <w:p>
      <w:pPr>
        <w:pStyle w:val="2"/>
        <w:ind w:left="0" w:leftChars="0" w:firstLine="0" w:firstLineChars="0"/>
        <w:rPr>
          <w:rFonts w:hint="eastAsia"/>
          <w:b/>
          <w:bCs/>
          <w:color w:val="auto"/>
          <w:highlight w:val="none"/>
        </w:rPr>
      </w:pPr>
    </w:p>
    <w:p>
      <w:pPr>
        <w:pStyle w:val="2"/>
        <w:numPr>
          <w:ilvl w:val="0"/>
          <w:numId w:val="9"/>
        </w:numPr>
        <w:ind w:leftChars="0" w:firstLineChars="0"/>
        <w:rPr>
          <w:b/>
          <w:bCs/>
          <w:color w:val="auto"/>
          <w:highlight w:val="none"/>
        </w:rPr>
      </w:pPr>
      <w:r>
        <w:rPr>
          <w:rFonts w:hint="eastAsia"/>
          <w:b/>
          <w:bCs/>
          <w:color w:val="auto"/>
          <w:highlight w:val="none"/>
        </w:rPr>
        <w:t>安防监控系统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18"/>
        <w:gridCol w:w="127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21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127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6379"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视频监控设备</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电梯专用彩色摄像机</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≥200万1/2.7” CMOS日夜型迷你半球型网络摄像机。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支持Smart侦测：10项事件检测，1项异常检测。</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最低照度: 彩色：0.01 Lux @（F1.2，AGC ON），0 Lux with IR。</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宽动态: 120 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调节角度: 水平：-30°~30°，垂直：0°~75°，旋转：0°~360°。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焦距&amp;视场角: 2.8 mm，水平视场角：107.1°，垂直视场角：57°，对角线视场角：127.6°。</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补光灯类型: 红外灯。</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补光距离: 最远可达10 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最大图像尺寸: 1920 × 1080。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视频压缩标准: 主码流：H.265/H.264。</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网络存储: 支持NAS（NFS，SMB/CIFS均支持），支持Micro SD(即TF卡)/Micro SDHC/Micro SDXC卡（最大256 GB）。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网络: 1个RJ45 10 M/100 M自适应以太网口。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 1个内置麦克风。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复位: 支持。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启动和工作温湿度: -30 ℃~60 ℃，湿度小于95%（无凝结）。</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电流及功耗: DC：12 V，0.54 A，最大功耗：6.5 W；PoE：802.3af，36 V~57 V，0.20 A~0.13 A，最大功耗：7.5 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供电方式: DC：12 V ± 25%；PoE：802.3af，Class 3。</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电源接口类型: Ø5.5 mm圆口。</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防护: IP66，IK08。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无线网桥</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2.4G电梯网桥，802.11n制式，成对包装，距离200米，2网口设计，成对包装，支持轻智能统一管理功能。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星光级半球摄像机</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≥400万 1/3" CMOS ICR日夜型半球型网络摄像机。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支持Smart侦测：10项事件检测，1项异常检测。</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最低照度: 彩色：0.005 Lux @（F1.2，AGC ON），黑白：0 Lux with IR。</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宽动态: 120 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调节角度: 水平：0°~360°，垂直：0°~75°，旋转：0°~360°。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焦距&amp;视场角: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2.8 mm，水平视场角：97°，垂直视场角：52.3°，对角线视场角：114.3°</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 mm，水平视场角：78.8°，垂直视场角：40.5°，对角线视场角：93.9°</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6 mm，水平视场角：49.1°，垂直视场角：26.3°，对角线视场角：57.2°</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8 mm，水平视场角：37.5°，垂直视场角：20.7°，对角线视场角：43.3°</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补光灯类型: 红外灯</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补光距离: 最远可达30 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红外波长范围: 850 nm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防补光过曝: 支持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最大图像尺寸: 2688 × 1520（默认2560 × 1440）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视频压缩标准: 主码流：H.265/H.264</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网络存储: 支持NAS（NFS，SMB/CIFS均支持）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 1个内置麦克风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网络: 1个RJ45 10 M/100 M自适应以太网口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启动及工作温湿度: -30 ℃~60 ℃，湿度小于95%（无凝结）</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供电方式: DC：12 V ± 25%，支持防反接保护；PoE：802.3af，Class 3</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电流及功耗: DC：12 V，0.41 A，最大功耗：5 W；PoE：（802.3af，36 V~57 V），0.18 A ~0.11 A，最大功耗：6.5 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电源接口类型: Ø5.5 mm圆口</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防护: 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星光级筒型摄像机</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≥400万 1/3" CMOS红外筒型网络摄像机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支持Smart侦测：10项事件检测，1项异常检测</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最低照度: 彩色：0.005 Lux @（F1.2，AGC ON），0 Lux with IR</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宽动态: 120 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焦距&amp;视场角: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2.8 mm，水平视场角：97°，垂直视场角：52.3°，对角视场角：114.3°</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 mm，水平视场角：78.8°，垂直视场角:40.5°，对角视场角：93.9°</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6 mm，水平视场角：49.1°，垂直视场角：26.3°，对角视场角：57.2°</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8 mm，水平视场角：37.5°，垂直视场角：20.7°，对角视场角：43.3°</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12 mm，水平视场角：23.4°，垂直视场角：13.3°，对角视场角：26.88°</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补光灯类型: 红外灯</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补光距离: 最远可达30 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红外波长范围: 850 nm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防补光过曝: 支持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最大图像尺寸: 2688 × 1520（默认2560 × 1440）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视频压缩标准: 主码流：H.265/H.264</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网络存储: 支持NAS（NFS，SMB/CIFS均支持）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 1个内置麦克风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网络: 1个RJ45 10 M/100 M自适应以太网口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启动和工作温湿度: -30 ℃~60 ℃，湿度小于95%（无凝结）</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供电方式: DC：12 V ± 25%，支持防反接保护；PoE：802.3af，Class 3</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电流及功耗: DC：12 V，0.41 A，最大功耗：5 W；PoE：802.3af，36 V~57 V，0.18 A~0.11 A，最大功耗：6.5 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电源接口类型: Ø5.5 mm圆口</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防护: 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摄像机支架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壁装支架，专利技术可隐藏连接头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室内180°全景半球摄像机</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≥400万像素 CMOS传感器。</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★最大分辨率3456x1080。（提供公安部出具的检验报告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最低照度彩色：0.002 lx，黑白:0.0002 lx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夜间红外补光时可识别≥20米处的人体。</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★摄像机水平视场角≥180°，垂直视场角≥52°。（提供公安部出具的检验报告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★在3456x1080@25fps下，清晰度≥1100TVL。（提供公安部出具的检验报告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支持同时输出主码流和子码流，主码流最高3456x1080@25fps，子码流最大1728x536 @25fps。</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内置GPU芯片。</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信噪比≥62dB。</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相机照度适应范围≥140dB。</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内置≥一个麦克风，一个扬声器。</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相机可听清距离10m处声级≥70dB的声音。（提供公安部出具的检验报告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支持H.264、H.265、MJPEG视频编码格式，且具有High Profile编码能力。</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≥IP66防尘防水等级。</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需具有1个RJ-45 10M/100M自适应网络接口。</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同一静止场景相同图像质量下，设备在H.264、H.265编码方式时，开启智能编码功能和不开启智能编码相比，码率节约80%。</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设备工作状态时，支持空气放电9kV，接触放电7kV，通讯端口支持6kV峰值电压。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人脸抓拍摄像机</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400万 星光级 1/1.8"CMOS AI智能抓拍半球型网络摄像机。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采用深度学习算法，以海量图片及视频资源为路基，通过机器自身提取目标特征，形成深层可供学习的目标图像。极大的提升了目标的检出率。</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支持智能资源模式切换：人脸抓拍（默认），smart事件，道路监控、人数统计。</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最大支持8个检测区域（人员统计，行为分析，区域关注度共用），全屏最多支持64个目标。</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人脸抓拍：支持同时检测并且抓拍30张人脸，支持对运动人脸进行检测、跟踪、抓拍、评分、筛选输出最优的人脸抓图，支持最佳抓拍，快速抓拍。</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周界：支持区域入侵、越界侦测、进入区域、离开区域功能；支持基于具体的目标类型（人或车辆）触发的报警。</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道路监控：a)车辆检测：支持车牌识别并抓拍，车牌号码/车身颜色/车辆类型/车辆品牌，b)混行检测：检测正向或逆向行驶的车辆以及行人和非机动车，自动对车辆牌照进行识别，可以抓拍无车牌的车辆图片。</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人数统计：a)人员统计：支持实时报警，人数变化报警和拥堵等级变化报警，并支持人数异常和停留时间异常报警，b)行为分析：支持离岗检测，以及在离岗检测报警，c)区域关注度：支持区域人数检测、停留时长检测、实时数据上传，并支持区域人数分析和队列状态分析展示，d)热度图：支持设备上报和平台查询方式获取信息，并支持上报伪彩图背景大图。</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最低照度: 彩色：0.0005 Lux @（F1.2，AGC ON）；黑白：0.0001 Lux @（F1.2，AGC ON），0 Lux with IR。</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调节角度: 水平：0~355°，垂直：0~75°，旋转：0~355°。</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宽动态: 120 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焦距&amp;视场角:2.8~12 mm：水平视场角：107°~39.8°，垂直视场角：56°~22.4°，对角线视场角：130.1°~45.7°。</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补光灯类型: 红外，850 nm。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补光距离: 2.8~12 mm：普通监控：30 m，人脸抓拍/识别：3 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防补光过曝: 支持防补光过曝开启和关闭，开启下支持自动和手动，手动支持根据距离等级控制补光灯亮度。</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最大图像尺寸: 2560 × 1440。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视频压缩标准: H.265/H.264/MJPEG。</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网络: 1个RJ45 10 M/100 M自适应以太网口。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 2 路输入（Line in），1路输出（Line out），2个内置麦克风，1个内置扬声器。</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报警: 3路输入，2路输出（报警输入支持开关量，报警输出最大支持DC12 V，30 mA）。</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在IE浏览器下，具有设备重启和布防动态报警数据感知与记录功能，布防动态报警数据包括异常掉线、历史布防、实时布防3种类型；可记录报警的开始时间、结束时间、布防类型、报警链路地址、端口、链路续传。（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★支持硬件微引导程序、uboot、OS、应用软件逐级校验功能，非法篡改的uboot、OS、应用软件固件包，不能通过命令行、浏览器、客户端方式进行升级。（提供公安部出具的检验报告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电流及功耗: DC：12 V，0.93 A，最大功耗：11.2 W；AC：24 V，0.73 A，最大功耗：10.5 W； PoE：802.3at，42.5 V~57 V，0.26 A~0.2 A，最大功耗：11.2 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供电方式: DC：12 V ± 20%，支持防反接保护； AC：24 V ± 20%； PoE：802.3at，Type 2 Class 4。</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防护: IP67。</w:t>
            </w:r>
          </w:p>
          <w:p>
            <w:pPr>
              <w:widowControl/>
              <w:jc w:val="left"/>
              <w:rPr>
                <w:rFonts w:ascii="宋体" w:hAnsi="宋体" w:cs="宋体"/>
                <w:color w:val="auto"/>
                <w:sz w:val="20"/>
                <w:highlight w:val="none"/>
              </w:rPr>
            </w:pPr>
            <w:r>
              <w:rPr>
                <w:rFonts w:hint="eastAsia" w:ascii="宋体" w:hAnsi="宋体" w:cs="宋体"/>
                <w:color w:val="auto"/>
                <w:sz w:val="20"/>
                <w:highlight w:val="none"/>
              </w:rPr>
              <w:t>★设备具有耀光抑制功能，耀光区域≤1%。（提供公安部出具的检验报告</w:t>
            </w:r>
            <w:r>
              <w:rPr>
                <w:rFonts w:hint="eastAsia" w:ascii="宋体" w:hAnsi="宋体" w:cs="宋体"/>
                <w:color w:val="auto"/>
                <w:sz w:val="20"/>
                <w:highlight w:val="none"/>
                <w:lang w:eastAsia="zh-CN"/>
              </w:rPr>
              <w:t>扫描件</w:t>
            </w:r>
            <w:r>
              <w:rPr>
                <w:rFonts w:hint="eastAsia" w:ascii="宋体" w:hAnsi="宋体" w:cs="宋体"/>
                <w:color w:val="auto"/>
                <w:sz w:val="20"/>
                <w:highlight w:val="none"/>
              </w:rPr>
              <w:t>）</w:t>
            </w:r>
          </w:p>
          <w:p>
            <w:pPr>
              <w:pStyle w:val="2"/>
              <w:ind w:left="0" w:leftChars="0" w:firstLine="0" w:firstLineChars="0"/>
              <w:rPr>
                <w:rFonts w:hint="eastAsia"/>
                <w:b/>
                <w:bCs/>
                <w:color w:val="auto"/>
                <w:highlight w:val="none"/>
              </w:rPr>
            </w:pPr>
            <w:r>
              <w:rPr>
                <w:rFonts w:hint="eastAsia" w:ascii="宋体" w:hAnsi="宋体" w:cs="宋体"/>
                <w:b/>
                <w:bCs/>
                <w:color w:val="auto"/>
                <w:kern w:val="2"/>
                <w:sz w:val="20"/>
                <w:szCs w:val="24"/>
                <w:highlight w:val="none"/>
              </w:rPr>
              <w:t>辅材：含半球壁装支架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客流统计摄像头</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≥400万 星光级 1/1.8"CMOS 多维客流半球型网络摄像机。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采用深度学习算法，以海量图片及视频资源为路基，通过机器自身提取目标特征，形成深层可供学习的人体服装图像，并进行识别。</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基于行人轨迹分析，统计指定场景内目标人员进入和离开的情况。</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支持基于人体的比对和属性的去重，过滤自定义服装及属性的客流计数。</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支持人体属性分类，包含：性别、年龄段、拎东西、帽子(头盔）、口罩。</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事件报警功能：支持移动侦测，遮挡报警，硬盘满，硬盘错误，网络断开，IP地址冲突，非法访问，异常重启。</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最低照度: 彩色：0.0005 Lux @（F1.2，AGC ON）；黑白：0.0001 Lux @（F1.2，AGC ON），0 Lux with IR。</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调节角度: 水平：0~355°，垂直：0~75°，旋转：0~355°。</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宽动态: 120 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焦距＆视场角: 2.8~12 mm：水平视场角：107°~39.8°，垂直视场角：56°~22.4°，对角视场角：130.1°~45.7°。</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补光灯类型: 红外灯。</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补光距离: 最远可达30 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防补光过曝: 支持。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红外波长范围: 850 nm。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最大图像尺寸: 2560 × 1440。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视频压缩标准: 主码流：H.265/H.264。</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视频输出: 1 Vp-p Composite Output(75 Ω/CVBS)。</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网络: 1个RJ45 10 M/100 M/1000 M自适应以太网口。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 2 路输入（Line in），1路输出（Line out），2个内置麦克风，1个内置扬声器。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报警: 3路输入，湿接点，支持3.3 V~5 V范围电位 ；2路输出，湿接点，电平量，支持最大DC12 V，30 mA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RS-485: 1路RS-485接口，半双工模式，支持自适应HIKVISION，PELCO-P和PELCO-D协议。</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复位: 支持。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电源输出: 支持DC12 V，100 mA。</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电流及功耗: DC：12 V，1.02 A，最大功耗：12.4 W；AC：24 V，0.82 A，最大功耗：11.8 W；PoE：802.3at，42.5 V~57 V，0.29 A~0.22 A，最大功耗：12.5 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供电方式: DC：12 V ± 20%，支持防反接保护；AC：24 V ± 20%。PoE：802.3at，Type 2，Class 4。</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电源接口类型: 3芯电源接口。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线缆长度: 2 cm。</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防护: IP67。</w:t>
            </w:r>
          </w:p>
          <w:p>
            <w:pPr>
              <w:pStyle w:val="2"/>
              <w:ind w:left="0" w:leftChars="0" w:firstLine="0" w:firstLineChars="0"/>
              <w:rPr>
                <w:rFonts w:hint="eastAsia"/>
                <w:b/>
                <w:bCs/>
                <w:color w:val="auto"/>
                <w:highlight w:val="none"/>
              </w:rPr>
            </w:pPr>
            <w:r>
              <w:rPr>
                <w:rFonts w:hint="eastAsia" w:ascii="宋体" w:hAnsi="宋体" w:cs="宋体"/>
                <w:b/>
                <w:bCs/>
                <w:color w:val="auto"/>
                <w:kern w:val="2"/>
                <w:sz w:val="20"/>
                <w:szCs w:val="24"/>
                <w:highlight w:val="none"/>
              </w:rPr>
              <w:t>辅材：含半球壁装支架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人脸超脑</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名单库比对报警（8路图片流或4路视频流）。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≥16个人脸名单库，总库容10万张（平均30KB/张）。</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路人档案1万份。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支持陌生人报警。</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支持人员频次统计。</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支持人脸签到和考勤。</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支持人脸1V1比对。</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支持以脸搜脸、按姓名检索、按属性检索。</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硬件规格：</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≥1U 380小机箱。</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≥1个HDMI，1个VGA，异源输出。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已内置1块6T AI盘。</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≥2个千兆网口、2个USB2.0接口、1个USB3.0接口。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报警IO：4进1出。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软件性能：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输入带宽：128M 输出带宽：200M。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8路H.264、H.265混合接入。</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最大支持16×1080P解码。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支持Smart265/H.265/Smart264/H.264编码前端自适应接入 、解码。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★支持多屏输出：样机可设置2屏显示输出视频图像，其中HDMI和VGA接口可异源输出视频图像，并可分别控制进行预览、回放、配置等操作。（提供公安部出具的检验报告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支持重要录像片段秒级检索：支持秒级检索录像文件中的人员、车辆、人体等活动目标，并以弹窗形式来展示活动目标关联的录像片段。（提供公安部出具的检验报告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组合报警模式，可设置将物理报警口报警输入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支持查看人脸建模评分、可根据人脸评分选型进行检索。人脸评分选型包括无、评分高、评分低（提供公安部出具的检验报告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存储服务器</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服务器配置：≥1颗64位多核处理器，≥4GB内存，内存支持扩展到≥32GB，配置≥6个风扇，支持风扇热插拔冗余温控调速风扇。</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支持热插拔1+1AC220V 或 1+1 直流冗余金牌电源供电，机箱具备防尘滤网，采用双立柱防震设计。</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单设备应标配≥2个千兆网口，可增扩≥2个千兆网口或增配≥2个10Gb光纤接口或增配≥4个HDMI接口或≥3个SAS3.0接口。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★48块6T企业级SATA硬盘。</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应能提供RAID0、1、3、5、6、10、50，60、JBOD、VRAID、RAID Erasure coding、RAID5EE、iRAID模式。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设备可对视音频、图片、智能数据（智能行为分析录像）流进行混合直存，无须存储服务器和图片服务器的参与，平台服务器宕机时，存储业务正常。</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 ONVIF、PSIA、TCP/IP、UDP、SIP、SIP2.0、RTSP、RTP、RTCP、iSCSI、CIFS(SMB)、NFS、FTP、HTTP、AFP、RSYNC、SNMP、IPV4、IPV6、HLS、ehome、ISAPI、S3、OSS等协议。（提供公安部出具的检验报告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应能接入并存储2048Mbps视频图像，同时转发2048Mbps的视频图像，同时下载2048Mbps的视频图像；同时回放600Mbps的视频图像；在转发模式下，可进行2048路2Mbps视频码流转发；在总带宽不变的情况下，接入、转发、回放间的性能值可自由调整。</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支持≥1024MbpsMbps图片转发；支持≥1024MbpsMbps图片并发输入，同时≥1024MbpsMbps图片并发输出。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网络中断后重新恢复，可续存断网期间存储在前端设备中的录像文件，并可通过IE浏览器设置自动回传和手动回传；支持256路4Mbps的录像回传。</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提供多设备同步升级功能，可以通过一键式操作对整个局域网内的所有设备同步升级。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★可扩展支持将前端一路视频流同时存入两台存储；支持双机间编码器和录像同步，故障时可进行互相接管。（提供公安部出具的检验报告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可根据事件名称查询所有相关联的不同前端或时间的录像段并进行回放和下载。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可根据业务需要配置重构速度，支持低速、中速、高速和全速四种重构速度配置，可通过客户端软件显示重构速度。（提供公安部出具的检验报告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★设备可根据自身业务量自动调节重构速度，当设备空间资源达到预设值时，可自动提高重构速度，当空间资源低于预设值时，可自动降低重构速度。（提供公安部出具的检验报告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设备可每5秒对视频流进行一次丢帧检测，当检测到丢帧时，可发出报警，并生成报警日志。（提供公安部出具的检验报告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可视化管理软件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监控模块，含100路授权</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视频监控应用提供视频管理服务，支持编码设备接入平台，实现视频预览、录像回放、视频上墙、视频事件监控服务能力，并且在网络带宽不足、有流量限制的网络环境下可以通过以图片替代视频的模式提供监控服务。</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★要求支持AD域。（提供公安部出具的检验报告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★要求支持视频画面叠加水印，包括视频预览、录像回放、即时回放、录像剪辑、手动录像和录像下载时叠加。（提供公安部出具的检验报告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 xml:space="preserve">）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一、视频预览</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1、支持视频实时预览能力，实现预览窗口布局切换、预览画面自适应及全屏切换；</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2、支持云台控制、实时抓图、紧急录像、即时回放、主子码流切换、声音开启\关闭、辅屏预览（1个辅屏）、对讲、广播、报警输出控制的能力；</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3、支持智能规则展示的能力（如：针对热成像设备温度信息实时展示）；</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4、支持资源视图管理能力，以视图形式管理监控点、视频预览轮巡等自定义资源组，其中视图类型包含公有视图和私有视图；</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5、支持全景视频监控预览能力，支持球型鹰眼、全景摄像机的全景模式；</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6、★要求支持根据用户使用习惯自定义配置快捷功能入口，支持首页投放大屏展示，支持最近7天每日的用户活跃数统计。（提供公安部出具的检验报告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 xml:space="preserve">）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二、录像回放</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1、支持录像计划管理能力，支持实时录像计划、录像回传计划；</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2、支持录像回放能力，支持多画面同步回放和异步回放切换、超高倍速回放、分段回放、录像下载、录像剪辑、录像标签、录像锁定、录像抓图；</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三、图片监控</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1、支持视频预览与图片实时监控模式切换能力，实现图片监控模式；</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2、支持图片查询回放能力，实现按监控点、时间段展示抓拍图片；</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3、支持图片自动播放能力，支持图片自动播放速度可设置；</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4、支持图片下载能力；</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四、视频上墙</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1、支持电视墙场景管理能力，实现场景窗口配置、场景切换计划配置以及轮巡计划的管理；</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2、支持上墙控制能力，实现场景一键上墙、场景切换、电视墙切换、监控点上下墙、轮巡控制操作；</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五、视频事件</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1、支持视频事件布撤防能力，可按计划模版进行布防，事件类型包括移动侦测、视频丢失、视频遮挡、报警输入、报警输出；</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门禁模块，含50路授权</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门禁管理通过接入多种门禁设备，利用卡片、人脸、指纹介质，实现人员身份识别、出入管控等智能应用，主要提供门禁权限管理、事件管理、门禁状态查看、门禁远程控制、人员出入记录实时展示、远程呼叫对讲等应用</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人脸应用模块</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人员布控应用以人脸识别技术为核心，通过前后端分析设备对人脸抓拍图片进行比对分析，实现人脸自动识别，以提供人员布控服务的能力。</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1、支持配置重点人员识别计划、陌生人识别计划、高频人员识别计划；</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2、支持接收重点人员、陌生人、高频人员实时事件；</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3、支持配置行为分析规则，实现行为分析服务器的事件上报；</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报警模块：</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入侵报警应用基于前端防区探测器进行园区范围内的入侵行为或意外事件的迅速感知和处理，实现针对园区内部的高效安全防范。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1、支持报警子系统管理能力，包含布防、撤防、消警控制操作；</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2、支持防区管理能力，包含旁路、旁路恢复操作；</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3、支持实时入侵报警能力；</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4、支持历史入侵报警事件查询及导出能力</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★5、要求支持获取报警主机的防区信息及扩展防区信息；支持对扩展防区进行布防、撤防、旁路、旁路恢复操作；支持接收扩展防区的上报事件 。（提供公安部出具的检验报告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要求支持导航视图管理，对系统内各节点进行查看、增加、删除、修改，展示、查找；支持对系统内所有服务器进行监控，包括名称、IP地址、状态、未处理告警数、CPU使用率、内存使用率、磁盘容量、主机代理等；支持对系统内所有组件信息进行监控，组件信息包含：组件名称、未处理告警数、所属服务器、最近操作时间、授权状态等。（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平台服务器</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≥4210×1/64G DDR4/1.2T 10K  SAS×2(RAID_1)/SAS_HBA/1GbE×2/550W(1+1)/2U/16DIMM；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≥2U双路标准机架式服务器；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CPU：≥1颗intel至强系列处理器，核数≥10核，主频≥2.2GHz；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内存：3≥2G*2 DDR4，16根内存插槽，最大支持扩展至2TB内存；</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硬盘：≥2块1.2T 10K 2.5寸 SAS硬盘；</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阵列卡：SAS_HBA卡, 支持RAID 0/1/10；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PCIE扩展：最大可支持6个PCIE扩展插槽；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网口：≥2个千兆电口；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其他接口：≥1个RJ45管理接口，后置2个USB 3.0接口，前置2个USB2.0接口，1个VGA接口；</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电源：标配550W（1+1）高效铂金CRPS冗余电源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24口非网管POE交换机</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提供≥24个千兆PoE电口、2个千兆光口；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支持IEEE 802.3at/af标准；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支持IEEE 802.3、IEEE 802.3u、IEEE 802.3x、IEEE 802.3ab、IEEE 802.3z标准；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支持安防网络拓扑管理、链路聚合、端口管理；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支持远程升级；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支持6 KV防浪涌（PoE口）；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支持PoE输出功率管理；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千兆网络接入设计；</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线速转发；</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存储转发交换方式；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坚固式高强度金属外壳；</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整机最大POE供电功率：370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12路解码器</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高清视音频解码器，采用Linux操作系统，运行稳定可靠。</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输入接口：支持一路VGA和一路DVI接入。</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输出接口：支持12路HDMI和6路BNC输出，HDMI（可以转DVI-D）（奇数口）输出分辨率最高支持4K（3840*2160@30HZ）。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编码格式：支持H.265、H.264、MPEG4、MJPEG等主流的编码格式。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封装格式：支持PS、RTP、TS、ES等主流的封装格式。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音频解码：支持G.722、G.711A、G.726、G.711U、MPEG2-L2、AAC音频格式的解码。；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解码能力：支持12路1200W，或24路800W，或36路500W，或60路300W，或96路1080P及以下分辨率同时实时解码。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画面分割：支持1、2、4、6、8、9、10、12、16、25、36画面分割显示。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网络接口：≥2光口，2电口。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音频接口：支持12路音频输出，1路对讲输入，1路对讲输出。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串行接口：一个标准232接口（RJ45）、一个标准485接口。</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报警接口：8路报警输入，8路报警输出。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★支持对输入的视频画面进行90°、180°、270°旋转显示。（提供公安部出具的检验报告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输入信号接入解码器后上墙显示，支持YUV422上墙显示。（提供公安部出具的检验报告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★支持PC 软件客户端、WEB 浏览器客户端、平台客户端、IPAD、可视化触控平台方式访问管理。（提供公安部出具的检验报告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46寸拼接屏</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显示参数</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亮度：≥500 cd/m²</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背光源类型：D-LED</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物理分辨率：1920 × 1080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对比度：1200 ：1</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表面处理：Haze 25%, 3H</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可视角：178° (H)/178° (V)</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显示尺寸：≥46 inch</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响应时间：8.5 ms</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色域：72% NTSC</w:t>
            </w:r>
          </w:p>
          <w:p>
            <w:pPr>
              <w:widowControl/>
              <w:jc w:val="left"/>
              <w:rPr>
                <w:rFonts w:hint="eastAsia" w:ascii="宋体" w:hAnsi="宋体" w:eastAsia="宋体" w:cs="宋体"/>
                <w:color w:val="auto"/>
                <w:kern w:val="0"/>
                <w:sz w:val="20"/>
                <w:szCs w:val="20"/>
                <w:highlight w:val="none"/>
                <w:lang w:eastAsia="zh-CN"/>
              </w:rPr>
            </w:pPr>
            <w:r>
              <w:rPr>
                <w:rFonts w:ascii="Arial" w:hAnsi="Arial" w:cs="Arial"/>
                <w:color w:val="auto"/>
                <w:sz w:val="20"/>
                <w:szCs w:val="20"/>
                <w:highlight w:val="none"/>
                <w:shd w:val="clear" w:color="auto" w:fill="FFFFFF"/>
              </w:rPr>
              <w:t>▲</w:t>
            </w:r>
            <w:r>
              <w:rPr>
                <w:rFonts w:hint="eastAsia" w:ascii="宋体" w:hAnsi="宋体" w:cs="宋体"/>
                <w:color w:val="auto"/>
                <w:kern w:val="0"/>
                <w:sz w:val="20"/>
                <w:szCs w:val="20"/>
                <w:highlight w:val="none"/>
              </w:rPr>
              <w:t>物理拼缝：≤2.5 mm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色深度：8 bit, 16.7 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系统参数</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音视频输出接口：≥HDMI × 1, VGA × 1, CVBS × 1,</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控制接口：≥RS232 IN × 1，RS232 OUT × 1</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音视频输入接口：≥HDMI × 1, DVI × 1, VGA × 1, CVBS × 1, USB × 1</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电源：100～240 VAC，50/60 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功耗：≤ 160 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待机功耗：≤ 0.5 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★液晶显示单元内置图像处理芯片，能够实时分析显示内容资料，实现在影片、汇报和监控三种场景模式下智能切换。（提供第三方权威机构出具的检测报告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★拼接屏具有解析总数据量不超过3840 x 2160的任意分辨率信源的功能。（提供第三方权威机构出具的检测报告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★拼接屏具有实时分析当前画面亮度分布比例，自动调整亮度值的功能，具有动态调节画面对比度，可提高暗阶画面亮度，增强暗画面显示细节的功能。（提供第三方权威机构出具的检测报告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拼接屏支架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新型模块化支架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4路高清解码器</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高清视音频解码器，采用Linux操作系统，运行稳定可靠。</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输入接口：≥1路HDMI, 1路DVI</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输出接口：≥4路HDMI，2路BNC</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输入分辨率：4K: 3840 × 2160@30Hz, WSXGA: 1680 × 1050/60 Hz, WXGA: 1440 × 900/60 Hz, WXGA: 1280 × 800/60 Hz, 1366 × 768/60 Hz, 1080p: 1920 × 1080@50/60 Hz, UXGA: 1600 × 1200@ 60Hz, XVGA: 1280 × 960@60 Hz, 720p: 1280 × 720@50 Hz/60 Hz, SXGA: 1280 × 1024@60 Hz, XGA: 1024 × 768@60 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输出分辨率：</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HDMI：4K: 3840 × 2160@30 Hz(仅奇数口), 1080p: 1920 × 1080@50/60 Hz, WSXGA: 1680×1050/60Hz, UXGA: 1600 × 1200@60 Hz (仅奇数口), 720p: 1280 × 720@50 Hz/60 Hz, SXGA: 1280 × 1024@60 Hz, XGA: 1024 × 768@60 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BNC：支持PAL、NTSC制式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编码格式：支持H.265、H.264、MPEG4、MJPEG等主流的编码格式；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封装格式：支持PS、RTP、TS、ES等主流的封装格式；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音频解码：支持G.722、G.711A、G.726、G.711U、MPEG2-L2、AAC音频格式的解码；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解码能力：2路2400W，或4路1200W，或8路800W，或12路500W，或20路300W，或36路1080P，或72路720P及以下分辨率同时实时解码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画面分割：支持1、2、4、6、8、9、10、12、16画面分割显示。(基线16路，最大支持定制到32画面)</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接口参数：</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网口：1个 RJ45  10M/100M/1000Mbps 自适应以太网接口，1个光口 100base-FX/1000base-X，支持光电自适应</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串行接口：1个RS-232接口（RJ45）, 1个RS-485/RS232复用接口（RJ45）</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音频输出接口：4个3.5mm接口独立音频输出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★支持对输入的视频画面进行90°、180°、270°旋转显示。（提供公安部出具的检验报告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输入信号接入解码器后上墙显示，支持YUV422上墙显示。（提供公安部出具的检验报告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★支持PC 软件客户端、WEB 浏览器客户端、平台客户端、IPAD、可视化触控平台方式访问管理。（提供公安部出具的检验报告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32-43寸壁挂显示器；**室内壁装，含支架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操作台</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6工位操作台，可以组合形式提供，材质优良。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控制终端</w:t>
            </w:r>
          </w:p>
        </w:tc>
        <w:tc>
          <w:tcPr>
            <w:tcW w:w="6379"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≥I3/4G/1T+128G SSD/19.5寸显示器/键鼠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门禁设备</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门禁机A款</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（一）性能需求：</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★1.操作系统：要求Android 6.0。</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配置：处理器：</w:t>
            </w:r>
            <w:r>
              <w:rPr>
                <w:rFonts w:ascii="宋体" w:hAnsi="宋体" w:cs="宋体"/>
                <w:color w:val="auto"/>
                <w:kern w:val="0"/>
                <w:sz w:val="20"/>
                <w:szCs w:val="20"/>
                <w:highlight w:val="none"/>
              </w:rPr>
              <w:t>4</w:t>
            </w:r>
            <w:r>
              <w:rPr>
                <w:rFonts w:hint="eastAsia" w:ascii="宋体" w:hAnsi="宋体" w:cs="宋体"/>
                <w:color w:val="auto"/>
                <w:kern w:val="0"/>
                <w:sz w:val="20"/>
                <w:szCs w:val="20"/>
                <w:highlight w:val="none"/>
              </w:rPr>
              <w:t>核</w:t>
            </w:r>
            <w:r>
              <w:rPr>
                <w:rFonts w:ascii="宋体" w:hAnsi="宋体" w:cs="宋体"/>
                <w:color w:val="auto"/>
                <w:kern w:val="0"/>
                <w:sz w:val="20"/>
                <w:szCs w:val="20"/>
                <w:highlight w:val="none"/>
              </w:rPr>
              <w:t>64</w:t>
            </w:r>
            <w:r>
              <w:rPr>
                <w:rFonts w:hint="eastAsia" w:ascii="宋体" w:hAnsi="宋体" w:cs="宋体"/>
                <w:color w:val="auto"/>
                <w:kern w:val="0"/>
                <w:sz w:val="20"/>
                <w:szCs w:val="20"/>
                <w:highlight w:val="none"/>
              </w:rPr>
              <w:t>位</w:t>
            </w:r>
            <w:r>
              <w:rPr>
                <w:rFonts w:ascii="宋体" w:hAnsi="宋体" w:cs="宋体"/>
                <w:color w:val="auto"/>
                <w:kern w:val="0"/>
                <w:sz w:val="20"/>
                <w:szCs w:val="20"/>
                <w:highlight w:val="none"/>
              </w:rPr>
              <w:t>ARM</w:t>
            </w:r>
            <w:r>
              <w:rPr>
                <w:rFonts w:hint="eastAsia" w:ascii="宋体" w:hAnsi="宋体" w:cs="宋体"/>
                <w:color w:val="auto"/>
                <w:kern w:val="0"/>
                <w:sz w:val="20"/>
                <w:szCs w:val="20"/>
                <w:highlight w:val="none"/>
              </w:rPr>
              <w:t>处理器；内存</w:t>
            </w:r>
            <w:r>
              <w:rPr>
                <w:rFonts w:ascii="宋体" w:hAnsi="宋体" w:cs="宋体"/>
                <w:color w:val="auto"/>
                <w:kern w:val="0"/>
                <w:sz w:val="20"/>
                <w:szCs w:val="20"/>
                <w:highlight w:val="none"/>
              </w:rPr>
              <w:t>1GB</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ROM</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8G</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（二）外观尺寸：</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安装方式：支持墙面、玻璃、门柱等多种安装方式</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面板材质：ABS+PC；</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（三）屏幕</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触摸屏：≥4寸；</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玻璃盖板：720P IPS；</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分辨率：800*480；</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（四）摄像头</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前置红外活体识别摄像头和GRB摄像头</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识别距离：0.5-1米；</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参数：≥200万高清像素1/2.7寸CMOS；</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（五）补光灯要求</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白色补光灯：白色LED灯珠，暗光启动补光；</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红外补光灯：辅助红外摄像头进行活体检测；</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（六）按键</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触摸按键： TP多点触摸电容屏；</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复位键：一键清除本地数据；</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重启键：设备重新启动；</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（七）声音</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扬声器：单喇叭1W</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（九）网络端口</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WIFI：802.11b/g/n；</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RJ45网口：10M/100M；</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蓝牙模块：Bluetooth4.0+LE</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（十）电源</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开机方式：上电开机；</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供电电源：12V/2A，符合国家标准；</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备份电池：纽扣电池（用于RTC）</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电源保护：支持电源正负极防接反</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整机实现功耗：≤15W</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（十一）接口</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支持网络接口、支持USB接口、支持韦根接口、支持门禁控制</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（十二）功能需求</w:t>
            </w:r>
            <w:r>
              <w:rPr>
                <w:rFonts w:hint="eastAsia" w:ascii="宋体" w:hAnsi="宋体" w:cs="宋体"/>
                <w:color w:val="auto"/>
                <w:kern w:val="0"/>
                <w:sz w:val="20"/>
                <w:szCs w:val="20"/>
                <w:highlight w:val="none"/>
              </w:rPr>
              <w:tab/>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★1.门禁：产品具有刷脸开门、应急开门、远程开门等功能</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★2.访客预约：产品具备在线预约访客功能，由被访人发起预约，访客录入人脸，访客刷脸开门；具备访客在设备端使用验证码开门的功能；具备来访登记功能，支持扫描二维码登记和验证码登记。</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★3.考勤：具备无缝对接钉钉考勤功能，刷脸开门的同时完成考勤打卡。</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（十三）管理软件</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1.绑定激活：蓝牙连接、有线配网、无线配网、选择团队、创建团队；</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2.管理员录入人脸：搜索员工、选择员工、拍照上传人员、增加人脸、删除人员、一键提醒；</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3.员工上传人脸：拍照上传人脸；</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4.权限管理：增加权限组、删除权限组、搜索权限组、编辑权限组；</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5.设备管理：添加设备、设备状态显示、设备名称修改、升级APK、设置音量、设置考勤开关、设置访客可用、选择权限组、配置网络、解绑设备；</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6.记录管理： 开门记录、远程开门记录、报警记录、考勤记录，支持记录报表导出，支持按条件筛选记录，报警记录支持设备非法移动报警记录、超时未关门报警记录、火灾报警记录、非法闯入报警记录等。</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（十四）其他</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感应模块要求：摄像头感应</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防拆：霍尔防拆+防拆抓拍+防拆报警</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工作环境</w:t>
            </w:r>
            <w:r>
              <w:rPr>
                <w:rFonts w:hint="eastAsia" w:ascii="宋体" w:hAnsi="宋体" w:cs="宋体"/>
                <w:color w:val="auto"/>
                <w:kern w:val="0"/>
                <w:sz w:val="20"/>
                <w:szCs w:val="20"/>
                <w:highlight w:val="none"/>
              </w:rPr>
              <w:tab/>
            </w:r>
            <w:r>
              <w:rPr>
                <w:rFonts w:hint="eastAsia" w:ascii="宋体" w:hAnsi="宋体" w:cs="宋体"/>
                <w:color w:val="auto"/>
                <w:kern w:val="0"/>
                <w:sz w:val="20"/>
                <w:szCs w:val="20"/>
                <w:highlight w:val="none"/>
              </w:rPr>
              <w:t>温度：-10℃~40℃识别能力</w:t>
            </w:r>
            <w:r>
              <w:rPr>
                <w:rFonts w:hint="eastAsia" w:ascii="宋体" w:hAnsi="宋体" w:cs="宋体"/>
                <w:color w:val="auto"/>
                <w:kern w:val="0"/>
                <w:sz w:val="20"/>
                <w:szCs w:val="20"/>
                <w:highlight w:val="none"/>
              </w:rPr>
              <w:tab/>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在线识别：支持3000张人脸容量</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离线识别：支持10000条识别记录</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资质：提供工信部颁发的《无线电发射设备型号核准证》证书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门禁机B款</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（一）性能需求：</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★1.操作系统：要求Android 6.0。</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配置：处理器：</w:t>
            </w:r>
            <w:r>
              <w:rPr>
                <w:rFonts w:ascii="宋体" w:hAnsi="宋体" w:cs="宋体"/>
                <w:color w:val="auto"/>
                <w:kern w:val="0"/>
                <w:sz w:val="20"/>
                <w:szCs w:val="20"/>
                <w:highlight w:val="none"/>
              </w:rPr>
              <w:t>4</w:t>
            </w:r>
            <w:r>
              <w:rPr>
                <w:rFonts w:hint="eastAsia" w:ascii="宋体" w:hAnsi="宋体" w:cs="宋体"/>
                <w:color w:val="auto"/>
                <w:kern w:val="0"/>
                <w:sz w:val="20"/>
                <w:szCs w:val="20"/>
                <w:highlight w:val="none"/>
              </w:rPr>
              <w:t>核</w:t>
            </w:r>
            <w:r>
              <w:rPr>
                <w:rFonts w:ascii="宋体" w:hAnsi="宋体" w:cs="宋体"/>
                <w:color w:val="auto"/>
                <w:kern w:val="0"/>
                <w:sz w:val="20"/>
                <w:szCs w:val="20"/>
                <w:highlight w:val="none"/>
              </w:rPr>
              <w:t>64</w:t>
            </w:r>
            <w:r>
              <w:rPr>
                <w:rFonts w:hint="eastAsia" w:ascii="宋体" w:hAnsi="宋体" w:cs="宋体"/>
                <w:color w:val="auto"/>
                <w:kern w:val="0"/>
                <w:sz w:val="20"/>
                <w:szCs w:val="20"/>
                <w:highlight w:val="none"/>
              </w:rPr>
              <w:t>位</w:t>
            </w:r>
            <w:r>
              <w:rPr>
                <w:rFonts w:ascii="宋体" w:hAnsi="宋体" w:cs="宋体"/>
                <w:color w:val="auto"/>
                <w:kern w:val="0"/>
                <w:sz w:val="20"/>
                <w:szCs w:val="20"/>
                <w:highlight w:val="none"/>
              </w:rPr>
              <w:t>ARM</w:t>
            </w:r>
            <w:r>
              <w:rPr>
                <w:rFonts w:hint="eastAsia" w:ascii="宋体" w:hAnsi="宋体" w:cs="宋体"/>
                <w:color w:val="auto"/>
                <w:kern w:val="0"/>
                <w:sz w:val="20"/>
                <w:szCs w:val="20"/>
                <w:highlight w:val="none"/>
              </w:rPr>
              <w:t>处理器；内存</w:t>
            </w:r>
            <w:r>
              <w:rPr>
                <w:rFonts w:ascii="宋体" w:hAnsi="宋体" w:cs="宋体"/>
                <w:color w:val="auto"/>
                <w:kern w:val="0"/>
                <w:sz w:val="20"/>
                <w:szCs w:val="20"/>
                <w:highlight w:val="none"/>
              </w:rPr>
              <w:t>1GB</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ROM</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8G</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（二）外观尺寸：</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安装方式：挂墙式</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面板材质：金属丝印贴面；</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（三）屏幕</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触摸屏：≥</w:t>
            </w:r>
            <w:r>
              <w:rPr>
                <w:rFonts w:ascii="宋体" w:hAnsi="宋体" w:cs="宋体"/>
                <w:color w:val="auto"/>
                <w:kern w:val="0"/>
                <w:sz w:val="20"/>
                <w:szCs w:val="20"/>
                <w:highlight w:val="none"/>
              </w:rPr>
              <w:t>5</w:t>
            </w:r>
            <w:r>
              <w:rPr>
                <w:rFonts w:hint="eastAsia" w:ascii="宋体" w:hAnsi="宋体" w:cs="宋体"/>
                <w:color w:val="auto"/>
                <w:kern w:val="0"/>
                <w:sz w:val="20"/>
                <w:szCs w:val="20"/>
                <w:highlight w:val="none"/>
              </w:rPr>
              <w:t>寸；</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玻璃盖板：720P IPS；</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分辨率：</w:t>
            </w:r>
            <w:r>
              <w:rPr>
                <w:rFonts w:ascii="宋体" w:hAnsi="宋体" w:cs="宋体"/>
                <w:color w:val="auto"/>
                <w:kern w:val="0"/>
                <w:sz w:val="20"/>
                <w:szCs w:val="20"/>
                <w:highlight w:val="none"/>
              </w:rPr>
              <w:t>1280*720</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（四）摄像头</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前置红外活体识别摄像头和GRB摄像头</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识别距离：</w:t>
            </w:r>
            <w:r>
              <w:rPr>
                <w:rFonts w:ascii="宋体" w:hAnsi="宋体" w:cs="宋体"/>
                <w:color w:val="auto"/>
                <w:kern w:val="0"/>
                <w:sz w:val="20"/>
                <w:szCs w:val="20"/>
                <w:highlight w:val="none"/>
              </w:rPr>
              <w:t>1.5</w:t>
            </w:r>
            <w:r>
              <w:rPr>
                <w:rFonts w:hint="eastAsia" w:ascii="宋体" w:hAnsi="宋体" w:cs="宋体"/>
                <w:color w:val="auto"/>
                <w:kern w:val="0"/>
                <w:sz w:val="20"/>
                <w:szCs w:val="20"/>
                <w:highlight w:val="none"/>
              </w:rPr>
              <w:t>米；</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参数：≥200万高清像素1/2.7寸CMOS；</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（五）补光灯要求</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白色补光灯：白色LED灯珠，暗光启动补光；</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红外补光灯：辅助红外摄像头进行活体检测；</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（六）按键</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触摸按键： TP多点触摸电容屏；</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复位键：一键清除本地数据；</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重启键：设备重新启动；</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（七）声音</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扬声器：单喇叭1W</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（九）网络端口</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WIFI：802.11b/g/n；</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RJ45网口：10M/100M；</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蓝牙模块：Bluetooth4.0+LE</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（十）电源</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开机方式：上电开机；</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供电电源：12V/2A，符合国家标准；</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备份电池：纽扣电池（用于RTC）</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电源保护：支持电源正负极防接反</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整机实现功耗：≤15W</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（十一）接口</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支持网络接口、支持USB接口、支持韦根接口、支持门禁控制</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（十二）功能需求</w:t>
            </w:r>
            <w:r>
              <w:rPr>
                <w:rFonts w:hint="eastAsia" w:ascii="宋体" w:hAnsi="宋体" w:cs="宋体"/>
                <w:color w:val="auto"/>
                <w:kern w:val="0"/>
                <w:sz w:val="20"/>
                <w:szCs w:val="20"/>
                <w:highlight w:val="none"/>
              </w:rPr>
              <w:tab/>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★1.门禁：产品具有刷脸开门、应急开门、远程开门等功能</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★2.访客预约：产品具备在线预约访客功能，由被访人发起预约，访客录入人脸，访客刷脸开门；具备访客在设备端使用验证码开门的功能；具备来访登记功能，支持扫描二维码登记和验证码登记。</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3</w:t>
            </w:r>
            <w:r>
              <w:rPr>
                <w:rFonts w:hint="eastAsia" w:ascii="宋体" w:hAnsi="宋体" w:cs="宋体"/>
                <w:color w:val="auto"/>
                <w:kern w:val="0"/>
                <w:sz w:val="20"/>
                <w:szCs w:val="20"/>
                <w:highlight w:val="none"/>
              </w:rPr>
              <w:t>.会议签到：具备会议室管理、会议室预订、刷脸签到的功能，同时联动门禁给予通行权限。</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4</w:t>
            </w:r>
            <w:r>
              <w:rPr>
                <w:rFonts w:hint="eastAsia" w:ascii="宋体" w:hAnsi="宋体" w:cs="宋体"/>
                <w:color w:val="auto"/>
                <w:kern w:val="0"/>
                <w:sz w:val="20"/>
                <w:szCs w:val="20"/>
                <w:highlight w:val="none"/>
              </w:rPr>
              <w:t>考勤：具备无缝对接钉钉考勤功能，刷脸开门的同时完成考勤打卡。</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（十三）管理软件</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1.绑定激活：蓝牙连接、有线配网、无线配网、选择团队、创建团队；</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2.管理员录入人脸：搜索员工、选择员工、拍照上传人员、增加人脸、删除人员、一键提醒；</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3.员工上传人脸：拍照上传人脸；</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4.权限管理：增加权限组、删除权限组、搜索权限组、编辑权限组；</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5.设备管理：添加设备、设备状态显示、设备名称修改、升级APK、设置音量、设置考勤开关、设置访客可用、选择权限组、配置网络、解绑设备；</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6.记录管理： 开门记录、远程开门记录、报警记录、考勤记录，支持记录报表导出，支持按条件筛选记录，报警记录支持设备非法移动报警记录、超时未关门报警记录、火灾报警记录、非法闯入报警记录等。</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（十四）其他</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感应模块要求：摄像头感应</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防拆：霍尔防拆+防拆抓拍+防拆报警</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工作环境</w:t>
            </w:r>
            <w:r>
              <w:rPr>
                <w:rFonts w:hint="eastAsia" w:ascii="宋体" w:hAnsi="宋体" w:cs="宋体"/>
                <w:color w:val="auto"/>
                <w:kern w:val="0"/>
                <w:sz w:val="20"/>
                <w:szCs w:val="20"/>
                <w:highlight w:val="none"/>
              </w:rPr>
              <w:tab/>
            </w:r>
            <w:r>
              <w:rPr>
                <w:rFonts w:hint="eastAsia" w:ascii="宋体" w:hAnsi="宋体" w:cs="宋体"/>
                <w:color w:val="auto"/>
                <w:kern w:val="0"/>
                <w:sz w:val="20"/>
                <w:szCs w:val="20"/>
                <w:highlight w:val="none"/>
              </w:rPr>
              <w:t>温度：-10℃~</w:t>
            </w:r>
            <w:r>
              <w:rPr>
                <w:rFonts w:ascii="宋体" w:hAnsi="宋体" w:cs="宋体"/>
                <w:color w:val="auto"/>
                <w:kern w:val="0"/>
                <w:sz w:val="20"/>
                <w:szCs w:val="20"/>
                <w:highlight w:val="none"/>
              </w:rPr>
              <w:t>45</w:t>
            </w:r>
            <w:r>
              <w:rPr>
                <w:rFonts w:hint="eastAsia" w:ascii="宋体" w:hAnsi="宋体" w:cs="宋体"/>
                <w:color w:val="auto"/>
                <w:kern w:val="0"/>
                <w:sz w:val="20"/>
                <w:szCs w:val="20"/>
                <w:highlight w:val="none"/>
              </w:rPr>
              <w:t>℃识别能力</w:t>
            </w:r>
            <w:r>
              <w:rPr>
                <w:rFonts w:hint="eastAsia" w:ascii="宋体" w:hAnsi="宋体" w:cs="宋体"/>
                <w:color w:val="auto"/>
                <w:kern w:val="0"/>
                <w:sz w:val="20"/>
                <w:szCs w:val="20"/>
                <w:highlight w:val="none"/>
              </w:rPr>
              <w:tab/>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在线识别：支持</w:t>
            </w:r>
            <w:r>
              <w:rPr>
                <w:rFonts w:ascii="宋体" w:hAnsi="宋体" w:cs="宋体"/>
                <w:color w:val="auto"/>
                <w:kern w:val="0"/>
                <w:sz w:val="20"/>
                <w:szCs w:val="20"/>
                <w:highlight w:val="none"/>
              </w:rPr>
              <w:t>10</w:t>
            </w:r>
            <w:r>
              <w:rPr>
                <w:rFonts w:hint="eastAsia" w:ascii="宋体" w:hAnsi="宋体" w:cs="宋体"/>
                <w:color w:val="auto"/>
                <w:kern w:val="0"/>
                <w:sz w:val="20"/>
                <w:szCs w:val="20"/>
                <w:highlight w:val="none"/>
              </w:rPr>
              <w:t>000张人脸容量</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离线识别：支持10000条识别记录</w:t>
            </w:r>
          </w:p>
          <w:p>
            <w:pPr>
              <w:widowControl/>
              <w:jc w:val="left"/>
              <w:rPr>
                <w:rFonts w:hint="eastAsia"/>
                <w:color w:val="auto"/>
                <w:highlight w:val="none"/>
              </w:rPr>
            </w:pPr>
            <w:r>
              <w:rPr>
                <w:rFonts w:hint="eastAsia" w:ascii="宋体" w:hAnsi="宋体" w:cs="宋体"/>
                <w:color w:val="auto"/>
                <w:kern w:val="0"/>
                <w:sz w:val="20"/>
                <w:szCs w:val="20"/>
                <w:highlight w:val="none"/>
              </w:rPr>
              <w:t>资质：提供《无线电发射设备型号核准证》、产品检测报告、《计算机软件著作权登记证》证书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门禁套件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包含磁力锁，开关，门禁电源等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测温设备</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测温摄像头</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专业型智能人体测温双光筒机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热成像：分辨率160 × 120；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焦距≤6mm；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视场角：25°×18.7°;</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可见光：分辨率2688*1520；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焦距8mm；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视频模式：双光融合</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联动报警：支持联动白光报警、支持联动声音报警</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最佳人体测温距离：2米；宽度：0.89米</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保证测温精度人体测温有效距离范围：1.5米-3.0米</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设备支持人脸抓拍，支持最多10人同时检测体温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支持口罩识别</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测温精度:方案精度±0.5℃；测温范围：30-45℃</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★支持同时检测最多20张人脸并同步测温，框出人脸叠加实时人体测温数据。（提供公安部出具的检验报告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iSC（预览、报警、回放）</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工作温度：15℃-35℃，＜95% RH</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防护等级：IP67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★测温35℃的目标，在画面的中心及4个角落区域的测温一致性不超过±0.1℃。（提供公安部出具的检验报告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三脚架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螺丝尺寸： 1/4-20UNC；节数： 3 ；最低： 710mm；最高： 1800mm；最大管径： 29.3mm ；最小管径： 23mm  ；材质：塑料材质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控制终端</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≥I5-6500T/16G/250G/WIN10系统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r>
              <w:rPr>
                <w:rFonts w:ascii="宋体" w:hAnsi="宋体" w:cs="宋体"/>
                <w:color w:val="auto"/>
                <w:kern w:val="0"/>
                <w:sz w:val="20"/>
                <w:szCs w:val="20"/>
                <w:highlight w:val="none"/>
              </w:rPr>
              <w:t>7</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测温显示屏及支架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测温画面显示屏，尺寸≥32寸，配套专业移动支架，支持显示屏及控制终端悬挂安装，带键盘鼠标摆放托盘，带滑轮便于移动；含相关线缆配件等。提供图文介绍。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库房红外报警设备</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16路报警主机</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总线式网络报警主机（支持新国标GB12663-2019）；</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8个板载有线防区，可扩展至256个（其中64个可以为无线防区）；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4个板载触发器输出，可扩展至256个；</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支持8个无线485模块，每个模块可以连接8个无线探测器；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支持8000条报警事件记录，2000条操作日志和1500条管理记录，支持远程搜索查询事件日志；</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支持定时布撤防（日常计划、优先计划）；</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支持CID 报告，支持话机复用；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支持防区报警、系统状态事件联动输出，发生/恢复事件和时间可灵活配置；</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支持32个LCD键盘包括1个全局键盘和31个子系统键盘，键盘总线总长度≤1.2km（Φ1.5mm）；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支持外置蓄电池，蓄电池电压实时监测，主辅电源可自动切换；</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支持远程升级,远程导入导出配置参数；</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支持两条总线，总线无极性，支持手牵手总线拓扑，每条可达2400m；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协议：支持SDK、NAL2300；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用户：网络用户32个，包括管理员、操作员、安装员，制造商；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功耗：≤60W（负载供电≤40W）；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电源：AC220V；</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工作温度：–10℃～+55℃；工作湿度：10％--90％；</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安装方式：壁挂；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29</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单防区模块</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总线网络报警主机单防区扩展模块/1个扩展防区数/248最大级联数/0.8mA静态电流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键盘</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LCD报警键盘；（可通过遥控器和刷卡布撤防） 连接到报警主机，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可以对报警主机进行操作和编程，通过指示灯和报警音提示报警；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支持连接遥控器进行远程布撤防，支持双向遥控器，遥控器LED显示操作结果；</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键盘最多所能支持的无线遥控器数量由主机决定，最多支持32个遥控器；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支持刷卡布撤防，但刷卡不支持消警功能，卡片数量由主机限制，目前网络主机最大可添加32张卡片；</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主机状态指示灯：系统故障（橙色），网络链接状态（绿色），报警（红色），布撤防（蓝色），配置状态（红绿双色） 功能键：8个，工程、查询，旁路，一键，火警，紧急，左键，右键；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防拆功能：支持；与主机通讯：485；键盘警情输出：蜂鸣器；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功能特性：对主机编程、撤布防、消警、旁路/旁路恢复、工程测试、子系统操作、继电器操作、主机状态查询；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功耗：1.8W；工作温度：-10℃～＋55℃；工作湿度：10％～90％；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31</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警号、警灯</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报警音量: 105dB at 30cm；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防护等级：IP54，室外防水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内置水平仪，便于辅助安装；</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支持关闭报警声音输出，实现声光报警模式和光闪模式切换；</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工作湿度：10％～90％；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工作温度：-20℃～＋60℃；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功耗：静态功耗: 0.96W；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报警功耗：2.7W；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电源：DC 8~16V 0.22A Max；</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外壳材质：PC+ABS；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壁挂式红外微波双鉴探测器</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有线室内双鉴探测器；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探测方式：被动红外+微波</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探测范围：12m / 90° ；全范围PIR辅以24GHz微波探测</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测速范围：0.2～3m/s</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灵敏度：自动；35Kg 防宠</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支持自动灵敏度和数字温度补偿；光学密封，下视窗保护</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支持下视窗保护；支持数字温度补偿；支持智能算法；</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微波频段：24GHz(24.15～24.25GHz)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防拆保护：开盖；报警输出：常闭</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标称功耗：17mA(最大)；设备供电：9 - 16 VDC；标称电压：12 VDC</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安装高度：1.8m ～ 2.4m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工作温度：-10 °C ～ 55 °C；储存温度：-20 °C ～ 60 °C；工作湿度：10% - 90%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安装方式：壁装</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使用场景：室内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33</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视频线缆辅材及配件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网络配线架、网络理线架、网络跳线等一系列配件，数量按项目需要配置。【视频监控网线已在土建中采购，详见备注说明】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34</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电源线缆辅材及配件</w:t>
            </w:r>
          </w:p>
        </w:tc>
        <w:tc>
          <w:tcPr>
            <w:tcW w:w="6379"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视频监控集中供电电源、连接线等一系列辅材及配件，数量按项目需要配置。【视频监控电源线已在土建中采购，详见备注说明】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35</w:t>
            </w:r>
          </w:p>
        </w:tc>
        <w:tc>
          <w:tcPr>
            <w:tcW w:w="1218" w:type="dxa"/>
            <w:shd w:val="clear" w:color="000000" w:fill="FFFFFF"/>
            <w:noWrap w:val="0"/>
            <w:vAlign w:val="center"/>
          </w:tcPr>
          <w:p>
            <w:pPr>
              <w:widowControl/>
              <w:jc w:val="center"/>
              <w:rPr>
                <w:rFonts w:ascii="宋体" w:hAnsi="宋体" w:cs="宋体"/>
                <w:color w:val="auto"/>
                <w:kern w:val="0"/>
                <w:sz w:val="20"/>
                <w:szCs w:val="20"/>
                <w:highlight w:val="none"/>
              </w:rPr>
            </w:pPr>
            <w:r>
              <w:rPr>
                <w:rFonts w:hint="eastAsia"/>
                <w:color w:val="auto"/>
                <w:sz w:val="20"/>
                <w:szCs w:val="20"/>
                <w:highlight w:val="none"/>
              </w:rPr>
              <w:t>系统集成</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color w:val="auto"/>
                <w:sz w:val="20"/>
                <w:szCs w:val="20"/>
                <w:highlight w:val="none"/>
              </w:rPr>
              <w:t>安装调试</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设备安装，信号测试，仪器使用配置等一系列施工及调试，交钥匙工程。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After w:w="0" w:type="dxa"/>
          <w:trHeight w:val="480" w:hRule="atLeast"/>
        </w:trPr>
        <w:tc>
          <w:tcPr>
            <w:tcW w:w="183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2"/>
                <w:szCs w:val="22"/>
                <w:highlight w:val="none"/>
              </w:rPr>
            </w:pPr>
            <w:r>
              <w:rPr>
                <w:rFonts w:hint="eastAsia" w:ascii="宋体" w:hAnsi="宋体" w:cs="宋体"/>
                <w:b/>
                <w:bCs/>
                <w:color w:val="auto"/>
                <w:kern w:val="0"/>
                <w:sz w:val="24"/>
                <w:highlight w:val="none"/>
              </w:rPr>
              <w:t>本项目针对监控系统已在土建工程中采购：网线4</w:t>
            </w:r>
            <w:r>
              <w:rPr>
                <w:rFonts w:ascii="宋体" w:hAnsi="宋体" w:cs="宋体"/>
                <w:b/>
                <w:bCs/>
                <w:color w:val="auto"/>
                <w:kern w:val="0"/>
                <w:sz w:val="24"/>
                <w:highlight w:val="none"/>
              </w:rPr>
              <w:t>148.61</w:t>
            </w:r>
            <w:r>
              <w:rPr>
                <w:rFonts w:hint="eastAsia" w:ascii="宋体" w:hAnsi="宋体" w:cs="宋体"/>
                <w:b/>
                <w:bCs/>
                <w:color w:val="auto"/>
                <w:kern w:val="0"/>
                <w:sz w:val="24"/>
                <w:highlight w:val="none"/>
              </w:rPr>
              <w:t>米（与网络系统共用）、监控电源线（各种规格）、门禁电源及控制线、报警设备电源及控制线共计2</w:t>
            </w:r>
            <w:r>
              <w:rPr>
                <w:rFonts w:ascii="宋体" w:hAnsi="宋体" w:cs="宋体"/>
                <w:b/>
                <w:bCs/>
                <w:color w:val="auto"/>
                <w:kern w:val="0"/>
                <w:sz w:val="24"/>
                <w:highlight w:val="none"/>
              </w:rPr>
              <w:t>355.12</w:t>
            </w:r>
            <w:r>
              <w:rPr>
                <w:rFonts w:hint="eastAsia" w:ascii="宋体" w:hAnsi="宋体" w:cs="宋体"/>
                <w:b/>
                <w:bCs/>
                <w:color w:val="auto"/>
                <w:kern w:val="0"/>
                <w:sz w:val="24"/>
                <w:highlight w:val="none"/>
              </w:rPr>
              <w:t>米，由土建单位负责拉线到位（并且数量可以按实际需求做追加变更），以及摄像机8台（用于室外相关区域），由土建单位负责实施（含线路布置到指定地点），不在本次招标范围。但本次招标需配合组网及对接工作、统一到监控平台管理。</w:t>
            </w:r>
          </w:p>
        </w:tc>
      </w:tr>
    </w:tbl>
    <w:p>
      <w:pPr>
        <w:pStyle w:val="2"/>
        <w:ind w:left="0" w:leftChars="0" w:firstLine="0" w:firstLineChars="0"/>
        <w:rPr>
          <w:rFonts w:hint="eastAsia"/>
          <w:b/>
          <w:bCs/>
          <w:color w:val="auto"/>
          <w:highlight w:val="none"/>
        </w:rPr>
      </w:pPr>
    </w:p>
    <w:p>
      <w:pPr>
        <w:pStyle w:val="2"/>
        <w:numPr>
          <w:ilvl w:val="0"/>
          <w:numId w:val="9"/>
        </w:numPr>
        <w:ind w:leftChars="0" w:firstLineChars="0"/>
        <w:rPr>
          <w:b/>
          <w:bCs/>
          <w:color w:val="auto"/>
          <w:highlight w:val="none"/>
        </w:rPr>
      </w:pPr>
      <w:r>
        <w:rPr>
          <w:rFonts w:hint="eastAsia"/>
          <w:b/>
          <w:bCs/>
          <w:color w:val="auto"/>
          <w:highlight w:val="none"/>
        </w:rPr>
        <w:t>公共广播系统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18"/>
        <w:gridCol w:w="127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21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127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6379"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0" w:type="dxa"/>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广播设备</w:t>
            </w: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智能广播控制器</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功能特点：</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1、采用专业音频解码器，支持多音频格式，可输出HiFi水准的立体声音频信号；</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2、数据运算性能优异，系统稳定运行可靠性极高；</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3、解码器芯片内置DSP数字信号处理器和专利算法、音质更优美；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4、支持MP3/MPEG4/WMA/WAV/MIDI等音频格式播；</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5、嵌入式设计，人性化管理，编程可脱离电脑独立编辑；</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6、采用SD卡做歌曲储存介质，支持8G、16G的SD卡，支持从SD卡中装载定时编程文件，无须连接电脑，使用方便；</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7、内置4路电源时序器，有效防止多台功放同时开机时对本机的干扰；</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8、支持手动/定时自动播放，曲目达999首。可控制10个分区、5个功放电源、1个外设；</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9、可存储8套定时程序，每套程序最多99个定时。定时程序断电记忆，开机自动恢复运行；</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10、具有FM收音机、录音机功能，每个定时均可指定收听电台或事先录好的语音；</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11、自带时序器扩展接口，可控制外接时序器；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12、无线遥控功能（可选）。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系统参数</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电源：220V/50Hz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功耗：输出总功率＞5kw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电源控制输出电平:0V</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音频输入:0-10dB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音频输出:0dB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通信速度:4800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频响:20Hz-20KHz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Mp3储存介质:SD卡</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报警输入电平:24V</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提供中国国家强制性产品认证3C证书</w:t>
            </w:r>
            <w:r>
              <w:rPr>
                <w:rFonts w:hint="eastAsia" w:ascii="宋体" w:hAnsi="宋体" w:cs="宋体"/>
                <w:color w:val="auto"/>
                <w:kern w:val="0"/>
                <w:sz w:val="20"/>
                <w:szCs w:val="20"/>
                <w:highlight w:val="none"/>
                <w:lang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0" w:type="dxa"/>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continue"/>
            <w:noWrap w:val="0"/>
            <w:vAlign w:val="center"/>
          </w:tcPr>
          <w:p>
            <w:pPr>
              <w:jc w:val="center"/>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智能播放终端</w:t>
            </w:r>
          </w:p>
        </w:tc>
        <w:tc>
          <w:tcPr>
            <w:tcW w:w="6379"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带屏幕智能播放终端，支持智能控制及场景设计，支持简易编程，含智能插座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0" w:type="dxa"/>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vMerge w:val="continue"/>
            <w:noWrap w:val="0"/>
            <w:vAlign w:val="center"/>
          </w:tcPr>
          <w:p>
            <w:pPr>
              <w:jc w:val="center"/>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前置放大器</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功能特点：</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1、标准机柜式设计，黑色喷砂面板，高档大气。</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2、具有5路话筒（MIC)输入，第1路话筒（MIC1)具有最高优先级、优先强行切入功能，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3、3线路标准信号（AUX)输入</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4、2路紧急线路（EMC)输入，4路紧急输入线路具有二级优先，强行切入优先功能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5、MIC1和EMC最高优先权限功能可通过拨动开关选择，均附有线路辅助输入接口功能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6、MIC1、2、3、4和AUX1、2、3可交叉混合输出，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7、话筒（MIC)输入和线路（AUX)输入可独立调节，设有总音量调节，高低音调节，具有默音调节和EMC输入增益调节</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系统参数</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输入：话筒输入MIC 1.2.3.4.5: 600Ω5mV 不平衡；线路输入AUX 1.2.3:10KΩ350mV 不平衡；紧急输入EMC1.2 200MV-1000MV/10KΩ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频率响应：20Hz-20KHz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信噪比：MIC输入50dB;AUX输入：80dB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音量调节：高音±10dB at 10kHz；低音±10dB at 100Hz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指示灯：‘POWER’</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电源：AC 220V±10%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电源功耗：12-15W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0" w:type="dxa"/>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18" w:type="dxa"/>
            <w:vMerge w:val="continue"/>
            <w:noWrap w:val="0"/>
            <w:vAlign w:val="center"/>
          </w:tcPr>
          <w:p>
            <w:pPr>
              <w:jc w:val="center"/>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广播话筒</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塑料底座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1、换能方式: 电容式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2、频率响应: 40Hz-16KHz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3、指向性: 心型指向</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4、输出阻抗（Ω）: 200Ω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5、灵敏度: -38dB±2dB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6、供电电压(V) : DC3V</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7、有效拾音距离: 50cm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8、带前凑音(开启和关闭时, 有“叮咚”前奏音放出), 灯环提示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9、咪线长度、配置: 6米单芯、卡龙母+ 6.35单声道插嘴</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10、开关: 有声无锁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0" w:type="dxa"/>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18" w:type="dxa"/>
            <w:vMerge w:val="continue"/>
            <w:noWrap w:val="0"/>
            <w:vAlign w:val="center"/>
          </w:tcPr>
          <w:p>
            <w:pPr>
              <w:jc w:val="center"/>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一拖二远距离无线话筒</w:t>
            </w:r>
          </w:p>
        </w:tc>
        <w:tc>
          <w:tcPr>
            <w:tcW w:w="6379" w:type="dxa"/>
            <w:noWrap w:val="0"/>
            <w:vAlign w:val="top"/>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产品特点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1、节能设置,全自动EQ控制功能,自动校正音色全自动开关机模式,自动红外线对频系统,全自动扫描；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2、真分集,不断迅,消除死角;高增益天线,有效开阔使用距离可达120米,完备的输入输出接口,方便连接各种设备；</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3、采用最新型的高频声表面滤波器,最大限度地滤除带外干扰信号；</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4、采用二次变频的高频电路设计,具有极高的灵敏度。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参数：</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接收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产品类型：≥ 1U</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机箱材质： 金属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面板颜色： 双色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调节方式： FM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频带宽度： 60MHz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频率间隔： 300KHz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可调节频点数： 200组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接收方式： UHF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使用距离： 60M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发射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话筒频率点： 610MHz-670MHz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咪管材质： 锌合金加铝合金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咪管颜色：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指向特征： 全指向性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拾音头类型： 动圈式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话筒灵敏度： -105dB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拾音距离： 18CM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供电方式： 2XAA电池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使用时间： 4h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0" w:type="dxa"/>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18" w:type="dxa"/>
            <w:vMerge w:val="continue"/>
            <w:noWrap w:val="0"/>
            <w:vAlign w:val="center"/>
          </w:tcPr>
          <w:p>
            <w:pPr>
              <w:jc w:val="center"/>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电源时序器</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功能特点：</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1、标准机柜式设计，黑色喷砂面板，高档大气。</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2、轻触式按键操作，LED指示灯显示工作状态，一目了然。</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3、此设备更适合会议、媒体等需要更多地免除干扰的应用场合；</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4、采用了可被中控继电器控制的外部接口，最大的特点是加入了2级电网EMI/EMC噪声滤波器，能有效阻隔诸如强无线电，电火花等干扰从电源引入设备。这样对最终重放音质及稳定性产生积极的作用；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★5、输入选择D型80A动力型空气开关，从设备背面引入电缆接入空开，符合建设部标准。（提供官网截图证明）；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6、数值实时电压指示，标准USB接口灯具辅助照明配置；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7、16路电源输出，每路输出AC220V(10A)；30A大电流控制继电器输出，8路美标兼容欧标插座和8路国标插座；电源插座依次间隔1S打开；；1路消防短路报警触发信号输出；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8、设有电子锁开关，可手动控制16个电源上断电，也可以与定时器、智能控制器相连接，实现自动控制。</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9、采用SMT、AI、ICT全自动生产和测试技术，保证标准化生产和产品的一致性；电源滤波器数量8个内置独立滤波组件，每通道 1个,电源滤波器参数2阶滤波，150kHz-3MHz衰减40dB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10、保护功能超压报警功能、接入错相指示功能、空气开关过流自动断路功能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前面板指示功能三位数字为电压、错相接入警告、超压警告、待机、运行、全部旁通、单独通道旁通</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11、前面板使用功能接入电力总输入开关和接口、时序电源开关、USB灯电源开关和接口、超压警告逻辑电压选择和切断、全部旁通选择、单独通道旁通选择后面板使用功能时序电源输出插座、联机输入输出插座、外部时序电源开关控制插座、电力线接入管道</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系统参数</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输入：单相3线，单相两刀型空气开关</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输出：16路，时序通道数量8通道,可输出通道数8通道</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★输入最大电流容量：80A（AC220V）</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每通道最大输出电流容量：30A/60S或10Ams</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时序间隔时间：1sec</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USB灯座最大输出电压/电流：5V/50mA</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电源：AC 220V±10%  50-60Hz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提供产品3C认证证书</w:t>
            </w:r>
            <w:r>
              <w:rPr>
                <w:rFonts w:hint="eastAsia" w:ascii="宋体" w:hAnsi="宋体" w:cs="宋体"/>
                <w:color w:val="auto"/>
                <w:kern w:val="0"/>
                <w:sz w:val="20"/>
                <w:szCs w:val="20"/>
                <w:highlight w:val="none"/>
                <w:lang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0" w:type="dxa"/>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18" w:type="dxa"/>
            <w:vMerge w:val="continue"/>
            <w:noWrap w:val="0"/>
            <w:vAlign w:val="center"/>
          </w:tcPr>
          <w:p>
            <w:pPr>
              <w:jc w:val="center"/>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机柜</w:t>
            </w:r>
          </w:p>
        </w:tc>
        <w:tc>
          <w:tcPr>
            <w:tcW w:w="6379" w:type="dxa"/>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20</w:t>
            </w:r>
            <w:r>
              <w:rPr>
                <w:rFonts w:hint="eastAsia" w:ascii="宋体" w:hAnsi="宋体" w:cs="宋体"/>
                <w:color w:val="auto"/>
                <w:kern w:val="0"/>
                <w:sz w:val="20"/>
                <w:szCs w:val="20"/>
                <w:highlight w:val="none"/>
              </w:rPr>
              <w:t>U标准机柜；尺寸≥600*</w:t>
            </w:r>
            <w:r>
              <w:rPr>
                <w:rFonts w:ascii="宋体" w:hAnsi="宋体" w:cs="宋体"/>
                <w:color w:val="auto"/>
                <w:kern w:val="0"/>
                <w:sz w:val="20"/>
                <w:szCs w:val="20"/>
                <w:highlight w:val="none"/>
              </w:rPr>
              <w:t>6</w:t>
            </w:r>
            <w:r>
              <w:rPr>
                <w:rFonts w:hint="eastAsia" w:ascii="宋体" w:hAnsi="宋体" w:cs="宋体"/>
                <w:color w:val="auto"/>
                <w:kern w:val="0"/>
                <w:sz w:val="20"/>
                <w:szCs w:val="20"/>
                <w:highlight w:val="none"/>
              </w:rPr>
              <w:t>00*</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0" w:type="dxa"/>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218" w:type="dxa"/>
            <w:vMerge w:val="continue"/>
            <w:noWrap w:val="0"/>
            <w:vAlign w:val="center"/>
          </w:tcPr>
          <w:p>
            <w:pPr>
              <w:jc w:val="center"/>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控制终端</w:t>
            </w:r>
          </w:p>
        </w:tc>
        <w:tc>
          <w:tcPr>
            <w:tcW w:w="6379"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≥I3/4G/1T+128G SSD/19.5寸显示器/键鼠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0"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218" w:type="dxa"/>
            <w:vMerge w:val="continue"/>
            <w:shd w:val="clear" w:color="auto" w:fill="auto"/>
            <w:noWrap w:val="0"/>
            <w:vAlign w:val="center"/>
          </w:tcPr>
          <w:p>
            <w:pPr>
              <w:widowControl/>
              <w:jc w:val="center"/>
              <w:rPr>
                <w:rFonts w:hint="eastAsia"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定压功放500W</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功能特点：</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1、1通道LINE不平衡TRS输入，1通道LINE不平衡TRS级联输出。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2、1通道LINE平衡XLR输入，1通道LINE平衡XLR级联输出。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3、2种功率输出方式：定压输出110V、70V和定阻输出4-16Ω。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4、产品具有良好的短路、过载、过热等自我保护</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系统参数</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1、额定输出功率:500W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2、扬声器输出:70V,110V＆4-16Ω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3、输入灵敏度＆输入阻抗:775mV/10KΩ，不平衡TRS输入端子</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4、过载源电动势 : ≥15dB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5、频率响应:50Hz-16KHz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6、信噪比（折合至输入端）: &gt;90dB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7、总谐波失真:1KHz时0.5%，1/3输出功率。</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8、散热:由前往后强制风冷，散热器温度55度时启动内置风扇</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9、保护:过热，过载&amp;短路</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10、电源:220V-/50Hz</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提供中国国家强制性产品认证3C证书、《计算机软件著作权登记证书》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20"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21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线材及配件</w:t>
            </w:r>
          </w:p>
        </w:tc>
        <w:tc>
          <w:tcPr>
            <w:tcW w:w="6379" w:type="dxa"/>
            <w:shd w:val="clear" w:color="000000" w:fill="FFFFFF"/>
            <w:noWrap w:val="0"/>
            <w:vAlign w:val="top"/>
          </w:tcPr>
          <w:p>
            <w:pPr>
              <w:widowControl/>
              <w:spacing w:line="276"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各种广播设备连接线、跳线；胶布、扎带等一系列辅材配件。【广播线已在土建中采购，详见备注说明】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0" w:type="dxa"/>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218" w:type="dxa"/>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6379"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设备安装，信号测试，仪器使用配置等一系列施工及调试，交钥匙工程。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After w:w="0" w:type="dxa"/>
          <w:trHeight w:val="480" w:hRule="atLeast"/>
        </w:trPr>
        <w:tc>
          <w:tcPr>
            <w:tcW w:w="183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655"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b/>
                <w:bCs/>
                <w:color w:val="auto"/>
                <w:kern w:val="0"/>
                <w:sz w:val="24"/>
                <w:szCs w:val="20"/>
                <w:highlight w:val="none"/>
              </w:rPr>
            </w:pPr>
            <w:r>
              <w:rPr>
                <w:rFonts w:hint="eastAsia" w:ascii="宋体" w:hAnsi="宋体" w:cs="宋体"/>
                <w:b/>
                <w:bCs/>
                <w:color w:val="auto"/>
                <w:kern w:val="0"/>
                <w:sz w:val="24"/>
                <w:highlight w:val="none"/>
              </w:rPr>
              <w:t>本项目针对广播系统已在土建工程中采购：</w:t>
            </w:r>
            <w:r>
              <w:rPr>
                <w:rFonts w:hint="eastAsia" w:ascii="宋体" w:hAnsi="宋体" w:cs="宋体"/>
                <w:b/>
                <w:bCs/>
                <w:color w:val="auto"/>
                <w:kern w:val="0"/>
                <w:sz w:val="24"/>
                <w:szCs w:val="20"/>
                <w:highlight w:val="none"/>
              </w:rPr>
              <w:t>室内吸顶喇叭27个（消防共用）、室外草地音箱8个，广播线</w:t>
            </w:r>
            <w:r>
              <w:rPr>
                <w:rFonts w:ascii="宋体" w:hAnsi="宋体" w:cs="宋体"/>
                <w:b/>
                <w:bCs/>
                <w:color w:val="auto"/>
                <w:kern w:val="0"/>
                <w:sz w:val="24"/>
                <w:szCs w:val="20"/>
                <w:highlight w:val="none"/>
              </w:rPr>
              <w:t>960.6</w:t>
            </w:r>
            <w:r>
              <w:rPr>
                <w:rFonts w:hint="eastAsia" w:ascii="宋体" w:hAnsi="宋体" w:cs="宋体"/>
                <w:b/>
                <w:bCs/>
                <w:color w:val="auto"/>
                <w:kern w:val="0"/>
                <w:sz w:val="24"/>
                <w:szCs w:val="20"/>
                <w:highlight w:val="none"/>
              </w:rPr>
              <w:t>米（室内及室外合计），用于相关区域安装，由土建单位负责实施（含线路布置到指定地点），</w:t>
            </w:r>
            <w:r>
              <w:rPr>
                <w:rFonts w:hint="eastAsia" w:ascii="宋体" w:hAnsi="宋体" w:cs="宋体"/>
                <w:b/>
                <w:bCs/>
                <w:color w:val="auto"/>
                <w:kern w:val="0"/>
                <w:sz w:val="24"/>
                <w:highlight w:val="none"/>
              </w:rPr>
              <w:t>不在本次招标范围。</w:t>
            </w:r>
            <w:r>
              <w:rPr>
                <w:rFonts w:hint="eastAsia" w:ascii="宋体" w:hAnsi="宋体" w:cs="宋体"/>
                <w:b/>
                <w:bCs/>
                <w:color w:val="auto"/>
                <w:kern w:val="0"/>
                <w:sz w:val="24"/>
                <w:szCs w:val="20"/>
                <w:highlight w:val="none"/>
              </w:rPr>
              <w:t>但在本次招标需配合对接工作，统一到广播平台。</w:t>
            </w:r>
          </w:p>
        </w:tc>
      </w:tr>
    </w:tbl>
    <w:p>
      <w:pPr>
        <w:pStyle w:val="2"/>
        <w:ind w:left="0" w:leftChars="0" w:firstLine="0" w:firstLineChars="0"/>
        <w:rPr>
          <w:rFonts w:hint="eastAsia"/>
          <w:b/>
          <w:bCs/>
          <w:color w:val="auto"/>
          <w:highlight w:val="none"/>
        </w:rPr>
      </w:pPr>
    </w:p>
    <w:p>
      <w:pPr>
        <w:pStyle w:val="2"/>
        <w:numPr>
          <w:ilvl w:val="0"/>
          <w:numId w:val="9"/>
        </w:numPr>
        <w:ind w:leftChars="0" w:firstLineChars="0"/>
        <w:rPr>
          <w:b/>
          <w:bCs/>
          <w:color w:val="auto"/>
          <w:highlight w:val="none"/>
        </w:rPr>
      </w:pPr>
      <w:r>
        <w:rPr>
          <w:rFonts w:hint="eastAsia"/>
          <w:b/>
          <w:bCs/>
          <w:color w:val="auto"/>
          <w:highlight w:val="none"/>
        </w:rPr>
        <w:t>机房建设系统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18"/>
        <w:gridCol w:w="127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21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127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6379"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一体化微机房设备</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微型智能机房</w:t>
            </w:r>
          </w:p>
        </w:tc>
        <w:tc>
          <w:tcPr>
            <w:tcW w:w="6379" w:type="dxa"/>
            <w:shd w:val="clear" w:color="000000" w:fill="FFFFFF"/>
            <w:noWrap w:val="0"/>
            <w:vAlign w:val="top"/>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★1、机柜：≥600*1200*2000mm(38U可用)，全密闭防尘，磁性密封胶条。（提供具有磁性密封胶条功能的官方彩页）</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2、机柜静态承载能力≥2000Kg。（提供第三方权威机构出具的检测报告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★3、机柜抗震应带载≥500Kg工况下连续通过8、9级烈度考核。（提供第三方权威机构出具的检测报告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4、机柜防尘等级≥IP6X。（提供第三方权威机构出具的检测报告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5</w:t>
            </w:r>
            <w:r>
              <w:rPr>
                <w:rFonts w:hint="eastAsia" w:ascii="宋体" w:hAnsi="宋体" w:cs="宋体"/>
                <w:color w:val="auto"/>
                <w:kern w:val="0"/>
                <w:sz w:val="20"/>
                <w:szCs w:val="20"/>
                <w:highlight w:val="none"/>
              </w:rPr>
              <w:t>、监控模块：≥10.1英寸液晶屏，分辨率1280*800；1U机架式监控主机，基于LINUX系统，B/S架构，支持WEB页面远程访问，实时监测动环信息。（提供软件产品证书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6</w:t>
            </w:r>
            <w:r>
              <w:rPr>
                <w:rFonts w:hint="eastAsia" w:ascii="宋体" w:hAnsi="宋体" w:cs="宋体"/>
                <w:color w:val="auto"/>
                <w:kern w:val="0"/>
                <w:sz w:val="20"/>
                <w:szCs w:val="20"/>
                <w:highlight w:val="none"/>
              </w:rPr>
              <w:t>、监控产品软件应具有交互式语音告警功能。（提供交互式语音告警系统证书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ascii="宋体" w:hAnsi="宋体" w:cs="宋体"/>
                <w:color w:val="auto"/>
                <w:kern w:val="0"/>
                <w:sz w:val="20"/>
                <w:szCs w:val="20"/>
                <w:highlight w:val="none"/>
              </w:rPr>
              <w:t>7</w:t>
            </w:r>
            <w:r>
              <w:rPr>
                <w:rFonts w:hint="eastAsia" w:ascii="宋体" w:hAnsi="宋体" w:cs="宋体"/>
                <w:color w:val="auto"/>
                <w:kern w:val="0"/>
                <w:sz w:val="20"/>
                <w:szCs w:val="20"/>
                <w:highlight w:val="none"/>
              </w:rPr>
              <w:t>、智能通控器：每个机柜后立柱机架安装，占用机架空间1U，用于采集柜内门磁、温湿度、烟感、漏水及智能设备等信息，485总线级联扩展。</w:t>
            </w:r>
          </w:p>
          <w:p>
            <w:pPr>
              <w:widowControl/>
              <w:jc w:val="left"/>
              <w:rPr>
                <w:rFonts w:hint="eastAsia" w:ascii="宋体" w:hAnsi="宋体" w:eastAsia="宋体" w:cs="宋体"/>
                <w:color w:val="auto"/>
                <w:kern w:val="0"/>
                <w:sz w:val="20"/>
                <w:szCs w:val="20"/>
                <w:highlight w:val="none"/>
                <w:lang w:eastAsia="zh-CN"/>
              </w:rPr>
            </w:pPr>
            <w:r>
              <w:rPr>
                <w:rFonts w:ascii="宋体" w:hAnsi="宋体" w:cs="宋体"/>
                <w:color w:val="auto"/>
                <w:kern w:val="0"/>
                <w:sz w:val="20"/>
                <w:szCs w:val="20"/>
                <w:highlight w:val="none"/>
              </w:rPr>
              <w:t>8</w:t>
            </w:r>
            <w:r>
              <w:rPr>
                <w:rFonts w:hint="eastAsia" w:ascii="宋体" w:hAnsi="宋体" w:cs="宋体"/>
                <w:color w:val="auto"/>
                <w:kern w:val="0"/>
                <w:sz w:val="20"/>
                <w:szCs w:val="20"/>
                <w:highlight w:val="none"/>
              </w:rPr>
              <w:t>、双冷源模块：可实现压缩机制冷及自然风冷两种模式，制冷量≥3.5KW，风量≥850m3/h；有外机；直流变频压缩机、EC风机；超温时自动强排风散热。</w:t>
            </w:r>
          </w:p>
          <w:p>
            <w:pPr>
              <w:widowControl/>
              <w:jc w:val="left"/>
              <w:rPr>
                <w:rFonts w:hint="eastAsia" w:ascii="宋体" w:hAnsi="宋体" w:eastAsia="宋体" w:cs="宋体"/>
                <w:color w:val="auto"/>
                <w:kern w:val="0"/>
                <w:sz w:val="20"/>
                <w:szCs w:val="20"/>
                <w:highlight w:val="none"/>
                <w:lang w:eastAsia="zh-CN"/>
              </w:rPr>
            </w:pPr>
            <w:r>
              <w:rPr>
                <w:rFonts w:ascii="宋体" w:hAnsi="宋体" w:cs="宋体"/>
                <w:color w:val="auto"/>
                <w:kern w:val="0"/>
                <w:sz w:val="20"/>
                <w:szCs w:val="20"/>
                <w:highlight w:val="none"/>
              </w:rPr>
              <w:t>9</w:t>
            </w:r>
            <w:r>
              <w:rPr>
                <w:rFonts w:hint="eastAsia" w:ascii="宋体" w:hAnsi="宋体" w:cs="宋体"/>
                <w:color w:val="auto"/>
                <w:kern w:val="0"/>
                <w:sz w:val="20"/>
                <w:szCs w:val="20"/>
                <w:highlight w:val="none"/>
              </w:rPr>
              <w:t>、机柜应具有应急通风功能，智能温控，自动启闭。（提供机柜具有应急通风功能的证书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0</w:t>
            </w:r>
            <w:r>
              <w:rPr>
                <w:rFonts w:hint="eastAsia" w:ascii="宋体" w:hAnsi="宋体" w:cs="宋体"/>
                <w:color w:val="auto"/>
                <w:kern w:val="0"/>
                <w:sz w:val="20"/>
                <w:szCs w:val="20"/>
                <w:highlight w:val="none"/>
              </w:rPr>
              <w:t>、为保证设备运行可靠性，机柜需具有双冷源冷却接口装置及双冷源冷却设备。</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、附件：包含1个NTC温度、1个温湿度、1个市电检测、2个门磁、2条1.8米圆弧硬灯条氛围灯、1条智能照明灯、2个8口PDU、26U盲板、1个托盘、2个L型支撑、1套加强排风组件（3个独立95m3/h风扇）、遏风组件、侧板等。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restart"/>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不间断电源设备</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UPS主机</w:t>
            </w:r>
          </w:p>
        </w:tc>
        <w:tc>
          <w:tcPr>
            <w:tcW w:w="6379" w:type="dxa"/>
            <w:shd w:val="clear" w:color="000000" w:fill="FFFFFF"/>
            <w:noWrap w:val="0"/>
            <w:vAlign w:val="top"/>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1、10KVA，要求为全智能型高频纯在线式UPS，整机采用双变换在线式设计，配置阀控免维护蓄电池；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2、具有完备的检测、保护功能，如输出短路保护、过载保护、电池过充、过放电保护、输入电压过低、过高保护、UPS内部过温保护，UPS具有自我诊断、自动测试保护；                                                                         3、采用液晶面板（LCD）加LED显示，可直观地查询市电状态、旁路供电、电池供电、过载、电池低压、故障、更换电池、电池容量和负载大小等参数清晰地显示在面板上。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4、高输入功率因数,输入端采用功率因数校正技术（PFC）使输入功率因数≥0.95；</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5、具有RS232通信接口及可选配的SNMP网络适配器、备有SNMP插槽，以实现UPS远程监控功能，免费提供通信协议和监控软件；                                                                                   ★</w:t>
            </w:r>
            <w:r>
              <w:rPr>
                <w:rFonts w:ascii="宋体" w:hAnsi="宋体" w:cs="宋体"/>
                <w:color w:val="auto"/>
                <w:kern w:val="0"/>
                <w:sz w:val="20"/>
                <w:szCs w:val="20"/>
                <w:highlight w:val="none"/>
              </w:rPr>
              <w:t>6</w:t>
            </w:r>
            <w:r>
              <w:rPr>
                <w:rFonts w:hint="eastAsia" w:ascii="宋体" w:hAnsi="宋体" w:cs="宋体"/>
                <w:color w:val="auto"/>
                <w:kern w:val="0"/>
                <w:sz w:val="20"/>
                <w:szCs w:val="20"/>
                <w:highlight w:val="none"/>
              </w:rPr>
              <w:t xml:space="preserve">、产品具有一种带变控制技术的不间断电源装置、UPS不间断电源的散热装置等功能。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620"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蓄电池</w:t>
            </w:r>
          </w:p>
        </w:tc>
        <w:tc>
          <w:tcPr>
            <w:tcW w:w="6379" w:type="dxa"/>
            <w:shd w:val="clear" w:color="000000" w:fill="FFFFFF"/>
            <w:noWrap w:val="0"/>
            <w:vAlign w:val="top"/>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1、蓄电池规格：12V-100AH铅酸免维护蓄电池；</w:t>
            </w:r>
          </w:p>
          <w:p>
            <w:pPr>
              <w:widowControl/>
              <w:jc w:val="left"/>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、浮充设计寿命≥10年（25℃）                                                                                                                                                              ★3、提供蓄电池的泰尔认证及检测报告。</w:t>
            </w:r>
          </w:p>
          <w:p>
            <w:pPr>
              <w:pStyle w:val="2"/>
              <w:ind w:left="0" w:leftChars="0" w:firstLine="0" w:firstLineChars="0"/>
              <w:rPr>
                <w:rFonts w:hint="eastAsia" w:ascii="宋体" w:hAnsi="宋体" w:cs="宋体"/>
                <w:color w:val="auto"/>
                <w:sz w:val="20"/>
                <w:highlight w:val="none"/>
              </w:rPr>
            </w:pPr>
            <w:r>
              <w:rPr>
                <w:rFonts w:hint="eastAsia" w:ascii="宋体" w:hAnsi="宋体" w:cs="宋体"/>
                <w:color w:val="auto"/>
                <w:sz w:val="20"/>
                <w:highlight w:val="none"/>
              </w:rPr>
              <w:t>★</w:t>
            </w:r>
            <w:r>
              <w:rPr>
                <w:rFonts w:ascii="宋体" w:hAnsi="宋体" w:cs="宋体"/>
                <w:color w:val="auto"/>
                <w:sz w:val="20"/>
                <w:highlight w:val="none"/>
              </w:rPr>
              <w:t>4</w:t>
            </w:r>
            <w:r>
              <w:rPr>
                <w:rFonts w:hint="eastAsia" w:ascii="宋体" w:hAnsi="宋体" w:cs="宋体"/>
                <w:color w:val="auto"/>
                <w:sz w:val="20"/>
                <w:highlight w:val="none"/>
              </w:rPr>
              <w:t>，为了投标产品性能的一致性与稳定性，配套的蓄电池与UPS电源主机建议采用同一品牌的原厂产品。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电池柜</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A16规格电池柜，存放16节12V-100AH蓄电池，品质优良。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配电柜</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弱电系统总配电柜制作，各楼层机柜控制开关配置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18" w:type="dxa"/>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电缆配件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YJV3*4电缆，各楼层机柜供电电缆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18" w:type="dxa"/>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设备安装，信号测试，仪器使用配置等一系列施工及调试，交钥匙工程。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After w:w="0" w:type="dxa"/>
          <w:trHeight w:val="480" w:hRule="atLeast"/>
        </w:trPr>
        <w:tc>
          <w:tcPr>
            <w:tcW w:w="183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2"/>
                <w:szCs w:val="22"/>
                <w:highlight w:val="none"/>
              </w:rPr>
            </w:pPr>
            <w:r>
              <w:rPr>
                <w:rFonts w:hint="eastAsia" w:ascii="宋体" w:hAnsi="宋体" w:cs="宋体"/>
                <w:b/>
                <w:bCs/>
                <w:color w:val="auto"/>
                <w:kern w:val="0"/>
                <w:sz w:val="24"/>
                <w:highlight w:val="none"/>
              </w:rPr>
              <w:t>本项目针对机房建设系统已在土建工程中采购：防静电地板5</w:t>
            </w:r>
            <w:r>
              <w:rPr>
                <w:rFonts w:ascii="宋体" w:hAnsi="宋体" w:cs="宋体"/>
                <w:b/>
                <w:bCs/>
                <w:color w:val="auto"/>
                <w:kern w:val="0"/>
                <w:sz w:val="24"/>
                <w:highlight w:val="none"/>
              </w:rPr>
              <w:t>1.92</w:t>
            </w:r>
            <w:r>
              <w:rPr>
                <w:rFonts w:hint="eastAsia" w:ascii="宋体" w:hAnsi="宋体" w:cs="宋体"/>
                <w:b/>
                <w:bCs/>
                <w:color w:val="auto"/>
                <w:kern w:val="0"/>
                <w:sz w:val="24"/>
                <w:highlight w:val="none"/>
              </w:rPr>
              <w:t>平方</w:t>
            </w:r>
            <w:r>
              <w:rPr>
                <w:rFonts w:hint="eastAsia" w:ascii="宋体" w:hAnsi="宋体" w:cs="宋体"/>
                <w:b/>
                <w:bCs/>
                <w:color w:val="auto"/>
                <w:kern w:val="0"/>
                <w:sz w:val="24"/>
                <w:szCs w:val="20"/>
                <w:highlight w:val="none"/>
              </w:rPr>
              <w:t>（用于相关区域安装），弱电用总电缆（4*</w:t>
            </w:r>
            <w:r>
              <w:rPr>
                <w:rFonts w:ascii="宋体" w:hAnsi="宋体" w:cs="宋体"/>
                <w:b/>
                <w:bCs/>
                <w:color w:val="auto"/>
                <w:kern w:val="0"/>
                <w:sz w:val="24"/>
                <w:szCs w:val="20"/>
                <w:highlight w:val="none"/>
              </w:rPr>
              <w:t>25</w:t>
            </w:r>
            <w:r>
              <w:rPr>
                <w:rFonts w:hint="eastAsia" w:ascii="宋体" w:hAnsi="宋体" w:cs="宋体"/>
                <w:b/>
                <w:bCs/>
                <w:color w:val="auto"/>
                <w:kern w:val="0"/>
                <w:sz w:val="24"/>
                <w:szCs w:val="20"/>
                <w:highlight w:val="none"/>
              </w:rPr>
              <w:t>+</w:t>
            </w:r>
            <w:r>
              <w:rPr>
                <w:rFonts w:ascii="宋体" w:hAnsi="宋体" w:cs="宋体"/>
                <w:b/>
                <w:bCs/>
                <w:color w:val="auto"/>
                <w:kern w:val="0"/>
                <w:sz w:val="24"/>
                <w:szCs w:val="20"/>
                <w:highlight w:val="none"/>
              </w:rPr>
              <w:t>1</w:t>
            </w:r>
            <w:r>
              <w:rPr>
                <w:rFonts w:hint="eastAsia" w:ascii="宋体" w:hAnsi="宋体" w:cs="宋体"/>
                <w:b/>
                <w:bCs/>
                <w:color w:val="auto"/>
                <w:kern w:val="0"/>
                <w:sz w:val="24"/>
                <w:szCs w:val="20"/>
                <w:highlight w:val="none"/>
              </w:rPr>
              <w:t>*</w:t>
            </w:r>
            <w:r>
              <w:rPr>
                <w:rFonts w:ascii="宋体" w:hAnsi="宋体" w:cs="宋体"/>
                <w:b/>
                <w:bCs/>
                <w:color w:val="auto"/>
                <w:kern w:val="0"/>
                <w:sz w:val="24"/>
                <w:szCs w:val="20"/>
                <w:highlight w:val="none"/>
              </w:rPr>
              <w:t>16</w:t>
            </w:r>
            <w:r>
              <w:rPr>
                <w:rFonts w:hint="eastAsia" w:ascii="宋体" w:hAnsi="宋体" w:cs="宋体"/>
                <w:b/>
                <w:bCs/>
                <w:color w:val="auto"/>
                <w:kern w:val="0"/>
                <w:sz w:val="24"/>
                <w:szCs w:val="20"/>
                <w:highlight w:val="none"/>
              </w:rPr>
              <w:t>）规格5</w:t>
            </w:r>
            <w:r>
              <w:rPr>
                <w:rFonts w:ascii="宋体" w:hAnsi="宋体" w:cs="宋体"/>
                <w:b/>
                <w:bCs/>
                <w:color w:val="auto"/>
                <w:kern w:val="0"/>
                <w:sz w:val="24"/>
                <w:szCs w:val="20"/>
                <w:highlight w:val="none"/>
              </w:rPr>
              <w:t>0</w:t>
            </w:r>
            <w:r>
              <w:rPr>
                <w:rFonts w:hint="eastAsia" w:ascii="宋体" w:hAnsi="宋体" w:cs="宋体"/>
                <w:b/>
                <w:bCs/>
                <w:color w:val="auto"/>
                <w:kern w:val="0"/>
                <w:sz w:val="24"/>
                <w:szCs w:val="20"/>
                <w:highlight w:val="none"/>
              </w:rPr>
              <w:t>米、（3*</w:t>
            </w:r>
            <w:r>
              <w:rPr>
                <w:rFonts w:ascii="宋体" w:hAnsi="宋体" w:cs="宋体"/>
                <w:b/>
                <w:bCs/>
                <w:color w:val="auto"/>
                <w:kern w:val="0"/>
                <w:sz w:val="24"/>
                <w:szCs w:val="20"/>
                <w:highlight w:val="none"/>
              </w:rPr>
              <w:t>6</w:t>
            </w:r>
            <w:r>
              <w:rPr>
                <w:rFonts w:hint="eastAsia" w:ascii="宋体" w:hAnsi="宋体" w:cs="宋体"/>
                <w:b/>
                <w:bCs/>
                <w:color w:val="auto"/>
                <w:kern w:val="0"/>
                <w:sz w:val="24"/>
                <w:szCs w:val="20"/>
                <w:highlight w:val="none"/>
              </w:rPr>
              <w:t>）规格3</w:t>
            </w:r>
            <w:r>
              <w:rPr>
                <w:rFonts w:ascii="宋体" w:hAnsi="宋体" w:cs="宋体"/>
                <w:b/>
                <w:bCs/>
                <w:color w:val="auto"/>
                <w:kern w:val="0"/>
                <w:sz w:val="24"/>
                <w:szCs w:val="20"/>
                <w:highlight w:val="none"/>
              </w:rPr>
              <w:t>4</w:t>
            </w:r>
            <w:r>
              <w:rPr>
                <w:rFonts w:hint="eastAsia" w:ascii="宋体" w:hAnsi="宋体" w:cs="宋体"/>
                <w:b/>
                <w:bCs/>
                <w:color w:val="auto"/>
                <w:kern w:val="0"/>
                <w:sz w:val="24"/>
                <w:szCs w:val="20"/>
                <w:highlight w:val="none"/>
              </w:rPr>
              <w:t>.1</w:t>
            </w:r>
            <w:r>
              <w:rPr>
                <w:rFonts w:ascii="宋体" w:hAnsi="宋体" w:cs="宋体"/>
                <w:b/>
                <w:bCs/>
                <w:color w:val="auto"/>
                <w:kern w:val="0"/>
                <w:sz w:val="24"/>
                <w:szCs w:val="20"/>
                <w:highlight w:val="none"/>
              </w:rPr>
              <w:t>3</w:t>
            </w:r>
            <w:r>
              <w:rPr>
                <w:rFonts w:hint="eastAsia" w:ascii="宋体" w:hAnsi="宋体" w:cs="宋体"/>
                <w:b/>
                <w:bCs/>
                <w:color w:val="auto"/>
                <w:kern w:val="0"/>
                <w:sz w:val="24"/>
                <w:szCs w:val="20"/>
                <w:highlight w:val="none"/>
              </w:rPr>
              <w:t>米，由土建单位负责实施（并且数量可以按需变更追加），</w:t>
            </w:r>
            <w:r>
              <w:rPr>
                <w:rFonts w:hint="eastAsia" w:ascii="宋体" w:hAnsi="宋体" w:cs="宋体"/>
                <w:b/>
                <w:bCs/>
                <w:color w:val="auto"/>
                <w:kern w:val="0"/>
                <w:sz w:val="24"/>
                <w:highlight w:val="none"/>
              </w:rPr>
              <w:t>不在本次招标范围。</w:t>
            </w:r>
          </w:p>
          <w:p>
            <w:pPr>
              <w:widowControl/>
              <w:jc w:val="left"/>
              <w:rPr>
                <w:rFonts w:hint="eastAsia" w:ascii="宋体" w:hAnsi="宋体" w:cs="宋体"/>
                <w:b/>
                <w:bCs/>
                <w:color w:val="auto"/>
                <w:kern w:val="0"/>
                <w:sz w:val="22"/>
                <w:szCs w:val="22"/>
                <w:highlight w:val="none"/>
              </w:rPr>
            </w:pPr>
          </w:p>
        </w:tc>
      </w:tr>
    </w:tbl>
    <w:p>
      <w:pPr>
        <w:pStyle w:val="2"/>
        <w:ind w:left="0" w:leftChars="0" w:firstLine="0" w:firstLineChars="0"/>
        <w:rPr>
          <w:rFonts w:hint="eastAsia"/>
          <w:b/>
          <w:bCs/>
          <w:color w:val="auto"/>
          <w:highlight w:val="none"/>
        </w:rPr>
      </w:pPr>
    </w:p>
    <w:p>
      <w:pPr>
        <w:pStyle w:val="2"/>
        <w:numPr>
          <w:ilvl w:val="0"/>
          <w:numId w:val="9"/>
        </w:numPr>
        <w:ind w:leftChars="0" w:firstLineChars="0"/>
        <w:rPr>
          <w:b/>
          <w:bCs/>
          <w:color w:val="auto"/>
          <w:highlight w:val="none"/>
        </w:rPr>
      </w:pPr>
      <w:r>
        <w:rPr>
          <w:rFonts w:hint="eastAsia"/>
          <w:b/>
          <w:bCs/>
          <w:color w:val="auto"/>
          <w:highlight w:val="none"/>
        </w:rPr>
        <w:t>信息发布系统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18"/>
        <w:gridCol w:w="127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20" w:type="dxa"/>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218" w:type="dxa"/>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1276" w:type="dxa"/>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6379" w:type="dxa"/>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vMerge w:val="restar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户外信息发布屏</w:t>
            </w: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户外全彩LED广告屏</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一、参数要求：</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▲1．像素间距≤2.8</w:t>
            </w:r>
            <w:r>
              <w:rPr>
                <w:rFonts w:ascii="宋体" w:hAnsi="宋体" w:cs="宋体"/>
                <w:color w:val="auto"/>
                <w:kern w:val="0"/>
                <w:sz w:val="20"/>
                <w:szCs w:val="20"/>
                <w:highlight w:val="none"/>
              </w:rPr>
              <w:t>6</w:t>
            </w:r>
            <w:r>
              <w:rPr>
                <w:rFonts w:hint="eastAsia" w:ascii="宋体" w:hAnsi="宋体" w:cs="宋体"/>
                <w:color w:val="auto"/>
                <w:kern w:val="0"/>
                <w:sz w:val="20"/>
                <w:szCs w:val="20"/>
                <w:highlight w:val="none"/>
              </w:rPr>
              <w:t>mm；</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2．显示屏宽≥1.5米，高≥3米，面积≥4.5平方米，分辨率≥528点×1056点，显示屏长宽根据各生产厂家自行设计，宽高尺寸和有效显示面积可正偏离，且偏离误差≤3%；</w:t>
            </w:r>
          </w:p>
          <w:p>
            <w:pPr>
              <w:widowControl/>
              <w:jc w:val="left"/>
              <w:rPr>
                <w:rFonts w:hint="eastAsia" w:ascii="宋体" w:hAnsi="宋体" w:eastAsia="宋体" w:cs="宋体"/>
                <w:b/>
                <w:bCs/>
                <w:color w:val="auto"/>
                <w:kern w:val="0"/>
                <w:sz w:val="20"/>
                <w:szCs w:val="20"/>
                <w:highlight w:val="none"/>
                <w:lang w:eastAsia="zh-CN"/>
              </w:rPr>
            </w:pPr>
            <w:r>
              <w:rPr>
                <w:rFonts w:hint="eastAsia" w:ascii="宋体" w:hAnsi="宋体" w:cs="宋体"/>
                <w:b/>
                <w:bCs/>
                <w:color w:val="auto"/>
                <w:kern w:val="0"/>
                <w:sz w:val="20"/>
                <w:szCs w:val="20"/>
                <w:highlight w:val="none"/>
              </w:rPr>
              <w:t>【为配合整体效果，结合广告牌框架结构，尺寸做相关要求】</w:t>
            </w:r>
          </w:p>
          <w:p>
            <w:pPr>
              <w:widowControl/>
              <w:jc w:val="left"/>
              <w:rPr>
                <w:rFonts w:hint="eastAsia" w:ascii="宋体" w:hAnsi="宋体" w:eastAsia="宋体" w:cs="宋体"/>
                <w:b/>
                <w:bCs/>
                <w:color w:val="auto"/>
                <w:kern w:val="0"/>
                <w:sz w:val="20"/>
                <w:szCs w:val="20"/>
                <w:highlight w:val="none"/>
                <w:lang w:eastAsia="zh-CN"/>
              </w:rPr>
            </w:pPr>
            <w:r>
              <w:rPr>
                <w:rFonts w:hint="eastAsia" w:ascii="宋体" w:hAnsi="宋体" w:cs="宋体"/>
                <w:color w:val="auto"/>
                <w:kern w:val="0"/>
                <w:sz w:val="20"/>
                <w:szCs w:val="20"/>
                <w:highlight w:val="none"/>
              </w:rPr>
              <w:t>★3．箱体结构：压铸铝，采用全金属鳍形散热设计，无风扇，无孔，防尘静音设计；箱体尺寸各显示屏制造商自行设计，箱体最厚处≤</w:t>
            </w:r>
            <w:r>
              <w:rPr>
                <w:rFonts w:ascii="宋体" w:hAnsi="宋体" w:cs="宋体"/>
                <w:color w:val="auto"/>
                <w:kern w:val="0"/>
                <w:sz w:val="20"/>
                <w:szCs w:val="20"/>
                <w:highlight w:val="none"/>
              </w:rPr>
              <w:t>86</w:t>
            </w:r>
            <w:r>
              <w:rPr>
                <w:rFonts w:hint="eastAsia" w:ascii="宋体" w:hAnsi="宋体" w:cs="宋体"/>
                <w:color w:val="auto"/>
                <w:kern w:val="0"/>
                <w:sz w:val="20"/>
                <w:szCs w:val="20"/>
                <w:highlight w:val="none"/>
              </w:rPr>
              <w:t>mm；</w:t>
            </w:r>
            <w:r>
              <w:rPr>
                <w:rFonts w:hint="eastAsia" w:ascii="宋体" w:hAnsi="宋体" w:cs="宋体"/>
                <w:b/>
                <w:bCs/>
                <w:color w:val="auto"/>
                <w:kern w:val="0"/>
                <w:sz w:val="20"/>
                <w:szCs w:val="20"/>
                <w:highlight w:val="none"/>
              </w:rPr>
              <w:t>【为配合整体效果，结合广告牌框架结构，厚度做相关要求】</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禁止模组磁吸钢结构或模组托架安装方式；本项目要求单元箱体为所投品牌整机出货，不接受市场组装机，采用原厂整机出厂方式供货安装，提供厂家整机出厂承诺函，并提供箱体带有显示屏制造商logo的图片，供货备查。；</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5．显示屏校正后亮度或白平衡亮度≥5000nit（0-100%无级可调）。（提供第三方权威机构出具的检测报告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6．显示屏最高对比度≥6000:1,显示屏亮度均匀性≥98%，色度均匀性±0.002Cx,Cy 之内，像素中心距偏差≤1.7%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7．支持低亮高灰，色温可调范围1000k~12000K，并可自定义色温值。（提供第三方权威机构出具的检测报告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b/>
                <w:bCs/>
                <w:color w:val="auto"/>
                <w:kern w:val="0"/>
                <w:sz w:val="20"/>
                <w:szCs w:val="20"/>
                <w:highlight w:val="none"/>
                <w:lang w:eastAsia="zh-CN"/>
              </w:rPr>
            </w:pPr>
            <w:r>
              <w:rPr>
                <w:rFonts w:hint="eastAsia" w:ascii="宋体" w:hAnsi="宋体" w:cs="宋体"/>
                <w:b/>
                <w:bCs/>
                <w:color w:val="auto"/>
                <w:kern w:val="0"/>
                <w:sz w:val="20"/>
                <w:szCs w:val="20"/>
                <w:highlight w:val="none"/>
              </w:rPr>
              <w:t>★8．刷新频率≥</w:t>
            </w:r>
            <w:r>
              <w:rPr>
                <w:rFonts w:ascii="宋体" w:hAnsi="宋体" w:cs="宋体"/>
                <w:b/>
                <w:bCs/>
                <w:color w:val="auto"/>
                <w:kern w:val="0"/>
                <w:sz w:val="20"/>
                <w:szCs w:val="20"/>
                <w:highlight w:val="none"/>
              </w:rPr>
              <w:t>4800</w:t>
            </w:r>
            <w:r>
              <w:rPr>
                <w:rFonts w:hint="eastAsia" w:ascii="宋体" w:hAnsi="宋体" w:cs="宋体"/>
                <w:b/>
                <w:bCs/>
                <w:color w:val="auto"/>
                <w:kern w:val="0"/>
                <w:sz w:val="20"/>
                <w:szCs w:val="20"/>
                <w:highlight w:val="none"/>
              </w:rPr>
              <w:t>HZ，换帧频率：50Hz&amp;60Hz。（提供第三方权威机构出具的检测报告</w:t>
            </w:r>
            <w:r>
              <w:rPr>
                <w:rFonts w:hint="eastAsia" w:ascii="宋体" w:hAnsi="宋体" w:cs="宋体"/>
                <w:b/>
                <w:bCs/>
                <w:color w:val="auto"/>
                <w:kern w:val="0"/>
                <w:sz w:val="20"/>
                <w:szCs w:val="20"/>
                <w:highlight w:val="none"/>
                <w:lang w:eastAsia="zh-CN"/>
              </w:rPr>
              <w:t>扫描件</w:t>
            </w:r>
            <w:r>
              <w:rPr>
                <w:rFonts w:hint="eastAsia" w:ascii="宋体" w:hAnsi="宋体" w:cs="宋体"/>
                <w:b/>
                <w:bCs/>
                <w:color w:val="auto"/>
                <w:kern w:val="0"/>
                <w:sz w:val="20"/>
                <w:szCs w:val="20"/>
                <w:highlight w:val="none"/>
              </w:rPr>
              <w:t>）</w:t>
            </w:r>
          </w:p>
          <w:p>
            <w:pPr>
              <w:widowControl/>
              <w:jc w:val="left"/>
              <w:rPr>
                <w:rFonts w:hint="eastAsia" w:ascii="宋体" w:hAnsi="宋体" w:eastAsia="宋体" w:cs="宋体"/>
                <w:b/>
                <w:bCs/>
                <w:color w:val="auto"/>
                <w:kern w:val="0"/>
                <w:sz w:val="20"/>
                <w:szCs w:val="20"/>
                <w:highlight w:val="none"/>
                <w:lang w:eastAsia="zh-CN"/>
              </w:rPr>
            </w:pPr>
            <w:r>
              <w:rPr>
                <w:rFonts w:hint="eastAsia" w:ascii="宋体" w:hAnsi="宋体" w:cs="宋体"/>
                <w:b/>
                <w:bCs/>
                <w:color w:val="auto"/>
                <w:kern w:val="0"/>
                <w:sz w:val="20"/>
                <w:szCs w:val="20"/>
                <w:highlight w:val="none"/>
              </w:rPr>
              <w:t>★9．模组、电源、控制系统支持热拔插，支持前维护。（提供相关证明材料）</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0</w:t>
            </w:r>
            <w:r>
              <w:rPr>
                <w:rFonts w:hint="eastAsia" w:ascii="宋体" w:hAnsi="宋体" w:cs="宋体"/>
                <w:color w:val="auto"/>
                <w:kern w:val="0"/>
                <w:sz w:val="20"/>
                <w:szCs w:val="20"/>
                <w:highlight w:val="none"/>
              </w:rPr>
              <w:t>、显示单元及模组平整度≤0.5mm，显示单元及模组间隙≤0.5mm。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．视角：水平视角≥160°，垂直视角≥120°(下视角≥70°)。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12．为保证产品高显示效果、高色彩还原度，要求产品色域≥120%NTSC，并且画面延时≤2ms。 （提供第三方权威机构出具的检测报告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★13．为有效避免大电流导致的发热、起火隐患，要求产品可以实现模组级限流保护。（提供第三方权威机构出具的检测报告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14．支持7 X 24小时无故障连续工作，平均故障间隔时间（MTBF）≥100000h，平均故障恢复时间（MTTR）≤5分钟。</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15．电源采用带PFC功能的，功率因数≥0.95，转换效率≥86%；</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★16．峰值功耗：≤660W/㎡，平均功耗：≤220W/㎡；显示屏带有智能（黑屏）节电功能，开启智能节电功能比没有开启节能40%以上。（提供第三方权威机构出具的检测报告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17．PCB设计焊盘采用沉金工艺处理，充分保证单模块安装的稳定性和抗氧化性。（提供第三方权威机构出具的检测报告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★18．显示屏工作时，工作噪声声压（距离1米时）≤5dB。（提供第三方权威机构出具的检测报告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19．具有实时监控显示屏、温度、电源的状态工作状态；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20．支持自动矫正技术，通过构造非线性校正曲线和色坐标变换系数矩阵实现了显示效果的不断改善，各项重要指标如色彩还原性、色温调节范围、亮度均匀性、色度均匀性、刷新率、换帧频率等均符合广电级标准；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21．箱体具有快速定位装置，可实现挂壁、钢结构安装快速定位；</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★22． LED 显示屏高防火能力，内部线材低烟无卤环保，内部线材、塑胶件与PCB满足V-0阻燃等级要求，并且产品满足BS476-7表面燃烧测试1级，BS6853燃烧烟气毒性测试的毒性指数R值≤1。（提供第三方权威机构出具的检测报告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23．产品经过振动试验、抗震测试、跌落测试、拉力测试、压力测试、高温工作试验、低温工作试验、高温存储试验、低温存储试验、耐压试验、泄漏电流试验、绝缘电阻试验。（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★24．产品盐雾试验符合盐雾10级要求，抗震等级满足8级要求，电磁兼容性满足CLASS B级要求，并且运行12小时后，屏体温度升高不超过20℃。（提供第三方权威机构出具的检测报告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★25．产品防尘性能满足IP6X防护等级要求，产品防水性能满足IPX5防护等级要求。（提供第三方权威机构出具的检测报告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★26．为保证产品质量，要求产品经过抗紫外线测试后无变形、变色、褪色。（提供第三方权威机构出具的检测报告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二、资质要求</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1．提供制造商通过IECQ QC080000有害物质过程管理体系认证、具备信息技术服务运行维护标准符合性证书三级及以上证书、获得省级以上高清智慧显示工程技术研究中心认定、具有CMMI 3级及以上能力成熟度等级证书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2．LED显示屏制造商在产品质量、经营管理、节能降耗、环境监测等方面的测量管理体系符合GB/T19022-2003/ISO 10012:2003《测量管理体系-测量过程和测量设备的要求》标准的全部要求，提供测量管理体系认证证书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ascii="宋体" w:hAnsi="宋体" w:cs="宋体"/>
                <w:color w:val="auto"/>
                <w:kern w:val="0"/>
                <w:sz w:val="20"/>
                <w:szCs w:val="20"/>
                <w:highlight w:val="none"/>
              </w:rPr>
              <w:t>3</w:t>
            </w:r>
            <w:r>
              <w:rPr>
                <w:rFonts w:hint="eastAsia" w:ascii="宋体" w:hAnsi="宋体" w:cs="宋体"/>
                <w:color w:val="auto"/>
                <w:kern w:val="0"/>
                <w:sz w:val="20"/>
                <w:szCs w:val="20"/>
                <w:highlight w:val="none"/>
              </w:rPr>
              <w:t>. 提供产品通过CCC认证证书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ascii="宋体" w:hAnsi="宋体" w:cs="宋体"/>
                <w:color w:val="auto"/>
                <w:kern w:val="0"/>
                <w:sz w:val="20"/>
                <w:szCs w:val="20"/>
                <w:highlight w:val="none"/>
              </w:rPr>
              <w:t>4</w:t>
            </w:r>
            <w:r>
              <w:rPr>
                <w:rFonts w:hint="eastAsia" w:ascii="宋体" w:hAnsi="宋体" w:cs="宋体"/>
                <w:color w:val="auto"/>
                <w:kern w:val="0"/>
                <w:sz w:val="20"/>
                <w:szCs w:val="20"/>
                <w:highlight w:val="none"/>
              </w:rPr>
              <w:t>. 提供第三方权威机构出具的产品具备蓝光危害安全检测报告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pStyle w:val="2"/>
              <w:rPr>
                <w:rFonts w:hint="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continue"/>
            <w:noWrap w:val="0"/>
            <w:vAlign w:val="center"/>
          </w:tcPr>
          <w:p>
            <w:pPr>
              <w:widowControl/>
              <w:jc w:val="left"/>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LED播放软件</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1、基础架构：</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★（1）架构设计上支持纯虚拟化技术，全云架构，管理端无需配置单独台式机电脑，在任意手机、平板、PC等可联网设备上均可以对屏精灵云端系统进行管理；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（2）为了业务系统安全运行需要，屏精灵云端系统要具有容灾能力，屏精灵云端系统故障不影响终端大屏内容播放；</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（3）为了业务扩展需要，屏精灵云端系统需支持集群式部署，易于横向扩展；</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2、基础功能：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屏精灵云端管理平台无需单独安装客户端，可实现随时随地访问，融合实现：媒体管理、用户管理、角色管理、工作组管理、媒体审批、节目管理、播放器管理、播放日志管理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（1）媒体管理：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支持主流的图片、视频、音频、流媒体、RSS、HTML等诸多媒体格式；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系统需支持云媒体库管理，满足任何支持浏览器设备随时访问并管理媒体库，同时支持多种过滤条件筛选(类型、工作组、类别、有效日期、批准状态)；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媒体支持在线预览；</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（2）用户管理：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系统内需支持多级用户管理；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用户支持分配到不同工作组进行分组管理，不同的工作组之间数据隔离；</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用户支持分配多种角色，拥有其对应角色权限；</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系统可针对不同用户设定改用户所使用系统语言；</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（3）角色管理：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★系统支持多权分立功能，每个功能或功能组均可分配到给不同角色权限，不具备权限的角色不能操作。（提供功能截图证明）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（4）工作组管理：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系统可进行多级工作组树形结构管理；上级工作组可查看所有工作组内容，同级工作组间数据隔离；系统内工作组间支持文件共享。</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（5）媒体审批：</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★用户上传媒体后，必须由拥有批准权限的用户审批后方可正常使用媒体。（提供功能截图证明）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（6）节目管理：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可以在云端通过浏览器直接进行节目编辑和制作；</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排期内可以添加多个播放清单，支持以多种周期进行播放排期；播放清单支持嵌套播放；</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节目清单和排期均在屏精灵云端系统内进行管理，可随时在任意手机、平板、PC等可联网设备上进行节目的制作和管理；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排期制作完成后，当内容变更时，系统会自动更新节目并同步到播放器；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系统需支持紧急插播和周期插播两种方式。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（7）播放器管理：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媒体播放到不同终端自适应分辨率；</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屏精灵云端系统可以随时监控播放器状态；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系统支持节目智能更新，播放器可绑定排期，绑定后排期内任何媒体更新、媒体版本更新、清单、时间段等等节目相关的更新后，系统自动生成最新计划并下发到播放终端；</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★系统需支持媒体、天气、时钟、文本、温度等多种复杂媒体组合。（提供功能截图证明）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（8）播放日志管理</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系统支持从浏览器中查看媒体播放日志，并支持以日期范围、类型、播放器等条件进行查询；</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系统支持自动统计媒体播放次数、时长（精确到毫秒），并定期生成报表；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（9）多屏播放</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★系统支持多窗口自定义布局播放，可任意设定播放窗口分辨率，同时支持多种标准分辨率选择，可根据X、Y偏移和宽高任意设定窗口布局方式，窗口数量不限。</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（10）远程控制</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★系统支持实时控制，包括重启终端、软件远程更新、远程电源管理、远程音量调节、远程显示屏亮度调节、远程双模切换、支持远程开关屏。（提供功能截图证明）</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（11）远程控制计划</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系统支持控制计划，包括重启、远程电源管理、远程音量调节、远程显示屏亮度调节、双模切换、远程升级，可设置计划命令类型和执行周期，执行周期支持一次、每日、每周、每月多种执行方式。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（12）远程对时</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支持远程对时，对时需支持NTP和射频设备两种对时方式。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（13）云终端支持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播放终端同时支持X86、ARM架构终端一体化设备，支持现有X86同步终端的利旧使用，并支持以上终端设备的混合使用。以上功能在实施交付验收时须对应功能进行验证。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（14）OEM定制</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系统支持自定义深度OEM定制，可任意自定义系统图标、单位名称、登陆域名、网站链接、系统名称、版权信息等品牌信息</w:t>
            </w:r>
          </w:p>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vMerge w:val="continue"/>
            <w:noWrap w:val="0"/>
            <w:vAlign w:val="center"/>
          </w:tcPr>
          <w:p>
            <w:pPr>
              <w:widowControl/>
              <w:jc w:val="center"/>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播放盒</w:t>
            </w:r>
          </w:p>
        </w:tc>
        <w:tc>
          <w:tcPr>
            <w:tcW w:w="6379" w:type="dxa"/>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 支持130万像素点带载能力，最宽4096像素，最高4096像素;</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 支持千兆有线网络;</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 支持多窗口输出模式，单页面支持2路4K或6路1080P或10路720P或20路360P视频播放;</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 4核A55/1.8GHz主频，1GB+16GB,Android 11 操作系统;</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5. 支持一路HDMI 1.4输入，一路HMDI1.4输出1080P@60Hz，支持HDMI Loop</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6. 支持 H.265 4K 高清视频硬解码播放，支持 1080P 的视频硬解码；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7. 支持千兆有线网络、支持立体音频输出；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8. 支持1 路 USB3.0 接口，支持 U 盘节目导入播放，U盘固件升级;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9. 支持4G联网功能；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★10. 支持5G联网功能；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★11. 支持板载亮度传感器接口，支持自动和定时的智能亮度调节。（提供第三方权威机构出具的检测报告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12. 支持PC 节目发布和显示屏控制、 局域网节目发布和显示屏控制、手机节目发布和显示屏控制 。（提供第三方权威机构出具的检测报告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★13. 支持集群远程节目发布和显示屏控制、集群远程监控。（提供第三方权威机构出具的检测报告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14. 支持Android 操作系统软件、 Android 终端应用软件。（提供第三方权威机构出具的检测报告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★15. 支持连接传感器转接板，可以扩展连接多种传感器（如风速风向传感器，温湿度传感器，噪声传感器，PM2.5传感器等）。（提供第三方权威机构出具的检测报告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20"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18" w:type="dxa"/>
            <w:vMerge w:val="continue"/>
            <w:noWrap w:val="0"/>
            <w:vAlign w:val="center"/>
          </w:tcPr>
          <w:p>
            <w:pPr>
              <w:widowControl/>
              <w:jc w:val="center"/>
              <w:rPr>
                <w:rFonts w:ascii="宋体" w:hAnsi="宋体" w:cs="宋体"/>
                <w:color w:val="auto"/>
                <w:kern w:val="0"/>
                <w:sz w:val="20"/>
                <w:szCs w:val="20"/>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扩音设备及线缆</w:t>
            </w:r>
          </w:p>
        </w:tc>
        <w:tc>
          <w:tcPr>
            <w:tcW w:w="6379"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配套提供扩音设备（功放1台，音箱2只，款式结合环境）；电缆线、屏体内电源线、信号线，线材、线缆、及其他附件，数量按项目需要配置。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18" w:type="dxa"/>
            <w:vMerge w:val="restart"/>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室内信息发布屏</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云屏A款</w:t>
            </w:r>
          </w:p>
        </w:tc>
        <w:tc>
          <w:tcPr>
            <w:tcW w:w="6379" w:type="dxa"/>
            <w:shd w:val="clear" w:color="000000" w:fill="FFFFFF"/>
            <w:noWrap w:val="0"/>
            <w:vAlign w:val="center"/>
          </w:tcPr>
          <w:p>
            <w:pPr>
              <w:pStyle w:val="341"/>
              <w:widowControl/>
              <w:shd w:val="clear" w:color="auto" w:fill="FFFFFF"/>
              <w:ind w:firstLine="0"/>
              <w:jc w:val="left"/>
              <w:rPr>
                <w:rFonts w:hint="eastAsia" w:ascii="宋体" w:hAnsi="宋体" w:eastAsia="宋体"/>
                <w:color w:val="auto"/>
                <w:sz w:val="20"/>
                <w:szCs w:val="20"/>
                <w:highlight w:val="none"/>
              </w:rPr>
            </w:pPr>
            <w:r>
              <w:rPr>
                <w:rFonts w:hint="eastAsia" w:ascii="宋体" w:hAnsi="宋体" w:eastAsia="宋体"/>
                <w:color w:val="auto"/>
                <w:sz w:val="20"/>
                <w:szCs w:val="20"/>
                <w:highlight w:val="none"/>
              </w:rPr>
              <w:t>一、硬件参数：</w:t>
            </w:r>
          </w:p>
          <w:p>
            <w:pPr>
              <w:pStyle w:val="341"/>
              <w:widowControl/>
              <w:numPr>
                <w:ilvl w:val="0"/>
                <w:numId w:val="10"/>
              </w:numPr>
              <w:shd w:val="clear" w:color="auto" w:fill="FFFFFF"/>
              <w:spacing w:after="100" w:afterAutospacing="1"/>
              <w:jc w:val="left"/>
              <w:rPr>
                <w:rFonts w:ascii="宋体" w:hAnsi="宋体" w:eastAsia="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eastAsia="宋体"/>
                <w:color w:val="auto"/>
                <w:sz w:val="20"/>
                <w:szCs w:val="20"/>
                <w:highlight w:val="none"/>
              </w:rPr>
              <w:t>整机边框</w:t>
            </w:r>
            <w:r>
              <w:rPr>
                <w:rFonts w:ascii="宋体" w:hAnsi="宋体" w:eastAsia="宋体"/>
                <w:color w:val="auto"/>
                <w:sz w:val="20"/>
                <w:szCs w:val="20"/>
                <w:highlight w:val="none"/>
              </w:rPr>
              <w:t>采用高强度铝合金边框，坚固可靠。角部采用圆角设计。（提供第三方权威机构出具的检测报告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numPr>
                <w:ilvl w:val="0"/>
                <w:numId w:val="10"/>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外边框采用喷涂环保木纹工艺。</w:t>
            </w:r>
          </w:p>
          <w:p>
            <w:pPr>
              <w:pStyle w:val="341"/>
              <w:widowControl/>
              <w:numPr>
                <w:ilvl w:val="0"/>
                <w:numId w:val="10"/>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整机</w:t>
            </w:r>
            <w:r>
              <w:rPr>
                <w:rFonts w:ascii="宋体" w:hAnsi="宋体" w:eastAsia="宋体"/>
                <w:color w:val="auto"/>
                <w:sz w:val="20"/>
                <w:szCs w:val="20"/>
                <w:highlight w:val="none"/>
              </w:rPr>
              <w:t>采用高雾度蛾眼液晶</w:t>
            </w:r>
            <w:r>
              <w:rPr>
                <w:rFonts w:hint="eastAsia" w:ascii="宋体" w:hAnsi="宋体" w:eastAsia="宋体"/>
                <w:color w:val="auto"/>
                <w:sz w:val="20"/>
                <w:szCs w:val="20"/>
                <w:highlight w:val="none"/>
              </w:rPr>
              <w:t>屏体，表面偏光</w:t>
            </w:r>
            <w:r>
              <w:rPr>
                <w:rFonts w:ascii="宋体" w:hAnsi="宋体" w:eastAsia="宋体"/>
                <w:color w:val="auto"/>
                <w:sz w:val="20"/>
                <w:szCs w:val="20"/>
                <w:highlight w:val="none"/>
              </w:rPr>
              <w:t>纳米涂层增</w:t>
            </w:r>
            <w:r>
              <w:rPr>
                <w:rFonts w:hint="eastAsia" w:ascii="宋体" w:hAnsi="宋体" w:eastAsia="宋体"/>
                <w:color w:val="auto"/>
                <w:sz w:val="20"/>
                <w:szCs w:val="20"/>
                <w:highlight w:val="none"/>
              </w:rPr>
              <w:t>益屏体</w:t>
            </w:r>
            <w:r>
              <w:rPr>
                <w:rFonts w:ascii="宋体" w:hAnsi="宋体" w:eastAsia="宋体"/>
                <w:color w:val="auto"/>
                <w:sz w:val="20"/>
                <w:szCs w:val="20"/>
                <w:highlight w:val="none"/>
              </w:rPr>
              <w:t>漫反射</w:t>
            </w:r>
            <w:r>
              <w:rPr>
                <w:rFonts w:hint="eastAsia" w:ascii="宋体" w:hAnsi="宋体" w:eastAsia="宋体"/>
                <w:color w:val="auto"/>
                <w:sz w:val="20"/>
                <w:szCs w:val="20"/>
                <w:highlight w:val="none"/>
              </w:rPr>
              <w:t>形成</w:t>
            </w:r>
            <w:r>
              <w:rPr>
                <w:rFonts w:ascii="宋体" w:hAnsi="宋体" w:eastAsia="宋体"/>
                <w:color w:val="auto"/>
                <w:sz w:val="20"/>
                <w:szCs w:val="20"/>
                <w:highlight w:val="none"/>
              </w:rPr>
              <w:t>真实视感</w:t>
            </w:r>
            <w:r>
              <w:rPr>
                <w:rFonts w:hint="eastAsia" w:ascii="宋体" w:hAnsi="宋体" w:eastAsia="宋体"/>
                <w:color w:val="auto"/>
                <w:sz w:val="20"/>
                <w:szCs w:val="20"/>
                <w:highlight w:val="none"/>
              </w:rPr>
              <w:t>。屏体</w:t>
            </w:r>
            <w:r>
              <w:rPr>
                <w:rFonts w:ascii="宋体" w:hAnsi="宋体" w:eastAsia="宋体"/>
                <w:color w:val="auto"/>
                <w:sz w:val="20"/>
                <w:szCs w:val="20"/>
                <w:highlight w:val="none"/>
              </w:rPr>
              <w:t>雾</w:t>
            </w:r>
            <w:r>
              <w:rPr>
                <w:rFonts w:hint="eastAsia" w:ascii="宋体" w:hAnsi="宋体" w:eastAsia="宋体"/>
                <w:color w:val="auto"/>
                <w:sz w:val="20"/>
                <w:szCs w:val="20"/>
                <w:highlight w:val="none"/>
              </w:rPr>
              <w:t>度</w:t>
            </w:r>
            <w:r>
              <w:rPr>
                <w:rFonts w:ascii="宋体" w:hAnsi="宋体" w:eastAsia="宋体"/>
                <w:color w:val="auto"/>
                <w:sz w:val="20"/>
                <w:szCs w:val="20"/>
                <w:highlight w:val="none"/>
              </w:rPr>
              <w:t>≥25%</w:t>
            </w:r>
            <w:r>
              <w:rPr>
                <w:rFonts w:hint="eastAsia" w:ascii="宋体" w:hAnsi="宋体" w:eastAsia="宋体"/>
                <w:color w:val="auto"/>
                <w:sz w:val="20"/>
                <w:szCs w:val="20"/>
                <w:highlight w:val="none"/>
              </w:rPr>
              <w:t>，</w:t>
            </w:r>
            <w:r>
              <w:rPr>
                <w:rFonts w:ascii="宋体" w:hAnsi="宋体" w:eastAsia="宋体"/>
                <w:color w:val="auto"/>
                <w:sz w:val="20"/>
                <w:szCs w:val="20"/>
                <w:highlight w:val="none"/>
              </w:rPr>
              <w:t>无需</w:t>
            </w:r>
            <w:r>
              <w:rPr>
                <w:rFonts w:hint="eastAsia" w:ascii="宋体" w:hAnsi="宋体" w:eastAsia="宋体"/>
                <w:color w:val="auto"/>
                <w:sz w:val="20"/>
                <w:szCs w:val="20"/>
                <w:highlight w:val="none"/>
              </w:rPr>
              <w:t>防眩光</w:t>
            </w:r>
            <w:r>
              <w:rPr>
                <w:rFonts w:ascii="宋体" w:hAnsi="宋体" w:eastAsia="宋体"/>
                <w:color w:val="auto"/>
                <w:sz w:val="20"/>
                <w:szCs w:val="20"/>
                <w:highlight w:val="none"/>
              </w:rPr>
              <w:t>钢化玻璃或磨砂</w:t>
            </w:r>
            <w:r>
              <w:rPr>
                <w:rFonts w:hint="eastAsia" w:ascii="宋体" w:hAnsi="宋体" w:eastAsia="宋体"/>
                <w:color w:val="auto"/>
                <w:sz w:val="20"/>
                <w:szCs w:val="20"/>
                <w:highlight w:val="none"/>
              </w:rPr>
              <w:t>防眩光</w:t>
            </w:r>
            <w:r>
              <w:rPr>
                <w:rFonts w:ascii="宋体" w:hAnsi="宋体" w:eastAsia="宋体"/>
                <w:color w:val="auto"/>
                <w:sz w:val="20"/>
                <w:szCs w:val="20"/>
                <w:highlight w:val="none"/>
              </w:rPr>
              <w:t>贴膜</w:t>
            </w:r>
            <w:r>
              <w:rPr>
                <w:rFonts w:hint="eastAsia" w:ascii="宋体" w:hAnsi="宋体" w:eastAsia="宋体"/>
                <w:color w:val="auto"/>
                <w:sz w:val="20"/>
                <w:szCs w:val="20"/>
                <w:highlight w:val="none"/>
              </w:rPr>
              <w:t>，全方位</w:t>
            </w:r>
            <w:r>
              <w:rPr>
                <w:rFonts w:ascii="宋体" w:hAnsi="宋体" w:eastAsia="宋体"/>
                <w:color w:val="auto"/>
                <w:sz w:val="20"/>
                <w:szCs w:val="20"/>
                <w:highlight w:val="none"/>
              </w:rPr>
              <w:t>可视角度≥178°。</w:t>
            </w:r>
          </w:p>
          <w:p>
            <w:pPr>
              <w:pStyle w:val="341"/>
              <w:widowControl/>
              <w:numPr>
                <w:ilvl w:val="0"/>
                <w:numId w:val="10"/>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液晶屏显示尺寸</w:t>
            </w:r>
            <w:r>
              <w:rPr>
                <w:rFonts w:ascii="宋体" w:hAnsi="宋体" w:eastAsia="宋体"/>
                <w:color w:val="auto"/>
                <w:sz w:val="20"/>
                <w:szCs w:val="20"/>
                <w:highlight w:val="none"/>
              </w:rPr>
              <w:t>≥32寸</w:t>
            </w:r>
            <w:r>
              <w:rPr>
                <w:rFonts w:hint="eastAsia" w:ascii="宋体" w:hAnsi="宋体" w:eastAsia="宋体"/>
                <w:color w:val="auto"/>
                <w:sz w:val="20"/>
                <w:szCs w:val="20"/>
                <w:highlight w:val="none"/>
              </w:rPr>
              <w:t>，分辨率≥1920</w:t>
            </w:r>
            <w:r>
              <w:rPr>
                <w:rFonts w:ascii="宋体" w:hAnsi="宋体" w:eastAsia="宋体"/>
                <w:color w:val="auto"/>
                <w:sz w:val="20"/>
                <w:szCs w:val="20"/>
                <w:highlight w:val="none"/>
              </w:rPr>
              <w:t>*</w:t>
            </w:r>
            <w:r>
              <w:rPr>
                <w:rFonts w:hint="eastAsia" w:ascii="宋体" w:hAnsi="宋体" w:eastAsia="宋体"/>
                <w:color w:val="auto"/>
                <w:sz w:val="20"/>
                <w:szCs w:val="20"/>
                <w:highlight w:val="none"/>
              </w:rPr>
              <w:t>1080，显示比例16:9</w:t>
            </w:r>
            <w:r>
              <w:rPr>
                <w:rFonts w:ascii="宋体" w:hAnsi="宋体" w:eastAsia="宋体"/>
                <w:color w:val="auto"/>
                <w:sz w:val="20"/>
                <w:szCs w:val="20"/>
                <w:highlight w:val="none"/>
              </w:rPr>
              <w:t>，支持横</w:t>
            </w:r>
            <w:r>
              <w:rPr>
                <w:rFonts w:hint="eastAsia" w:ascii="宋体" w:hAnsi="宋体" w:eastAsia="宋体"/>
                <w:color w:val="auto"/>
                <w:sz w:val="20"/>
                <w:szCs w:val="20"/>
                <w:highlight w:val="none"/>
              </w:rPr>
              <w:t>、</w:t>
            </w:r>
            <w:r>
              <w:rPr>
                <w:rFonts w:ascii="宋体" w:hAnsi="宋体" w:eastAsia="宋体"/>
                <w:color w:val="auto"/>
                <w:sz w:val="20"/>
                <w:szCs w:val="20"/>
                <w:highlight w:val="none"/>
              </w:rPr>
              <w:t>竖安装方式</w:t>
            </w:r>
            <w:r>
              <w:rPr>
                <w:rFonts w:hint="eastAsia" w:ascii="宋体" w:hAnsi="宋体" w:eastAsia="宋体"/>
                <w:color w:val="auto"/>
                <w:sz w:val="20"/>
                <w:szCs w:val="20"/>
                <w:highlight w:val="none"/>
              </w:rPr>
              <w:t>。</w:t>
            </w:r>
          </w:p>
          <w:p>
            <w:pPr>
              <w:pStyle w:val="341"/>
              <w:widowControl/>
              <w:numPr>
                <w:ilvl w:val="0"/>
                <w:numId w:val="10"/>
              </w:numPr>
              <w:spacing w:before="100" w:beforeAutospacing="1" w:after="100" w:afterAutospacing="1"/>
              <w:jc w:val="left"/>
              <w:rPr>
                <w:rFonts w:ascii="宋体" w:hAnsi="宋体" w:eastAsia="宋体"/>
                <w:color w:val="auto"/>
                <w:sz w:val="20"/>
                <w:szCs w:val="20"/>
                <w:highlight w:val="none"/>
              </w:rPr>
            </w:pPr>
            <w:r>
              <w:rPr>
                <w:rFonts w:hint="eastAsia" w:ascii="宋体" w:hAnsi="宋体" w:cs="宋体"/>
                <w:color w:val="auto"/>
                <w:kern w:val="0"/>
                <w:sz w:val="20"/>
                <w:szCs w:val="20"/>
                <w:highlight w:val="none"/>
              </w:rPr>
              <w:t>★</w:t>
            </w:r>
            <w:r>
              <w:rPr>
                <w:rFonts w:ascii="宋体" w:hAnsi="宋体" w:eastAsia="宋体"/>
                <w:color w:val="auto"/>
                <w:sz w:val="20"/>
                <w:szCs w:val="20"/>
                <w:highlight w:val="none"/>
              </w:rPr>
              <w:t>整机最大显示亮度≥350nit。</w:t>
            </w:r>
            <w:r>
              <w:rPr>
                <w:rFonts w:hint="eastAsia" w:ascii="宋体" w:hAnsi="宋体" w:eastAsia="宋体"/>
                <w:color w:val="auto"/>
                <w:sz w:val="20"/>
                <w:szCs w:val="20"/>
                <w:highlight w:val="none"/>
              </w:rPr>
              <w:t>整机具备</w:t>
            </w:r>
            <w:r>
              <w:rPr>
                <w:rFonts w:ascii="宋体" w:hAnsi="宋体" w:eastAsia="宋体"/>
                <w:color w:val="auto"/>
                <w:sz w:val="20"/>
                <w:szCs w:val="20"/>
                <w:highlight w:val="none"/>
              </w:rPr>
              <w:t>光线感应</w:t>
            </w:r>
            <w:r>
              <w:rPr>
                <w:rFonts w:hint="eastAsia" w:ascii="宋体" w:hAnsi="宋体" w:eastAsia="宋体"/>
                <w:color w:val="auto"/>
                <w:sz w:val="20"/>
                <w:szCs w:val="20"/>
                <w:highlight w:val="none"/>
              </w:rPr>
              <w:t>功能</w:t>
            </w:r>
            <w:r>
              <w:rPr>
                <w:rFonts w:ascii="宋体" w:hAnsi="宋体" w:eastAsia="宋体"/>
                <w:color w:val="auto"/>
                <w:sz w:val="20"/>
                <w:szCs w:val="20"/>
                <w:highlight w:val="none"/>
              </w:rPr>
              <w:t>，根据环境光强度自动调整显示亮度。（提供第三方权威机构出具的检测报告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numPr>
                <w:ilvl w:val="0"/>
                <w:numId w:val="10"/>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整机</w:t>
            </w:r>
            <w:r>
              <w:rPr>
                <w:rFonts w:ascii="宋体" w:hAnsi="宋体" w:eastAsia="宋体"/>
                <w:color w:val="auto"/>
                <w:sz w:val="20"/>
                <w:szCs w:val="20"/>
                <w:highlight w:val="none"/>
              </w:rPr>
              <w:t>安装到墙面后</w:t>
            </w:r>
            <w:r>
              <w:rPr>
                <w:rFonts w:hint="eastAsia" w:ascii="宋体" w:hAnsi="宋体" w:eastAsia="宋体"/>
                <w:color w:val="auto"/>
                <w:sz w:val="20"/>
                <w:szCs w:val="20"/>
                <w:highlight w:val="none"/>
              </w:rPr>
              <w:t>无任何外置、</w:t>
            </w:r>
            <w:r>
              <w:rPr>
                <w:rFonts w:ascii="宋体" w:hAnsi="宋体" w:eastAsia="宋体"/>
                <w:color w:val="auto"/>
                <w:sz w:val="20"/>
                <w:szCs w:val="20"/>
                <w:highlight w:val="none"/>
              </w:rPr>
              <w:t>外露</w:t>
            </w:r>
            <w:r>
              <w:rPr>
                <w:rFonts w:hint="eastAsia" w:ascii="宋体" w:hAnsi="宋体" w:eastAsia="宋体"/>
                <w:color w:val="auto"/>
                <w:sz w:val="20"/>
                <w:szCs w:val="20"/>
                <w:highlight w:val="none"/>
              </w:rPr>
              <w:t>、</w:t>
            </w:r>
            <w:r>
              <w:rPr>
                <w:rFonts w:ascii="宋体" w:hAnsi="宋体" w:eastAsia="宋体"/>
                <w:color w:val="auto"/>
                <w:sz w:val="20"/>
                <w:szCs w:val="20"/>
                <w:highlight w:val="none"/>
              </w:rPr>
              <w:t>外挂的</w:t>
            </w:r>
            <w:r>
              <w:rPr>
                <w:rFonts w:hint="eastAsia" w:ascii="宋体" w:hAnsi="宋体" w:eastAsia="宋体"/>
                <w:color w:val="auto"/>
                <w:sz w:val="20"/>
                <w:szCs w:val="20"/>
                <w:highlight w:val="none"/>
              </w:rPr>
              <w:t>线材</w:t>
            </w:r>
            <w:r>
              <w:rPr>
                <w:rFonts w:ascii="宋体" w:hAnsi="宋体" w:eastAsia="宋体"/>
                <w:color w:val="auto"/>
                <w:sz w:val="20"/>
                <w:szCs w:val="20"/>
                <w:highlight w:val="none"/>
              </w:rPr>
              <w:t>、天线</w:t>
            </w:r>
            <w:r>
              <w:rPr>
                <w:rFonts w:hint="eastAsia" w:ascii="宋体" w:hAnsi="宋体" w:eastAsia="宋体"/>
                <w:color w:val="auto"/>
                <w:sz w:val="20"/>
                <w:szCs w:val="20"/>
                <w:highlight w:val="none"/>
              </w:rPr>
              <w:t>及</w:t>
            </w:r>
            <w:r>
              <w:rPr>
                <w:rFonts w:ascii="宋体" w:hAnsi="宋体" w:eastAsia="宋体"/>
                <w:color w:val="auto"/>
                <w:sz w:val="20"/>
                <w:szCs w:val="20"/>
                <w:highlight w:val="none"/>
              </w:rPr>
              <w:t>元器件模</w:t>
            </w:r>
            <w:r>
              <w:rPr>
                <w:rFonts w:hint="eastAsia" w:ascii="宋体" w:hAnsi="宋体" w:eastAsia="宋体"/>
                <w:color w:val="auto"/>
                <w:sz w:val="20"/>
                <w:szCs w:val="20"/>
                <w:highlight w:val="none"/>
              </w:rPr>
              <w:t>块。</w:t>
            </w:r>
            <w:r>
              <w:rPr>
                <w:rFonts w:ascii="宋体" w:hAnsi="宋体" w:eastAsia="宋体"/>
                <w:color w:val="auto"/>
                <w:sz w:val="20"/>
                <w:szCs w:val="20"/>
                <w:highlight w:val="none"/>
              </w:rPr>
              <w:t>（提供第三方权威机构出具的检测报告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numPr>
                <w:ilvl w:val="0"/>
                <w:numId w:val="10"/>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内置2.0声道环绕</w:t>
            </w:r>
            <w:r>
              <w:rPr>
                <w:rFonts w:ascii="宋体" w:hAnsi="宋体" w:eastAsia="宋体"/>
                <w:color w:val="auto"/>
                <w:sz w:val="20"/>
                <w:szCs w:val="20"/>
                <w:highlight w:val="none"/>
              </w:rPr>
              <w:t>功放</w:t>
            </w:r>
            <w:r>
              <w:rPr>
                <w:rFonts w:hint="eastAsia" w:ascii="宋体" w:hAnsi="宋体" w:eastAsia="宋体"/>
                <w:color w:val="auto"/>
                <w:sz w:val="20"/>
                <w:szCs w:val="20"/>
                <w:highlight w:val="none"/>
              </w:rPr>
              <w:t>，支持音视频声音外放。</w:t>
            </w:r>
          </w:p>
          <w:p>
            <w:pPr>
              <w:pStyle w:val="341"/>
              <w:widowControl/>
              <w:numPr>
                <w:ilvl w:val="0"/>
                <w:numId w:val="10"/>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整机采用壁挂安装，</w:t>
            </w:r>
            <w:r>
              <w:rPr>
                <w:rFonts w:ascii="宋体" w:hAnsi="宋体" w:eastAsia="宋体"/>
                <w:color w:val="auto"/>
                <w:sz w:val="20"/>
                <w:szCs w:val="20"/>
                <w:highlight w:val="none"/>
              </w:rPr>
              <w:t>整机与壁挂</w:t>
            </w:r>
            <w:r>
              <w:rPr>
                <w:rFonts w:hint="eastAsia" w:ascii="宋体" w:hAnsi="宋体" w:eastAsia="宋体"/>
                <w:color w:val="auto"/>
                <w:sz w:val="20"/>
                <w:szCs w:val="20"/>
                <w:highlight w:val="none"/>
              </w:rPr>
              <w:t>连接采用</w:t>
            </w:r>
            <w:r>
              <w:rPr>
                <w:rFonts w:ascii="宋体" w:hAnsi="宋体" w:eastAsia="宋体"/>
                <w:color w:val="auto"/>
                <w:sz w:val="20"/>
                <w:szCs w:val="20"/>
                <w:highlight w:val="none"/>
              </w:rPr>
              <w:t>教育</w:t>
            </w:r>
            <w:r>
              <w:rPr>
                <w:rFonts w:hint="eastAsia" w:ascii="宋体" w:hAnsi="宋体" w:eastAsia="宋体"/>
                <w:color w:val="auto"/>
                <w:sz w:val="20"/>
                <w:szCs w:val="20"/>
                <w:highlight w:val="none"/>
              </w:rPr>
              <w:t>定制</w:t>
            </w:r>
            <w:r>
              <w:rPr>
                <w:rFonts w:ascii="宋体" w:hAnsi="宋体" w:eastAsia="宋体"/>
                <w:color w:val="auto"/>
                <w:sz w:val="20"/>
                <w:szCs w:val="20"/>
                <w:highlight w:val="none"/>
              </w:rPr>
              <w:t>安全</w:t>
            </w:r>
            <w:r>
              <w:rPr>
                <w:rFonts w:hint="eastAsia" w:ascii="宋体" w:hAnsi="宋体" w:eastAsia="宋体"/>
                <w:color w:val="auto"/>
                <w:sz w:val="20"/>
                <w:szCs w:val="20"/>
                <w:highlight w:val="none"/>
              </w:rPr>
              <w:t>设计</w:t>
            </w:r>
            <w:r>
              <w:rPr>
                <w:rFonts w:ascii="宋体" w:hAnsi="宋体" w:eastAsia="宋体"/>
                <w:color w:val="auto"/>
                <w:sz w:val="20"/>
                <w:szCs w:val="20"/>
                <w:highlight w:val="none"/>
              </w:rPr>
              <w:t>，</w:t>
            </w:r>
            <w:r>
              <w:rPr>
                <w:rFonts w:hint="eastAsia" w:ascii="宋体" w:hAnsi="宋体" w:eastAsia="宋体"/>
                <w:color w:val="auto"/>
                <w:sz w:val="20"/>
                <w:szCs w:val="20"/>
                <w:highlight w:val="none"/>
              </w:rPr>
              <w:t>须</w:t>
            </w:r>
            <w:r>
              <w:rPr>
                <w:rFonts w:ascii="宋体" w:hAnsi="宋体" w:eastAsia="宋体"/>
                <w:color w:val="auto"/>
                <w:sz w:val="20"/>
                <w:szCs w:val="20"/>
                <w:highlight w:val="none"/>
              </w:rPr>
              <w:t>用</w:t>
            </w:r>
            <w:r>
              <w:rPr>
                <w:rFonts w:hint="eastAsia" w:ascii="宋体" w:hAnsi="宋体" w:eastAsia="宋体"/>
                <w:color w:val="auto"/>
                <w:sz w:val="20"/>
                <w:szCs w:val="20"/>
                <w:highlight w:val="none"/>
              </w:rPr>
              <w:t>专用</w:t>
            </w:r>
            <w:r>
              <w:rPr>
                <w:rFonts w:ascii="宋体" w:hAnsi="宋体" w:eastAsia="宋体"/>
                <w:color w:val="auto"/>
                <w:sz w:val="20"/>
                <w:szCs w:val="20"/>
                <w:highlight w:val="none"/>
              </w:rPr>
              <w:t>工具锁定</w:t>
            </w:r>
            <w:r>
              <w:rPr>
                <w:rFonts w:hint="eastAsia" w:ascii="宋体" w:hAnsi="宋体" w:eastAsia="宋体"/>
                <w:color w:val="auto"/>
                <w:sz w:val="20"/>
                <w:szCs w:val="20"/>
                <w:highlight w:val="none"/>
              </w:rPr>
              <w:t>、</w:t>
            </w:r>
            <w:r>
              <w:rPr>
                <w:rFonts w:ascii="宋体" w:hAnsi="宋体" w:eastAsia="宋体"/>
                <w:color w:val="auto"/>
                <w:sz w:val="20"/>
                <w:szCs w:val="20"/>
                <w:highlight w:val="none"/>
              </w:rPr>
              <w:t>解锁</w:t>
            </w:r>
            <w:r>
              <w:rPr>
                <w:rFonts w:hint="eastAsia" w:ascii="宋体" w:hAnsi="宋体" w:eastAsia="宋体"/>
                <w:color w:val="auto"/>
                <w:sz w:val="20"/>
                <w:szCs w:val="20"/>
                <w:highlight w:val="none"/>
              </w:rPr>
              <w:t>。</w:t>
            </w:r>
            <w:r>
              <w:rPr>
                <w:rFonts w:ascii="宋体" w:hAnsi="宋体" w:eastAsia="宋体"/>
                <w:color w:val="auto"/>
                <w:sz w:val="20"/>
                <w:szCs w:val="20"/>
                <w:highlight w:val="none"/>
              </w:rPr>
              <w:t>（提供第三方权威机构出具的检测报告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numPr>
                <w:ilvl w:val="0"/>
                <w:numId w:val="10"/>
              </w:numPr>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整机采用超薄设计。整机厚度≤46mm。（提供第三方权威机构出具的检测报告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numPr>
                <w:ilvl w:val="0"/>
                <w:numId w:val="10"/>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整机背部与墙面微距</w:t>
            </w:r>
            <w:r>
              <w:rPr>
                <w:rFonts w:ascii="宋体" w:hAnsi="宋体" w:eastAsia="宋体"/>
                <w:color w:val="auto"/>
                <w:sz w:val="20"/>
                <w:szCs w:val="20"/>
                <w:highlight w:val="none"/>
              </w:rPr>
              <w:t>全贴合</w:t>
            </w:r>
            <w:r>
              <w:rPr>
                <w:rFonts w:hint="eastAsia" w:ascii="宋体" w:hAnsi="宋体" w:eastAsia="宋体"/>
                <w:color w:val="auto"/>
                <w:sz w:val="20"/>
                <w:szCs w:val="20"/>
                <w:highlight w:val="none"/>
              </w:rPr>
              <w:t>，背部</w:t>
            </w:r>
            <w:r>
              <w:rPr>
                <w:rFonts w:ascii="宋体" w:hAnsi="宋体" w:eastAsia="宋体"/>
                <w:color w:val="auto"/>
                <w:sz w:val="20"/>
                <w:szCs w:val="20"/>
                <w:highlight w:val="none"/>
              </w:rPr>
              <w:t>与</w:t>
            </w:r>
            <w:r>
              <w:rPr>
                <w:rFonts w:hint="eastAsia" w:ascii="宋体" w:hAnsi="宋体" w:eastAsia="宋体"/>
                <w:color w:val="auto"/>
                <w:sz w:val="20"/>
                <w:szCs w:val="20"/>
                <w:highlight w:val="none"/>
              </w:rPr>
              <w:t>平整</w:t>
            </w:r>
            <w:r>
              <w:rPr>
                <w:rFonts w:ascii="宋体" w:hAnsi="宋体" w:eastAsia="宋体"/>
                <w:color w:val="auto"/>
                <w:sz w:val="20"/>
                <w:szCs w:val="20"/>
                <w:highlight w:val="none"/>
              </w:rPr>
              <w:t>墙面</w:t>
            </w:r>
            <w:r>
              <w:rPr>
                <w:rFonts w:hint="eastAsia" w:ascii="宋体" w:hAnsi="宋体" w:eastAsia="宋体"/>
                <w:color w:val="auto"/>
                <w:sz w:val="20"/>
                <w:szCs w:val="20"/>
                <w:highlight w:val="none"/>
              </w:rPr>
              <w:t>间隙最大处≤</w:t>
            </w:r>
            <w:r>
              <w:rPr>
                <w:rFonts w:ascii="宋体" w:hAnsi="宋体" w:eastAsia="宋体"/>
                <w:color w:val="auto"/>
                <w:sz w:val="20"/>
                <w:szCs w:val="20"/>
                <w:highlight w:val="none"/>
              </w:rPr>
              <w:t>2mm，边框边缘与平整墙面间隙最大处≤7mm</w:t>
            </w:r>
            <w:r>
              <w:rPr>
                <w:rFonts w:hint="eastAsia" w:ascii="宋体" w:hAnsi="宋体" w:eastAsia="宋体"/>
                <w:color w:val="auto"/>
                <w:sz w:val="20"/>
                <w:szCs w:val="20"/>
                <w:highlight w:val="none"/>
              </w:rPr>
              <w:t>。</w:t>
            </w:r>
          </w:p>
          <w:p>
            <w:pPr>
              <w:pStyle w:val="341"/>
              <w:widowControl/>
              <w:numPr>
                <w:ilvl w:val="0"/>
                <w:numId w:val="10"/>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整机</w:t>
            </w:r>
            <w:r>
              <w:rPr>
                <w:rFonts w:ascii="宋体" w:hAnsi="宋体" w:eastAsia="宋体"/>
                <w:color w:val="auto"/>
                <w:sz w:val="20"/>
                <w:szCs w:val="20"/>
                <w:highlight w:val="none"/>
              </w:rPr>
              <w:t>接口：</w:t>
            </w:r>
            <w:r>
              <w:rPr>
                <w:rFonts w:hint="eastAsia" w:ascii="宋体" w:hAnsi="宋体" w:eastAsia="宋体"/>
                <w:color w:val="auto"/>
                <w:sz w:val="20"/>
                <w:szCs w:val="20"/>
                <w:highlight w:val="none"/>
              </w:rPr>
              <w:t>≥</w:t>
            </w:r>
            <w:r>
              <w:rPr>
                <w:rFonts w:ascii="宋体" w:hAnsi="宋体" w:eastAsia="宋体"/>
                <w:color w:val="auto"/>
                <w:sz w:val="20"/>
                <w:szCs w:val="20"/>
                <w:highlight w:val="none"/>
              </w:rPr>
              <w:t>USB 2.0*2</w:t>
            </w:r>
            <w:r>
              <w:rPr>
                <w:rFonts w:hint="eastAsia" w:ascii="宋体" w:hAnsi="宋体" w:eastAsia="宋体"/>
                <w:color w:val="auto"/>
                <w:sz w:val="20"/>
                <w:szCs w:val="20"/>
                <w:highlight w:val="none"/>
              </w:rPr>
              <w:t>，HDMI-IN</w:t>
            </w:r>
            <w:r>
              <w:rPr>
                <w:rFonts w:ascii="宋体" w:hAnsi="宋体" w:eastAsia="宋体"/>
                <w:color w:val="auto"/>
                <w:sz w:val="20"/>
                <w:szCs w:val="20"/>
                <w:highlight w:val="none"/>
              </w:rPr>
              <w:t>*1</w:t>
            </w:r>
            <w:r>
              <w:rPr>
                <w:rFonts w:hint="eastAsia" w:ascii="宋体" w:hAnsi="宋体" w:eastAsia="宋体"/>
                <w:color w:val="auto"/>
                <w:sz w:val="20"/>
                <w:szCs w:val="20"/>
                <w:highlight w:val="none"/>
              </w:rPr>
              <w:t>,</w:t>
            </w:r>
            <w:r>
              <w:rPr>
                <w:rFonts w:ascii="宋体" w:hAnsi="宋体" w:eastAsia="宋体"/>
                <w:color w:val="auto"/>
                <w:sz w:val="20"/>
                <w:szCs w:val="20"/>
                <w:highlight w:val="none"/>
              </w:rPr>
              <w:t>RJ45</w:t>
            </w:r>
            <w:r>
              <w:rPr>
                <w:rFonts w:hint="eastAsia" w:ascii="宋体" w:hAnsi="宋体" w:eastAsia="宋体"/>
                <w:color w:val="auto"/>
                <w:sz w:val="20"/>
                <w:szCs w:val="20"/>
                <w:highlight w:val="none"/>
              </w:rPr>
              <w:t>*</w:t>
            </w:r>
            <w:r>
              <w:rPr>
                <w:rFonts w:ascii="宋体" w:hAnsi="宋体" w:eastAsia="宋体"/>
                <w:color w:val="auto"/>
                <w:sz w:val="20"/>
                <w:szCs w:val="20"/>
                <w:highlight w:val="none"/>
              </w:rPr>
              <w:t>1，</w:t>
            </w:r>
            <w:r>
              <w:rPr>
                <w:rFonts w:hint="eastAsia" w:ascii="宋体" w:hAnsi="宋体" w:eastAsia="宋体"/>
                <w:color w:val="auto"/>
                <w:sz w:val="20"/>
                <w:szCs w:val="20"/>
                <w:highlight w:val="none"/>
              </w:rPr>
              <w:t>内置</w:t>
            </w:r>
            <w:r>
              <w:rPr>
                <w:rFonts w:ascii="宋体" w:hAnsi="宋体" w:eastAsia="宋体"/>
                <w:color w:val="auto"/>
                <w:sz w:val="20"/>
                <w:szCs w:val="20"/>
                <w:highlight w:val="none"/>
              </w:rPr>
              <w:t>Wi-Fi</w:t>
            </w:r>
            <w:r>
              <w:rPr>
                <w:rFonts w:hint="eastAsia" w:ascii="宋体" w:hAnsi="宋体" w:eastAsia="宋体"/>
                <w:color w:val="auto"/>
                <w:sz w:val="20"/>
                <w:szCs w:val="20"/>
                <w:highlight w:val="none"/>
              </w:rPr>
              <w:t>模块（10M/100M/1000M）</w:t>
            </w:r>
            <w:r>
              <w:rPr>
                <w:rFonts w:ascii="宋体" w:hAnsi="宋体" w:eastAsia="宋体"/>
                <w:color w:val="auto"/>
                <w:sz w:val="20"/>
                <w:szCs w:val="20"/>
                <w:highlight w:val="none"/>
              </w:rPr>
              <w:t>，内置蓝牙模块（支持蓝牙4.0、BLE）</w:t>
            </w:r>
            <w:r>
              <w:rPr>
                <w:rFonts w:hint="eastAsia" w:ascii="宋体" w:hAnsi="宋体" w:eastAsia="宋体"/>
                <w:color w:val="auto"/>
                <w:sz w:val="20"/>
                <w:szCs w:val="20"/>
                <w:highlight w:val="none"/>
              </w:rPr>
              <w:t>。全部</w:t>
            </w:r>
            <w:r>
              <w:rPr>
                <w:rFonts w:ascii="宋体" w:hAnsi="宋体" w:eastAsia="宋体"/>
                <w:color w:val="auto"/>
                <w:sz w:val="20"/>
                <w:szCs w:val="20"/>
                <w:highlight w:val="none"/>
              </w:rPr>
              <w:t>端口</w:t>
            </w:r>
            <w:r>
              <w:rPr>
                <w:rFonts w:hint="eastAsia" w:ascii="宋体" w:hAnsi="宋体" w:eastAsia="宋体"/>
                <w:color w:val="auto"/>
                <w:sz w:val="20"/>
                <w:szCs w:val="20"/>
                <w:highlight w:val="none"/>
              </w:rPr>
              <w:t>采用</w:t>
            </w:r>
            <w:r>
              <w:rPr>
                <w:rFonts w:ascii="宋体" w:hAnsi="宋体" w:eastAsia="宋体"/>
                <w:color w:val="auto"/>
                <w:sz w:val="20"/>
                <w:szCs w:val="20"/>
                <w:highlight w:val="none"/>
              </w:rPr>
              <w:t>隐藏设计，无</w:t>
            </w:r>
            <w:r>
              <w:rPr>
                <w:rFonts w:hint="eastAsia" w:ascii="宋体" w:hAnsi="宋体" w:eastAsia="宋体"/>
                <w:color w:val="auto"/>
                <w:sz w:val="20"/>
                <w:szCs w:val="20"/>
                <w:highlight w:val="none"/>
              </w:rPr>
              <w:t>可见</w:t>
            </w:r>
            <w:r>
              <w:rPr>
                <w:rFonts w:ascii="宋体" w:hAnsi="宋体" w:eastAsia="宋体"/>
                <w:color w:val="auto"/>
                <w:sz w:val="20"/>
                <w:szCs w:val="20"/>
                <w:highlight w:val="none"/>
              </w:rPr>
              <w:t>外露</w:t>
            </w:r>
            <w:r>
              <w:rPr>
                <w:rFonts w:hint="eastAsia" w:ascii="宋体" w:hAnsi="宋体" w:eastAsia="宋体"/>
                <w:color w:val="auto"/>
                <w:sz w:val="20"/>
                <w:szCs w:val="20"/>
                <w:highlight w:val="none"/>
              </w:rPr>
              <w:t>端口</w:t>
            </w:r>
            <w:r>
              <w:rPr>
                <w:rFonts w:ascii="宋体" w:hAnsi="宋体" w:eastAsia="宋体"/>
                <w:color w:val="auto"/>
                <w:sz w:val="20"/>
                <w:szCs w:val="20"/>
                <w:highlight w:val="none"/>
              </w:rPr>
              <w:t>。</w:t>
            </w:r>
          </w:p>
          <w:p>
            <w:pPr>
              <w:pStyle w:val="341"/>
              <w:widowControl/>
              <w:numPr>
                <w:ilvl w:val="0"/>
                <w:numId w:val="10"/>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采用</w:t>
            </w:r>
            <w:r>
              <w:rPr>
                <w:rFonts w:ascii="宋体" w:hAnsi="宋体" w:eastAsia="宋体"/>
                <w:color w:val="auto"/>
                <w:sz w:val="20"/>
                <w:szCs w:val="20"/>
                <w:highlight w:val="none"/>
              </w:rPr>
              <w:t>4核</w:t>
            </w:r>
            <w:r>
              <w:rPr>
                <w:rFonts w:hint="eastAsia" w:ascii="宋体" w:hAnsi="宋体" w:eastAsia="宋体"/>
                <w:color w:val="auto"/>
                <w:sz w:val="20"/>
                <w:szCs w:val="20"/>
                <w:highlight w:val="none"/>
              </w:rPr>
              <w:t>CPU，工作频率≥1.</w:t>
            </w:r>
            <w:r>
              <w:rPr>
                <w:rFonts w:ascii="宋体" w:hAnsi="宋体" w:eastAsia="宋体"/>
                <w:color w:val="auto"/>
                <w:sz w:val="20"/>
                <w:szCs w:val="20"/>
                <w:highlight w:val="none"/>
              </w:rPr>
              <w:t>9</w:t>
            </w:r>
            <w:r>
              <w:rPr>
                <w:rFonts w:hint="eastAsia" w:ascii="宋体" w:hAnsi="宋体" w:eastAsia="宋体"/>
                <w:color w:val="auto"/>
                <w:sz w:val="20"/>
                <w:szCs w:val="20"/>
                <w:highlight w:val="none"/>
              </w:rPr>
              <w:t>GHz。</w:t>
            </w:r>
            <w:r>
              <w:rPr>
                <w:rFonts w:ascii="宋体" w:hAnsi="宋体" w:eastAsia="宋体"/>
                <w:color w:val="auto"/>
                <w:sz w:val="20"/>
                <w:szCs w:val="20"/>
                <w:highlight w:val="none"/>
              </w:rPr>
              <w:t>运行内存2G，存储空间8G。支持最大64G的TF卡扩展存储。</w:t>
            </w:r>
          </w:p>
          <w:p>
            <w:pPr>
              <w:pStyle w:val="341"/>
              <w:widowControl/>
              <w:numPr>
                <w:ilvl w:val="0"/>
                <w:numId w:val="10"/>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兼容主流多媒体格式。</w:t>
            </w:r>
            <w:r>
              <w:rPr>
                <w:rFonts w:ascii="宋体" w:hAnsi="宋体" w:eastAsia="宋体"/>
                <w:color w:val="auto"/>
                <w:sz w:val="20"/>
                <w:szCs w:val="20"/>
                <w:highlight w:val="none"/>
              </w:rPr>
              <w:t>视</w:t>
            </w:r>
            <w:r>
              <w:rPr>
                <w:rFonts w:hint="eastAsia" w:ascii="宋体" w:hAnsi="宋体" w:eastAsia="宋体"/>
                <w:color w:val="auto"/>
                <w:sz w:val="20"/>
                <w:szCs w:val="20"/>
                <w:highlight w:val="none"/>
              </w:rPr>
              <w:t>频</w:t>
            </w:r>
            <w:r>
              <w:rPr>
                <w:rFonts w:ascii="宋体" w:hAnsi="宋体" w:eastAsia="宋体"/>
                <w:color w:val="auto"/>
                <w:sz w:val="20"/>
                <w:szCs w:val="20"/>
                <w:highlight w:val="none"/>
              </w:rPr>
              <w:t>格式：</w:t>
            </w:r>
            <w:r>
              <w:rPr>
                <w:rFonts w:hint="eastAsia" w:ascii="宋体" w:hAnsi="宋体" w:eastAsia="宋体"/>
                <w:color w:val="auto"/>
                <w:sz w:val="20"/>
                <w:szCs w:val="20"/>
                <w:highlight w:val="none"/>
              </w:rPr>
              <w:t>MPEG1、MPEG2、MPEG4、 H.26</w:t>
            </w:r>
            <w:r>
              <w:rPr>
                <w:rFonts w:ascii="宋体" w:hAnsi="宋体" w:eastAsia="宋体"/>
                <w:color w:val="auto"/>
                <w:sz w:val="20"/>
                <w:szCs w:val="20"/>
                <w:highlight w:val="none"/>
              </w:rPr>
              <w:t>3</w:t>
            </w:r>
            <w:r>
              <w:rPr>
                <w:rFonts w:hint="eastAsia" w:ascii="宋体" w:hAnsi="宋体" w:eastAsia="宋体"/>
                <w:color w:val="auto"/>
                <w:sz w:val="20"/>
                <w:szCs w:val="20"/>
                <w:highlight w:val="none"/>
              </w:rPr>
              <w:t>、H.264等；音频格式：</w:t>
            </w:r>
            <w:r>
              <w:rPr>
                <w:rFonts w:ascii="宋体" w:hAnsi="宋体" w:eastAsia="宋体"/>
                <w:color w:val="auto"/>
                <w:sz w:val="20"/>
                <w:szCs w:val="20"/>
                <w:highlight w:val="none"/>
              </w:rPr>
              <w:t>MP3</w:t>
            </w:r>
            <w:r>
              <w:rPr>
                <w:rFonts w:hint="eastAsia" w:ascii="宋体" w:hAnsi="宋体" w:eastAsia="宋体"/>
                <w:color w:val="auto"/>
                <w:sz w:val="20"/>
                <w:szCs w:val="20"/>
                <w:highlight w:val="none"/>
              </w:rPr>
              <w:t>等；图片</w:t>
            </w:r>
            <w:r>
              <w:rPr>
                <w:rFonts w:ascii="宋体" w:hAnsi="宋体" w:eastAsia="宋体"/>
                <w:color w:val="auto"/>
                <w:sz w:val="20"/>
                <w:szCs w:val="20"/>
                <w:highlight w:val="none"/>
              </w:rPr>
              <w:t>格式：</w:t>
            </w:r>
            <w:r>
              <w:rPr>
                <w:rFonts w:hint="eastAsia" w:ascii="宋体" w:hAnsi="宋体" w:eastAsia="宋体"/>
                <w:color w:val="auto"/>
                <w:sz w:val="20"/>
                <w:szCs w:val="20"/>
                <w:highlight w:val="none"/>
              </w:rPr>
              <w:t>JPG、JPEG、BMP、PNG、GIF 等。</w:t>
            </w:r>
          </w:p>
          <w:p>
            <w:pPr>
              <w:pStyle w:val="341"/>
              <w:widowControl/>
              <w:numPr>
                <w:ilvl w:val="0"/>
                <w:numId w:val="10"/>
              </w:numPr>
              <w:spacing w:before="100" w:beforeAutospacing="1" w:after="100" w:afterAutospacing="1"/>
              <w:jc w:val="left"/>
              <w:rPr>
                <w:rFonts w:ascii="宋体" w:hAnsi="宋体" w:eastAsia="宋体"/>
                <w:color w:val="auto"/>
                <w:sz w:val="20"/>
                <w:szCs w:val="20"/>
                <w:highlight w:val="none"/>
              </w:rPr>
            </w:pPr>
            <w:r>
              <w:rPr>
                <w:rFonts w:hint="eastAsia" w:ascii="宋体" w:hAnsi="宋体" w:cs="宋体"/>
                <w:color w:val="auto"/>
                <w:kern w:val="0"/>
                <w:sz w:val="20"/>
                <w:szCs w:val="20"/>
                <w:highlight w:val="none"/>
              </w:rPr>
              <w:t>★</w:t>
            </w:r>
            <w:r>
              <w:rPr>
                <w:rFonts w:ascii="宋体" w:hAnsi="宋体" w:eastAsia="宋体"/>
                <w:color w:val="auto"/>
                <w:sz w:val="20"/>
                <w:szCs w:val="20"/>
                <w:highlight w:val="none"/>
              </w:rPr>
              <w:t>信息发布</w:t>
            </w:r>
            <w:r>
              <w:rPr>
                <w:rFonts w:hint="eastAsia" w:ascii="宋体" w:hAnsi="宋体" w:eastAsia="宋体"/>
                <w:color w:val="auto"/>
                <w:sz w:val="20"/>
                <w:szCs w:val="20"/>
                <w:highlight w:val="none"/>
              </w:rPr>
              <w:t>系统</w:t>
            </w:r>
            <w:r>
              <w:rPr>
                <w:rFonts w:ascii="宋体" w:hAnsi="宋体" w:eastAsia="宋体"/>
                <w:color w:val="auto"/>
                <w:sz w:val="20"/>
                <w:szCs w:val="20"/>
                <w:highlight w:val="none"/>
              </w:rPr>
              <w:t>与设备一体化集成，无需外接</w:t>
            </w:r>
            <w:r>
              <w:rPr>
                <w:rFonts w:hint="eastAsia" w:ascii="宋体" w:hAnsi="宋体" w:eastAsia="宋体"/>
                <w:color w:val="auto"/>
                <w:sz w:val="20"/>
                <w:szCs w:val="20"/>
                <w:highlight w:val="none"/>
              </w:rPr>
              <w:t>任何</w:t>
            </w:r>
            <w:r>
              <w:rPr>
                <w:rFonts w:ascii="宋体" w:hAnsi="宋体" w:eastAsia="宋体"/>
                <w:color w:val="auto"/>
                <w:sz w:val="20"/>
                <w:szCs w:val="20"/>
                <w:highlight w:val="none"/>
              </w:rPr>
              <w:t>信息发布</w:t>
            </w:r>
            <w:r>
              <w:rPr>
                <w:rFonts w:hint="eastAsia" w:ascii="宋体" w:hAnsi="宋体" w:eastAsia="宋体"/>
                <w:color w:val="auto"/>
                <w:sz w:val="20"/>
                <w:szCs w:val="20"/>
                <w:highlight w:val="none"/>
              </w:rPr>
              <w:t>设备</w:t>
            </w:r>
            <w:r>
              <w:rPr>
                <w:rFonts w:ascii="宋体" w:hAnsi="宋体" w:eastAsia="宋体"/>
                <w:color w:val="auto"/>
                <w:sz w:val="20"/>
                <w:szCs w:val="20"/>
                <w:highlight w:val="none"/>
              </w:rPr>
              <w:t>即可完成信息发布。（提供第三方权威机构出具的检测报告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numPr>
                <w:ilvl w:val="0"/>
                <w:numId w:val="10"/>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整机带有三个实体按键，可以对播放的节目进行前后翻页和暂停/播放控制。（提供第三方权威机构出具的检测报告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numPr>
                <w:ilvl w:val="0"/>
                <w:numId w:val="10"/>
              </w:numPr>
              <w:shd w:val="clear" w:color="auto" w:fill="FFFFFF"/>
              <w:jc w:val="left"/>
              <w:rPr>
                <w:rFonts w:ascii="宋体" w:hAnsi="宋体" w:eastAsia="宋体"/>
                <w:color w:val="auto"/>
                <w:sz w:val="20"/>
                <w:szCs w:val="20"/>
                <w:highlight w:val="none"/>
              </w:rPr>
            </w:pPr>
            <w:r>
              <w:rPr>
                <w:rFonts w:hint="eastAsia" w:ascii="宋体" w:hAnsi="宋体" w:eastAsia="宋体" w:cs="宋体"/>
                <w:color w:val="auto"/>
                <w:sz w:val="20"/>
                <w:szCs w:val="20"/>
                <w:highlight w:val="none"/>
              </w:rPr>
              <w:t>支持手机通过蓝牙连接整机，对整机进行遥控控制。（提供第三方权威机构出具的检测报告</w:t>
            </w:r>
            <w:r>
              <w:rPr>
                <w:rFonts w:hint="eastAsia" w:ascii="宋体" w:hAnsi="宋体" w:eastAsia="宋体" w:cs="宋体"/>
                <w:color w:val="auto"/>
                <w:sz w:val="20"/>
                <w:szCs w:val="20"/>
                <w:highlight w:val="none"/>
                <w:lang w:eastAsia="zh-CN"/>
              </w:rPr>
              <w:t>扫描件</w:t>
            </w:r>
            <w:r>
              <w:rPr>
                <w:rFonts w:hint="eastAsia" w:ascii="宋体" w:hAnsi="宋体" w:eastAsia="宋体" w:cs="宋体"/>
                <w:color w:val="auto"/>
                <w:sz w:val="20"/>
                <w:szCs w:val="20"/>
                <w:highlight w:val="none"/>
              </w:rPr>
              <w:t>）</w:t>
            </w:r>
          </w:p>
          <w:p>
            <w:pPr>
              <w:pStyle w:val="341"/>
              <w:widowControl/>
              <w:shd w:val="clear" w:color="auto" w:fill="FFFFFF"/>
              <w:ind w:firstLine="0"/>
              <w:jc w:val="left"/>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二、软件参数：</w:t>
            </w:r>
          </w:p>
          <w:p>
            <w:pPr>
              <w:pStyle w:val="341"/>
              <w:widowControl/>
              <w:numPr>
                <w:ilvl w:val="0"/>
                <w:numId w:val="10"/>
              </w:numPr>
              <w:shd w:val="clear" w:color="auto" w:fill="FFFFFF"/>
              <w:jc w:val="left"/>
              <w:rPr>
                <w:rFonts w:ascii="宋体" w:hAnsi="宋体" w:eastAsia="宋体"/>
                <w:color w:val="auto"/>
                <w:sz w:val="20"/>
                <w:szCs w:val="20"/>
                <w:highlight w:val="none"/>
              </w:rPr>
            </w:pPr>
            <w:r>
              <w:rPr>
                <w:rFonts w:ascii="宋体" w:hAnsi="宋体" w:eastAsia="宋体"/>
                <w:color w:val="auto"/>
                <w:sz w:val="20"/>
                <w:szCs w:val="20"/>
                <w:highlight w:val="none"/>
              </w:rPr>
              <w:t>支持聚合</w:t>
            </w:r>
            <w:r>
              <w:rPr>
                <w:rFonts w:hint="eastAsia" w:ascii="宋体" w:hAnsi="宋体" w:eastAsia="宋体"/>
                <w:color w:val="auto"/>
                <w:sz w:val="20"/>
                <w:szCs w:val="20"/>
                <w:highlight w:val="none"/>
              </w:rPr>
              <w:t>信息</w:t>
            </w:r>
            <w:r>
              <w:rPr>
                <w:rFonts w:ascii="宋体" w:hAnsi="宋体" w:eastAsia="宋体"/>
                <w:color w:val="auto"/>
                <w:sz w:val="20"/>
                <w:szCs w:val="20"/>
                <w:highlight w:val="none"/>
              </w:rPr>
              <w:t>订阅</w:t>
            </w:r>
            <w:r>
              <w:rPr>
                <w:rFonts w:hint="eastAsia" w:ascii="宋体" w:hAnsi="宋体" w:eastAsia="宋体"/>
                <w:color w:val="auto"/>
                <w:sz w:val="20"/>
                <w:szCs w:val="20"/>
                <w:highlight w:val="none"/>
              </w:rPr>
              <w:t>展示</w:t>
            </w:r>
            <w:r>
              <w:rPr>
                <w:rFonts w:ascii="宋体" w:hAnsi="宋体" w:eastAsia="宋体"/>
                <w:color w:val="auto"/>
                <w:sz w:val="20"/>
                <w:szCs w:val="20"/>
                <w:highlight w:val="none"/>
              </w:rPr>
              <w:t>，</w:t>
            </w:r>
            <w:r>
              <w:rPr>
                <w:rFonts w:hint="eastAsia" w:ascii="宋体" w:hAnsi="宋体" w:eastAsia="宋体"/>
                <w:color w:val="auto"/>
                <w:sz w:val="20"/>
                <w:szCs w:val="20"/>
                <w:highlight w:val="none"/>
              </w:rPr>
              <w:t>使用者</w:t>
            </w:r>
            <w:r>
              <w:rPr>
                <w:rFonts w:ascii="宋体" w:hAnsi="宋体" w:eastAsia="宋体"/>
                <w:color w:val="auto"/>
                <w:sz w:val="20"/>
                <w:szCs w:val="20"/>
                <w:highlight w:val="none"/>
              </w:rPr>
              <w:t>可订阅并将相应内容加入到节目单中</w:t>
            </w:r>
            <w:r>
              <w:rPr>
                <w:rFonts w:hint="eastAsia" w:ascii="宋体" w:hAnsi="宋体" w:eastAsia="宋体"/>
                <w:color w:val="auto"/>
                <w:sz w:val="20"/>
                <w:szCs w:val="20"/>
                <w:highlight w:val="none"/>
              </w:rPr>
              <w:t>进行</w:t>
            </w:r>
            <w:r>
              <w:rPr>
                <w:rFonts w:ascii="宋体" w:hAnsi="宋体" w:eastAsia="宋体"/>
                <w:color w:val="auto"/>
                <w:sz w:val="20"/>
                <w:szCs w:val="20"/>
                <w:highlight w:val="none"/>
              </w:rPr>
              <w:t>定制化展示。</w:t>
            </w:r>
          </w:p>
          <w:p>
            <w:pPr>
              <w:pStyle w:val="341"/>
              <w:widowControl/>
              <w:numPr>
                <w:ilvl w:val="0"/>
                <w:numId w:val="10"/>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支持倒数日功能，</w:t>
            </w:r>
            <w:r>
              <w:rPr>
                <w:rFonts w:hint="eastAsia" w:ascii="宋体" w:hAnsi="宋体" w:eastAsia="宋体"/>
                <w:color w:val="auto"/>
                <w:sz w:val="20"/>
                <w:szCs w:val="20"/>
                <w:highlight w:val="none"/>
              </w:rPr>
              <w:t>可编辑事件名称和倒计时截止时间，事件剩余时间在云屏实时显示，可同时发布≥3个事件倒计时</w:t>
            </w:r>
            <w:r>
              <w:rPr>
                <w:rFonts w:ascii="宋体" w:hAnsi="宋体" w:eastAsia="宋体"/>
                <w:color w:val="auto"/>
                <w:sz w:val="20"/>
                <w:szCs w:val="20"/>
                <w:highlight w:val="none"/>
              </w:rPr>
              <w:t>。</w:t>
            </w:r>
          </w:p>
          <w:p>
            <w:pPr>
              <w:pStyle w:val="341"/>
              <w:widowControl/>
              <w:numPr>
                <w:ilvl w:val="0"/>
                <w:numId w:val="10"/>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支持Web</w:t>
            </w:r>
            <w:r>
              <w:rPr>
                <w:rFonts w:hint="eastAsia" w:ascii="宋体" w:hAnsi="宋体" w:eastAsia="宋体"/>
                <w:color w:val="auto"/>
                <w:sz w:val="20"/>
                <w:szCs w:val="20"/>
                <w:highlight w:val="none"/>
              </w:rPr>
              <w:t>网页端</w:t>
            </w:r>
            <w:r>
              <w:rPr>
                <w:rFonts w:ascii="宋体" w:hAnsi="宋体" w:eastAsia="宋体"/>
                <w:color w:val="auto"/>
                <w:sz w:val="20"/>
                <w:szCs w:val="20"/>
                <w:highlight w:val="none"/>
              </w:rPr>
              <w:t>、</w:t>
            </w:r>
            <w:r>
              <w:rPr>
                <w:rFonts w:hint="eastAsia" w:ascii="宋体" w:hAnsi="宋体" w:eastAsia="宋体"/>
                <w:color w:val="auto"/>
                <w:sz w:val="20"/>
                <w:szCs w:val="20"/>
                <w:highlight w:val="none"/>
              </w:rPr>
              <w:t>移动</w:t>
            </w:r>
            <w:r>
              <w:rPr>
                <w:rFonts w:ascii="宋体" w:hAnsi="宋体" w:eastAsia="宋体"/>
                <w:color w:val="auto"/>
                <w:sz w:val="20"/>
                <w:szCs w:val="20"/>
                <w:highlight w:val="none"/>
              </w:rPr>
              <w:t>端微信发布相册、视频、新闻、公告</w:t>
            </w:r>
            <w:r>
              <w:rPr>
                <w:rFonts w:hint="eastAsia" w:ascii="宋体" w:hAnsi="宋体" w:eastAsia="宋体"/>
                <w:color w:val="auto"/>
                <w:sz w:val="20"/>
                <w:szCs w:val="20"/>
                <w:highlight w:val="none"/>
              </w:rPr>
              <w:t>，</w:t>
            </w:r>
            <w:r>
              <w:rPr>
                <w:rFonts w:ascii="宋体" w:hAnsi="宋体" w:eastAsia="宋体"/>
                <w:color w:val="auto"/>
                <w:sz w:val="20"/>
                <w:szCs w:val="20"/>
                <w:highlight w:val="none"/>
              </w:rPr>
              <w:t>无需额外安装应用。</w:t>
            </w:r>
          </w:p>
          <w:p>
            <w:pPr>
              <w:pStyle w:val="341"/>
              <w:widowControl/>
              <w:numPr>
                <w:ilvl w:val="0"/>
                <w:numId w:val="10"/>
              </w:numPr>
              <w:shd w:val="clear" w:color="auto" w:fill="FFFFFF"/>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网页</w:t>
            </w:r>
            <w:r>
              <w:rPr>
                <w:rFonts w:ascii="宋体" w:hAnsi="宋体" w:eastAsia="宋体"/>
                <w:color w:val="auto"/>
                <w:sz w:val="20"/>
                <w:szCs w:val="20"/>
                <w:highlight w:val="none"/>
              </w:rPr>
              <w:t>端后台系统支持微信扫码登录</w:t>
            </w:r>
            <w:r>
              <w:rPr>
                <w:rFonts w:hint="eastAsia" w:ascii="宋体" w:hAnsi="宋体" w:eastAsia="宋体"/>
                <w:color w:val="auto"/>
                <w:sz w:val="20"/>
                <w:szCs w:val="20"/>
                <w:highlight w:val="none"/>
              </w:rPr>
              <w:t>。</w:t>
            </w:r>
          </w:p>
          <w:p>
            <w:pPr>
              <w:pStyle w:val="341"/>
              <w:widowControl/>
              <w:numPr>
                <w:ilvl w:val="0"/>
                <w:numId w:val="10"/>
              </w:numPr>
              <w:shd w:val="clear" w:color="auto" w:fill="FFFFFF"/>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支持图片</w:t>
            </w:r>
            <w:r>
              <w:rPr>
                <w:rFonts w:ascii="宋体" w:hAnsi="宋体" w:eastAsia="宋体"/>
                <w:color w:val="auto"/>
                <w:sz w:val="20"/>
                <w:szCs w:val="20"/>
                <w:highlight w:val="none"/>
              </w:rPr>
              <w:t>相册轮播展示</w:t>
            </w:r>
            <w:r>
              <w:rPr>
                <w:rFonts w:hint="eastAsia" w:ascii="宋体" w:hAnsi="宋体" w:eastAsia="宋体"/>
                <w:color w:val="auto"/>
                <w:sz w:val="20"/>
                <w:szCs w:val="20"/>
                <w:highlight w:val="none"/>
              </w:rPr>
              <w:t>，多图集</w:t>
            </w:r>
            <w:r>
              <w:rPr>
                <w:rFonts w:ascii="宋体" w:hAnsi="宋体" w:eastAsia="宋体"/>
                <w:color w:val="auto"/>
                <w:sz w:val="20"/>
                <w:szCs w:val="20"/>
                <w:highlight w:val="none"/>
              </w:rPr>
              <w:t>支持逐</w:t>
            </w:r>
            <w:r>
              <w:rPr>
                <w:rFonts w:hint="eastAsia" w:ascii="宋体" w:hAnsi="宋体" w:eastAsia="宋体"/>
                <w:color w:val="auto"/>
                <w:sz w:val="20"/>
                <w:szCs w:val="20"/>
                <w:highlight w:val="none"/>
              </w:rPr>
              <w:t>个</w:t>
            </w:r>
            <w:r>
              <w:rPr>
                <w:rFonts w:ascii="宋体" w:hAnsi="宋体" w:eastAsia="宋体"/>
                <w:color w:val="auto"/>
                <w:sz w:val="20"/>
                <w:szCs w:val="20"/>
                <w:highlight w:val="none"/>
              </w:rPr>
              <w:t>逐级轮播。</w:t>
            </w:r>
          </w:p>
          <w:p>
            <w:pPr>
              <w:pStyle w:val="341"/>
              <w:widowControl/>
              <w:numPr>
                <w:ilvl w:val="0"/>
                <w:numId w:val="10"/>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支持发布荣誉信息到各级设备展示。</w:t>
            </w:r>
          </w:p>
          <w:p>
            <w:pPr>
              <w:pStyle w:val="341"/>
              <w:widowControl/>
              <w:numPr>
                <w:ilvl w:val="0"/>
                <w:numId w:val="10"/>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支持导入</w:t>
            </w:r>
            <w:r>
              <w:rPr>
                <w:rFonts w:hint="eastAsia" w:ascii="宋体" w:hAnsi="宋体" w:eastAsia="宋体"/>
                <w:color w:val="auto"/>
                <w:sz w:val="20"/>
                <w:szCs w:val="20"/>
                <w:highlight w:val="none"/>
              </w:rPr>
              <w:t>活动</w:t>
            </w:r>
            <w:r>
              <w:rPr>
                <w:rFonts w:ascii="宋体" w:hAnsi="宋体" w:eastAsia="宋体"/>
                <w:color w:val="auto"/>
                <w:sz w:val="20"/>
                <w:szCs w:val="20"/>
                <w:highlight w:val="none"/>
              </w:rPr>
              <w:t>计划，设备</w:t>
            </w:r>
            <w:r>
              <w:rPr>
                <w:rFonts w:hint="eastAsia" w:ascii="宋体" w:hAnsi="宋体" w:eastAsia="宋体"/>
                <w:color w:val="auto"/>
                <w:sz w:val="20"/>
                <w:szCs w:val="20"/>
                <w:highlight w:val="none"/>
              </w:rPr>
              <w:t>显示</w:t>
            </w:r>
            <w:r>
              <w:rPr>
                <w:rFonts w:ascii="宋体" w:hAnsi="宋体" w:eastAsia="宋体"/>
                <w:color w:val="auto"/>
                <w:sz w:val="20"/>
                <w:szCs w:val="20"/>
                <w:highlight w:val="none"/>
              </w:rPr>
              <w:t>可在</w:t>
            </w:r>
            <w:r>
              <w:rPr>
                <w:rFonts w:hint="eastAsia" w:ascii="宋体" w:hAnsi="宋体" w:eastAsia="宋体"/>
                <w:color w:val="auto"/>
                <w:sz w:val="20"/>
                <w:szCs w:val="20"/>
                <w:highlight w:val="none"/>
              </w:rPr>
              <w:t>计划</w:t>
            </w:r>
            <w:r>
              <w:rPr>
                <w:rFonts w:ascii="宋体" w:hAnsi="宋体" w:eastAsia="宋体"/>
                <w:color w:val="auto"/>
                <w:sz w:val="20"/>
                <w:szCs w:val="20"/>
                <w:highlight w:val="none"/>
              </w:rPr>
              <w:t>时间</w:t>
            </w:r>
            <w:r>
              <w:rPr>
                <w:rFonts w:hint="eastAsia" w:ascii="宋体" w:hAnsi="宋体" w:eastAsia="宋体"/>
                <w:color w:val="auto"/>
                <w:sz w:val="20"/>
                <w:szCs w:val="20"/>
                <w:highlight w:val="none"/>
              </w:rPr>
              <w:t>内</w:t>
            </w:r>
            <w:r>
              <w:rPr>
                <w:rFonts w:ascii="宋体" w:hAnsi="宋体" w:eastAsia="宋体"/>
                <w:color w:val="auto"/>
                <w:sz w:val="20"/>
                <w:szCs w:val="20"/>
                <w:highlight w:val="none"/>
              </w:rPr>
              <w:t>自动切换为</w:t>
            </w:r>
            <w:r>
              <w:rPr>
                <w:rFonts w:hint="eastAsia" w:ascii="宋体" w:hAnsi="宋体" w:eastAsia="宋体"/>
                <w:color w:val="auto"/>
                <w:sz w:val="20"/>
                <w:szCs w:val="20"/>
                <w:highlight w:val="none"/>
              </w:rPr>
              <w:t>活动</w:t>
            </w:r>
            <w:r>
              <w:rPr>
                <w:rFonts w:ascii="宋体" w:hAnsi="宋体" w:eastAsia="宋体"/>
                <w:color w:val="auto"/>
                <w:sz w:val="20"/>
                <w:szCs w:val="20"/>
                <w:highlight w:val="none"/>
              </w:rPr>
              <w:t>模式，展示</w:t>
            </w:r>
            <w:r>
              <w:rPr>
                <w:rFonts w:hint="eastAsia" w:ascii="宋体" w:hAnsi="宋体" w:eastAsia="宋体"/>
                <w:color w:val="auto"/>
                <w:sz w:val="20"/>
                <w:szCs w:val="20"/>
                <w:highlight w:val="none"/>
              </w:rPr>
              <w:t>活动内容</w:t>
            </w:r>
            <w:r>
              <w:rPr>
                <w:rFonts w:ascii="宋体" w:hAnsi="宋体" w:eastAsia="宋体"/>
                <w:color w:val="auto"/>
                <w:sz w:val="20"/>
                <w:szCs w:val="20"/>
                <w:highlight w:val="none"/>
              </w:rPr>
              <w:t>等信息。</w:t>
            </w:r>
          </w:p>
          <w:p>
            <w:pPr>
              <w:pStyle w:val="341"/>
              <w:widowControl/>
              <w:numPr>
                <w:ilvl w:val="0"/>
                <w:numId w:val="10"/>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支持每日开关机时间的个性化设置，</w:t>
            </w:r>
            <w:r>
              <w:rPr>
                <w:rFonts w:hint="eastAsia" w:ascii="宋体" w:hAnsi="宋体" w:eastAsia="宋体"/>
                <w:color w:val="auto"/>
                <w:sz w:val="20"/>
                <w:szCs w:val="20"/>
                <w:highlight w:val="none"/>
              </w:rPr>
              <w:t>可精确</w:t>
            </w:r>
            <w:r>
              <w:rPr>
                <w:rFonts w:ascii="宋体" w:hAnsi="宋体" w:eastAsia="宋体"/>
                <w:color w:val="auto"/>
                <w:sz w:val="20"/>
                <w:szCs w:val="20"/>
                <w:highlight w:val="none"/>
              </w:rPr>
              <w:t>设定每</w:t>
            </w:r>
            <w:r>
              <w:rPr>
                <w:rFonts w:hint="eastAsia" w:ascii="宋体" w:hAnsi="宋体" w:eastAsia="宋体"/>
                <w:color w:val="auto"/>
                <w:sz w:val="20"/>
                <w:szCs w:val="20"/>
                <w:highlight w:val="none"/>
              </w:rPr>
              <w:t>日的</w:t>
            </w:r>
            <w:r>
              <w:rPr>
                <w:rFonts w:ascii="宋体" w:hAnsi="宋体" w:eastAsia="宋体"/>
                <w:color w:val="auto"/>
                <w:sz w:val="20"/>
                <w:szCs w:val="20"/>
                <w:highlight w:val="none"/>
              </w:rPr>
              <w:t>自动开关机时间</w:t>
            </w:r>
            <w:r>
              <w:rPr>
                <w:rFonts w:hint="eastAsia" w:ascii="宋体" w:hAnsi="宋体" w:eastAsia="宋体"/>
                <w:color w:val="auto"/>
                <w:sz w:val="20"/>
                <w:szCs w:val="20"/>
                <w:highlight w:val="none"/>
              </w:rPr>
              <w:t>。</w:t>
            </w:r>
          </w:p>
          <w:p>
            <w:pPr>
              <w:pStyle w:val="341"/>
              <w:widowControl/>
              <w:numPr>
                <w:ilvl w:val="0"/>
                <w:numId w:val="10"/>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支持</w:t>
            </w:r>
            <w:r>
              <w:rPr>
                <w:rFonts w:hint="eastAsia" w:ascii="宋体" w:hAnsi="宋体" w:eastAsia="宋体"/>
                <w:color w:val="auto"/>
                <w:sz w:val="20"/>
                <w:szCs w:val="20"/>
                <w:highlight w:val="none"/>
              </w:rPr>
              <w:t>使</w:t>
            </w:r>
            <w:r>
              <w:rPr>
                <w:rFonts w:ascii="宋体" w:hAnsi="宋体" w:eastAsia="宋体"/>
                <w:color w:val="auto"/>
                <w:sz w:val="20"/>
                <w:szCs w:val="20"/>
                <w:highlight w:val="none"/>
              </w:rPr>
              <w:t>用EXCEL</w:t>
            </w:r>
            <w:r>
              <w:rPr>
                <w:rFonts w:hint="eastAsia" w:ascii="宋体" w:hAnsi="宋体" w:eastAsia="宋体"/>
                <w:color w:val="auto"/>
                <w:sz w:val="20"/>
                <w:szCs w:val="20"/>
                <w:highlight w:val="none"/>
              </w:rPr>
              <w:t>批量</w:t>
            </w:r>
            <w:r>
              <w:rPr>
                <w:rFonts w:ascii="宋体" w:hAnsi="宋体" w:eastAsia="宋体"/>
                <w:color w:val="auto"/>
                <w:sz w:val="20"/>
                <w:szCs w:val="20"/>
                <w:highlight w:val="none"/>
              </w:rPr>
              <w:t>导入管理员、场地等各类</w:t>
            </w:r>
            <w:r>
              <w:rPr>
                <w:rFonts w:hint="eastAsia" w:ascii="宋体" w:hAnsi="宋体" w:eastAsia="宋体"/>
                <w:color w:val="auto"/>
                <w:sz w:val="20"/>
                <w:szCs w:val="20"/>
                <w:highlight w:val="none"/>
              </w:rPr>
              <w:t>基础</w:t>
            </w:r>
            <w:r>
              <w:rPr>
                <w:rFonts w:ascii="宋体" w:hAnsi="宋体" w:eastAsia="宋体"/>
                <w:color w:val="auto"/>
                <w:sz w:val="20"/>
                <w:szCs w:val="20"/>
                <w:highlight w:val="none"/>
              </w:rPr>
              <w:t>数据。</w:t>
            </w:r>
          </w:p>
          <w:p>
            <w:pPr>
              <w:pStyle w:val="341"/>
              <w:widowControl/>
              <w:numPr>
                <w:ilvl w:val="0"/>
                <w:numId w:val="10"/>
              </w:numPr>
              <w:shd w:val="clear" w:color="auto" w:fill="FFFFFF"/>
              <w:jc w:val="left"/>
              <w:rPr>
                <w:rFonts w:hint="eastAsia" w:ascii="宋体" w:hAnsi="宋体" w:eastAsia="宋体"/>
                <w:color w:val="auto"/>
                <w:sz w:val="20"/>
                <w:szCs w:val="20"/>
                <w:highlight w:val="none"/>
              </w:rPr>
            </w:pPr>
            <w:r>
              <w:rPr>
                <w:rFonts w:ascii="宋体" w:hAnsi="宋体" w:eastAsia="宋体"/>
                <w:color w:val="auto"/>
                <w:sz w:val="20"/>
                <w:szCs w:val="20"/>
                <w:highlight w:val="none"/>
              </w:rPr>
              <w:t>支持多级权限分配，可</w:t>
            </w:r>
            <w:r>
              <w:rPr>
                <w:rFonts w:hint="eastAsia" w:ascii="宋体" w:hAnsi="宋体" w:eastAsia="宋体"/>
                <w:color w:val="auto"/>
                <w:sz w:val="20"/>
                <w:szCs w:val="20"/>
                <w:highlight w:val="none"/>
              </w:rPr>
              <w:t>为</w:t>
            </w:r>
            <w:r>
              <w:rPr>
                <w:rFonts w:ascii="宋体" w:hAnsi="宋体" w:eastAsia="宋体"/>
                <w:color w:val="auto"/>
                <w:sz w:val="20"/>
                <w:szCs w:val="20"/>
                <w:highlight w:val="none"/>
              </w:rPr>
              <w:t>特个场地指</w:t>
            </w:r>
            <w:r>
              <w:rPr>
                <w:rFonts w:hint="eastAsia" w:ascii="宋体" w:hAnsi="宋体" w:eastAsia="宋体"/>
                <w:color w:val="auto"/>
                <w:sz w:val="20"/>
                <w:szCs w:val="20"/>
                <w:highlight w:val="none"/>
              </w:rPr>
              <w:t>派</w:t>
            </w:r>
            <w:r>
              <w:rPr>
                <w:rFonts w:ascii="宋体" w:hAnsi="宋体" w:eastAsia="宋体"/>
                <w:color w:val="auto"/>
                <w:sz w:val="20"/>
                <w:szCs w:val="20"/>
                <w:highlight w:val="none"/>
              </w:rPr>
              <w:t>指</w:t>
            </w:r>
            <w:r>
              <w:rPr>
                <w:rFonts w:hint="eastAsia" w:ascii="宋体" w:hAnsi="宋体" w:eastAsia="宋体"/>
                <w:color w:val="auto"/>
                <w:sz w:val="20"/>
                <w:szCs w:val="20"/>
                <w:highlight w:val="none"/>
              </w:rPr>
              <w:t>定</w:t>
            </w:r>
            <w:r>
              <w:rPr>
                <w:rFonts w:ascii="宋体" w:hAnsi="宋体" w:eastAsia="宋体"/>
                <w:color w:val="auto"/>
                <w:sz w:val="20"/>
                <w:szCs w:val="20"/>
                <w:highlight w:val="none"/>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18" w:type="dxa"/>
            <w:vMerge w:val="continue"/>
            <w:shd w:val="clear" w:color="auto" w:fill="auto"/>
            <w:noWrap w:val="0"/>
            <w:vAlign w:val="center"/>
          </w:tcPr>
          <w:p>
            <w:pPr>
              <w:widowControl/>
              <w:jc w:val="center"/>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云屏B款</w:t>
            </w:r>
          </w:p>
        </w:tc>
        <w:tc>
          <w:tcPr>
            <w:tcW w:w="6379" w:type="dxa"/>
            <w:shd w:val="clear" w:color="000000" w:fill="FFFFFF"/>
            <w:noWrap w:val="0"/>
            <w:vAlign w:val="center"/>
          </w:tcPr>
          <w:p>
            <w:pPr>
              <w:pStyle w:val="341"/>
              <w:widowControl/>
              <w:shd w:val="clear" w:color="auto" w:fill="FFFFFF"/>
              <w:ind w:firstLine="0"/>
              <w:jc w:val="left"/>
              <w:rPr>
                <w:rFonts w:hint="eastAsia" w:ascii="宋体" w:hAnsi="宋体" w:eastAsia="宋体"/>
                <w:color w:val="auto"/>
                <w:sz w:val="20"/>
                <w:szCs w:val="20"/>
                <w:highlight w:val="none"/>
              </w:rPr>
            </w:pPr>
            <w:r>
              <w:rPr>
                <w:rFonts w:hint="eastAsia" w:ascii="宋体" w:hAnsi="宋体" w:eastAsia="宋体"/>
                <w:color w:val="auto"/>
                <w:sz w:val="20"/>
                <w:szCs w:val="20"/>
                <w:highlight w:val="none"/>
              </w:rPr>
              <w:t>一、硬件参数：</w:t>
            </w:r>
          </w:p>
          <w:p>
            <w:pPr>
              <w:pStyle w:val="341"/>
              <w:widowControl/>
              <w:numPr>
                <w:ilvl w:val="0"/>
                <w:numId w:val="11"/>
              </w:numPr>
              <w:shd w:val="clear" w:color="auto" w:fill="FFFFFF"/>
              <w:jc w:val="left"/>
              <w:rPr>
                <w:rFonts w:ascii="宋体" w:hAnsi="宋体" w:eastAsia="宋体"/>
                <w:color w:val="auto"/>
                <w:sz w:val="20"/>
                <w:szCs w:val="20"/>
                <w:highlight w:val="none"/>
              </w:rPr>
            </w:pPr>
            <w:r>
              <w:rPr>
                <w:rFonts w:hint="eastAsia" w:ascii="宋体" w:hAnsi="宋体" w:eastAsia="宋体"/>
                <w:color w:val="auto"/>
                <w:sz w:val="20"/>
                <w:szCs w:val="20"/>
                <w:highlight w:val="none"/>
              </w:rPr>
              <w:t>整机边框</w:t>
            </w:r>
            <w:r>
              <w:rPr>
                <w:rFonts w:ascii="宋体" w:hAnsi="宋体" w:eastAsia="宋体"/>
                <w:color w:val="auto"/>
                <w:sz w:val="20"/>
                <w:szCs w:val="20"/>
                <w:highlight w:val="none"/>
              </w:rPr>
              <w:t>采用高强度铝合金边框，坚固可靠。角部采用圆角设计。（提供第三方权威机构出具的检测报告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numPr>
                <w:ilvl w:val="0"/>
                <w:numId w:val="11"/>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外边框采用喷涂环保木纹工艺。</w:t>
            </w:r>
          </w:p>
          <w:p>
            <w:pPr>
              <w:pStyle w:val="341"/>
              <w:widowControl/>
              <w:numPr>
                <w:ilvl w:val="0"/>
                <w:numId w:val="11"/>
              </w:numPr>
              <w:spacing w:before="100" w:beforeAutospacing="1" w:after="100" w:afterAutospacing="1"/>
              <w:jc w:val="left"/>
              <w:rPr>
                <w:rFonts w:ascii="宋体" w:hAnsi="宋体" w:eastAsia="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eastAsia="宋体"/>
                <w:color w:val="auto"/>
                <w:sz w:val="20"/>
                <w:szCs w:val="20"/>
                <w:highlight w:val="none"/>
              </w:rPr>
              <w:t>整机</w:t>
            </w:r>
            <w:r>
              <w:rPr>
                <w:rFonts w:ascii="宋体" w:hAnsi="宋体" w:eastAsia="宋体"/>
                <w:color w:val="auto"/>
                <w:sz w:val="20"/>
                <w:szCs w:val="20"/>
                <w:highlight w:val="none"/>
              </w:rPr>
              <w:t>采用高雾度蛾眼液晶</w:t>
            </w:r>
            <w:r>
              <w:rPr>
                <w:rFonts w:hint="eastAsia" w:ascii="宋体" w:hAnsi="宋体" w:eastAsia="宋体"/>
                <w:color w:val="auto"/>
                <w:sz w:val="20"/>
                <w:szCs w:val="20"/>
                <w:highlight w:val="none"/>
              </w:rPr>
              <w:t>屏体，表面偏光</w:t>
            </w:r>
            <w:r>
              <w:rPr>
                <w:rFonts w:ascii="宋体" w:hAnsi="宋体" w:eastAsia="宋体"/>
                <w:color w:val="auto"/>
                <w:sz w:val="20"/>
                <w:szCs w:val="20"/>
                <w:highlight w:val="none"/>
              </w:rPr>
              <w:t>纳米涂层增</w:t>
            </w:r>
            <w:r>
              <w:rPr>
                <w:rFonts w:hint="eastAsia" w:ascii="宋体" w:hAnsi="宋体" w:eastAsia="宋体"/>
                <w:color w:val="auto"/>
                <w:sz w:val="20"/>
                <w:szCs w:val="20"/>
                <w:highlight w:val="none"/>
              </w:rPr>
              <w:t>益屏体</w:t>
            </w:r>
            <w:r>
              <w:rPr>
                <w:rFonts w:ascii="宋体" w:hAnsi="宋体" w:eastAsia="宋体"/>
                <w:color w:val="auto"/>
                <w:sz w:val="20"/>
                <w:szCs w:val="20"/>
                <w:highlight w:val="none"/>
              </w:rPr>
              <w:t>漫反射</w:t>
            </w:r>
            <w:r>
              <w:rPr>
                <w:rFonts w:hint="eastAsia" w:ascii="宋体" w:hAnsi="宋体" w:eastAsia="宋体"/>
                <w:color w:val="auto"/>
                <w:sz w:val="20"/>
                <w:szCs w:val="20"/>
                <w:highlight w:val="none"/>
              </w:rPr>
              <w:t>形成</w:t>
            </w:r>
            <w:r>
              <w:rPr>
                <w:rFonts w:ascii="宋体" w:hAnsi="宋体" w:eastAsia="宋体"/>
                <w:color w:val="auto"/>
                <w:sz w:val="20"/>
                <w:szCs w:val="20"/>
                <w:highlight w:val="none"/>
              </w:rPr>
              <w:t>真实视感</w:t>
            </w:r>
            <w:r>
              <w:rPr>
                <w:rFonts w:hint="eastAsia" w:ascii="宋体" w:hAnsi="宋体" w:eastAsia="宋体"/>
                <w:color w:val="auto"/>
                <w:sz w:val="20"/>
                <w:szCs w:val="20"/>
                <w:highlight w:val="none"/>
              </w:rPr>
              <w:t>。屏体</w:t>
            </w:r>
            <w:r>
              <w:rPr>
                <w:rFonts w:ascii="宋体" w:hAnsi="宋体" w:eastAsia="宋体"/>
                <w:color w:val="auto"/>
                <w:sz w:val="20"/>
                <w:szCs w:val="20"/>
                <w:highlight w:val="none"/>
              </w:rPr>
              <w:t>雾</w:t>
            </w:r>
            <w:r>
              <w:rPr>
                <w:rFonts w:hint="eastAsia" w:ascii="宋体" w:hAnsi="宋体" w:eastAsia="宋体"/>
                <w:color w:val="auto"/>
                <w:sz w:val="20"/>
                <w:szCs w:val="20"/>
                <w:highlight w:val="none"/>
              </w:rPr>
              <w:t>度</w:t>
            </w:r>
            <w:r>
              <w:rPr>
                <w:rFonts w:ascii="宋体" w:hAnsi="宋体" w:eastAsia="宋体"/>
                <w:color w:val="auto"/>
                <w:sz w:val="20"/>
                <w:szCs w:val="20"/>
                <w:highlight w:val="none"/>
              </w:rPr>
              <w:t>≥25%</w:t>
            </w:r>
            <w:r>
              <w:rPr>
                <w:rFonts w:hint="eastAsia" w:ascii="宋体" w:hAnsi="宋体" w:eastAsia="宋体"/>
                <w:color w:val="auto"/>
                <w:sz w:val="20"/>
                <w:szCs w:val="20"/>
                <w:highlight w:val="none"/>
              </w:rPr>
              <w:t>，</w:t>
            </w:r>
            <w:r>
              <w:rPr>
                <w:rFonts w:ascii="宋体" w:hAnsi="宋体" w:eastAsia="宋体"/>
                <w:color w:val="auto"/>
                <w:sz w:val="20"/>
                <w:szCs w:val="20"/>
                <w:highlight w:val="none"/>
              </w:rPr>
              <w:t>无需</w:t>
            </w:r>
            <w:r>
              <w:rPr>
                <w:rFonts w:hint="eastAsia" w:ascii="宋体" w:hAnsi="宋体" w:eastAsia="宋体"/>
                <w:color w:val="auto"/>
                <w:sz w:val="20"/>
                <w:szCs w:val="20"/>
                <w:highlight w:val="none"/>
              </w:rPr>
              <w:t>防眩光</w:t>
            </w:r>
            <w:r>
              <w:rPr>
                <w:rFonts w:ascii="宋体" w:hAnsi="宋体" w:eastAsia="宋体"/>
                <w:color w:val="auto"/>
                <w:sz w:val="20"/>
                <w:szCs w:val="20"/>
                <w:highlight w:val="none"/>
              </w:rPr>
              <w:t>钢化玻璃或磨砂</w:t>
            </w:r>
            <w:r>
              <w:rPr>
                <w:rFonts w:hint="eastAsia" w:ascii="宋体" w:hAnsi="宋体" w:eastAsia="宋体"/>
                <w:color w:val="auto"/>
                <w:sz w:val="20"/>
                <w:szCs w:val="20"/>
                <w:highlight w:val="none"/>
              </w:rPr>
              <w:t>防眩光</w:t>
            </w:r>
            <w:r>
              <w:rPr>
                <w:rFonts w:ascii="宋体" w:hAnsi="宋体" w:eastAsia="宋体"/>
                <w:color w:val="auto"/>
                <w:sz w:val="20"/>
                <w:szCs w:val="20"/>
                <w:highlight w:val="none"/>
              </w:rPr>
              <w:t>贴膜</w:t>
            </w:r>
            <w:r>
              <w:rPr>
                <w:rFonts w:hint="eastAsia" w:ascii="宋体" w:hAnsi="宋体" w:eastAsia="宋体"/>
                <w:color w:val="auto"/>
                <w:sz w:val="20"/>
                <w:szCs w:val="20"/>
                <w:highlight w:val="none"/>
              </w:rPr>
              <w:t>，全方位</w:t>
            </w:r>
            <w:r>
              <w:rPr>
                <w:rFonts w:ascii="宋体" w:hAnsi="宋体" w:eastAsia="宋体"/>
                <w:color w:val="auto"/>
                <w:sz w:val="20"/>
                <w:szCs w:val="20"/>
                <w:highlight w:val="none"/>
              </w:rPr>
              <w:t>可视角度≥178°。（提供第三方权威机构出具的检测报告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r>
              <w:rPr>
                <w:rFonts w:hint="eastAsia" w:ascii="宋体" w:hAnsi="宋体" w:eastAsia="宋体"/>
                <w:color w:val="auto"/>
                <w:sz w:val="20"/>
                <w:szCs w:val="20"/>
                <w:highlight w:val="none"/>
              </w:rPr>
              <w:t>液晶屏显示尺寸</w:t>
            </w:r>
            <w:r>
              <w:rPr>
                <w:rFonts w:ascii="宋体" w:hAnsi="宋体" w:eastAsia="宋体"/>
                <w:color w:val="auto"/>
                <w:sz w:val="20"/>
                <w:szCs w:val="20"/>
                <w:highlight w:val="none"/>
              </w:rPr>
              <w:t>≥55寸</w:t>
            </w:r>
            <w:r>
              <w:rPr>
                <w:rFonts w:hint="eastAsia" w:ascii="宋体" w:hAnsi="宋体" w:eastAsia="宋体"/>
                <w:color w:val="auto"/>
                <w:sz w:val="20"/>
                <w:szCs w:val="20"/>
                <w:highlight w:val="none"/>
              </w:rPr>
              <w:t>，分辨率≥</w:t>
            </w:r>
            <w:r>
              <w:rPr>
                <w:rFonts w:ascii="宋体" w:hAnsi="宋体" w:eastAsia="宋体"/>
                <w:color w:val="auto"/>
                <w:sz w:val="20"/>
                <w:szCs w:val="20"/>
                <w:highlight w:val="none"/>
              </w:rPr>
              <w:t>3840*2160</w:t>
            </w:r>
            <w:r>
              <w:rPr>
                <w:rFonts w:hint="eastAsia" w:ascii="宋体" w:hAnsi="宋体" w:eastAsia="宋体"/>
                <w:color w:val="auto"/>
                <w:sz w:val="20"/>
                <w:szCs w:val="20"/>
                <w:highlight w:val="none"/>
              </w:rPr>
              <w:t>，显示比例16:9</w:t>
            </w:r>
            <w:r>
              <w:rPr>
                <w:rFonts w:ascii="宋体" w:hAnsi="宋体" w:eastAsia="宋体"/>
                <w:color w:val="auto"/>
                <w:sz w:val="20"/>
                <w:szCs w:val="20"/>
                <w:highlight w:val="none"/>
              </w:rPr>
              <w:t>，支持横</w:t>
            </w:r>
            <w:r>
              <w:rPr>
                <w:rFonts w:hint="eastAsia" w:ascii="宋体" w:hAnsi="宋体" w:eastAsia="宋体"/>
                <w:color w:val="auto"/>
                <w:sz w:val="20"/>
                <w:szCs w:val="20"/>
                <w:highlight w:val="none"/>
              </w:rPr>
              <w:t>、</w:t>
            </w:r>
            <w:r>
              <w:rPr>
                <w:rFonts w:ascii="宋体" w:hAnsi="宋体" w:eastAsia="宋体"/>
                <w:color w:val="auto"/>
                <w:sz w:val="20"/>
                <w:szCs w:val="20"/>
                <w:highlight w:val="none"/>
              </w:rPr>
              <w:t>竖安装方式</w:t>
            </w:r>
            <w:r>
              <w:rPr>
                <w:rFonts w:hint="eastAsia" w:ascii="宋体" w:hAnsi="宋体" w:eastAsia="宋体"/>
                <w:color w:val="auto"/>
                <w:sz w:val="20"/>
                <w:szCs w:val="20"/>
                <w:highlight w:val="none"/>
              </w:rPr>
              <w:t>。</w:t>
            </w:r>
          </w:p>
          <w:p>
            <w:pPr>
              <w:pStyle w:val="341"/>
              <w:widowControl/>
              <w:numPr>
                <w:ilvl w:val="0"/>
                <w:numId w:val="11"/>
              </w:numPr>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整机最大显示亮度≥350nit。</w:t>
            </w:r>
            <w:r>
              <w:rPr>
                <w:rFonts w:hint="eastAsia" w:ascii="宋体" w:hAnsi="宋体" w:eastAsia="宋体"/>
                <w:color w:val="auto"/>
                <w:sz w:val="20"/>
                <w:szCs w:val="20"/>
                <w:highlight w:val="none"/>
              </w:rPr>
              <w:t>整机具备</w:t>
            </w:r>
            <w:r>
              <w:rPr>
                <w:rFonts w:ascii="宋体" w:hAnsi="宋体" w:eastAsia="宋体"/>
                <w:color w:val="auto"/>
                <w:sz w:val="20"/>
                <w:szCs w:val="20"/>
                <w:highlight w:val="none"/>
              </w:rPr>
              <w:t>光线感应</w:t>
            </w:r>
            <w:r>
              <w:rPr>
                <w:rFonts w:hint="eastAsia" w:ascii="宋体" w:hAnsi="宋体" w:eastAsia="宋体"/>
                <w:color w:val="auto"/>
                <w:sz w:val="20"/>
                <w:szCs w:val="20"/>
                <w:highlight w:val="none"/>
              </w:rPr>
              <w:t>功能</w:t>
            </w:r>
            <w:r>
              <w:rPr>
                <w:rFonts w:ascii="宋体" w:hAnsi="宋体" w:eastAsia="宋体"/>
                <w:color w:val="auto"/>
                <w:sz w:val="20"/>
                <w:szCs w:val="20"/>
                <w:highlight w:val="none"/>
              </w:rPr>
              <w:t>，根据环境光强度自动调整显示亮度。（提供第三方权威机构出具的检测报告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numPr>
                <w:ilvl w:val="0"/>
                <w:numId w:val="11"/>
              </w:numPr>
              <w:spacing w:before="100" w:beforeAutospacing="1" w:after="100" w:afterAutospacing="1"/>
              <w:jc w:val="left"/>
              <w:rPr>
                <w:rFonts w:ascii="宋体" w:hAnsi="宋体" w:eastAsia="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eastAsia="宋体"/>
                <w:color w:val="auto"/>
                <w:sz w:val="20"/>
                <w:szCs w:val="20"/>
                <w:highlight w:val="none"/>
              </w:rPr>
              <w:t>整机</w:t>
            </w:r>
            <w:r>
              <w:rPr>
                <w:rFonts w:ascii="宋体" w:hAnsi="宋体" w:eastAsia="宋体"/>
                <w:color w:val="auto"/>
                <w:sz w:val="20"/>
                <w:szCs w:val="20"/>
                <w:highlight w:val="none"/>
              </w:rPr>
              <w:t>安装到墙面后</w:t>
            </w:r>
            <w:r>
              <w:rPr>
                <w:rFonts w:hint="eastAsia" w:ascii="宋体" w:hAnsi="宋体" w:eastAsia="宋体"/>
                <w:color w:val="auto"/>
                <w:sz w:val="20"/>
                <w:szCs w:val="20"/>
                <w:highlight w:val="none"/>
              </w:rPr>
              <w:t>无任何外置、</w:t>
            </w:r>
            <w:r>
              <w:rPr>
                <w:rFonts w:ascii="宋体" w:hAnsi="宋体" w:eastAsia="宋体"/>
                <w:color w:val="auto"/>
                <w:sz w:val="20"/>
                <w:szCs w:val="20"/>
                <w:highlight w:val="none"/>
              </w:rPr>
              <w:t>外露</w:t>
            </w:r>
            <w:r>
              <w:rPr>
                <w:rFonts w:hint="eastAsia" w:ascii="宋体" w:hAnsi="宋体" w:eastAsia="宋体"/>
                <w:color w:val="auto"/>
                <w:sz w:val="20"/>
                <w:szCs w:val="20"/>
                <w:highlight w:val="none"/>
              </w:rPr>
              <w:t>、</w:t>
            </w:r>
            <w:r>
              <w:rPr>
                <w:rFonts w:ascii="宋体" w:hAnsi="宋体" w:eastAsia="宋体"/>
                <w:color w:val="auto"/>
                <w:sz w:val="20"/>
                <w:szCs w:val="20"/>
                <w:highlight w:val="none"/>
              </w:rPr>
              <w:t>外挂的</w:t>
            </w:r>
            <w:r>
              <w:rPr>
                <w:rFonts w:hint="eastAsia" w:ascii="宋体" w:hAnsi="宋体" w:eastAsia="宋体"/>
                <w:color w:val="auto"/>
                <w:sz w:val="20"/>
                <w:szCs w:val="20"/>
                <w:highlight w:val="none"/>
              </w:rPr>
              <w:t>线材</w:t>
            </w:r>
            <w:r>
              <w:rPr>
                <w:rFonts w:ascii="宋体" w:hAnsi="宋体" w:eastAsia="宋体"/>
                <w:color w:val="auto"/>
                <w:sz w:val="20"/>
                <w:szCs w:val="20"/>
                <w:highlight w:val="none"/>
              </w:rPr>
              <w:t>、天线</w:t>
            </w:r>
            <w:r>
              <w:rPr>
                <w:rFonts w:hint="eastAsia" w:ascii="宋体" w:hAnsi="宋体" w:eastAsia="宋体"/>
                <w:color w:val="auto"/>
                <w:sz w:val="20"/>
                <w:szCs w:val="20"/>
                <w:highlight w:val="none"/>
              </w:rPr>
              <w:t>及</w:t>
            </w:r>
            <w:r>
              <w:rPr>
                <w:rFonts w:ascii="宋体" w:hAnsi="宋体" w:eastAsia="宋体"/>
                <w:color w:val="auto"/>
                <w:sz w:val="20"/>
                <w:szCs w:val="20"/>
                <w:highlight w:val="none"/>
              </w:rPr>
              <w:t>元器件模</w:t>
            </w:r>
            <w:r>
              <w:rPr>
                <w:rFonts w:hint="eastAsia" w:ascii="宋体" w:hAnsi="宋体" w:eastAsia="宋体"/>
                <w:color w:val="auto"/>
                <w:sz w:val="20"/>
                <w:szCs w:val="20"/>
                <w:highlight w:val="none"/>
              </w:rPr>
              <w:t>块。</w:t>
            </w:r>
            <w:r>
              <w:rPr>
                <w:rFonts w:ascii="宋体" w:hAnsi="宋体" w:eastAsia="宋体"/>
                <w:color w:val="auto"/>
                <w:sz w:val="20"/>
                <w:szCs w:val="20"/>
                <w:highlight w:val="none"/>
              </w:rPr>
              <w:t>（提供第三方权威机构出具的检测报告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numPr>
                <w:ilvl w:val="0"/>
                <w:numId w:val="11"/>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内置2.0声道环绕</w:t>
            </w:r>
            <w:r>
              <w:rPr>
                <w:rFonts w:ascii="宋体" w:hAnsi="宋体" w:eastAsia="宋体"/>
                <w:color w:val="auto"/>
                <w:sz w:val="20"/>
                <w:szCs w:val="20"/>
                <w:highlight w:val="none"/>
              </w:rPr>
              <w:t>功放</w:t>
            </w:r>
            <w:r>
              <w:rPr>
                <w:rFonts w:hint="eastAsia" w:ascii="宋体" w:hAnsi="宋体" w:eastAsia="宋体"/>
                <w:color w:val="auto"/>
                <w:sz w:val="20"/>
                <w:szCs w:val="20"/>
                <w:highlight w:val="none"/>
              </w:rPr>
              <w:t>，支持音视频声音外放。</w:t>
            </w:r>
          </w:p>
          <w:p>
            <w:pPr>
              <w:pStyle w:val="341"/>
              <w:widowControl/>
              <w:numPr>
                <w:ilvl w:val="0"/>
                <w:numId w:val="11"/>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整机采用壁挂安装，</w:t>
            </w:r>
            <w:r>
              <w:rPr>
                <w:rFonts w:ascii="宋体" w:hAnsi="宋体" w:eastAsia="宋体"/>
                <w:color w:val="auto"/>
                <w:sz w:val="20"/>
                <w:szCs w:val="20"/>
                <w:highlight w:val="none"/>
              </w:rPr>
              <w:t>整机与壁挂</w:t>
            </w:r>
            <w:r>
              <w:rPr>
                <w:rFonts w:hint="eastAsia" w:ascii="宋体" w:hAnsi="宋体" w:eastAsia="宋体"/>
                <w:color w:val="auto"/>
                <w:sz w:val="20"/>
                <w:szCs w:val="20"/>
                <w:highlight w:val="none"/>
              </w:rPr>
              <w:t>连接采用</w:t>
            </w:r>
            <w:r>
              <w:rPr>
                <w:rFonts w:ascii="宋体" w:hAnsi="宋体" w:eastAsia="宋体"/>
                <w:color w:val="auto"/>
                <w:sz w:val="20"/>
                <w:szCs w:val="20"/>
                <w:highlight w:val="none"/>
              </w:rPr>
              <w:t>教育</w:t>
            </w:r>
            <w:r>
              <w:rPr>
                <w:rFonts w:hint="eastAsia" w:ascii="宋体" w:hAnsi="宋体" w:eastAsia="宋体"/>
                <w:color w:val="auto"/>
                <w:sz w:val="20"/>
                <w:szCs w:val="20"/>
                <w:highlight w:val="none"/>
              </w:rPr>
              <w:t>定制</w:t>
            </w:r>
            <w:r>
              <w:rPr>
                <w:rFonts w:ascii="宋体" w:hAnsi="宋体" w:eastAsia="宋体"/>
                <w:color w:val="auto"/>
                <w:sz w:val="20"/>
                <w:szCs w:val="20"/>
                <w:highlight w:val="none"/>
              </w:rPr>
              <w:t>安全</w:t>
            </w:r>
            <w:r>
              <w:rPr>
                <w:rFonts w:hint="eastAsia" w:ascii="宋体" w:hAnsi="宋体" w:eastAsia="宋体"/>
                <w:color w:val="auto"/>
                <w:sz w:val="20"/>
                <w:szCs w:val="20"/>
                <w:highlight w:val="none"/>
              </w:rPr>
              <w:t>设计</w:t>
            </w:r>
            <w:r>
              <w:rPr>
                <w:rFonts w:ascii="宋体" w:hAnsi="宋体" w:eastAsia="宋体"/>
                <w:color w:val="auto"/>
                <w:sz w:val="20"/>
                <w:szCs w:val="20"/>
                <w:highlight w:val="none"/>
              </w:rPr>
              <w:t>，</w:t>
            </w:r>
            <w:r>
              <w:rPr>
                <w:rFonts w:hint="eastAsia" w:ascii="宋体" w:hAnsi="宋体" w:eastAsia="宋体"/>
                <w:color w:val="auto"/>
                <w:sz w:val="20"/>
                <w:szCs w:val="20"/>
                <w:highlight w:val="none"/>
              </w:rPr>
              <w:t>须</w:t>
            </w:r>
            <w:r>
              <w:rPr>
                <w:rFonts w:ascii="宋体" w:hAnsi="宋体" w:eastAsia="宋体"/>
                <w:color w:val="auto"/>
                <w:sz w:val="20"/>
                <w:szCs w:val="20"/>
                <w:highlight w:val="none"/>
              </w:rPr>
              <w:t>用</w:t>
            </w:r>
            <w:r>
              <w:rPr>
                <w:rFonts w:hint="eastAsia" w:ascii="宋体" w:hAnsi="宋体" w:eastAsia="宋体"/>
                <w:color w:val="auto"/>
                <w:sz w:val="20"/>
                <w:szCs w:val="20"/>
                <w:highlight w:val="none"/>
              </w:rPr>
              <w:t>专用</w:t>
            </w:r>
            <w:r>
              <w:rPr>
                <w:rFonts w:ascii="宋体" w:hAnsi="宋体" w:eastAsia="宋体"/>
                <w:color w:val="auto"/>
                <w:sz w:val="20"/>
                <w:szCs w:val="20"/>
                <w:highlight w:val="none"/>
              </w:rPr>
              <w:t>工具锁定</w:t>
            </w:r>
            <w:r>
              <w:rPr>
                <w:rFonts w:hint="eastAsia" w:ascii="宋体" w:hAnsi="宋体" w:eastAsia="宋体"/>
                <w:color w:val="auto"/>
                <w:sz w:val="20"/>
                <w:szCs w:val="20"/>
                <w:highlight w:val="none"/>
              </w:rPr>
              <w:t>、</w:t>
            </w:r>
            <w:r>
              <w:rPr>
                <w:rFonts w:ascii="宋体" w:hAnsi="宋体" w:eastAsia="宋体"/>
                <w:color w:val="auto"/>
                <w:sz w:val="20"/>
                <w:szCs w:val="20"/>
                <w:highlight w:val="none"/>
              </w:rPr>
              <w:t>解锁</w:t>
            </w:r>
            <w:r>
              <w:rPr>
                <w:rFonts w:hint="eastAsia" w:ascii="宋体" w:hAnsi="宋体" w:eastAsia="宋体"/>
                <w:color w:val="auto"/>
                <w:sz w:val="20"/>
                <w:szCs w:val="20"/>
                <w:highlight w:val="none"/>
              </w:rPr>
              <w:t>。</w:t>
            </w:r>
            <w:r>
              <w:rPr>
                <w:rFonts w:ascii="宋体" w:hAnsi="宋体" w:eastAsia="宋体"/>
                <w:color w:val="auto"/>
                <w:sz w:val="20"/>
                <w:szCs w:val="20"/>
                <w:highlight w:val="none"/>
              </w:rPr>
              <w:t>（提供第三方权威机构出具的检测报告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numPr>
                <w:ilvl w:val="0"/>
                <w:numId w:val="11"/>
              </w:numPr>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整机采用超薄设计。整机厚度≤46mm。（提供第三方权威机构出具的检测报告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numPr>
                <w:ilvl w:val="0"/>
                <w:numId w:val="11"/>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整机背部与墙面微距</w:t>
            </w:r>
            <w:r>
              <w:rPr>
                <w:rFonts w:ascii="宋体" w:hAnsi="宋体" w:eastAsia="宋体"/>
                <w:color w:val="auto"/>
                <w:sz w:val="20"/>
                <w:szCs w:val="20"/>
                <w:highlight w:val="none"/>
              </w:rPr>
              <w:t>全贴合</w:t>
            </w:r>
            <w:r>
              <w:rPr>
                <w:rFonts w:hint="eastAsia" w:ascii="宋体" w:hAnsi="宋体" w:eastAsia="宋体"/>
                <w:color w:val="auto"/>
                <w:sz w:val="20"/>
                <w:szCs w:val="20"/>
                <w:highlight w:val="none"/>
              </w:rPr>
              <w:t>，背部</w:t>
            </w:r>
            <w:r>
              <w:rPr>
                <w:rFonts w:ascii="宋体" w:hAnsi="宋体" w:eastAsia="宋体"/>
                <w:color w:val="auto"/>
                <w:sz w:val="20"/>
                <w:szCs w:val="20"/>
                <w:highlight w:val="none"/>
              </w:rPr>
              <w:t>与</w:t>
            </w:r>
            <w:r>
              <w:rPr>
                <w:rFonts w:hint="eastAsia" w:ascii="宋体" w:hAnsi="宋体" w:eastAsia="宋体"/>
                <w:color w:val="auto"/>
                <w:sz w:val="20"/>
                <w:szCs w:val="20"/>
                <w:highlight w:val="none"/>
              </w:rPr>
              <w:t>平整</w:t>
            </w:r>
            <w:r>
              <w:rPr>
                <w:rFonts w:ascii="宋体" w:hAnsi="宋体" w:eastAsia="宋体"/>
                <w:color w:val="auto"/>
                <w:sz w:val="20"/>
                <w:szCs w:val="20"/>
                <w:highlight w:val="none"/>
              </w:rPr>
              <w:t>墙面</w:t>
            </w:r>
            <w:r>
              <w:rPr>
                <w:rFonts w:hint="eastAsia" w:ascii="宋体" w:hAnsi="宋体" w:eastAsia="宋体"/>
                <w:color w:val="auto"/>
                <w:sz w:val="20"/>
                <w:szCs w:val="20"/>
                <w:highlight w:val="none"/>
              </w:rPr>
              <w:t>间隙最大处≤</w:t>
            </w:r>
            <w:r>
              <w:rPr>
                <w:rFonts w:ascii="宋体" w:hAnsi="宋体" w:eastAsia="宋体"/>
                <w:color w:val="auto"/>
                <w:sz w:val="20"/>
                <w:szCs w:val="20"/>
                <w:highlight w:val="none"/>
              </w:rPr>
              <w:t>2mm，边框边缘与平整墙面间隙最大处≤7mm</w:t>
            </w:r>
            <w:r>
              <w:rPr>
                <w:rFonts w:hint="eastAsia" w:ascii="宋体" w:hAnsi="宋体" w:eastAsia="宋体"/>
                <w:color w:val="auto"/>
                <w:sz w:val="20"/>
                <w:szCs w:val="20"/>
                <w:highlight w:val="none"/>
              </w:rPr>
              <w:t>。</w:t>
            </w:r>
          </w:p>
          <w:p>
            <w:pPr>
              <w:pStyle w:val="341"/>
              <w:widowControl/>
              <w:numPr>
                <w:ilvl w:val="0"/>
                <w:numId w:val="11"/>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整机</w:t>
            </w:r>
            <w:r>
              <w:rPr>
                <w:rFonts w:ascii="宋体" w:hAnsi="宋体" w:eastAsia="宋体"/>
                <w:color w:val="auto"/>
                <w:sz w:val="20"/>
                <w:szCs w:val="20"/>
                <w:highlight w:val="none"/>
              </w:rPr>
              <w:t>接口：</w:t>
            </w:r>
            <w:r>
              <w:rPr>
                <w:rFonts w:hint="eastAsia" w:ascii="宋体" w:hAnsi="宋体" w:eastAsia="宋体"/>
                <w:color w:val="auto"/>
                <w:sz w:val="20"/>
                <w:szCs w:val="20"/>
                <w:highlight w:val="none"/>
              </w:rPr>
              <w:t>≥</w:t>
            </w:r>
            <w:r>
              <w:rPr>
                <w:rFonts w:ascii="宋体" w:hAnsi="宋体" w:eastAsia="宋体"/>
                <w:color w:val="auto"/>
                <w:sz w:val="20"/>
                <w:szCs w:val="20"/>
                <w:highlight w:val="none"/>
              </w:rPr>
              <w:t>USB 2.0*2</w:t>
            </w:r>
            <w:r>
              <w:rPr>
                <w:rFonts w:hint="eastAsia" w:ascii="宋体" w:hAnsi="宋体" w:eastAsia="宋体"/>
                <w:color w:val="auto"/>
                <w:sz w:val="20"/>
                <w:szCs w:val="20"/>
                <w:highlight w:val="none"/>
              </w:rPr>
              <w:t>，HDMI-IN</w:t>
            </w:r>
            <w:r>
              <w:rPr>
                <w:rFonts w:ascii="宋体" w:hAnsi="宋体" w:eastAsia="宋体"/>
                <w:color w:val="auto"/>
                <w:sz w:val="20"/>
                <w:szCs w:val="20"/>
                <w:highlight w:val="none"/>
              </w:rPr>
              <w:t>*1</w:t>
            </w:r>
            <w:r>
              <w:rPr>
                <w:rFonts w:hint="eastAsia" w:ascii="宋体" w:hAnsi="宋体" w:eastAsia="宋体"/>
                <w:color w:val="auto"/>
                <w:sz w:val="20"/>
                <w:szCs w:val="20"/>
                <w:highlight w:val="none"/>
              </w:rPr>
              <w:t>,</w:t>
            </w:r>
            <w:r>
              <w:rPr>
                <w:rFonts w:ascii="宋体" w:hAnsi="宋体" w:eastAsia="宋体"/>
                <w:color w:val="auto"/>
                <w:sz w:val="20"/>
                <w:szCs w:val="20"/>
                <w:highlight w:val="none"/>
              </w:rPr>
              <w:t>RJ45</w:t>
            </w:r>
            <w:r>
              <w:rPr>
                <w:rFonts w:hint="eastAsia" w:ascii="宋体" w:hAnsi="宋体" w:eastAsia="宋体"/>
                <w:color w:val="auto"/>
                <w:sz w:val="20"/>
                <w:szCs w:val="20"/>
                <w:highlight w:val="none"/>
              </w:rPr>
              <w:t>*</w:t>
            </w:r>
            <w:r>
              <w:rPr>
                <w:rFonts w:ascii="宋体" w:hAnsi="宋体" w:eastAsia="宋体"/>
                <w:color w:val="auto"/>
                <w:sz w:val="20"/>
                <w:szCs w:val="20"/>
                <w:highlight w:val="none"/>
              </w:rPr>
              <w:t>1，</w:t>
            </w:r>
            <w:r>
              <w:rPr>
                <w:rFonts w:hint="eastAsia" w:ascii="宋体" w:hAnsi="宋体" w:eastAsia="宋体"/>
                <w:color w:val="auto"/>
                <w:sz w:val="20"/>
                <w:szCs w:val="20"/>
                <w:highlight w:val="none"/>
              </w:rPr>
              <w:t>内置</w:t>
            </w:r>
            <w:r>
              <w:rPr>
                <w:rFonts w:ascii="宋体" w:hAnsi="宋体" w:eastAsia="宋体"/>
                <w:color w:val="auto"/>
                <w:sz w:val="20"/>
                <w:szCs w:val="20"/>
                <w:highlight w:val="none"/>
              </w:rPr>
              <w:t>Wi-Fi</w:t>
            </w:r>
            <w:r>
              <w:rPr>
                <w:rFonts w:hint="eastAsia" w:ascii="宋体" w:hAnsi="宋体" w:eastAsia="宋体"/>
                <w:color w:val="auto"/>
                <w:sz w:val="20"/>
                <w:szCs w:val="20"/>
                <w:highlight w:val="none"/>
              </w:rPr>
              <w:t>模块（10M/100M/1000M）</w:t>
            </w:r>
            <w:r>
              <w:rPr>
                <w:rFonts w:ascii="宋体" w:hAnsi="宋体" w:eastAsia="宋体"/>
                <w:color w:val="auto"/>
                <w:sz w:val="20"/>
                <w:szCs w:val="20"/>
                <w:highlight w:val="none"/>
              </w:rPr>
              <w:t>，内置蓝牙模块（支持蓝牙4.0、BLE）</w:t>
            </w:r>
            <w:r>
              <w:rPr>
                <w:rFonts w:hint="eastAsia" w:ascii="宋体" w:hAnsi="宋体" w:eastAsia="宋体"/>
                <w:color w:val="auto"/>
                <w:sz w:val="20"/>
                <w:szCs w:val="20"/>
                <w:highlight w:val="none"/>
              </w:rPr>
              <w:t>。全部</w:t>
            </w:r>
            <w:r>
              <w:rPr>
                <w:rFonts w:ascii="宋体" w:hAnsi="宋体" w:eastAsia="宋体"/>
                <w:color w:val="auto"/>
                <w:sz w:val="20"/>
                <w:szCs w:val="20"/>
                <w:highlight w:val="none"/>
              </w:rPr>
              <w:t>端口</w:t>
            </w:r>
            <w:r>
              <w:rPr>
                <w:rFonts w:hint="eastAsia" w:ascii="宋体" w:hAnsi="宋体" w:eastAsia="宋体"/>
                <w:color w:val="auto"/>
                <w:sz w:val="20"/>
                <w:szCs w:val="20"/>
                <w:highlight w:val="none"/>
              </w:rPr>
              <w:t>采用</w:t>
            </w:r>
            <w:r>
              <w:rPr>
                <w:rFonts w:ascii="宋体" w:hAnsi="宋体" w:eastAsia="宋体"/>
                <w:color w:val="auto"/>
                <w:sz w:val="20"/>
                <w:szCs w:val="20"/>
                <w:highlight w:val="none"/>
              </w:rPr>
              <w:t>隐藏设计，无</w:t>
            </w:r>
            <w:r>
              <w:rPr>
                <w:rFonts w:hint="eastAsia" w:ascii="宋体" w:hAnsi="宋体" w:eastAsia="宋体"/>
                <w:color w:val="auto"/>
                <w:sz w:val="20"/>
                <w:szCs w:val="20"/>
                <w:highlight w:val="none"/>
              </w:rPr>
              <w:t>可见</w:t>
            </w:r>
            <w:r>
              <w:rPr>
                <w:rFonts w:ascii="宋体" w:hAnsi="宋体" w:eastAsia="宋体"/>
                <w:color w:val="auto"/>
                <w:sz w:val="20"/>
                <w:szCs w:val="20"/>
                <w:highlight w:val="none"/>
              </w:rPr>
              <w:t>外露</w:t>
            </w:r>
            <w:r>
              <w:rPr>
                <w:rFonts w:hint="eastAsia" w:ascii="宋体" w:hAnsi="宋体" w:eastAsia="宋体"/>
                <w:color w:val="auto"/>
                <w:sz w:val="20"/>
                <w:szCs w:val="20"/>
                <w:highlight w:val="none"/>
              </w:rPr>
              <w:t>端口</w:t>
            </w:r>
            <w:r>
              <w:rPr>
                <w:rFonts w:ascii="宋体" w:hAnsi="宋体" w:eastAsia="宋体"/>
                <w:color w:val="auto"/>
                <w:sz w:val="20"/>
                <w:szCs w:val="20"/>
                <w:highlight w:val="none"/>
              </w:rPr>
              <w:t>。</w:t>
            </w:r>
          </w:p>
          <w:p>
            <w:pPr>
              <w:pStyle w:val="341"/>
              <w:widowControl/>
              <w:numPr>
                <w:ilvl w:val="0"/>
                <w:numId w:val="11"/>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采用</w:t>
            </w:r>
            <w:r>
              <w:rPr>
                <w:rFonts w:ascii="宋体" w:hAnsi="宋体" w:eastAsia="宋体"/>
                <w:color w:val="auto"/>
                <w:sz w:val="20"/>
                <w:szCs w:val="20"/>
                <w:highlight w:val="none"/>
              </w:rPr>
              <w:t>4核</w:t>
            </w:r>
            <w:r>
              <w:rPr>
                <w:rFonts w:hint="eastAsia" w:ascii="宋体" w:hAnsi="宋体" w:eastAsia="宋体"/>
                <w:color w:val="auto"/>
                <w:sz w:val="20"/>
                <w:szCs w:val="20"/>
                <w:highlight w:val="none"/>
              </w:rPr>
              <w:t>CPU，工作频率≥1.</w:t>
            </w:r>
            <w:r>
              <w:rPr>
                <w:rFonts w:ascii="宋体" w:hAnsi="宋体" w:eastAsia="宋体"/>
                <w:color w:val="auto"/>
                <w:sz w:val="20"/>
                <w:szCs w:val="20"/>
                <w:highlight w:val="none"/>
              </w:rPr>
              <w:t>9</w:t>
            </w:r>
            <w:r>
              <w:rPr>
                <w:rFonts w:hint="eastAsia" w:ascii="宋体" w:hAnsi="宋体" w:eastAsia="宋体"/>
                <w:color w:val="auto"/>
                <w:sz w:val="20"/>
                <w:szCs w:val="20"/>
                <w:highlight w:val="none"/>
              </w:rPr>
              <w:t>GHz。</w:t>
            </w:r>
            <w:r>
              <w:rPr>
                <w:rFonts w:ascii="宋体" w:hAnsi="宋体" w:eastAsia="宋体"/>
                <w:color w:val="auto"/>
                <w:sz w:val="20"/>
                <w:szCs w:val="20"/>
                <w:highlight w:val="none"/>
              </w:rPr>
              <w:t>运行内存2G，存储空间8G。支持最大64G的TF卡扩展存储。</w:t>
            </w:r>
          </w:p>
          <w:p>
            <w:pPr>
              <w:pStyle w:val="341"/>
              <w:widowControl/>
              <w:numPr>
                <w:ilvl w:val="0"/>
                <w:numId w:val="11"/>
              </w:numPr>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兼容主流多媒体格式。</w:t>
            </w:r>
            <w:r>
              <w:rPr>
                <w:rFonts w:ascii="宋体" w:hAnsi="宋体" w:eastAsia="宋体"/>
                <w:color w:val="auto"/>
                <w:sz w:val="20"/>
                <w:szCs w:val="20"/>
                <w:highlight w:val="none"/>
              </w:rPr>
              <w:t>视</w:t>
            </w:r>
            <w:r>
              <w:rPr>
                <w:rFonts w:hint="eastAsia" w:ascii="宋体" w:hAnsi="宋体" w:eastAsia="宋体"/>
                <w:color w:val="auto"/>
                <w:sz w:val="20"/>
                <w:szCs w:val="20"/>
                <w:highlight w:val="none"/>
              </w:rPr>
              <w:t>频</w:t>
            </w:r>
            <w:r>
              <w:rPr>
                <w:rFonts w:ascii="宋体" w:hAnsi="宋体" w:eastAsia="宋体"/>
                <w:color w:val="auto"/>
                <w:sz w:val="20"/>
                <w:szCs w:val="20"/>
                <w:highlight w:val="none"/>
              </w:rPr>
              <w:t>格式：</w:t>
            </w:r>
            <w:r>
              <w:rPr>
                <w:rFonts w:hint="eastAsia" w:ascii="宋体" w:hAnsi="宋体" w:eastAsia="宋体"/>
                <w:color w:val="auto"/>
                <w:sz w:val="20"/>
                <w:szCs w:val="20"/>
                <w:highlight w:val="none"/>
              </w:rPr>
              <w:t>MPEG1、MPEG2、MPEG4、 H.26</w:t>
            </w:r>
            <w:r>
              <w:rPr>
                <w:rFonts w:ascii="宋体" w:hAnsi="宋体" w:eastAsia="宋体"/>
                <w:color w:val="auto"/>
                <w:sz w:val="20"/>
                <w:szCs w:val="20"/>
                <w:highlight w:val="none"/>
              </w:rPr>
              <w:t>3</w:t>
            </w:r>
            <w:r>
              <w:rPr>
                <w:rFonts w:hint="eastAsia" w:ascii="宋体" w:hAnsi="宋体" w:eastAsia="宋体"/>
                <w:color w:val="auto"/>
                <w:sz w:val="20"/>
                <w:szCs w:val="20"/>
                <w:highlight w:val="none"/>
              </w:rPr>
              <w:t>、H.264等；音频格式：</w:t>
            </w:r>
            <w:r>
              <w:rPr>
                <w:rFonts w:ascii="宋体" w:hAnsi="宋体" w:eastAsia="宋体"/>
                <w:color w:val="auto"/>
                <w:sz w:val="20"/>
                <w:szCs w:val="20"/>
                <w:highlight w:val="none"/>
              </w:rPr>
              <w:t>MP3</w:t>
            </w:r>
            <w:r>
              <w:rPr>
                <w:rFonts w:hint="eastAsia" w:ascii="宋体" w:hAnsi="宋体" w:eastAsia="宋体"/>
                <w:color w:val="auto"/>
                <w:sz w:val="20"/>
                <w:szCs w:val="20"/>
                <w:highlight w:val="none"/>
              </w:rPr>
              <w:t>等；图片</w:t>
            </w:r>
            <w:r>
              <w:rPr>
                <w:rFonts w:ascii="宋体" w:hAnsi="宋体" w:eastAsia="宋体"/>
                <w:color w:val="auto"/>
                <w:sz w:val="20"/>
                <w:szCs w:val="20"/>
                <w:highlight w:val="none"/>
              </w:rPr>
              <w:t>格式：</w:t>
            </w:r>
            <w:r>
              <w:rPr>
                <w:rFonts w:hint="eastAsia" w:ascii="宋体" w:hAnsi="宋体" w:eastAsia="宋体"/>
                <w:color w:val="auto"/>
                <w:sz w:val="20"/>
                <w:szCs w:val="20"/>
                <w:highlight w:val="none"/>
              </w:rPr>
              <w:t>JPG、JPEG、BMP、PNG、GIF 等。</w:t>
            </w:r>
          </w:p>
          <w:p>
            <w:pPr>
              <w:pStyle w:val="341"/>
              <w:widowControl/>
              <w:numPr>
                <w:ilvl w:val="0"/>
                <w:numId w:val="11"/>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信息发布</w:t>
            </w:r>
            <w:r>
              <w:rPr>
                <w:rFonts w:hint="eastAsia" w:ascii="宋体" w:hAnsi="宋体" w:eastAsia="宋体"/>
                <w:color w:val="auto"/>
                <w:sz w:val="20"/>
                <w:szCs w:val="20"/>
                <w:highlight w:val="none"/>
              </w:rPr>
              <w:t>系统</w:t>
            </w:r>
            <w:r>
              <w:rPr>
                <w:rFonts w:ascii="宋体" w:hAnsi="宋体" w:eastAsia="宋体"/>
                <w:color w:val="auto"/>
                <w:sz w:val="20"/>
                <w:szCs w:val="20"/>
                <w:highlight w:val="none"/>
              </w:rPr>
              <w:t>与设备一体化集成，无需外接</w:t>
            </w:r>
            <w:r>
              <w:rPr>
                <w:rFonts w:hint="eastAsia" w:ascii="宋体" w:hAnsi="宋体" w:eastAsia="宋体"/>
                <w:color w:val="auto"/>
                <w:sz w:val="20"/>
                <w:szCs w:val="20"/>
                <w:highlight w:val="none"/>
              </w:rPr>
              <w:t>任何</w:t>
            </w:r>
            <w:r>
              <w:rPr>
                <w:rFonts w:ascii="宋体" w:hAnsi="宋体" w:eastAsia="宋体"/>
                <w:color w:val="auto"/>
                <w:sz w:val="20"/>
                <w:szCs w:val="20"/>
                <w:highlight w:val="none"/>
              </w:rPr>
              <w:t>信息发布</w:t>
            </w:r>
            <w:r>
              <w:rPr>
                <w:rFonts w:hint="eastAsia" w:ascii="宋体" w:hAnsi="宋体" w:eastAsia="宋体"/>
                <w:color w:val="auto"/>
                <w:sz w:val="20"/>
                <w:szCs w:val="20"/>
                <w:highlight w:val="none"/>
              </w:rPr>
              <w:t>设备</w:t>
            </w:r>
            <w:r>
              <w:rPr>
                <w:rFonts w:ascii="宋体" w:hAnsi="宋体" w:eastAsia="宋体"/>
                <w:color w:val="auto"/>
                <w:sz w:val="20"/>
                <w:szCs w:val="20"/>
                <w:highlight w:val="none"/>
              </w:rPr>
              <w:t>即可完成信息发布。（提供国家广播电视产品质量监督检验中心的检测报告）</w:t>
            </w:r>
          </w:p>
          <w:p>
            <w:pPr>
              <w:pStyle w:val="341"/>
              <w:widowControl/>
              <w:numPr>
                <w:ilvl w:val="0"/>
                <w:numId w:val="11"/>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整机带有三个实体按键，可以对播放的节目进行前后翻页和暂停/播放控制。（提供第三方权威机构出具的检测报告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numPr>
                <w:ilvl w:val="0"/>
                <w:numId w:val="11"/>
              </w:numPr>
              <w:shd w:val="clear" w:color="auto" w:fill="FFFFFF"/>
              <w:jc w:val="left"/>
              <w:rPr>
                <w:rFonts w:hint="eastAsia" w:ascii="宋体" w:hAnsi="宋体" w:eastAsia="宋体"/>
                <w:color w:val="auto"/>
                <w:sz w:val="20"/>
                <w:szCs w:val="20"/>
                <w:highlight w:val="none"/>
              </w:rPr>
            </w:pPr>
            <w:r>
              <w:rPr>
                <w:rFonts w:hint="eastAsia" w:ascii="宋体" w:hAnsi="宋体" w:eastAsia="宋体"/>
                <w:color w:val="auto"/>
                <w:sz w:val="20"/>
                <w:szCs w:val="20"/>
                <w:highlight w:val="none"/>
              </w:rPr>
              <w:t>★</w:t>
            </w:r>
            <w:r>
              <w:rPr>
                <w:rFonts w:ascii="宋体" w:hAnsi="宋体" w:eastAsia="宋体"/>
                <w:color w:val="auto"/>
                <w:sz w:val="20"/>
                <w:szCs w:val="20"/>
                <w:highlight w:val="none"/>
              </w:rPr>
              <w:t>支持手机通过蓝牙连接整机，对整机进行遥控控制。（提供第三方权威机构出具的检测报告</w:t>
            </w:r>
            <w:r>
              <w:rPr>
                <w:rFonts w:hint="eastAsia" w:ascii="宋体" w:hAnsi="宋体" w:eastAsia="宋体"/>
                <w:color w:val="auto"/>
                <w:sz w:val="20"/>
                <w:szCs w:val="20"/>
                <w:highlight w:val="none"/>
                <w:lang w:eastAsia="zh-CN"/>
              </w:rPr>
              <w:t>扫描件</w:t>
            </w:r>
            <w:r>
              <w:rPr>
                <w:rFonts w:ascii="宋体" w:hAnsi="宋体" w:eastAsia="宋体"/>
                <w:color w:val="auto"/>
                <w:sz w:val="20"/>
                <w:szCs w:val="20"/>
                <w:highlight w:val="none"/>
              </w:rPr>
              <w:t>）</w:t>
            </w:r>
          </w:p>
          <w:p>
            <w:pPr>
              <w:pStyle w:val="341"/>
              <w:widowControl/>
              <w:shd w:val="clear" w:color="auto" w:fill="FFFFFF"/>
              <w:ind w:firstLine="0"/>
              <w:jc w:val="left"/>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二、软件参数：</w:t>
            </w:r>
          </w:p>
          <w:p>
            <w:pPr>
              <w:pStyle w:val="341"/>
              <w:widowControl/>
              <w:numPr>
                <w:ilvl w:val="0"/>
                <w:numId w:val="11"/>
              </w:numPr>
              <w:shd w:val="clear" w:color="auto" w:fill="FFFFFF"/>
              <w:jc w:val="left"/>
              <w:rPr>
                <w:rFonts w:ascii="宋体" w:hAnsi="宋体" w:eastAsia="宋体"/>
                <w:color w:val="auto"/>
                <w:sz w:val="20"/>
                <w:szCs w:val="20"/>
                <w:highlight w:val="none"/>
              </w:rPr>
            </w:pPr>
            <w:r>
              <w:rPr>
                <w:rFonts w:ascii="宋体" w:hAnsi="宋体" w:eastAsia="宋体"/>
                <w:color w:val="auto"/>
                <w:sz w:val="20"/>
                <w:szCs w:val="20"/>
                <w:highlight w:val="none"/>
              </w:rPr>
              <w:t>支持聚合</w:t>
            </w:r>
            <w:r>
              <w:rPr>
                <w:rFonts w:hint="eastAsia" w:ascii="宋体" w:hAnsi="宋体" w:eastAsia="宋体"/>
                <w:color w:val="auto"/>
                <w:sz w:val="20"/>
                <w:szCs w:val="20"/>
                <w:highlight w:val="none"/>
              </w:rPr>
              <w:t>信息</w:t>
            </w:r>
            <w:r>
              <w:rPr>
                <w:rFonts w:ascii="宋体" w:hAnsi="宋体" w:eastAsia="宋体"/>
                <w:color w:val="auto"/>
                <w:sz w:val="20"/>
                <w:szCs w:val="20"/>
                <w:highlight w:val="none"/>
              </w:rPr>
              <w:t>订阅</w:t>
            </w:r>
            <w:r>
              <w:rPr>
                <w:rFonts w:hint="eastAsia" w:ascii="宋体" w:hAnsi="宋体" w:eastAsia="宋体"/>
                <w:color w:val="auto"/>
                <w:sz w:val="20"/>
                <w:szCs w:val="20"/>
                <w:highlight w:val="none"/>
              </w:rPr>
              <w:t>展示</w:t>
            </w:r>
            <w:r>
              <w:rPr>
                <w:rFonts w:ascii="宋体" w:hAnsi="宋体" w:eastAsia="宋体"/>
                <w:color w:val="auto"/>
                <w:sz w:val="20"/>
                <w:szCs w:val="20"/>
                <w:highlight w:val="none"/>
              </w:rPr>
              <w:t>，</w:t>
            </w:r>
            <w:r>
              <w:rPr>
                <w:rFonts w:hint="eastAsia" w:ascii="宋体" w:hAnsi="宋体" w:eastAsia="宋体"/>
                <w:color w:val="auto"/>
                <w:sz w:val="20"/>
                <w:szCs w:val="20"/>
                <w:highlight w:val="none"/>
              </w:rPr>
              <w:t>使用者</w:t>
            </w:r>
            <w:r>
              <w:rPr>
                <w:rFonts w:ascii="宋体" w:hAnsi="宋体" w:eastAsia="宋体"/>
                <w:color w:val="auto"/>
                <w:sz w:val="20"/>
                <w:szCs w:val="20"/>
                <w:highlight w:val="none"/>
              </w:rPr>
              <w:t>可订阅并将相应内容加入到节目单中</w:t>
            </w:r>
            <w:r>
              <w:rPr>
                <w:rFonts w:hint="eastAsia" w:ascii="宋体" w:hAnsi="宋体" w:eastAsia="宋体"/>
                <w:color w:val="auto"/>
                <w:sz w:val="20"/>
                <w:szCs w:val="20"/>
                <w:highlight w:val="none"/>
              </w:rPr>
              <w:t>进行</w:t>
            </w:r>
            <w:r>
              <w:rPr>
                <w:rFonts w:ascii="宋体" w:hAnsi="宋体" w:eastAsia="宋体"/>
                <w:color w:val="auto"/>
                <w:sz w:val="20"/>
                <w:szCs w:val="20"/>
                <w:highlight w:val="none"/>
              </w:rPr>
              <w:t>定制化展示。</w:t>
            </w:r>
          </w:p>
          <w:p>
            <w:pPr>
              <w:pStyle w:val="341"/>
              <w:widowControl/>
              <w:numPr>
                <w:ilvl w:val="0"/>
                <w:numId w:val="11"/>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支持倒数日功能，</w:t>
            </w:r>
            <w:r>
              <w:rPr>
                <w:rFonts w:hint="eastAsia" w:ascii="宋体" w:hAnsi="宋体" w:eastAsia="宋体"/>
                <w:color w:val="auto"/>
                <w:sz w:val="20"/>
                <w:szCs w:val="20"/>
                <w:highlight w:val="none"/>
              </w:rPr>
              <w:t>可编辑事件名称和倒计时截止时间，事件剩余时间在云屏实时显示，可同时发布≥3个事件倒计时</w:t>
            </w:r>
            <w:r>
              <w:rPr>
                <w:rFonts w:ascii="宋体" w:hAnsi="宋体" w:eastAsia="宋体"/>
                <w:color w:val="auto"/>
                <w:sz w:val="20"/>
                <w:szCs w:val="20"/>
                <w:highlight w:val="none"/>
              </w:rPr>
              <w:t>。</w:t>
            </w:r>
          </w:p>
          <w:p>
            <w:pPr>
              <w:pStyle w:val="341"/>
              <w:widowControl/>
              <w:numPr>
                <w:ilvl w:val="0"/>
                <w:numId w:val="11"/>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支持Web</w:t>
            </w:r>
            <w:r>
              <w:rPr>
                <w:rFonts w:hint="eastAsia" w:ascii="宋体" w:hAnsi="宋体" w:eastAsia="宋体"/>
                <w:color w:val="auto"/>
                <w:sz w:val="20"/>
                <w:szCs w:val="20"/>
                <w:highlight w:val="none"/>
              </w:rPr>
              <w:t>网页端</w:t>
            </w:r>
            <w:r>
              <w:rPr>
                <w:rFonts w:ascii="宋体" w:hAnsi="宋体" w:eastAsia="宋体"/>
                <w:color w:val="auto"/>
                <w:sz w:val="20"/>
                <w:szCs w:val="20"/>
                <w:highlight w:val="none"/>
              </w:rPr>
              <w:t>、</w:t>
            </w:r>
            <w:r>
              <w:rPr>
                <w:rFonts w:hint="eastAsia" w:ascii="宋体" w:hAnsi="宋体" w:eastAsia="宋体"/>
                <w:color w:val="auto"/>
                <w:sz w:val="20"/>
                <w:szCs w:val="20"/>
                <w:highlight w:val="none"/>
              </w:rPr>
              <w:t>移动</w:t>
            </w:r>
            <w:r>
              <w:rPr>
                <w:rFonts w:ascii="宋体" w:hAnsi="宋体" w:eastAsia="宋体"/>
                <w:color w:val="auto"/>
                <w:sz w:val="20"/>
                <w:szCs w:val="20"/>
                <w:highlight w:val="none"/>
              </w:rPr>
              <w:t>端微信发布相册、视频、新闻、公告</w:t>
            </w:r>
            <w:r>
              <w:rPr>
                <w:rFonts w:hint="eastAsia" w:ascii="宋体" w:hAnsi="宋体" w:eastAsia="宋体"/>
                <w:color w:val="auto"/>
                <w:sz w:val="20"/>
                <w:szCs w:val="20"/>
                <w:highlight w:val="none"/>
              </w:rPr>
              <w:t>，</w:t>
            </w:r>
            <w:r>
              <w:rPr>
                <w:rFonts w:ascii="宋体" w:hAnsi="宋体" w:eastAsia="宋体"/>
                <w:color w:val="auto"/>
                <w:sz w:val="20"/>
                <w:szCs w:val="20"/>
                <w:highlight w:val="none"/>
              </w:rPr>
              <w:t>无需额外安装应用。</w:t>
            </w:r>
          </w:p>
          <w:p>
            <w:pPr>
              <w:pStyle w:val="341"/>
              <w:widowControl/>
              <w:numPr>
                <w:ilvl w:val="0"/>
                <w:numId w:val="11"/>
              </w:numPr>
              <w:shd w:val="clear" w:color="auto" w:fill="FFFFFF"/>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网页</w:t>
            </w:r>
            <w:r>
              <w:rPr>
                <w:rFonts w:ascii="宋体" w:hAnsi="宋体" w:eastAsia="宋体"/>
                <w:color w:val="auto"/>
                <w:sz w:val="20"/>
                <w:szCs w:val="20"/>
                <w:highlight w:val="none"/>
              </w:rPr>
              <w:t>端后台系统支持微信扫码登录</w:t>
            </w:r>
            <w:r>
              <w:rPr>
                <w:rFonts w:hint="eastAsia" w:ascii="宋体" w:hAnsi="宋体" w:eastAsia="宋体"/>
                <w:color w:val="auto"/>
                <w:sz w:val="20"/>
                <w:szCs w:val="20"/>
                <w:highlight w:val="none"/>
              </w:rPr>
              <w:t>。</w:t>
            </w:r>
          </w:p>
          <w:p>
            <w:pPr>
              <w:pStyle w:val="341"/>
              <w:widowControl/>
              <w:numPr>
                <w:ilvl w:val="0"/>
                <w:numId w:val="11"/>
              </w:numPr>
              <w:shd w:val="clear" w:color="auto" w:fill="FFFFFF"/>
              <w:spacing w:before="100" w:beforeAutospacing="1" w:after="100" w:afterAutospacing="1"/>
              <w:jc w:val="left"/>
              <w:rPr>
                <w:rFonts w:ascii="宋体" w:hAnsi="宋体" w:eastAsia="宋体"/>
                <w:color w:val="auto"/>
                <w:sz w:val="20"/>
                <w:szCs w:val="20"/>
                <w:highlight w:val="none"/>
              </w:rPr>
            </w:pPr>
            <w:r>
              <w:rPr>
                <w:rFonts w:hint="eastAsia" w:ascii="宋体" w:hAnsi="宋体" w:eastAsia="宋体"/>
                <w:color w:val="auto"/>
                <w:sz w:val="20"/>
                <w:szCs w:val="20"/>
                <w:highlight w:val="none"/>
              </w:rPr>
              <w:t>支持图片</w:t>
            </w:r>
            <w:r>
              <w:rPr>
                <w:rFonts w:ascii="宋体" w:hAnsi="宋体" w:eastAsia="宋体"/>
                <w:color w:val="auto"/>
                <w:sz w:val="20"/>
                <w:szCs w:val="20"/>
                <w:highlight w:val="none"/>
              </w:rPr>
              <w:t>相册轮播展示</w:t>
            </w:r>
            <w:r>
              <w:rPr>
                <w:rFonts w:hint="eastAsia" w:ascii="宋体" w:hAnsi="宋体" w:eastAsia="宋体"/>
                <w:color w:val="auto"/>
                <w:sz w:val="20"/>
                <w:szCs w:val="20"/>
                <w:highlight w:val="none"/>
              </w:rPr>
              <w:t>，多图集</w:t>
            </w:r>
            <w:r>
              <w:rPr>
                <w:rFonts w:ascii="宋体" w:hAnsi="宋体" w:eastAsia="宋体"/>
                <w:color w:val="auto"/>
                <w:sz w:val="20"/>
                <w:szCs w:val="20"/>
                <w:highlight w:val="none"/>
              </w:rPr>
              <w:t>支持逐</w:t>
            </w:r>
            <w:r>
              <w:rPr>
                <w:rFonts w:hint="eastAsia" w:ascii="宋体" w:hAnsi="宋体" w:eastAsia="宋体"/>
                <w:color w:val="auto"/>
                <w:sz w:val="20"/>
                <w:szCs w:val="20"/>
                <w:highlight w:val="none"/>
              </w:rPr>
              <w:t>个</w:t>
            </w:r>
            <w:r>
              <w:rPr>
                <w:rFonts w:ascii="宋体" w:hAnsi="宋体" w:eastAsia="宋体"/>
                <w:color w:val="auto"/>
                <w:sz w:val="20"/>
                <w:szCs w:val="20"/>
                <w:highlight w:val="none"/>
              </w:rPr>
              <w:t>逐级轮播。</w:t>
            </w:r>
          </w:p>
          <w:p>
            <w:pPr>
              <w:pStyle w:val="341"/>
              <w:widowControl/>
              <w:numPr>
                <w:ilvl w:val="0"/>
                <w:numId w:val="11"/>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支持发布荣誉信息到各级设备展示。</w:t>
            </w:r>
          </w:p>
          <w:p>
            <w:pPr>
              <w:pStyle w:val="341"/>
              <w:widowControl/>
              <w:numPr>
                <w:ilvl w:val="0"/>
                <w:numId w:val="11"/>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支持导入</w:t>
            </w:r>
            <w:r>
              <w:rPr>
                <w:rFonts w:hint="eastAsia" w:ascii="宋体" w:hAnsi="宋体" w:eastAsia="宋体"/>
                <w:color w:val="auto"/>
                <w:sz w:val="20"/>
                <w:szCs w:val="20"/>
                <w:highlight w:val="none"/>
              </w:rPr>
              <w:t>活动</w:t>
            </w:r>
            <w:r>
              <w:rPr>
                <w:rFonts w:ascii="宋体" w:hAnsi="宋体" w:eastAsia="宋体"/>
                <w:color w:val="auto"/>
                <w:sz w:val="20"/>
                <w:szCs w:val="20"/>
                <w:highlight w:val="none"/>
              </w:rPr>
              <w:t>计划，设备</w:t>
            </w:r>
            <w:r>
              <w:rPr>
                <w:rFonts w:hint="eastAsia" w:ascii="宋体" w:hAnsi="宋体" w:eastAsia="宋体"/>
                <w:color w:val="auto"/>
                <w:sz w:val="20"/>
                <w:szCs w:val="20"/>
                <w:highlight w:val="none"/>
              </w:rPr>
              <w:t>显示</w:t>
            </w:r>
            <w:r>
              <w:rPr>
                <w:rFonts w:ascii="宋体" w:hAnsi="宋体" w:eastAsia="宋体"/>
                <w:color w:val="auto"/>
                <w:sz w:val="20"/>
                <w:szCs w:val="20"/>
                <w:highlight w:val="none"/>
              </w:rPr>
              <w:t>可在</w:t>
            </w:r>
            <w:r>
              <w:rPr>
                <w:rFonts w:hint="eastAsia" w:ascii="宋体" w:hAnsi="宋体" w:eastAsia="宋体"/>
                <w:color w:val="auto"/>
                <w:sz w:val="20"/>
                <w:szCs w:val="20"/>
                <w:highlight w:val="none"/>
              </w:rPr>
              <w:t>计划</w:t>
            </w:r>
            <w:r>
              <w:rPr>
                <w:rFonts w:ascii="宋体" w:hAnsi="宋体" w:eastAsia="宋体"/>
                <w:color w:val="auto"/>
                <w:sz w:val="20"/>
                <w:szCs w:val="20"/>
                <w:highlight w:val="none"/>
              </w:rPr>
              <w:t>时间</w:t>
            </w:r>
            <w:r>
              <w:rPr>
                <w:rFonts w:hint="eastAsia" w:ascii="宋体" w:hAnsi="宋体" w:eastAsia="宋体"/>
                <w:color w:val="auto"/>
                <w:sz w:val="20"/>
                <w:szCs w:val="20"/>
                <w:highlight w:val="none"/>
              </w:rPr>
              <w:t>内</w:t>
            </w:r>
            <w:r>
              <w:rPr>
                <w:rFonts w:ascii="宋体" w:hAnsi="宋体" w:eastAsia="宋体"/>
                <w:color w:val="auto"/>
                <w:sz w:val="20"/>
                <w:szCs w:val="20"/>
                <w:highlight w:val="none"/>
              </w:rPr>
              <w:t>自动切换为</w:t>
            </w:r>
            <w:r>
              <w:rPr>
                <w:rFonts w:hint="eastAsia" w:ascii="宋体" w:hAnsi="宋体" w:eastAsia="宋体"/>
                <w:color w:val="auto"/>
                <w:sz w:val="20"/>
                <w:szCs w:val="20"/>
                <w:highlight w:val="none"/>
              </w:rPr>
              <w:t>活动</w:t>
            </w:r>
            <w:r>
              <w:rPr>
                <w:rFonts w:ascii="宋体" w:hAnsi="宋体" w:eastAsia="宋体"/>
                <w:color w:val="auto"/>
                <w:sz w:val="20"/>
                <w:szCs w:val="20"/>
                <w:highlight w:val="none"/>
              </w:rPr>
              <w:t>模式，展示</w:t>
            </w:r>
            <w:r>
              <w:rPr>
                <w:rFonts w:hint="eastAsia" w:ascii="宋体" w:hAnsi="宋体" w:eastAsia="宋体"/>
                <w:color w:val="auto"/>
                <w:sz w:val="20"/>
                <w:szCs w:val="20"/>
                <w:highlight w:val="none"/>
              </w:rPr>
              <w:t>活动内容</w:t>
            </w:r>
            <w:r>
              <w:rPr>
                <w:rFonts w:ascii="宋体" w:hAnsi="宋体" w:eastAsia="宋体"/>
                <w:color w:val="auto"/>
                <w:sz w:val="20"/>
                <w:szCs w:val="20"/>
                <w:highlight w:val="none"/>
              </w:rPr>
              <w:t>等信息。</w:t>
            </w:r>
          </w:p>
          <w:p>
            <w:pPr>
              <w:pStyle w:val="341"/>
              <w:widowControl/>
              <w:numPr>
                <w:ilvl w:val="0"/>
                <w:numId w:val="11"/>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支持每日开关机时间的个性化设置，</w:t>
            </w:r>
            <w:r>
              <w:rPr>
                <w:rFonts w:hint="eastAsia" w:ascii="宋体" w:hAnsi="宋体" w:eastAsia="宋体"/>
                <w:color w:val="auto"/>
                <w:sz w:val="20"/>
                <w:szCs w:val="20"/>
                <w:highlight w:val="none"/>
              </w:rPr>
              <w:t>可精确</w:t>
            </w:r>
            <w:r>
              <w:rPr>
                <w:rFonts w:ascii="宋体" w:hAnsi="宋体" w:eastAsia="宋体"/>
                <w:color w:val="auto"/>
                <w:sz w:val="20"/>
                <w:szCs w:val="20"/>
                <w:highlight w:val="none"/>
              </w:rPr>
              <w:t>设定每</w:t>
            </w:r>
            <w:r>
              <w:rPr>
                <w:rFonts w:hint="eastAsia" w:ascii="宋体" w:hAnsi="宋体" w:eastAsia="宋体"/>
                <w:color w:val="auto"/>
                <w:sz w:val="20"/>
                <w:szCs w:val="20"/>
                <w:highlight w:val="none"/>
              </w:rPr>
              <w:t>日的</w:t>
            </w:r>
            <w:r>
              <w:rPr>
                <w:rFonts w:ascii="宋体" w:hAnsi="宋体" w:eastAsia="宋体"/>
                <w:color w:val="auto"/>
                <w:sz w:val="20"/>
                <w:szCs w:val="20"/>
                <w:highlight w:val="none"/>
              </w:rPr>
              <w:t>自动开关机时间</w:t>
            </w:r>
            <w:r>
              <w:rPr>
                <w:rFonts w:hint="eastAsia" w:ascii="宋体" w:hAnsi="宋体" w:eastAsia="宋体"/>
                <w:color w:val="auto"/>
                <w:sz w:val="20"/>
                <w:szCs w:val="20"/>
                <w:highlight w:val="none"/>
              </w:rPr>
              <w:t>。</w:t>
            </w:r>
          </w:p>
          <w:p>
            <w:pPr>
              <w:pStyle w:val="341"/>
              <w:widowControl/>
              <w:numPr>
                <w:ilvl w:val="0"/>
                <w:numId w:val="11"/>
              </w:numPr>
              <w:shd w:val="clear" w:color="auto" w:fill="FFFFFF"/>
              <w:spacing w:before="100" w:beforeAutospacing="1" w:after="100" w:afterAutospacing="1"/>
              <w:jc w:val="left"/>
              <w:rPr>
                <w:rFonts w:ascii="宋体" w:hAnsi="宋体" w:eastAsia="宋体"/>
                <w:color w:val="auto"/>
                <w:sz w:val="20"/>
                <w:szCs w:val="20"/>
                <w:highlight w:val="none"/>
              </w:rPr>
            </w:pPr>
            <w:r>
              <w:rPr>
                <w:rFonts w:ascii="宋体" w:hAnsi="宋体" w:eastAsia="宋体"/>
                <w:color w:val="auto"/>
                <w:sz w:val="20"/>
                <w:szCs w:val="20"/>
                <w:highlight w:val="none"/>
              </w:rPr>
              <w:t>支持</w:t>
            </w:r>
            <w:r>
              <w:rPr>
                <w:rFonts w:hint="eastAsia" w:ascii="宋体" w:hAnsi="宋体" w:eastAsia="宋体"/>
                <w:color w:val="auto"/>
                <w:sz w:val="20"/>
                <w:szCs w:val="20"/>
                <w:highlight w:val="none"/>
              </w:rPr>
              <w:t>使</w:t>
            </w:r>
            <w:r>
              <w:rPr>
                <w:rFonts w:ascii="宋体" w:hAnsi="宋体" w:eastAsia="宋体"/>
                <w:color w:val="auto"/>
                <w:sz w:val="20"/>
                <w:szCs w:val="20"/>
                <w:highlight w:val="none"/>
              </w:rPr>
              <w:t>用EXCEL</w:t>
            </w:r>
            <w:r>
              <w:rPr>
                <w:rFonts w:hint="eastAsia" w:ascii="宋体" w:hAnsi="宋体" w:eastAsia="宋体"/>
                <w:color w:val="auto"/>
                <w:sz w:val="20"/>
                <w:szCs w:val="20"/>
                <w:highlight w:val="none"/>
              </w:rPr>
              <w:t>批量</w:t>
            </w:r>
            <w:r>
              <w:rPr>
                <w:rFonts w:ascii="宋体" w:hAnsi="宋体" w:eastAsia="宋体"/>
                <w:color w:val="auto"/>
                <w:sz w:val="20"/>
                <w:szCs w:val="20"/>
                <w:highlight w:val="none"/>
              </w:rPr>
              <w:t>导入管理员、场地等各类</w:t>
            </w:r>
            <w:r>
              <w:rPr>
                <w:rFonts w:hint="eastAsia" w:ascii="宋体" w:hAnsi="宋体" w:eastAsia="宋体"/>
                <w:color w:val="auto"/>
                <w:sz w:val="20"/>
                <w:szCs w:val="20"/>
                <w:highlight w:val="none"/>
              </w:rPr>
              <w:t>基础</w:t>
            </w:r>
            <w:r>
              <w:rPr>
                <w:rFonts w:ascii="宋体" w:hAnsi="宋体" w:eastAsia="宋体"/>
                <w:color w:val="auto"/>
                <w:sz w:val="20"/>
                <w:szCs w:val="20"/>
                <w:highlight w:val="none"/>
              </w:rPr>
              <w:t>数据。</w:t>
            </w:r>
          </w:p>
          <w:p>
            <w:pPr>
              <w:pStyle w:val="341"/>
              <w:widowControl/>
              <w:numPr>
                <w:ilvl w:val="0"/>
                <w:numId w:val="11"/>
              </w:numPr>
              <w:shd w:val="clear" w:color="auto" w:fill="FFFFFF"/>
              <w:jc w:val="left"/>
              <w:rPr>
                <w:rFonts w:hint="eastAsia" w:ascii="宋体" w:hAnsi="宋体" w:eastAsia="宋体"/>
                <w:color w:val="auto"/>
                <w:sz w:val="20"/>
                <w:szCs w:val="20"/>
                <w:highlight w:val="none"/>
              </w:rPr>
            </w:pPr>
            <w:r>
              <w:rPr>
                <w:rFonts w:hint="eastAsia" w:ascii="宋体" w:hAnsi="宋体" w:eastAsia="宋体" w:cs="宋体"/>
                <w:color w:val="auto"/>
                <w:sz w:val="20"/>
                <w:highlight w:val="none"/>
              </w:rPr>
              <w:t>支持多级权限分配，可为特个场地指派指定管理员。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18" w:type="dxa"/>
            <w:vMerge w:val="continue"/>
            <w:shd w:val="clear" w:color="auto" w:fill="auto"/>
            <w:noWrap w:val="0"/>
            <w:vAlign w:val="center"/>
          </w:tcPr>
          <w:p>
            <w:pPr>
              <w:widowControl/>
              <w:jc w:val="center"/>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智能交互平板</w:t>
            </w:r>
          </w:p>
        </w:tc>
        <w:tc>
          <w:tcPr>
            <w:tcW w:w="6379" w:type="dxa"/>
            <w:shd w:val="clear" w:color="000000" w:fill="FFFFFF"/>
            <w:noWrap w:val="0"/>
            <w:vAlign w:val="center"/>
          </w:tcPr>
          <w:p>
            <w:pPr>
              <w:pStyle w:val="287"/>
              <w:ind w:firstLine="0" w:firstLineChars="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一、参数要求：</w:t>
            </w:r>
          </w:p>
          <w:p>
            <w:pPr>
              <w:pStyle w:val="287"/>
              <w:ind w:firstLine="0" w:firstLineChars="0"/>
              <w:jc w:val="left"/>
              <w:rPr>
                <w:color w:val="auto"/>
                <w:kern w:val="0"/>
                <w:sz w:val="20"/>
                <w:szCs w:val="20"/>
                <w:highlight w:val="none"/>
              </w:rPr>
            </w:pPr>
            <w:r>
              <w:rPr>
                <w:rFonts w:hint="eastAsia" w:ascii="宋体" w:hAnsi="宋体" w:cs="宋体"/>
                <w:color w:val="auto"/>
                <w:kern w:val="0"/>
                <w:sz w:val="20"/>
                <w:szCs w:val="20"/>
                <w:highlight w:val="none"/>
              </w:rPr>
              <w:t>（一）整体设计</w:t>
            </w:r>
          </w:p>
          <w:p>
            <w:pPr>
              <w:pStyle w:val="287"/>
              <w:numPr>
                <w:ilvl w:val="0"/>
                <w:numId w:val="12"/>
              </w:numPr>
              <w:ind w:firstLineChars="0"/>
              <w:jc w:val="left"/>
              <w:rPr>
                <w:color w:val="auto"/>
                <w:kern w:val="0"/>
                <w:sz w:val="20"/>
                <w:szCs w:val="20"/>
                <w:highlight w:val="none"/>
              </w:rPr>
            </w:pPr>
            <w:r>
              <w:rPr>
                <w:rFonts w:hint="eastAsia" w:ascii="宋体" w:hAnsi="宋体" w:cs="宋体"/>
                <w:color w:val="auto"/>
                <w:kern w:val="0"/>
                <w:sz w:val="20"/>
                <w:szCs w:val="20"/>
                <w:highlight w:val="none"/>
              </w:rPr>
              <w:t>★</w:t>
            </w:r>
            <w:r>
              <w:rPr>
                <w:color w:val="auto"/>
                <w:kern w:val="0"/>
                <w:sz w:val="20"/>
                <w:szCs w:val="20"/>
                <w:highlight w:val="none"/>
              </w:rPr>
              <w:t>整机屏幕采用</w:t>
            </w:r>
            <w:r>
              <w:rPr>
                <w:rFonts w:hint="eastAsia" w:ascii="宋体" w:hAnsi="宋体"/>
                <w:color w:val="auto"/>
                <w:kern w:val="0"/>
                <w:sz w:val="20"/>
                <w:szCs w:val="20"/>
                <w:highlight w:val="none"/>
              </w:rPr>
              <w:t>≥</w:t>
            </w:r>
            <w:r>
              <w:rPr>
                <w:color w:val="auto"/>
                <w:kern w:val="0"/>
                <w:sz w:val="20"/>
                <w:szCs w:val="20"/>
                <w:highlight w:val="none"/>
              </w:rPr>
              <w:t>86英寸UHD超高清LCD液晶屏，显示比例16:9</w:t>
            </w:r>
            <w:r>
              <w:rPr>
                <w:rFonts w:hint="eastAsia"/>
                <w:color w:val="auto"/>
                <w:kern w:val="0"/>
                <w:sz w:val="20"/>
                <w:szCs w:val="20"/>
                <w:highlight w:val="none"/>
              </w:rPr>
              <w:t>，</w:t>
            </w:r>
            <w:r>
              <w:rPr>
                <w:color w:val="auto"/>
                <w:kern w:val="0"/>
                <w:sz w:val="20"/>
                <w:szCs w:val="20"/>
                <w:highlight w:val="none"/>
              </w:rPr>
              <w:t>屏幕图像分辨率达3840*2160，色彩度10bit ,可视角度178°，全高清4K系统图标显示</w:t>
            </w:r>
            <w:r>
              <w:rPr>
                <w:rFonts w:hint="eastAsia"/>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rFonts w:hint="eastAsia" w:ascii="宋体" w:hAnsi="宋体" w:cs="宋体"/>
                <w:color w:val="auto"/>
                <w:kern w:val="0"/>
                <w:sz w:val="20"/>
                <w:szCs w:val="20"/>
                <w:highlight w:val="none"/>
              </w:rPr>
              <w:t>★</w:t>
            </w:r>
            <w:r>
              <w:rPr>
                <w:color w:val="auto"/>
                <w:kern w:val="0"/>
                <w:sz w:val="20"/>
                <w:szCs w:val="20"/>
                <w:highlight w:val="none"/>
              </w:rPr>
              <w:t>整机屏幕与屏幕保护层零贴合技术</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色域达到 90%NTSC， 可显示更真实更鲜艳的色；支持≥5种色彩空间选择</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在色彩空间sRGB模式下达到</w:t>
            </w:r>
            <w:r>
              <w:rPr>
                <w:rFonts w:hint="eastAsia" w:ascii="宋体" w:hAnsi="宋体" w:cs="宋体"/>
                <w:color w:val="auto"/>
                <w:kern w:val="0"/>
                <w:sz w:val="20"/>
                <w:szCs w:val="20"/>
                <w:highlight w:val="none"/>
              </w:rPr>
              <w:t>△</w:t>
            </w:r>
            <w:r>
              <w:rPr>
                <w:color w:val="auto"/>
                <w:kern w:val="0"/>
                <w:sz w:val="20"/>
                <w:szCs w:val="20"/>
                <w:highlight w:val="none"/>
              </w:rPr>
              <w:t>E</w:t>
            </w:r>
            <w:r>
              <w:rPr>
                <w:rFonts w:cs="Calibri"/>
                <w:color w:val="auto"/>
                <w:kern w:val="0"/>
                <w:sz w:val="20"/>
                <w:szCs w:val="20"/>
                <w:highlight w:val="none"/>
              </w:rPr>
              <w:t>≤</w:t>
            </w:r>
            <w:r>
              <w:rPr>
                <w:color w:val="auto"/>
                <w:kern w:val="0"/>
                <w:sz w:val="20"/>
                <w:szCs w:val="20"/>
                <w:highlight w:val="none"/>
              </w:rPr>
              <w:t>1.5</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rFonts w:hint="eastAsia"/>
                <w:color w:val="auto"/>
                <w:kern w:val="0"/>
                <w:sz w:val="20"/>
                <w:szCs w:val="20"/>
                <w:highlight w:val="none"/>
              </w:rPr>
              <w:t>书写延时≤30ms。</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rFonts w:hint="eastAsia"/>
                <w:color w:val="auto"/>
                <w:kern w:val="0"/>
                <w:sz w:val="20"/>
                <w:szCs w:val="20"/>
                <w:highlight w:val="none"/>
              </w:rPr>
              <w:t>超薄窄边框设计，整机屏占比≥88%以上，整机最薄处≤26mm。</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采用模块化系统方案，整机可通过同一高速接口支持Windows 10企业版系统模块、Android 9.0系统模块、Linux系统模块切换使用</w:t>
            </w:r>
            <w:r>
              <w:rPr>
                <w:rFonts w:hint="eastAsia"/>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PC通道下内置视频会议软件，视频会议软件与整机为同一厂家</w:t>
            </w:r>
            <w:r>
              <w:rPr>
                <w:rFonts w:hint="eastAsia"/>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整机内置正面上居中4K、4800W像素及以上高清摄像头，水平视场角≥92°；Autoframing智能取景，保证人物视角；支持声源定位；支持电子云台，无需机械转动部分，可通过程序设置，在摄像机内部控制镜头的视角和变焦；支持WDR功能，过曝环境下自动调整画面亮度。（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内置8个麦克风，8米有效拾音距离，内置独立4核高性能独立DSP，AI降噪+混响抑制，声音清晰通透。</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采用2.1声道，2*10W（中高音）+20W（低音）缝隙发声扬声器</w:t>
            </w:r>
          </w:p>
          <w:p>
            <w:pPr>
              <w:pStyle w:val="287"/>
              <w:numPr>
                <w:ilvl w:val="0"/>
                <w:numId w:val="12"/>
              </w:numPr>
              <w:ind w:firstLineChars="0"/>
              <w:jc w:val="left"/>
              <w:rPr>
                <w:color w:val="auto"/>
                <w:kern w:val="0"/>
                <w:sz w:val="20"/>
                <w:szCs w:val="20"/>
                <w:highlight w:val="none"/>
              </w:rPr>
            </w:pPr>
            <w:r>
              <w:rPr>
                <w:rFonts w:hint="eastAsia" w:ascii="宋体" w:hAnsi="宋体" w:cs="宋体"/>
                <w:color w:val="auto"/>
                <w:kern w:val="0"/>
                <w:sz w:val="20"/>
                <w:szCs w:val="20"/>
                <w:highlight w:val="none"/>
              </w:rPr>
              <w:t>★</w:t>
            </w:r>
            <w:r>
              <w:rPr>
                <w:color w:val="auto"/>
                <w:kern w:val="0"/>
                <w:sz w:val="20"/>
                <w:szCs w:val="20"/>
                <w:highlight w:val="none"/>
              </w:rPr>
              <w:t>具有全功能Type-C接口，可支持手机充电、音视频信号传输、外部设备调用本机摄像头、麦克风及扬声器</w:t>
            </w:r>
            <w:r>
              <w:rPr>
                <w:rFonts w:hint="eastAsia"/>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支持空间感应，内置光线传感器/微波传感器，人体靠近屏幕自动开机唤醒</w:t>
            </w:r>
            <w:r>
              <w:rPr>
                <w:rFonts w:hint="eastAsia"/>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传屏之后，在屏幕上部中间部分显示工具栏，可以进行基本的操作（具体包括触摸回传控制，勿扰模式，暂停投屏等）</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无线传屏软硬件均支持win10系统/MAC系统扩展屏显示</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手机扫描整机传屏二维码即可完成连接整机热点，无需单独在手机上输入WIFI账号密码</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为方便共享，手机和电脑可以和整机互传文件</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白板中添加纪要，支持分条书写、删除功能，最多支持添加20条纪要，可单独扫码带走</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支持插入思维导图，可任意增加思维导图单元格数量并形成树状思维导图，并且可在单元格大小可根据书写内容自动扩充</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白板内可一键打开协同白板，可多人同时扫码，从手机端及大板端同时在白板内进行创作，并支持语音通话</w:t>
            </w:r>
            <w:r>
              <w:rPr>
                <w:rFonts w:hint="eastAsia"/>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rFonts w:hint="eastAsia" w:ascii="宋体" w:hAnsi="宋体" w:cs="宋体"/>
                <w:color w:val="auto"/>
                <w:kern w:val="0"/>
                <w:sz w:val="20"/>
                <w:szCs w:val="20"/>
                <w:highlight w:val="none"/>
              </w:rPr>
              <w:t>★</w:t>
            </w:r>
            <w:r>
              <w:rPr>
                <w:color w:val="auto"/>
                <w:kern w:val="0"/>
                <w:sz w:val="20"/>
                <w:szCs w:val="20"/>
                <w:highlight w:val="none"/>
              </w:rPr>
              <w:t>支持提笔检测：吸附在整机笔槽上的书写笔，提笔之后，可出现提示窗口，引导用户进入白板、批注或者快捷白板，方便使用，整体操作更加便捷</w:t>
            </w:r>
            <w:r>
              <w:rPr>
                <w:rFonts w:hint="eastAsia"/>
                <w:color w:val="auto"/>
                <w:kern w:val="0"/>
                <w:sz w:val="20"/>
                <w:szCs w:val="20"/>
                <w:highlight w:val="none"/>
              </w:rPr>
              <w:t>。</w:t>
            </w:r>
          </w:p>
          <w:p>
            <w:pPr>
              <w:pStyle w:val="287"/>
              <w:numPr>
                <w:ilvl w:val="0"/>
                <w:numId w:val="12"/>
              </w:numPr>
              <w:ind w:firstLineChars="0"/>
              <w:jc w:val="left"/>
              <w:rPr>
                <w:color w:val="auto"/>
                <w:kern w:val="0"/>
                <w:sz w:val="20"/>
                <w:szCs w:val="20"/>
                <w:highlight w:val="none"/>
              </w:rPr>
            </w:pPr>
            <w:r>
              <w:rPr>
                <w:rFonts w:hint="eastAsia"/>
                <w:color w:val="auto"/>
                <w:kern w:val="0"/>
                <w:sz w:val="20"/>
                <w:szCs w:val="20"/>
                <w:highlight w:val="none"/>
              </w:rPr>
              <w:t>提供时钟、会议、连接码、单日程、日程组等组件，可自由编辑桌面内容。</w:t>
            </w:r>
          </w:p>
          <w:p>
            <w:pPr>
              <w:pStyle w:val="287"/>
              <w:numPr>
                <w:ilvl w:val="0"/>
                <w:numId w:val="12"/>
              </w:numPr>
              <w:ind w:firstLineChars="0"/>
              <w:jc w:val="left"/>
              <w:rPr>
                <w:color w:val="auto"/>
                <w:kern w:val="0"/>
                <w:sz w:val="20"/>
                <w:szCs w:val="20"/>
                <w:highlight w:val="none"/>
              </w:rPr>
            </w:pPr>
            <w:r>
              <w:rPr>
                <w:rFonts w:hint="eastAsia"/>
                <w:color w:val="auto"/>
                <w:kern w:val="0"/>
                <w:sz w:val="20"/>
                <w:szCs w:val="20"/>
                <w:highlight w:val="none"/>
              </w:rPr>
              <w:t>无需二次操作，即可在侧边栏一键进入远程共享桌面，即可召开视频会议。</w:t>
            </w:r>
          </w:p>
          <w:p>
            <w:pPr>
              <w:pStyle w:val="287"/>
              <w:numPr>
                <w:ilvl w:val="0"/>
                <w:numId w:val="12"/>
              </w:numPr>
              <w:ind w:firstLineChars="0"/>
              <w:jc w:val="left"/>
              <w:rPr>
                <w:color w:val="auto"/>
                <w:kern w:val="0"/>
                <w:sz w:val="20"/>
                <w:szCs w:val="20"/>
                <w:highlight w:val="none"/>
              </w:rPr>
            </w:pPr>
            <w:r>
              <w:rPr>
                <w:rFonts w:hint="eastAsia"/>
                <w:color w:val="auto"/>
                <w:kern w:val="0"/>
                <w:sz w:val="20"/>
                <w:szCs w:val="20"/>
                <w:highlight w:val="none"/>
              </w:rPr>
              <w:t>支持带有NFC功能的手机开启NFC后，一碰即可将手机与大板链接，并进行投屏等后续操作。</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集控管理：支持集控管理平台软件对接，实现集控相关功能，如：远程桌面控制，恢复出厂设置，检查系统更新，开关机，命令行等功能。</w:t>
            </w:r>
          </w:p>
          <w:p>
            <w:pPr>
              <w:pStyle w:val="287"/>
              <w:numPr>
                <w:ilvl w:val="0"/>
                <w:numId w:val="12"/>
              </w:numPr>
              <w:ind w:firstLineChars="0"/>
              <w:jc w:val="left"/>
              <w:rPr>
                <w:color w:val="auto"/>
                <w:kern w:val="0"/>
                <w:sz w:val="20"/>
                <w:szCs w:val="20"/>
                <w:highlight w:val="none"/>
              </w:rPr>
            </w:pPr>
            <w:r>
              <w:rPr>
                <w:color w:val="auto"/>
                <w:kern w:val="0"/>
                <w:sz w:val="20"/>
                <w:szCs w:val="20"/>
                <w:highlight w:val="none"/>
              </w:rPr>
              <w:t>可通过协作平台使用会议平板发起音视频会议，并支持控制麦克风、摄像头、邀请成员</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（二）OPS模块</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1.采用模块化电脑方案，抽拉内置式，PC模块可完全插入整机，保护PC模块不易受灰尘影响。采用40pin接口，实现无单独接线的插拔。</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2.采用按压式开关，可直接拆卸电脑模块，无需工具。</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3.配置： CPU Intel® Core i5十代/内存DDR4 8G /固态硬盘128G。</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4.正版激活Win10企业版操作系统。</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（三）电动升降支架</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行程可达330MM,适用于55-86寸，承重80KG，可推动，自带滑轮。</w:t>
            </w:r>
          </w:p>
          <w:p>
            <w:pPr>
              <w:pStyle w:val="2"/>
              <w:spacing w:after="0"/>
              <w:ind w:left="0" w:leftChars="0" w:firstLine="0" w:firstLineChars="0"/>
              <w:jc w:val="left"/>
              <w:rPr>
                <w:rFonts w:ascii="宋体" w:hAnsi="宋体" w:cs="宋体"/>
                <w:color w:val="auto"/>
                <w:sz w:val="20"/>
                <w:highlight w:val="none"/>
              </w:rPr>
            </w:pPr>
            <w:r>
              <w:rPr>
                <w:rFonts w:hint="eastAsia" w:ascii="宋体" w:hAnsi="宋体" w:cs="宋体"/>
                <w:color w:val="auto"/>
                <w:sz w:val="20"/>
                <w:highlight w:val="none"/>
              </w:rPr>
              <w:t>二、资质要求：</w:t>
            </w:r>
          </w:p>
          <w:p>
            <w:pPr>
              <w:pStyle w:val="287"/>
              <w:ind w:firstLine="0" w:firstLineChars="0"/>
              <w:jc w:val="left"/>
              <w:rPr>
                <w:rFonts w:ascii="宋体" w:hAnsi="宋体"/>
                <w:color w:val="auto"/>
                <w:kern w:val="0"/>
                <w:sz w:val="20"/>
                <w:szCs w:val="20"/>
                <w:highlight w:val="none"/>
              </w:rPr>
            </w:pPr>
            <w:r>
              <w:rPr>
                <w:rFonts w:hint="eastAsia" w:ascii="宋体" w:hAnsi="宋体"/>
                <w:color w:val="auto"/>
                <w:kern w:val="0"/>
                <w:sz w:val="20"/>
                <w:szCs w:val="20"/>
                <w:highlight w:val="none"/>
              </w:rPr>
              <w:t>1</w:t>
            </w:r>
            <w:r>
              <w:rPr>
                <w:rFonts w:ascii="宋体" w:hAnsi="宋体"/>
                <w:color w:val="auto"/>
                <w:kern w:val="0"/>
                <w:sz w:val="20"/>
                <w:szCs w:val="20"/>
                <w:highlight w:val="none"/>
              </w:rPr>
              <w:t>.</w:t>
            </w:r>
            <w:r>
              <w:rPr>
                <w:rFonts w:hint="eastAsia" w:ascii="宋体" w:hAnsi="宋体"/>
                <w:color w:val="auto"/>
                <w:kern w:val="0"/>
                <w:sz w:val="20"/>
                <w:szCs w:val="20"/>
                <w:highlight w:val="none"/>
              </w:rPr>
              <w:t>提供产品CCC认证证书</w:t>
            </w:r>
            <w:r>
              <w:rPr>
                <w:rFonts w:hint="eastAsia" w:ascii="宋体" w:hAnsi="宋体"/>
                <w:color w:val="auto"/>
                <w:kern w:val="0"/>
                <w:sz w:val="20"/>
                <w:szCs w:val="20"/>
                <w:highlight w:val="none"/>
                <w:lang w:eastAsia="zh-CN"/>
              </w:rPr>
              <w:t>扫描件</w:t>
            </w:r>
            <w:r>
              <w:rPr>
                <w:rFonts w:hint="eastAsia" w:ascii="宋体" w:hAnsi="宋体"/>
                <w:color w:val="auto"/>
                <w:kern w:val="0"/>
                <w:sz w:val="20"/>
                <w:szCs w:val="20"/>
                <w:highlight w:val="none"/>
              </w:rPr>
              <w:t>；</w:t>
            </w:r>
          </w:p>
          <w:p>
            <w:pPr>
              <w:pStyle w:val="287"/>
              <w:ind w:firstLine="0" w:firstLineChars="0"/>
              <w:jc w:val="left"/>
              <w:rPr>
                <w:rFonts w:ascii="宋体" w:hAnsi="宋体"/>
                <w:color w:val="auto"/>
                <w:kern w:val="0"/>
                <w:sz w:val="20"/>
                <w:szCs w:val="20"/>
                <w:highlight w:val="none"/>
              </w:rPr>
            </w:pPr>
            <w:r>
              <w:rPr>
                <w:rFonts w:hint="eastAsia" w:ascii="宋体" w:hAnsi="宋体"/>
                <w:color w:val="auto"/>
                <w:kern w:val="0"/>
                <w:sz w:val="20"/>
                <w:szCs w:val="20"/>
                <w:highlight w:val="none"/>
              </w:rPr>
              <w:t>2</w:t>
            </w:r>
            <w:r>
              <w:rPr>
                <w:rFonts w:ascii="宋体" w:hAnsi="宋体"/>
                <w:color w:val="auto"/>
                <w:kern w:val="0"/>
                <w:sz w:val="20"/>
                <w:szCs w:val="20"/>
                <w:highlight w:val="none"/>
              </w:rPr>
              <w:t>.</w:t>
            </w:r>
            <w:r>
              <w:rPr>
                <w:rFonts w:hint="eastAsia" w:ascii="宋体" w:hAnsi="宋体"/>
                <w:color w:val="auto"/>
                <w:kern w:val="0"/>
                <w:sz w:val="20"/>
                <w:szCs w:val="20"/>
                <w:highlight w:val="none"/>
              </w:rPr>
              <w:t>提供制造</w:t>
            </w:r>
            <w:r>
              <w:rPr>
                <w:rFonts w:ascii="宋体" w:hAnsi="宋体"/>
                <w:color w:val="auto"/>
                <w:kern w:val="0"/>
                <w:sz w:val="20"/>
                <w:szCs w:val="20"/>
                <w:highlight w:val="none"/>
              </w:rPr>
              <w:t>厂商通过GB/T 27922-2011售后服务评价体系及SB/T10962-2013商品经营企业服务质量评价体系，评级10星</w:t>
            </w:r>
            <w:r>
              <w:rPr>
                <w:rFonts w:hint="eastAsia" w:ascii="宋体" w:hAnsi="宋体"/>
                <w:color w:val="auto"/>
                <w:kern w:val="0"/>
                <w:sz w:val="20"/>
                <w:szCs w:val="20"/>
                <w:highlight w:val="none"/>
              </w:rPr>
              <w:t>认证证书</w:t>
            </w:r>
            <w:r>
              <w:rPr>
                <w:rFonts w:hint="eastAsia" w:ascii="宋体" w:hAnsi="宋体"/>
                <w:color w:val="auto"/>
                <w:kern w:val="0"/>
                <w:sz w:val="20"/>
                <w:szCs w:val="20"/>
                <w:highlight w:val="none"/>
                <w:lang w:eastAsia="zh-CN"/>
              </w:rPr>
              <w:t>扫描件</w:t>
            </w:r>
            <w:r>
              <w:rPr>
                <w:rFonts w:hint="eastAsia" w:ascii="宋体" w:hAnsi="宋体"/>
                <w:color w:val="auto"/>
                <w:kern w:val="0"/>
                <w:sz w:val="20"/>
                <w:szCs w:val="20"/>
                <w:highlight w:val="none"/>
              </w:rPr>
              <w:t>；</w:t>
            </w:r>
          </w:p>
          <w:p>
            <w:pPr>
              <w:pStyle w:val="287"/>
              <w:ind w:firstLine="0" w:firstLineChars="0"/>
              <w:jc w:val="left"/>
              <w:rPr>
                <w:rFonts w:ascii="宋体" w:hAnsi="宋体"/>
                <w:color w:val="auto"/>
                <w:kern w:val="0"/>
                <w:sz w:val="20"/>
                <w:szCs w:val="20"/>
                <w:highlight w:val="none"/>
              </w:rPr>
            </w:pPr>
            <w:r>
              <w:rPr>
                <w:rFonts w:hint="eastAsia" w:ascii="宋体" w:hAnsi="宋体"/>
                <w:color w:val="auto"/>
                <w:kern w:val="0"/>
                <w:sz w:val="20"/>
                <w:szCs w:val="20"/>
                <w:highlight w:val="none"/>
              </w:rPr>
              <w:t>3</w:t>
            </w:r>
            <w:r>
              <w:rPr>
                <w:rFonts w:ascii="宋体" w:hAnsi="宋体"/>
                <w:color w:val="auto"/>
                <w:kern w:val="0"/>
                <w:sz w:val="20"/>
                <w:szCs w:val="20"/>
                <w:highlight w:val="none"/>
              </w:rPr>
              <w:t>.提供厂商设备通过权威机构产品信息安全评估认证</w:t>
            </w:r>
            <w:r>
              <w:rPr>
                <w:rFonts w:hint="eastAsia" w:ascii="宋体" w:hAnsi="宋体"/>
                <w:color w:val="auto"/>
                <w:kern w:val="0"/>
                <w:sz w:val="20"/>
                <w:szCs w:val="20"/>
                <w:highlight w:val="none"/>
              </w:rPr>
              <w:t>证书</w:t>
            </w:r>
            <w:r>
              <w:rPr>
                <w:rFonts w:hint="eastAsia" w:ascii="宋体" w:hAnsi="宋体"/>
                <w:color w:val="auto"/>
                <w:kern w:val="0"/>
                <w:sz w:val="20"/>
                <w:szCs w:val="20"/>
                <w:highlight w:val="none"/>
                <w:lang w:eastAsia="zh-CN"/>
              </w:rPr>
              <w:t>扫描件</w:t>
            </w:r>
            <w:r>
              <w:rPr>
                <w:rFonts w:hint="eastAsia" w:ascii="宋体" w:hAnsi="宋体"/>
                <w:color w:val="auto"/>
                <w:kern w:val="0"/>
                <w:sz w:val="20"/>
                <w:szCs w:val="20"/>
                <w:highlight w:val="none"/>
              </w:rPr>
              <w:t>；</w:t>
            </w:r>
          </w:p>
          <w:p>
            <w:pPr>
              <w:pStyle w:val="2"/>
              <w:ind w:firstLine="56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218" w:type="dxa"/>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设备安装，信号测试，仪器使用配置等一系列施工及调试，交钥匙工程。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After w:w="0" w:type="dxa"/>
          <w:trHeight w:val="480" w:hRule="atLeast"/>
        </w:trPr>
        <w:tc>
          <w:tcPr>
            <w:tcW w:w="183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备注说明</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2"/>
                <w:szCs w:val="22"/>
                <w:highlight w:val="none"/>
              </w:rPr>
            </w:pPr>
            <w:r>
              <w:rPr>
                <w:rFonts w:hint="eastAsia" w:ascii="宋体" w:hAnsi="宋体" w:cs="宋体"/>
                <w:b/>
                <w:bCs/>
                <w:color w:val="auto"/>
                <w:kern w:val="0"/>
                <w:sz w:val="24"/>
                <w:highlight w:val="none"/>
              </w:rPr>
              <w:t>本项目针对信息发布系统已在土建工程中追加采购：户外全彩LED广告屏配套的框架，由土建单位负责实施</w:t>
            </w:r>
            <w:r>
              <w:rPr>
                <w:rFonts w:hint="eastAsia" w:ascii="宋体" w:hAnsi="宋体" w:cs="宋体"/>
                <w:b/>
                <w:bCs/>
                <w:color w:val="auto"/>
                <w:kern w:val="0"/>
                <w:sz w:val="24"/>
                <w:szCs w:val="20"/>
                <w:highlight w:val="none"/>
              </w:rPr>
              <w:t>，</w:t>
            </w:r>
            <w:r>
              <w:rPr>
                <w:rFonts w:hint="eastAsia" w:ascii="宋体" w:hAnsi="宋体" w:cs="宋体"/>
                <w:b/>
                <w:bCs/>
                <w:color w:val="auto"/>
                <w:kern w:val="0"/>
                <w:sz w:val="24"/>
                <w:highlight w:val="none"/>
              </w:rPr>
              <w:t>不在本次招标范围。但需结合配套到位，做好对接工作。</w:t>
            </w:r>
          </w:p>
        </w:tc>
      </w:tr>
    </w:tbl>
    <w:p>
      <w:pPr>
        <w:widowControl/>
        <w:rPr>
          <w:rFonts w:hint="eastAsia" w:ascii="宋体" w:hAnsi="宋体" w:cs="宋体"/>
          <w:color w:val="auto"/>
          <w:kern w:val="0"/>
          <w:sz w:val="20"/>
          <w:szCs w:val="20"/>
          <w:highlight w:val="none"/>
        </w:rPr>
      </w:pPr>
    </w:p>
    <w:p>
      <w:pPr>
        <w:pStyle w:val="2"/>
        <w:numPr>
          <w:ilvl w:val="0"/>
          <w:numId w:val="9"/>
        </w:numPr>
        <w:ind w:leftChars="0" w:firstLineChars="0"/>
        <w:rPr>
          <w:b/>
          <w:bCs/>
          <w:color w:val="auto"/>
          <w:highlight w:val="none"/>
        </w:rPr>
      </w:pPr>
      <w:r>
        <w:rPr>
          <w:rFonts w:hint="eastAsia"/>
          <w:b/>
          <w:bCs/>
          <w:color w:val="auto"/>
          <w:highlight w:val="none"/>
        </w:rPr>
        <w:t>会议室多媒体系统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18"/>
        <w:gridCol w:w="127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20" w:type="dxa"/>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序号</w:t>
            </w:r>
          </w:p>
        </w:tc>
        <w:tc>
          <w:tcPr>
            <w:tcW w:w="12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配置说明</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设备名称</w:t>
            </w:r>
          </w:p>
        </w:tc>
        <w:tc>
          <w:tcPr>
            <w:tcW w:w="6379"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vMerge w:val="restart"/>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大屏显示设备</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室内LED全彩显示屏</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一、参数要求</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▲1．像素间距≤1.88mm，SMD1515 LED黑灯，像素密度≥289000点/㎡；</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2．显示屏宽≥5.12米，高≥2.16米，面积≥11.06平方米，分辨率≥2752点×1152点，偏差范围不超过3％；</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★3．箱体结构：16:9的压铸铝箱体，模组、电源、接收卡支持前维护</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禁止模组磁吸钢结构或模组托架安装方式；本项目要求单元箱体为所投品牌整机出货，不接受市场组装机，采用原厂整机出厂方式供货安装，提供厂家整机出厂承诺函，箱体带有显示屏制造商logo，并提供带有显示屏制造商logo的模组丝印图片，供货备查。</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5．为适应室内长期观看，显示屏校正后亮度或白平衡亮度≥800nit（0-255无级可调）。（提供第三方权威机构出具的检测报告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6．显示屏亮度均匀性≥98%,色准△E≤0.9，色域≥120%NTSC，灰度等级≥14bit。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7．人眼视觉健康舒适度VICO指数达到1级，画面延时≤2ms。</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★8．为减少显示屏播放画面的卡顿感，使得画面更连贯、更流畅、更清晰，要求产品支持120HZ高帧率模式。（提供第三方权威机构出具的检测报告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★9．采用高端驱动芯片，刷新率≥3840H</w:t>
            </w:r>
            <w:r>
              <w:rPr>
                <w:rFonts w:ascii="宋体" w:hAnsi="宋体" w:cs="宋体"/>
                <w:color w:val="auto"/>
                <w:kern w:val="0"/>
                <w:sz w:val="20"/>
                <w:szCs w:val="20"/>
                <w:highlight w:val="none"/>
              </w:rPr>
              <w:t>Z</w:t>
            </w:r>
            <w:r>
              <w:rPr>
                <w:rFonts w:hint="eastAsia" w:ascii="宋体" w:hAnsi="宋体" w:cs="宋体"/>
                <w:color w:val="auto"/>
                <w:kern w:val="0"/>
                <w:sz w:val="20"/>
                <w:szCs w:val="20"/>
                <w:highlight w:val="none"/>
              </w:rPr>
              <w:t xml:space="preserve">；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10.连续工作7*24小时无故障，平均故障修复时间（MTTR）：≤3分钟。</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11．显示屏支持模块级亮度、色度校正功能，校正数据可保存及回读；</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★12．电源采用带PFC功能，功率因数≥0.98，转换效率达到86%及以上，推荐使用行业优秀品牌。（提供第三方权威机构出具的检测报告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13．产品峰值功耗：≤520W/㎡，平均功耗：≤174W/㎡，单元板功率≤18.06W。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14.具有智能节电技术，能源效率值≥3cd/W，睡眠模式下功率密度≤125W/㎡。（提供第三方权威机构出具的检测报告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15．显示屏具备防眩光黑色电喷工艺，表面墨色一致性和散热性能好；支持对色彩及亮度自动调整，保持色彩亮度一致性。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16．为保证良好的观看体验，屏体前后左右方工作噪声声压dBA（距离1米）均≤3.5dB。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17．产品盐雾试验符合盐雾10级要求，抗震等级满足8级要求，产品PCB、塑胶件、内部线材防火测试均满足V-0测试要求。</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18．产品通过防火测试：满足BS476-7表面燃烧测试1级标准；燃烧烟气毒测试满足R值≤1。</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19．产品支持1024级γ自动调整，通过构造非线性校正曲线和色坐标变换系数矩阵实现显示效果的不断改善，各项重要指标如色彩还原性、色温调节范围、亮度均匀性、色度均匀性、刷新率、换帧频率等均符合广电级标准。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★20.箱体支持1+1电源、接收卡冗余热备份功能，保证任一链路断开或硬件故障都不影响显示。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★21.采用低转折节能技术，具有4档可调节恒流拐点电压。（提供第三方权威机构出具的检测报告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22.产品满足基于GB 4943.1-2011标准下的温升测试，最大亮度连续工作2小时后，表面温升＜10K。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23.产品防尘性能满足IP6X防护等级要求，防水性能满足IPX5防护等级要求。</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二、资质要求</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1．提供制造商通过IECQ QC080000有害物质过程管理体系认证、具备信息技术服务运行维护标准符合性证书三级及以上证书、获得省级以上高清智慧显示工程技术研究中心认定、具有CMMI 3级及以上能力成熟度等级证书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pStyle w:val="2"/>
              <w:ind w:left="0" w:leftChars="0" w:firstLine="0" w:firstLineChars="0"/>
              <w:jc w:val="left"/>
              <w:rPr>
                <w:rFonts w:hint="eastAsia" w:ascii="宋体" w:hAnsi="宋体" w:eastAsia="宋体" w:cs="宋体"/>
                <w:color w:val="auto"/>
                <w:sz w:val="20"/>
                <w:highlight w:val="none"/>
                <w:lang w:eastAsia="zh-CN"/>
              </w:rPr>
            </w:pPr>
            <w:r>
              <w:rPr>
                <w:rFonts w:hint="eastAsia" w:ascii="宋体" w:hAnsi="宋体" w:cs="宋体"/>
                <w:color w:val="auto"/>
                <w:sz w:val="20"/>
                <w:highlight w:val="none"/>
              </w:rPr>
              <w:t>2．LED显示屏制造商在产品质量、经营管理、节能降耗、环境监测等方面的测量管理体系符合GB/T19022-2003/ISO 10012:2003《测量管理体系-测量过程和测量设备的要求》标准的全部要求，提供测量管理体系认证证书</w:t>
            </w:r>
            <w:r>
              <w:rPr>
                <w:rFonts w:hint="eastAsia" w:ascii="宋体" w:hAnsi="宋体" w:cs="宋体"/>
                <w:color w:val="auto"/>
                <w:sz w:val="20"/>
                <w:highlight w:val="none"/>
                <w:lang w:eastAsia="zh-CN"/>
              </w:rPr>
              <w:t>扫描件</w:t>
            </w:r>
            <w:r>
              <w:rPr>
                <w:rFonts w:hint="eastAsia" w:ascii="宋体" w:hAnsi="宋体" w:cs="宋体"/>
                <w:color w:val="auto"/>
                <w:sz w:val="20"/>
                <w:highlight w:val="none"/>
              </w:rPr>
              <w:t>。</w:t>
            </w:r>
          </w:p>
          <w:p>
            <w:pPr>
              <w:pStyle w:val="2"/>
              <w:ind w:left="0" w:leftChars="0" w:firstLine="0" w:firstLineChars="0"/>
              <w:jc w:val="left"/>
              <w:rPr>
                <w:rFonts w:hint="eastAsia" w:ascii="宋体" w:hAnsi="宋体" w:eastAsia="宋体" w:cs="宋体"/>
                <w:color w:val="auto"/>
                <w:sz w:val="20"/>
                <w:highlight w:val="none"/>
                <w:lang w:eastAsia="zh-CN"/>
              </w:rPr>
            </w:pPr>
            <w:r>
              <w:rPr>
                <w:rFonts w:ascii="宋体" w:hAnsi="宋体" w:cs="宋体"/>
                <w:color w:val="auto"/>
                <w:sz w:val="20"/>
                <w:highlight w:val="none"/>
              </w:rPr>
              <w:t>3</w:t>
            </w:r>
            <w:r>
              <w:rPr>
                <w:rFonts w:hint="eastAsia" w:ascii="宋体" w:hAnsi="宋体" w:cs="宋体"/>
                <w:color w:val="auto"/>
                <w:sz w:val="20"/>
                <w:highlight w:val="none"/>
              </w:rPr>
              <w:t>. 提供产品通过CCC认证证书</w:t>
            </w:r>
            <w:r>
              <w:rPr>
                <w:rFonts w:hint="eastAsia" w:ascii="宋体" w:hAnsi="宋体" w:cs="宋体"/>
                <w:color w:val="auto"/>
                <w:sz w:val="20"/>
                <w:highlight w:val="none"/>
                <w:lang w:eastAsia="zh-CN"/>
              </w:rPr>
              <w:t>扫描件</w:t>
            </w:r>
            <w:r>
              <w:rPr>
                <w:rFonts w:hint="eastAsia" w:ascii="宋体" w:hAnsi="宋体" w:cs="宋体"/>
                <w:color w:val="auto"/>
                <w:sz w:val="20"/>
                <w:highlight w:val="none"/>
              </w:rPr>
              <w:t>。</w:t>
            </w:r>
          </w:p>
          <w:p>
            <w:pPr>
              <w:pStyle w:val="2"/>
              <w:ind w:left="0" w:leftChars="0" w:firstLine="0" w:firstLineChars="0"/>
              <w:jc w:val="left"/>
              <w:rPr>
                <w:rFonts w:hint="eastAsia"/>
                <w:color w:val="auto"/>
                <w:highlight w:val="none"/>
              </w:rPr>
            </w:pPr>
            <w:r>
              <w:rPr>
                <w:rFonts w:ascii="宋体" w:hAnsi="宋体" w:cs="宋体"/>
                <w:color w:val="auto"/>
                <w:sz w:val="20"/>
                <w:highlight w:val="none"/>
              </w:rPr>
              <w:t>4</w:t>
            </w:r>
            <w:r>
              <w:rPr>
                <w:rFonts w:hint="eastAsia" w:ascii="宋体" w:hAnsi="宋体" w:cs="宋体"/>
                <w:color w:val="auto"/>
                <w:sz w:val="20"/>
                <w:highlight w:val="none"/>
              </w:rPr>
              <w:t>.提供第三方权威机构出具的产品具备蓝光危害安全检测报告</w:t>
            </w:r>
            <w:r>
              <w:rPr>
                <w:rFonts w:hint="eastAsia" w:ascii="宋体" w:hAnsi="宋体" w:cs="宋体"/>
                <w:color w:val="auto"/>
                <w:sz w:val="20"/>
                <w:highlight w:val="none"/>
                <w:lang w:eastAsia="zh-CN"/>
              </w:rPr>
              <w:t>扫描件</w:t>
            </w:r>
            <w:r>
              <w:rPr>
                <w:rFonts w:hint="eastAsia" w:ascii="宋体" w:hAnsi="宋体" w:cs="宋体"/>
                <w:color w:val="auto"/>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视频处理器</w:t>
            </w:r>
          </w:p>
        </w:tc>
        <w:tc>
          <w:tcPr>
            <w:tcW w:w="6379" w:type="dxa"/>
            <w:shd w:val="clear" w:color="000000" w:fill="FFFFFF"/>
            <w:noWrap w:val="0"/>
            <w:vAlign w:val="center"/>
          </w:tcPr>
          <w:p>
            <w:pPr>
              <w:pStyle w:val="287"/>
              <w:numPr>
                <w:ilvl w:val="0"/>
                <w:numId w:val="13"/>
              </w:numPr>
              <w:ind w:firstLineChars="0"/>
              <w:jc w:val="left"/>
              <w:rPr>
                <w:rFonts w:ascii="宋体" w:hAnsi="宋体" w:cs="宋体"/>
                <w:color w:val="auto"/>
                <w:kern w:val="0"/>
                <w:sz w:val="20"/>
                <w:szCs w:val="20"/>
                <w:highlight w:val="none"/>
              </w:rPr>
            </w:pPr>
            <w:r>
              <w:rPr>
                <w:rFonts w:ascii="宋体" w:hAnsi="宋体" w:cs="宋体"/>
                <w:color w:val="auto"/>
                <w:kern w:val="0"/>
                <w:sz w:val="20"/>
                <w:szCs w:val="20"/>
                <w:highlight w:val="none"/>
              </w:rPr>
              <w:t>支持常见的视频接口，包括</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2 路 HDMI1.3，1 路 DVI</w:t>
            </w:r>
            <w:r>
              <w:rPr>
                <w:rFonts w:hint="eastAsia" w:ascii="宋体" w:hAnsi="宋体" w:cs="宋体"/>
                <w:color w:val="auto"/>
                <w:kern w:val="0"/>
                <w:sz w:val="20"/>
                <w:szCs w:val="20"/>
                <w:highlight w:val="none"/>
              </w:rPr>
              <w:t>。</w:t>
            </w:r>
          </w:p>
          <w:p>
            <w:pPr>
              <w:pStyle w:val="287"/>
              <w:numPr>
                <w:ilvl w:val="0"/>
                <w:numId w:val="13"/>
              </w:numPr>
              <w:ind w:firstLineChars="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支持3.5mm音频输入和3.5mm音频输出。</w:t>
            </w:r>
            <w:r>
              <w:rPr>
                <w:rFonts w:ascii="宋体" w:hAnsi="宋体" w:cs="宋体"/>
                <w:color w:val="auto"/>
                <w:kern w:val="0"/>
                <w:sz w:val="20"/>
                <w:szCs w:val="20"/>
                <w:highlight w:val="none"/>
              </w:rPr>
              <w:t xml:space="preserve"> </w:t>
            </w:r>
          </w:p>
          <w:p>
            <w:pPr>
              <w:pStyle w:val="287"/>
              <w:numPr>
                <w:ilvl w:val="0"/>
                <w:numId w:val="13"/>
              </w:numPr>
              <w:ind w:firstLineChars="0"/>
              <w:jc w:val="left"/>
              <w:rPr>
                <w:rFonts w:ascii="宋体" w:hAnsi="宋体" w:cs="宋体"/>
                <w:color w:val="auto"/>
                <w:kern w:val="0"/>
                <w:sz w:val="20"/>
                <w:szCs w:val="20"/>
                <w:highlight w:val="none"/>
              </w:rPr>
            </w:pPr>
            <w:r>
              <w:rPr>
                <w:rFonts w:ascii="宋体" w:hAnsi="宋体" w:cs="宋体"/>
                <w:color w:val="auto"/>
                <w:kern w:val="0"/>
                <w:sz w:val="20"/>
                <w:szCs w:val="20"/>
                <w:highlight w:val="none"/>
              </w:rPr>
              <w:t xml:space="preserve">支持 3 个窗口和 1 路 OSD。  </w:t>
            </w:r>
          </w:p>
          <w:p>
            <w:pPr>
              <w:pStyle w:val="287"/>
              <w:numPr>
                <w:ilvl w:val="0"/>
                <w:numId w:val="13"/>
              </w:numPr>
              <w:ind w:firstLineChars="0"/>
              <w:jc w:val="left"/>
              <w:rPr>
                <w:rFonts w:ascii="宋体" w:hAnsi="宋体" w:cs="宋体"/>
                <w:color w:val="auto"/>
                <w:kern w:val="0"/>
                <w:sz w:val="20"/>
                <w:szCs w:val="20"/>
                <w:highlight w:val="none"/>
              </w:rPr>
            </w:pPr>
            <w:r>
              <w:rPr>
                <w:rFonts w:ascii="宋体" w:hAnsi="宋体" w:cs="宋体"/>
                <w:color w:val="auto"/>
                <w:kern w:val="0"/>
                <w:sz w:val="20"/>
                <w:szCs w:val="20"/>
                <w:highlight w:val="none"/>
              </w:rPr>
              <w:t xml:space="preserve">支持快捷配屏和高级配屏功能。  </w:t>
            </w:r>
          </w:p>
          <w:p>
            <w:pPr>
              <w:pStyle w:val="287"/>
              <w:numPr>
                <w:ilvl w:val="0"/>
                <w:numId w:val="13"/>
              </w:numPr>
              <w:ind w:firstLineChars="0"/>
              <w:jc w:val="left"/>
              <w:rPr>
                <w:rFonts w:ascii="宋体" w:hAnsi="宋体" w:cs="宋体"/>
                <w:color w:val="auto"/>
                <w:kern w:val="0"/>
                <w:sz w:val="20"/>
                <w:szCs w:val="20"/>
                <w:highlight w:val="none"/>
              </w:rPr>
            </w:pPr>
            <w:r>
              <w:rPr>
                <w:rFonts w:ascii="宋体" w:hAnsi="宋体" w:cs="宋体"/>
                <w:color w:val="auto"/>
                <w:kern w:val="0"/>
                <w:sz w:val="20"/>
                <w:szCs w:val="20"/>
                <w:highlight w:val="none"/>
              </w:rPr>
              <w:t xml:space="preserve">支持 HDMI、DVI 输入分辨率自定义调节。  </w:t>
            </w:r>
          </w:p>
          <w:p>
            <w:pPr>
              <w:pStyle w:val="287"/>
              <w:numPr>
                <w:ilvl w:val="0"/>
                <w:numId w:val="13"/>
              </w:numPr>
              <w:ind w:firstLineChars="0"/>
              <w:jc w:val="left"/>
              <w:rPr>
                <w:rFonts w:ascii="宋体" w:hAnsi="宋体" w:cs="宋体"/>
                <w:color w:val="auto"/>
                <w:kern w:val="0"/>
                <w:sz w:val="20"/>
                <w:szCs w:val="20"/>
                <w:highlight w:val="none"/>
              </w:rPr>
            </w:pPr>
            <w:r>
              <w:rPr>
                <w:rFonts w:ascii="宋体" w:hAnsi="宋体" w:cs="宋体"/>
                <w:color w:val="auto"/>
                <w:kern w:val="0"/>
                <w:sz w:val="20"/>
                <w:szCs w:val="20"/>
                <w:highlight w:val="none"/>
              </w:rPr>
              <w:t xml:space="preserve">支持设备间备份设置。  </w:t>
            </w:r>
          </w:p>
          <w:p>
            <w:pPr>
              <w:pStyle w:val="287"/>
              <w:numPr>
                <w:ilvl w:val="0"/>
                <w:numId w:val="13"/>
              </w:numPr>
              <w:ind w:firstLineChars="0"/>
              <w:jc w:val="left"/>
              <w:rPr>
                <w:rFonts w:ascii="宋体" w:hAnsi="宋体" w:cs="宋体"/>
                <w:color w:val="auto"/>
                <w:kern w:val="0"/>
                <w:sz w:val="20"/>
                <w:szCs w:val="20"/>
                <w:highlight w:val="none"/>
              </w:rPr>
            </w:pPr>
            <w:r>
              <w:rPr>
                <w:rFonts w:ascii="宋体" w:hAnsi="宋体" w:cs="宋体"/>
                <w:color w:val="auto"/>
                <w:kern w:val="0"/>
                <w:sz w:val="20"/>
                <w:szCs w:val="20"/>
                <w:highlight w:val="none"/>
              </w:rPr>
              <w:t xml:space="preserve">视频输出最大带载高达 390 万像素。   </w:t>
            </w:r>
          </w:p>
          <w:p>
            <w:pPr>
              <w:pStyle w:val="287"/>
              <w:numPr>
                <w:ilvl w:val="0"/>
                <w:numId w:val="13"/>
              </w:numPr>
              <w:ind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支持一键将优先级最低的窗口全屏自动缩放</w:t>
            </w:r>
            <w:r>
              <w:rPr>
                <w:rFonts w:hint="eastAsia" w:ascii="宋体" w:hAnsi="宋体" w:cs="宋体"/>
                <w:color w:val="auto"/>
                <w:kern w:val="0"/>
                <w:sz w:val="20"/>
                <w:szCs w:val="20"/>
                <w:highlight w:val="none"/>
              </w:rPr>
              <w:t>，增强产品实用性能。</w:t>
            </w:r>
            <w:r>
              <w:rPr>
                <w:rFonts w:ascii="宋体" w:hAnsi="宋体" w:cs="宋体"/>
                <w:color w:val="auto"/>
                <w:kern w:val="0"/>
                <w:sz w:val="20"/>
                <w:szCs w:val="20"/>
                <w:highlight w:val="none"/>
              </w:rPr>
              <w:t xml:space="preserve"> </w:t>
            </w:r>
            <w:r>
              <w:rPr>
                <w:rFonts w:hint="eastAsia" w:ascii="宋体" w:hAnsi="宋体" w:cs="宋体"/>
                <w:color w:val="auto"/>
                <w:kern w:val="0"/>
                <w:sz w:val="20"/>
                <w:szCs w:val="20"/>
                <w:highlight w:val="none"/>
              </w:rPr>
              <w:t>（提供第三方权威机构出具的检测报告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pStyle w:val="287"/>
              <w:numPr>
                <w:ilvl w:val="0"/>
                <w:numId w:val="13"/>
              </w:numPr>
              <w:ind w:firstLineChars="0"/>
              <w:jc w:val="left"/>
              <w:rPr>
                <w:rFonts w:ascii="宋体" w:hAnsi="宋体" w:cs="宋体"/>
                <w:color w:val="auto"/>
                <w:kern w:val="0"/>
                <w:sz w:val="20"/>
                <w:szCs w:val="20"/>
                <w:highlight w:val="none"/>
              </w:rPr>
            </w:pPr>
            <w:r>
              <w:rPr>
                <w:rFonts w:ascii="宋体" w:hAnsi="宋体" w:cs="宋体"/>
                <w:color w:val="auto"/>
                <w:kern w:val="0"/>
                <w:sz w:val="20"/>
                <w:szCs w:val="20"/>
                <w:highlight w:val="none"/>
              </w:rPr>
              <w:t>支持创建 10 个用户场景作为模板保存，方便使用。</w:t>
            </w:r>
            <w:r>
              <w:rPr>
                <w:rFonts w:hint="eastAsia" w:ascii="宋体" w:hAnsi="宋体" w:cs="宋体"/>
                <w:color w:val="auto"/>
                <w:kern w:val="0"/>
                <w:sz w:val="20"/>
                <w:szCs w:val="20"/>
                <w:highlight w:val="none"/>
              </w:rPr>
              <w:t>（提供第三方权威机构出具的检测报告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bookmarkStart w:id="1" w:name="_Hlk41992868"/>
          </w:p>
          <w:bookmarkEnd w:id="1"/>
          <w:p>
            <w:pPr>
              <w:pStyle w:val="287"/>
              <w:numPr>
                <w:ilvl w:val="0"/>
                <w:numId w:val="13"/>
              </w:numPr>
              <w:ind w:firstLineChars="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★产品本身集成视频处理器与发送卡于一体。（提供软件著作权证书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pStyle w:val="287"/>
              <w:numPr>
                <w:ilvl w:val="0"/>
                <w:numId w:val="13"/>
              </w:numPr>
              <w:autoSpaceDE w:val="0"/>
              <w:autoSpaceDN w:val="0"/>
              <w:ind w:firstLineChars="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★支持逐点亮色度校正技术，校正过程快速高效，支持直接现场校正。</w:t>
            </w:r>
          </w:p>
          <w:p>
            <w:pPr>
              <w:numPr>
                <w:ilvl w:val="0"/>
                <w:numId w:val="13"/>
              </w:num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提供产品3C认证证书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numPr>
                <w:ilvl w:val="0"/>
                <w:numId w:val="13"/>
              </w:numPr>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提供LED显示屏控制软件和播放软件计算机软件著作权证书</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屏体配电系统</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1.配电系统应配备过流、短路、断路、过压、欠压、温度过高等保护措施，以及相应的故障指示装置。</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2.具体配置根据各投标人相关控制要求自行配置（但需包括避雷器、时间继电器、电压电流表、微电脑时控开关及远程控制口等），具备防腐防尘防水等功能，防护等级 IP43，并自述配电柜的相关配置。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结构</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定制钢结构，边框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218" w:type="dxa"/>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工程线缆</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主电缆线、屏体内电源线、信号线，线材、线缆、及其他附件，数量按项目需要配置。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218" w:type="dxa"/>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无线传屏终端</w:t>
            </w:r>
          </w:p>
        </w:tc>
        <w:tc>
          <w:tcPr>
            <w:tcW w:w="6379" w:type="dxa"/>
            <w:shd w:val="clear" w:color="000000" w:fill="FFFFFF"/>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一、传屏主机：1台</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★1.输出分辨率：支持单画面分辨率为4K并且帧率最高达60的视频输出；同时也支持双屏异显，一路画面分辨率为4K，一路画面为1080p的视频输出。（提供第三方权威机构出具的检测报告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2.采用RK 3399 芯片，6核CPU，内置Android 9.0操作系统，存储容量16G ROM，系统内存4G RAM。（提供第三方权威机构出具的检测报告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3.整机具有非常高的兼容性，支持MAC OS、Windows、Android、IOS和Linux五种系统的投屏。（提供第三方权威机构出具的检测报告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4.整机支持局域网传屏，手机、电脑可通过软件进行局域网投屏。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★5.手机和电脑支持混合投屏展示，最多支持九画面同屏展示。（提供第三方权威机构出具的检测报告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6.为了提升会议室的简洁度，一根HDMI连接显示屏即可实现高清显示.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7.输入端子：1路DC；1路 USB 2.0；1路 USB 3.0。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8.输出端子：2路HDMI OUT; 1路LINE OUT。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9.为保证整机一体性，内置天线设计，无外部天线设备。（提供第三方权威机构出具的检测报告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10.支持Type-C和USB无线传屏器，可兼容市面上具备通用型USB及Type-C接口的电脑。</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11.HDMI支持双屏异显、双屏同显，方便客户端展示。（提供第三方权威机构出具的检测报告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12.支持POE供电，方便客户部署。（提供第三方权威机构出具的检测报告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★13.产品内置接收模块，除无线传屏器和经HDMI线连接的外接显示设备外不需要连接任何附加设备，可实现外部电脑音视频信号实时传输到外接设备上。（提供第三方权威机构出具的检测报告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14.无线频段：IEEE 802.11 a/b/g/n/ac，工作频率：2.4G/5GHZ，理想传输距离：30米。</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15.传输延迟≤70ms。.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16.整机发射2.4G/5GHZ的AP热点，传输更加稳定，干扰更小，无需其他多余外接设备和连接线。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17.HDMI输出信号提供两种方式输出，可选择总是输出和传屏时输出，有效避免信号冲突，使整机和用户已有的会议系统配合度更高。（提供国家级第三方认证机构测试报告</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18.无线热点可隐藏整机无线热点SSID,避免整机热点对网络的视觉干扰.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19.无线热点支持网络隔离，开启以后用户连接盒子热点后，无法访问企业内网，安全性更好。</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20.支持手机投屏软件操控大屏，小屏控大屏满足近端操控需求。（提供第三方权威机构出具的检测报告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21.支持同时32个无线传屏器，画面分别投屏到同一个传屏盒子，可通过按键切换传输不同外部电脑的画面及声音。（提供第三方权威机构出具的检测报告</w:t>
            </w:r>
            <w:r>
              <w:rPr>
                <w:rFonts w:hint="eastAsia" w:ascii="宋体" w:hAnsi="宋体" w:cs="宋体"/>
                <w:color w:val="auto"/>
                <w:kern w:val="0"/>
                <w:sz w:val="20"/>
                <w:szCs w:val="20"/>
                <w:highlight w:val="none"/>
                <w:lang w:eastAsia="zh-CN"/>
              </w:rPr>
              <w:t>扫描件</w:t>
            </w:r>
            <w:r>
              <w:rPr>
                <w:rFonts w:hint="eastAsia" w:ascii="宋体" w:hAnsi="宋体" w:cs="宋体"/>
                <w:color w:val="auto"/>
                <w:kern w:val="0"/>
                <w:sz w:val="20"/>
                <w:szCs w:val="20"/>
                <w:highlight w:val="none"/>
              </w:rPr>
              <w:t>）</w:t>
            </w:r>
          </w:p>
          <w:p>
            <w:pPr>
              <w:widowControl/>
              <w:jc w:val="left"/>
              <w:rPr>
                <w:rFonts w:ascii="宋体" w:hAnsi="宋体" w:cs="宋体"/>
                <w:color w:val="auto"/>
                <w:kern w:val="0"/>
                <w:sz w:val="20"/>
                <w:szCs w:val="20"/>
                <w:highlight w:val="none"/>
              </w:rPr>
            </w:pPr>
            <w:r>
              <w:rPr>
                <w:rFonts w:ascii="宋体" w:hAnsi="宋体" w:cs="宋体"/>
                <w:color w:val="auto"/>
                <w:kern w:val="0"/>
                <w:sz w:val="20"/>
                <w:szCs w:val="20"/>
                <w:highlight w:val="none"/>
              </w:rPr>
              <w:t>22.</w:t>
            </w:r>
            <w:r>
              <w:rPr>
                <w:rFonts w:hint="eastAsia" w:ascii="宋体" w:hAnsi="宋体" w:cs="宋体"/>
                <w:color w:val="auto"/>
                <w:kern w:val="0"/>
                <w:sz w:val="20"/>
                <w:szCs w:val="20"/>
                <w:highlight w:val="none"/>
              </w:rPr>
              <w:t>产品支持Windows电脑使用无线传屏器传屏的扩展屏展示。</w:t>
            </w:r>
          </w:p>
          <w:p>
            <w:pPr>
              <w:pStyle w:val="2"/>
              <w:spacing w:after="0"/>
              <w:ind w:left="0" w:leftChars="0" w:firstLine="0" w:firstLineChars="0"/>
              <w:rPr>
                <w:rFonts w:ascii="宋体" w:hAnsi="宋体" w:cs="宋体"/>
                <w:color w:val="auto"/>
                <w:sz w:val="20"/>
                <w:highlight w:val="none"/>
              </w:rPr>
            </w:pPr>
            <w:r>
              <w:rPr>
                <w:rFonts w:hint="eastAsia" w:ascii="宋体" w:hAnsi="宋体" w:cs="宋体"/>
                <w:color w:val="auto"/>
                <w:sz w:val="20"/>
                <w:highlight w:val="none"/>
              </w:rPr>
              <w:t>二、传屏尾巴：2个</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1.接口：≥USB Type-C 1 个 ；USB Type-A（转接头） 1 个；</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2.最长连接距离：12M；</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3.支持操作系统 win7/win10/win11/Mac OS 10.12 及；</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4.最快启动时间：≤5s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5.冷启动时间：≤12s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6.最快断开画面时间：1s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7.传输延迟：≤100ms；</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8.最大分辨率：默认1920×1080@60Hz；USB Type-C 最大支持 2560×1440@25Hz；USB Type-A 最大支持 3840×2160@30Hz；</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9.支持NFC一碰连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10.支持蓝牙配对连接唤醒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11.支持触摸回传；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12.工作频率：2.4GHz；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13.工作距离：0~12m；</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14.输入电源参数（电压、频率）：5V@500mA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15.整机功耗：≤2.5W；</w:t>
            </w:r>
          </w:p>
          <w:p>
            <w:pPr>
              <w:widowControl/>
              <w:jc w:val="left"/>
              <w:rPr>
                <w:rFonts w:hint="eastAsia"/>
                <w:color w:val="auto"/>
                <w:highlight w:val="none"/>
              </w:rPr>
            </w:pPr>
            <w:r>
              <w:rPr>
                <w:rFonts w:hint="eastAsia" w:ascii="宋体" w:hAnsi="宋体" w:cs="宋体"/>
                <w:color w:val="auto"/>
                <w:kern w:val="0"/>
                <w:sz w:val="20"/>
                <w:szCs w:val="20"/>
                <w:highlight w:val="none"/>
              </w:rPr>
              <w:t>16.按键位置及个数：LOGO 按键，1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218" w:type="dxa"/>
            <w:vMerge w:val="continue"/>
            <w:noWrap w:val="0"/>
            <w:vAlign w:val="center"/>
          </w:tcPr>
          <w:p>
            <w:pPr>
              <w:widowControl/>
              <w:jc w:val="left"/>
              <w:rPr>
                <w:rFonts w:ascii="宋体" w:hAnsi="宋体" w:cs="宋体"/>
                <w:color w:val="auto"/>
                <w:kern w:val="0"/>
                <w:sz w:val="18"/>
                <w:szCs w:val="18"/>
                <w:highlight w:val="none"/>
              </w:rPr>
            </w:pPr>
          </w:p>
        </w:tc>
        <w:tc>
          <w:tcPr>
            <w:tcW w:w="1276"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控制终端</w:t>
            </w:r>
          </w:p>
        </w:tc>
        <w:tc>
          <w:tcPr>
            <w:tcW w:w="6379"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固定式控制终端1台：≥I5-6500T/16G/250G/WIN10系统/无线键鼠</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移动式控制终端1台：≥i5-1135G7/8G/1T+128G/集显/无线网卡/14.0"高清屏幕/Win10/包鼠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218" w:type="dxa"/>
            <w:vMerge w:val="restart"/>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20"/>
                <w:szCs w:val="20"/>
                <w:highlight w:val="none"/>
              </w:rPr>
              <w:t>录播设备</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会议录播终端</w:t>
            </w:r>
          </w:p>
        </w:tc>
        <w:tc>
          <w:tcPr>
            <w:tcW w:w="6379" w:type="dxa"/>
            <w:noWrap w:val="0"/>
            <w:vAlign w:val="center"/>
          </w:tcPr>
          <w:p>
            <w:pPr>
              <w:pStyle w:val="287"/>
              <w:widowControl/>
              <w:numPr>
                <w:ilvl w:val="0"/>
                <w:numId w:val="14"/>
              </w:numPr>
              <w:spacing w:line="500" w:lineRule="exact"/>
              <w:ind w:firstLineChars="0"/>
              <w:contextualSpacing/>
              <w:jc w:val="left"/>
              <w:rPr>
                <w:rFonts w:ascii="宋体" w:hAnsi="宋体"/>
                <w:b/>
                <w:bCs/>
                <w:color w:val="auto"/>
                <w:sz w:val="24"/>
                <w:szCs w:val="24"/>
                <w:highlight w:val="none"/>
              </w:rPr>
            </w:pPr>
            <w:r>
              <w:rPr>
                <w:rFonts w:hint="eastAsia" w:ascii="宋体" w:hAnsi="宋体"/>
                <w:b/>
                <w:bCs/>
                <w:color w:val="auto"/>
                <w:sz w:val="24"/>
                <w:szCs w:val="24"/>
                <w:highlight w:val="none"/>
              </w:rPr>
              <w:t>硬件参数及功能：</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1</w:t>
            </w:r>
            <w:r>
              <w:rPr>
                <w:rFonts w:ascii="宋体" w:hAnsi="宋体"/>
                <w:color w:val="auto"/>
                <w:sz w:val="20"/>
                <w:szCs w:val="20"/>
                <w:highlight w:val="none"/>
              </w:rPr>
              <w:t>.</w:t>
            </w:r>
            <w:r>
              <w:rPr>
                <w:rFonts w:hint="eastAsia" w:ascii="宋体" w:hAnsi="宋体"/>
                <w:color w:val="auto"/>
                <w:sz w:val="20"/>
                <w:szCs w:val="20"/>
                <w:highlight w:val="none"/>
              </w:rPr>
              <w:t>一体化智能终端，摄像机、触控显示屏（≥11寸）、麦克风和扬声器高度集成。</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2</w:t>
            </w:r>
            <w:r>
              <w:rPr>
                <w:rFonts w:ascii="宋体" w:hAnsi="宋体"/>
                <w:color w:val="auto"/>
                <w:sz w:val="20"/>
                <w:szCs w:val="20"/>
                <w:highlight w:val="none"/>
              </w:rPr>
              <w:t>.</w:t>
            </w:r>
            <w:r>
              <w:rPr>
                <w:rFonts w:hint="eastAsia" w:ascii="宋体" w:hAnsi="宋体"/>
                <w:color w:val="auto"/>
                <w:sz w:val="20"/>
                <w:szCs w:val="20"/>
                <w:highlight w:val="none"/>
              </w:rPr>
              <w:t>可提供终端 API，与第三方行业应用进行深度定制。</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3</w:t>
            </w:r>
            <w:r>
              <w:rPr>
                <w:rFonts w:ascii="宋体" w:hAnsi="宋体"/>
                <w:color w:val="auto"/>
                <w:sz w:val="20"/>
                <w:szCs w:val="20"/>
                <w:highlight w:val="none"/>
              </w:rPr>
              <w:t>.</w:t>
            </w:r>
            <w:r>
              <w:rPr>
                <w:rFonts w:hint="eastAsia" w:ascii="宋体" w:hAnsi="宋体"/>
                <w:color w:val="auto"/>
                <w:sz w:val="20"/>
                <w:szCs w:val="20"/>
                <w:highlight w:val="none"/>
              </w:rPr>
              <w:t>内置高性能电池，在无外置供电的情况下可参加会议，续航能力：待机时长≥10小时，工作时长≥3小时。</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4</w:t>
            </w:r>
            <w:r>
              <w:rPr>
                <w:rFonts w:ascii="宋体" w:hAnsi="宋体"/>
                <w:color w:val="auto"/>
                <w:sz w:val="20"/>
                <w:szCs w:val="20"/>
                <w:highlight w:val="none"/>
              </w:rPr>
              <w:t>.</w:t>
            </w:r>
            <w:r>
              <w:rPr>
                <w:rFonts w:hint="eastAsia" w:ascii="宋体" w:hAnsi="宋体"/>
                <w:color w:val="auto"/>
                <w:sz w:val="20"/>
                <w:szCs w:val="20"/>
                <w:highlight w:val="none"/>
              </w:rPr>
              <w:t>采用嵌入式操作系统，非PC架构，通过遥控器或触控屏幕进行会议控制包括控制声音、图像、会议管理等，非键盘鼠标操作，采用国产芯片。（提供第三方权威机构出具的检测报告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5</w:t>
            </w:r>
            <w:r>
              <w:rPr>
                <w:rFonts w:ascii="宋体" w:hAnsi="宋体"/>
                <w:color w:val="auto"/>
                <w:sz w:val="20"/>
                <w:szCs w:val="20"/>
                <w:highlight w:val="none"/>
              </w:rPr>
              <w:t>.</w:t>
            </w:r>
            <w:r>
              <w:rPr>
                <w:rFonts w:hint="eastAsia" w:ascii="宋体" w:hAnsi="宋体"/>
                <w:color w:val="auto"/>
                <w:sz w:val="20"/>
                <w:szCs w:val="20"/>
                <w:highlight w:val="none"/>
              </w:rPr>
              <w:t>集成专业级高清镜头，支持108°水平视角，采用4K分辨率感光元件，自动对焦。</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w:t>
            </w:r>
            <w:r>
              <w:rPr>
                <w:rFonts w:hint="eastAsia" w:ascii="宋体" w:hAnsi="宋体"/>
                <w:color w:val="auto"/>
                <w:sz w:val="20"/>
                <w:szCs w:val="20"/>
                <w:highlight w:val="none"/>
              </w:rPr>
              <w:t>支持手动控制旋转，实现±180°视野覆盖，支持镜头单独垂直方向调整。</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7</w:t>
            </w:r>
            <w:r>
              <w:rPr>
                <w:rFonts w:ascii="宋体" w:hAnsi="宋体"/>
                <w:color w:val="auto"/>
                <w:sz w:val="20"/>
                <w:szCs w:val="20"/>
                <w:highlight w:val="none"/>
              </w:rPr>
              <w:t>.</w:t>
            </w:r>
            <w:r>
              <w:rPr>
                <w:rFonts w:hint="eastAsia" w:ascii="宋体" w:hAnsi="宋体"/>
                <w:color w:val="auto"/>
                <w:sz w:val="20"/>
                <w:szCs w:val="20"/>
                <w:highlight w:val="none"/>
              </w:rPr>
              <w:t>终端可以关闭本地视频，可以通过物理开关关闭视频，可以通过会控平台关闭视频，视频关闭后其他与会者不能看到本地视频，本地终端正常接受远端主流和辅流视频。（提供第三方权威机构出具的检测报告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ascii="宋体" w:hAnsi="宋体"/>
                <w:color w:val="auto"/>
                <w:sz w:val="20"/>
                <w:szCs w:val="20"/>
                <w:highlight w:val="none"/>
              </w:rPr>
            </w:pPr>
            <w:r>
              <w:rPr>
                <w:rFonts w:hint="eastAsia" w:ascii="宋体" w:hAnsi="宋体"/>
                <w:color w:val="auto"/>
                <w:sz w:val="20"/>
                <w:szCs w:val="20"/>
                <w:highlight w:val="none"/>
              </w:rPr>
              <w:t>8</w:t>
            </w:r>
            <w:r>
              <w:rPr>
                <w:rFonts w:ascii="宋体" w:hAnsi="宋体"/>
                <w:color w:val="auto"/>
                <w:sz w:val="20"/>
                <w:szCs w:val="20"/>
                <w:highlight w:val="none"/>
              </w:rPr>
              <w:t>.</w:t>
            </w:r>
            <w:r>
              <w:rPr>
                <w:rFonts w:hint="eastAsia" w:ascii="宋体" w:hAnsi="宋体"/>
                <w:color w:val="auto"/>
                <w:sz w:val="20"/>
                <w:szCs w:val="20"/>
                <w:highlight w:val="none"/>
              </w:rPr>
              <w:t>支持360°全向拾音， 8米有效拾音距离。（提供第三方权威机构出具的检测报告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9</w:t>
            </w:r>
            <w:r>
              <w:rPr>
                <w:rFonts w:ascii="宋体" w:hAnsi="宋体"/>
                <w:color w:val="auto"/>
                <w:sz w:val="20"/>
                <w:szCs w:val="20"/>
                <w:highlight w:val="none"/>
              </w:rPr>
              <w:t>.</w:t>
            </w:r>
            <w:r>
              <w:rPr>
                <w:rFonts w:hint="eastAsia" w:ascii="宋体" w:hAnsi="宋体"/>
                <w:color w:val="auto"/>
                <w:sz w:val="20"/>
                <w:szCs w:val="20"/>
                <w:highlight w:val="none"/>
              </w:rPr>
              <w:t>视频接口：具备≥2个高清视频输入和1个高清视频输出接口，支持POE供电IP摄像机高清输入接口，通过网线实现视频、电源、控制信号共线传输，简化布线。上述接口需终端集成，不接受转接方式实现。（提供清晰的背板照片证明）</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1</w:t>
            </w:r>
            <w:r>
              <w:rPr>
                <w:rFonts w:ascii="宋体" w:hAnsi="宋体"/>
                <w:color w:val="auto"/>
                <w:sz w:val="20"/>
                <w:szCs w:val="20"/>
                <w:highlight w:val="none"/>
              </w:rPr>
              <w:t>0.</w:t>
            </w:r>
            <w:r>
              <w:rPr>
                <w:rFonts w:hint="eastAsia" w:ascii="宋体" w:hAnsi="宋体"/>
                <w:color w:val="auto"/>
                <w:sz w:val="20"/>
                <w:szCs w:val="20"/>
                <w:highlight w:val="none"/>
              </w:rPr>
              <w:t>音频接口：≥1个3.5mm音频输入接口，≥1个3.5mm音频输出接口，≥2个POE供电IP麦克风接口，通过网线实现音频、电源、控制信号共线传输。上述接口需终端集成，不接受转接方式实现。（提供清晰的背板照片证明）</w:t>
            </w:r>
          </w:p>
          <w:p>
            <w:pPr>
              <w:pStyle w:val="287"/>
              <w:widowControl/>
              <w:ind w:firstLine="0" w:firstLineChars="0"/>
              <w:contextualSpacing/>
              <w:jc w:val="left"/>
              <w:rPr>
                <w:rFonts w:hint="eastAsia" w:ascii="宋体" w:hAnsi="宋体"/>
                <w:color w:val="auto"/>
                <w:sz w:val="20"/>
                <w:szCs w:val="20"/>
                <w:highlight w:val="none"/>
              </w:rPr>
            </w:pPr>
            <w:r>
              <w:rPr>
                <w:rFonts w:ascii="宋体" w:hAnsi="宋体"/>
                <w:color w:val="auto"/>
                <w:sz w:val="20"/>
                <w:szCs w:val="20"/>
                <w:highlight w:val="none"/>
              </w:rPr>
              <w:t>11.</w:t>
            </w:r>
            <w:r>
              <w:rPr>
                <w:rFonts w:hint="eastAsia" w:ascii="宋体" w:hAnsi="宋体"/>
                <w:color w:val="auto"/>
                <w:sz w:val="20"/>
                <w:szCs w:val="20"/>
                <w:highlight w:val="none"/>
              </w:rPr>
              <w:t>扩展接口：可以通过USB接口自动导入配置，进行设备安装部署，可以通过U盘定制开机LOGO。（提供第三方权威机构出具的检测报告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1</w:t>
            </w:r>
            <w:r>
              <w:rPr>
                <w:rFonts w:ascii="宋体" w:hAnsi="宋体"/>
                <w:color w:val="auto"/>
                <w:sz w:val="20"/>
                <w:szCs w:val="20"/>
                <w:highlight w:val="none"/>
              </w:rPr>
              <w:t>2.</w:t>
            </w:r>
            <w:r>
              <w:rPr>
                <w:rFonts w:hint="eastAsia" w:ascii="宋体" w:hAnsi="宋体"/>
                <w:color w:val="auto"/>
                <w:sz w:val="20"/>
                <w:szCs w:val="20"/>
                <w:highlight w:val="none"/>
              </w:rPr>
              <w:t>机身自带物联网卡槽，可以接入中国电信/中国联通/中国移动4G网络进行视频通话。（提供第三方权威机构出具的检测报告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3.</w:t>
            </w:r>
            <w:r>
              <w:rPr>
                <w:rFonts w:hint="eastAsia" w:ascii="宋体" w:hAnsi="宋体"/>
                <w:color w:val="auto"/>
                <w:sz w:val="20"/>
                <w:szCs w:val="20"/>
                <w:highlight w:val="none"/>
              </w:rPr>
              <w:t>支持4K30fps、1080P30fps、720P30fps、360P30fps、180P30fps分辨率。</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4.</w:t>
            </w:r>
            <w:r>
              <w:rPr>
                <w:rFonts w:hint="eastAsia" w:ascii="宋体" w:hAnsi="宋体"/>
                <w:color w:val="auto"/>
                <w:sz w:val="20"/>
                <w:szCs w:val="20"/>
                <w:highlight w:val="none"/>
              </w:rPr>
              <w:t>支持双流内容分享，支持1080P高清双流，并可向下兼容共享PC的主要分辨率，如1440*900、1280*800、1024*768等。支持会议中对共享内容进行批注。</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5.</w:t>
            </w:r>
            <w:r>
              <w:rPr>
                <w:rFonts w:hint="eastAsia" w:ascii="宋体" w:hAnsi="宋体"/>
                <w:color w:val="auto"/>
                <w:sz w:val="20"/>
                <w:szCs w:val="20"/>
                <w:highlight w:val="none"/>
              </w:rPr>
              <w:t>支持语音优化：回声消除、自动降噪、自动增益控制、自动增强、突出人声，支持唇音同步技术。</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6.</w:t>
            </w:r>
            <w:r>
              <w:rPr>
                <w:rFonts w:hint="eastAsia" w:ascii="宋体" w:hAnsi="宋体"/>
                <w:color w:val="auto"/>
                <w:sz w:val="20"/>
                <w:szCs w:val="20"/>
                <w:highlight w:val="none"/>
              </w:rPr>
              <w:t>支持在有线和无线网络互相切换时，视频业务自动恢复时间不超过30秒。</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7.</w:t>
            </w:r>
            <w:r>
              <w:rPr>
                <w:rFonts w:hint="eastAsia" w:ascii="宋体" w:hAnsi="宋体"/>
                <w:color w:val="auto"/>
                <w:sz w:val="20"/>
                <w:szCs w:val="20"/>
                <w:highlight w:val="none"/>
              </w:rPr>
              <w:t>视频呼叫支持64Kbps至8Mbps范围内动态自适应，并可实时显示当前自适应呼叫带宽。</w:t>
            </w:r>
          </w:p>
          <w:p>
            <w:pPr>
              <w:pStyle w:val="287"/>
              <w:widowControl/>
              <w:ind w:firstLine="0" w:firstLineChars="0"/>
              <w:contextualSpacing/>
              <w:jc w:val="left"/>
              <w:rPr>
                <w:rFonts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1</w:t>
            </w:r>
            <w:r>
              <w:rPr>
                <w:rFonts w:ascii="宋体" w:hAnsi="宋体"/>
                <w:color w:val="auto"/>
                <w:sz w:val="20"/>
                <w:szCs w:val="20"/>
                <w:highlight w:val="none"/>
              </w:rPr>
              <w:t>8.</w:t>
            </w:r>
            <w:r>
              <w:rPr>
                <w:rFonts w:hint="eastAsia" w:ascii="宋体" w:hAnsi="宋体"/>
                <w:color w:val="auto"/>
                <w:sz w:val="20"/>
                <w:szCs w:val="20"/>
                <w:highlight w:val="none"/>
              </w:rPr>
              <w:t>具备网络抗丢包能力，在丢包率50%的情况下能保证视频流畅传输(帧率≥25帧/秒)。（提供第三方权威机构出具的检测报告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1</w:t>
            </w:r>
            <w:r>
              <w:rPr>
                <w:rFonts w:ascii="宋体" w:hAnsi="宋体"/>
                <w:color w:val="auto"/>
                <w:sz w:val="20"/>
                <w:szCs w:val="20"/>
                <w:highlight w:val="none"/>
              </w:rPr>
              <w:t>9.</w:t>
            </w:r>
            <w:r>
              <w:rPr>
                <w:rFonts w:hint="eastAsia" w:ascii="宋体" w:hAnsi="宋体"/>
                <w:color w:val="auto"/>
                <w:sz w:val="20"/>
                <w:szCs w:val="20"/>
                <w:highlight w:val="none"/>
              </w:rPr>
              <w:t>具备网络抗丢包能力，在网络丢包率50%的情况下声音清楚连贯（MOS_LQO≥2.8），在网络丢包率80%的情况下语义依然可理解（MOS_LQO≥3）。（提供第三方权威机构出具的检测报告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2</w:t>
            </w:r>
            <w:r>
              <w:rPr>
                <w:rFonts w:ascii="宋体" w:hAnsi="宋体"/>
                <w:color w:val="auto"/>
                <w:sz w:val="20"/>
                <w:szCs w:val="20"/>
                <w:highlight w:val="none"/>
              </w:rPr>
              <w:t>0.</w:t>
            </w:r>
            <w:r>
              <w:rPr>
                <w:rFonts w:hint="eastAsia" w:ascii="宋体" w:hAnsi="宋体"/>
                <w:color w:val="auto"/>
                <w:sz w:val="20"/>
                <w:szCs w:val="20"/>
                <w:highlight w:val="none"/>
              </w:rPr>
              <w:t>视频编码：支持SVC分层编码技术。（提供第三方权威机构出具的检测报告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2</w:t>
            </w:r>
            <w:r>
              <w:rPr>
                <w:rFonts w:ascii="宋体" w:hAnsi="宋体"/>
                <w:color w:val="auto"/>
                <w:sz w:val="20"/>
                <w:szCs w:val="20"/>
                <w:highlight w:val="none"/>
              </w:rPr>
              <w:t>1.</w:t>
            </w:r>
            <w:r>
              <w:rPr>
                <w:rFonts w:hint="eastAsia" w:ascii="宋体" w:hAnsi="宋体"/>
                <w:color w:val="auto"/>
                <w:sz w:val="20"/>
                <w:szCs w:val="20"/>
                <w:highlight w:val="none"/>
              </w:rPr>
              <w:t>为保证音频效果，系统应支持宽频高保真语音技术，支持G.711、G.722、OPUS音频编解码协议。</w:t>
            </w:r>
          </w:p>
          <w:p>
            <w:pPr>
              <w:pStyle w:val="287"/>
              <w:widowControl/>
              <w:spacing w:line="600" w:lineRule="exact"/>
              <w:ind w:firstLine="0" w:firstLineChars="0"/>
              <w:contextualSpacing/>
              <w:jc w:val="left"/>
              <w:rPr>
                <w:rFonts w:hint="eastAsia" w:ascii="宋体" w:hAnsi="宋体"/>
                <w:b/>
                <w:bCs/>
                <w:color w:val="auto"/>
                <w:sz w:val="24"/>
                <w:szCs w:val="24"/>
                <w:highlight w:val="none"/>
              </w:rPr>
            </w:pPr>
            <w:r>
              <w:rPr>
                <w:rFonts w:hint="eastAsia" w:ascii="宋体" w:hAnsi="宋体"/>
                <w:b/>
                <w:bCs/>
                <w:color w:val="auto"/>
                <w:sz w:val="24"/>
                <w:szCs w:val="24"/>
                <w:highlight w:val="none"/>
              </w:rPr>
              <w:t>二、软件参数及应用：</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w:t>
            </w:r>
            <w:r>
              <w:rPr>
                <w:rFonts w:hint="eastAsia" w:ascii="宋体" w:hAnsi="宋体"/>
                <w:color w:val="auto"/>
                <w:sz w:val="20"/>
                <w:szCs w:val="20"/>
                <w:highlight w:val="none"/>
              </w:rPr>
              <w:t>支持通过自有触屏进行会控，可以实现会议中发言管理，邀请入会和退出会议操作。</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2</w:t>
            </w:r>
            <w:r>
              <w:rPr>
                <w:rFonts w:ascii="宋体" w:hAnsi="宋体"/>
                <w:color w:val="auto"/>
                <w:sz w:val="20"/>
                <w:szCs w:val="20"/>
                <w:highlight w:val="none"/>
              </w:rPr>
              <w:t>.</w:t>
            </w:r>
            <w:r>
              <w:rPr>
                <w:rFonts w:hint="eastAsia" w:ascii="宋体" w:hAnsi="宋体"/>
                <w:color w:val="auto"/>
                <w:sz w:val="20"/>
                <w:szCs w:val="20"/>
                <w:highlight w:val="none"/>
              </w:rPr>
              <w:t>内置屏幕支待触控操作，可以实现挂断、静音／解除静音、取消发言（举手发言）、开／关摄像头、录制、窗口布局、会议管理、键盘、开启白板、摄像头控制、锁定主屏、显示呼叫统计信息，扫码签到和答题等功能。（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w:t>
            </w:r>
            <w:r>
              <w:rPr>
                <w:rFonts w:hint="eastAsia" w:ascii="宋体" w:hAnsi="宋体"/>
                <w:color w:val="auto"/>
                <w:sz w:val="20"/>
                <w:szCs w:val="20"/>
                <w:highlight w:val="none"/>
              </w:rPr>
              <w:t>支持会议日程功能，自动同步预约会议请求并显示在日程上，实现自动入会或手动一键入会。</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4</w:t>
            </w:r>
            <w:r>
              <w:rPr>
                <w:rFonts w:ascii="宋体" w:hAnsi="宋体"/>
                <w:color w:val="auto"/>
                <w:sz w:val="20"/>
                <w:szCs w:val="20"/>
                <w:highlight w:val="none"/>
              </w:rPr>
              <w:t>.</w:t>
            </w:r>
            <w:r>
              <w:rPr>
                <w:rFonts w:hint="eastAsia" w:ascii="宋体" w:hAnsi="宋体"/>
                <w:color w:val="auto"/>
                <w:sz w:val="20"/>
                <w:szCs w:val="20"/>
                <w:highlight w:val="none"/>
              </w:rPr>
              <w:t>支持HDMI 接口输出音频/4K 视频，支持4K 解码能力。（提供第三方权威机构出具的检测报告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5</w:t>
            </w:r>
            <w:r>
              <w:rPr>
                <w:rFonts w:ascii="宋体" w:hAnsi="宋体"/>
                <w:color w:val="auto"/>
                <w:sz w:val="20"/>
                <w:szCs w:val="20"/>
                <w:highlight w:val="none"/>
              </w:rPr>
              <w:t>.</w:t>
            </w:r>
            <w:r>
              <w:rPr>
                <w:rFonts w:hint="eastAsia" w:ascii="宋体" w:hAnsi="宋体"/>
                <w:color w:val="auto"/>
                <w:sz w:val="20"/>
                <w:szCs w:val="20"/>
                <w:highlight w:val="none"/>
              </w:rPr>
              <w:t>可以选择扩展模式，内置触控屏用千会控，扩展屏用于显示会议视频内容。（提供第三方权威机构出具的检测报告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6</w:t>
            </w:r>
            <w:r>
              <w:rPr>
                <w:rFonts w:ascii="宋体" w:hAnsi="宋体"/>
                <w:color w:val="auto"/>
                <w:sz w:val="20"/>
                <w:szCs w:val="20"/>
                <w:highlight w:val="none"/>
              </w:rPr>
              <w:t>.</w:t>
            </w:r>
            <w:r>
              <w:rPr>
                <w:rFonts w:hint="eastAsia" w:ascii="宋体" w:hAnsi="宋体"/>
                <w:color w:val="auto"/>
                <w:sz w:val="20"/>
                <w:szCs w:val="20"/>
                <w:highlight w:val="none"/>
              </w:rPr>
              <w:t>可以选择复制模式：扩展屏与内置触控屏显示内容相同。（提供第三方权威机构出具的检测报告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7</w:t>
            </w:r>
            <w:r>
              <w:rPr>
                <w:rFonts w:ascii="宋体" w:hAnsi="宋体"/>
                <w:color w:val="auto"/>
                <w:sz w:val="20"/>
                <w:szCs w:val="20"/>
                <w:highlight w:val="none"/>
              </w:rPr>
              <w:t>.</w:t>
            </w:r>
            <w:r>
              <w:rPr>
                <w:rFonts w:hint="eastAsia" w:ascii="宋体" w:hAnsi="宋体"/>
                <w:color w:val="auto"/>
                <w:sz w:val="20"/>
                <w:szCs w:val="20"/>
                <w:highlight w:val="none"/>
              </w:rPr>
              <w:t>可以扩展外接PTZ 摄像机，终端与摄像机间支待供电、视频传输、控制三合一共线传输。（提供第三方权威机构出具的检测报告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8</w:t>
            </w:r>
            <w:r>
              <w:rPr>
                <w:rFonts w:ascii="宋体" w:hAnsi="宋体"/>
                <w:color w:val="auto"/>
                <w:sz w:val="20"/>
                <w:szCs w:val="20"/>
                <w:highlight w:val="none"/>
              </w:rPr>
              <w:t>.</w:t>
            </w:r>
            <w:r>
              <w:rPr>
                <w:rFonts w:hint="eastAsia" w:ascii="宋体" w:hAnsi="宋体"/>
                <w:color w:val="auto"/>
                <w:sz w:val="20"/>
                <w:szCs w:val="20"/>
                <w:highlight w:val="none"/>
              </w:rPr>
              <w:t>可以扩展全向数字麦克风，终端与麦克风间支持供电、音频传输、麦克风控制三合一共线传输。（提供第三方权威机构出具的检测报告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9</w:t>
            </w:r>
            <w:r>
              <w:rPr>
                <w:rFonts w:ascii="宋体" w:hAnsi="宋体"/>
                <w:color w:val="auto"/>
                <w:sz w:val="20"/>
                <w:szCs w:val="20"/>
                <w:highlight w:val="none"/>
              </w:rPr>
              <w:t>.</w:t>
            </w:r>
            <w:r>
              <w:rPr>
                <w:rFonts w:hint="eastAsia" w:ascii="宋体" w:hAnsi="宋体"/>
                <w:color w:val="auto"/>
                <w:sz w:val="20"/>
                <w:szCs w:val="20"/>
                <w:highlight w:val="none"/>
              </w:rPr>
              <w:t>支持两方会议之间添加第三方入会，会议无中断无停顿。</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1</w:t>
            </w:r>
            <w:r>
              <w:rPr>
                <w:rFonts w:ascii="宋体" w:hAnsi="宋体"/>
                <w:color w:val="auto"/>
                <w:sz w:val="20"/>
                <w:szCs w:val="20"/>
                <w:highlight w:val="none"/>
              </w:rPr>
              <w:t>0.</w:t>
            </w:r>
            <w:r>
              <w:rPr>
                <w:rFonts w:hint="eastAsia" w:ascii="宋体" w:hAnsi="宋体"/>
                <w:color w:val="auto"/>
                <w:sz w:val="20"/>
                <w:szCs w:val="20"/>
                <w:highlight w:val="none"/>
              </w:rPr>
              <w:t>终端可以关闭本地视频，可以通过物理开关关闭视频，可以通过会控平台关闭视频，视频关闭后其他与会者不能看到本地视频，本地终端正常接受远端主流和辅流视频。（提供第三方权威机构出具的检测报告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1.</w:t>
            </w:r>
            <w:r>
              <w:rPr>
                <w:rFonts w:hint="eastAsia" w:ascii="宋体" w:hAnsi="宋体"/>
                <w:color w:val="auto"/>
                <w:sz w:val="20"/>
                <w:szCs w:val="20"/>
                <w:highlight w:val="none"/>
              </w:rPr>
              <w:t>在多分屏会议中，可点击任意小分屏画面实现该画面图像放大全屏。</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2.</w:t>
            </w:r>
            <w:r>
              <w:rPr>
                <w:rFonts w:hint="eastAsia" w:ascii="宋体" w:hAnsi="宋体"/>
                <w:color w:val="auto"/>
                <w:sz w:val="20"/>
                <w:szCs w:val="20"/>
                <w:highlight w:val="none"/>
              </w:rPr>
              <w:t>配置支持单位通讯录，支持分组，能够由平台统一推送，自动更新。</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3.</w:t>
            </w:r>
            <w:r>
              <w:rPr>
                <w:rFonts w:hint="eastAsia" w:ascii="宋体" w:hAnsi="宋体"/>
                <w:color w:val="auto"/>
                <w:sz w:val="20"/>
                <w:szCs w:val="20"/>
                <w:highlight w:val="none"/>
              </w:rPr>
              <w:t>支持中文简体、中文繁体、英文显示。</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4.</w:t>
            </w:r>
            <w:r>
              <w:rPr>
                <w:rFonts w:hint="eastAsia" w:ascii="宋体" w:hAnsi="宋体"/>
                <w:color w:val="auto"/>
                <w:sz w:val="20"/>
                <w:szCs w:val="20"/>
                <w:highlight w:val="none"/>
              </w:rPr>
              <w:t>支持以组织架构多级显示通讯录信息，并支持一键呼叫。</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5.</w:t>
            </w:r>
            <w:r>
              <w:rPr>
                <w:rFonts w:hint="eastAsia" w:ascii="宋体" w:hAnsi="宋体"/>
                <w:color w:val="auto"/>
                <w:sz w:val="20"/>
                <w:szCs w:val="20"/>
                <w:highlight w:val="none"/>
              </w:rPr>
              <w:t>支持拼音、拼音简称、手机号及终端号搜索，并支持一键呼叫。</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6.</w:t>
            </w:r>
            <w:r>
              <w:rPr>
                <w:rFonts w:hint="eastAsia" w:ascii="宋体" w:hAnsi="宋体"/>
                <w:color w:val="auto"/>
                <w:sz w:val="20"/>
                <w:szCs w:val="20"/>
                <w:highlight w:val="none"/>
              </w:rPr>
              <w:t>支持添加常用联系人，通过常用联系人发起快速呼叫。</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7.</w:t>
            </w:r>
            <w:r>
              <w:rPr>
                <w:rFonts w:hint="eastAsia" w:ascii="宋体" w:hAnsi="宋体"/>
                <w:color w:val="auto"/>
                <w:sz w:val="20"/>
                <w:szCs w:val="20"/>
                <w:highlight w:val="none"/>
              </w:rPr>
              <w:t>支持PC软件客户端通过网络传输的方式实现桌面、文件等内容的共享，同时抓取并分享内容播放的声音。</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8.</w:t>
            </w:r>
            <w:r>
              <w:rPr>
                <w:rFonts w:hint="eastAsia" w:ascii="宋体" w:hAnsi="宋体"/>
                <w:color w:val="auto"/>
                <w:sz w:val="20"/>
                <w:szCs w:val="20"/>
                <w:highlight w:val="none"/>
              </w:rPr>
              <w:t>支持通过无线传屏器与终端配对，实现PC桌面、文件等内容的共享，同时抓取并分享内容播放的声音。</w:t>
            </w:r>
          </w:p>
          <w:p>
            <w:pPr>
              <w:pStyle w:val="287"/>
              <w:widowControl/>
              <w:ind w:firstLine="0" w:firstLineChars="0"/>
              <w:contextualSpacing/>
              <w:jc w:val="left"/>
              <w:rPr>
                <w:rFonts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9.</w:t>
            </w:r>
            <w:r>
              <w:rPr>
                <w:rFonts w:hint="eastAsia" w:ascii="宋体" w:hAnsi="宋体"/>
                <w:color w:val="auto"/>
                <w:sz w:val="20"/>
                <w:szCs w:val="20"/>
                <w:highlight w:val="none"/>
              </w:rPr>
              <w:t>可以在通话中锁定视频画面，并进行全屏观看。（提供第三方权威机构出具的检测报告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2</w:t>
            </w:r>
            <w:r>
              <w:rPr>
                <w:rFonts w:ascii="宋体" w:hAnsi="宋体"/>
                <w:color w:val="auto"/>
                <w:sz w:val="20"/>
                <w:szCs w:val="20"/>
                <w:highlight w:val="none"/>
              </w:rPr>
              <w:t>0.</w:t>
            </w:r>
            <w:r>
              <w:rPr>
                <w:rFonts w:hint="eastAsia" w:ascii="宋体" w:hAnsi="宋体"/>
                <w:color w:val="auto"/>
                <w:sz w:val="20"/>
                <w:szCs w:val="20"/>
                <w:highlight w:val="none"/>
              </w:rPr>
              <w:t>内置电子白板功能，支持与其他桌面会商终端、软件终端多方同时标注，实现多方白板互动。</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2</w:t>
            </w:r>
            <w:r>
              <w:rPr>
                <w:rFonts w:ascii="宋体" w:hAnsi="宋体"/>
                <w:color w:val="auto"/>
                <w:sz w:val="20"/>
                <w:szCs w:val="20"/>
                <w:highlight w:val="none"/>
              </w:rPr>
              <w:t>1.</w:t>
            </w:r>
            <w:r>
              <w:rPr>
                <w:rFonts w:hint="eastAsia" w:ascii="宋体" w:hAnsi="宋体"/>
                <w:color w:val="auto"/>
                <w:sz w:val="20"/>
                <w:szCs w:val="20"/>
                <w:highlight w:val="none"/>
              </w:rPr>
              <w:t>在断网状态下终端可以进行本地录制，在网络恢复后文件可以自动同步至云平台。（提供第三方权威机构出具的检测报告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2</w:t>
            </w:r>
            <w:r>
              <w:rPr>
                <w:rFonts w:ascii="宋体" w:hAnsi="宋体"/>
                <w:color w:val="auto"/>
                <w:sz w:val="20"/>
                <w:szCs w:val="20"/>
                <w:highlight w:val="none"/>
              </w:rPr>
              <w:t>2.</w:t>
            </w:r>
            <w:r>
              <w:rPr>
                <w:rFonts w:hint="eastAsia" w:ascii="宋体" w:hAnsi="宋体"/>
                <w:color w:val="auto"/>
                <w:sz w:val="20"/>
                <w:szCs w:val="20"/>
                <w:highlight w:val="none"/>
              </w:rPr>
              <w:t>具备会议录制功能，在会中可对正在召开的视频会议进行自主的录制，并可将会议内容进行保存、点播。</w:t>
            </w:r>
          </w:p>
          <w:p>
            <w:pPr>
              <w:pStyle w:val="287"/>
              <w:widowControl/>
              <w:ind w:firstLine="0" w:firstLineChars="0"/>
              <w:contextualSpacing/>
              <w:jc w:val="left"/>
              <w:rPr>
                <w:rFonts w:hint="eastAsia" w:ascii="宋体" w:hAnsi="宋体"/>
                <w:color w:val="auto"/>
                <w:sz w:val="20"/>
                <w:szCs w:val="20"/>
                <w:highlight w:val="none"/>
              </w:rPr>
            </w:pPr>
            <w:r>
              <w:rPr>
                <w:rFonts w:ascii="宋体" w:hAnsi="宋体"/>
                <w:color w:val="auto"/>
                <w:sz w:val="20"/>
                <w:szCs w:val="20"/>
                <w:highlight w:val="none"/>
              </w:rPr>
              <w:t>23.</w:t>
            </w:r>
            <w:r>
              <w:rPr>
                <w:rFonts w:hint="eastAsia" w:ascii="宋体" w:hAnsi="宋体"/>
                <w:color w:val="auto"/>
                <w:sz w:val="20"/>
                <w:szCs w:val="20"/>
                <w:highlight w:val="none"/>
              </w:rPr>
              <w:t>在会议中，终端支持发起或接收动态辅流时，辅流的分辨率均≥4K。（提供第三方权威机构出具的检测报告</w:t>
            </w:r>
            <w:r>
              <w:rPr>
                <w:rFonts w:hint="eastAsia" w:ascii="宋体" w:hAnsi="宋体"/>
                <w:color w:val="auto"/>
                <w:sz w:val="20"/>
                <w:szCs w:val="20"/>
                <w:highlight w:val="none"/>
                <w:lang w:eastAsia="zh-CN"/>
              </w:rPr>
              <w:t>扫描件</w:t>
            </w:r>
            <w:r>
              <w:rPr>
                <w:rFonts w:hint="eastAsia" w:ascii="宋体" w:hAnsi="宋体"/>
                <w:color w:val="auto"/>
                <w:sz w:val="20"/>
                <w:szCs w:val="20"/>
                <w:highlight w:val="none"/>
              </w:rPr>
              <w:t>）</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2</w:t>
            </w:r>
            <w:r>
              <w:rPr>
                <w:rFonts w:ascii="宋体" w:hAnsi="宋体"/>
                <w:color w:val="auto"/>
                <w:sz w:val="20"/>
                <w:szCs w:val="20"/>
                <w:highlight w:val="none"/>
              </w:rPr>
              <w:t>4.</w:t>
            </w:r>
            <w:r>
              <w:rPr>
                <w:rFonts w:hint="eastAsia" w:ascii="宋体" w:hAnsi="宋体"/>
                <w:color w:val="auto"/>
                <w:sz w:val="20"/>
                <w:szCs w:val="20"/>
                <w:highlight w:val="none"/>
              </w:rPr>
              <w:t>支持会议日程提醒功能，能够自动同步预约会议请求并显示在日程上，实现自动入会或手动一键入会。</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2</w:t>
            </w:r>
            <w:r>
              <w:rPr>
                <w:rFonts w:ascii="宋体" w:hAnsi="宋体"/>
                <w:color w:val="auto"/>
                <w:sz w:val="20"/>
                <w:szCs w:val="20"/>
                <w:highlight w:val="none"/>
              </w:rPr>
              <w:t>5.</w:t>
            </w:r>
            <w:r>
              <w:rPr>
                <w:rFonts w:hint="eastAsia" w:ascii="宋体" w:hAnsi="宋体"/>
                <w:color w:val="auto"/>
                <w:sz w:val="20"/>
                <w:szCs w:val="20"/>
                <w:highlight w:val="none"/>
              </w:rPr>
              <w:t>支持扫码签到功能，会议中管理员发起会议签到，会场人员可通过扫描终端二维码进行会议签到。</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2</w:t>
            </w:r>
            <w:r>
              <w:rPr>
                <w:rFonts w:ascii="宋体" w:hAnsi="宋体"/>
                <w:color w:val="auto"/>
                <w:sz w:val="20"/>
                <w:szCs w:val="20"/>
                <w:highlight w:val="none"/>
              </w:rPr>
              <w:t>6.</w:t>
            </w:r>
            <w:r>
              <w:rPr>
                <w:rFonts w:hint="eastAsia" w:ascii="宋体" w:hAnsi="宋体"/>
                <w:color w:val="auto"/>
                <w:sz w:val="20"/>
                <w:szCs w:val="20"/>
                <w:highlight w:val="none"/>
              </w:rPr>
              <w:t>支持会议中巡检功能，发起对与会终端进行巡检，探测终端在会议准备中网络链接、摄像头、麦克风、扬声器的状态。</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2</w:t>
            </w:r>
            <w:r>
              <w:rPr>
                <w:rFonts w:ascii="宋体" w:hAnsi="宋体"/>
                <w:color w:val="auto"/>
                <w:sz w:val="20"/>
                <w:szCs w:val="20"/>
                <w:highlight w:val="none"/>
              </w:rPr>
              <w:t>7.</w:t>
            </w:r>
            <w:r>
              <w:rPr>
                <w:rFonts w:hint="eastAsia" w:ascii="宋体" w:hAnsi="宋体"/>
                <w:color w:val="auto"/>
                <w:sz w:val="20"/>
                <w:szCs w:val="20"/>
                <w:highlight w:val="none"/>
              </w:rPr>
              <w:t>支持人脸识别，可实现会议签到、会议人数统计、发言者身份识别。</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s="宋体"/>
                <w:color w:val="auto"/>
                <w:kern w:val="0"/>
                <w:sz w:val="20"/>
                <w:szCs w:val="20"/>
                <w:highlight w:val="none"/>
              </w:rPr>
              <w:t>★</w:t>
            </w:r>
            <w:r>
              <w:rPr>
                <w:rFonts w:hint="eastAsia" w:ascii="宋体" w:hAnsi="宋体"/>
                <w:color w:val="auto"/>
                <w:sz w:val="20"/>
                <w:szCs w:val="20"/>
                <w:highlight w:val="none"/>
              </w:rPr>
              <w:t>2</w:t>
            </w:r>
            <w:r>
              <w:rPr>
                <w:rFonts w:ascii="宋体" w:hAnsi="宋体"/>
                <w:color w:val="auto"/>
                <w:sz w:val="20"/>
                <w:szCs w:val="20"/>
                <w:highlight w:val="none"/>
              </w:rPr>
              <w:t>8.</w:t>
            </w:r>
            <w:r>
              <w:rPr>
                <w:rFonts w:hint="eastAsia" w:ascii="宋体" w:hAnsi="宋体"/>
                <w:color w:val="auto"/>
                <w:sz w:val="20"/>
                <w:szCs w:val="20"/>
                <w:highlight w:val="none"/>
              </w:rPr>
              <w:t>支持同声传译、同传字幕、虚拟背景、支持硬终端 SDK、支持第三方 APP 推送等功能。</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2</w:t>
            </w:r>
            <w:r>
              <w:rPr>
                <w:rFonts w:ascii="宋体" w:hAnsi="宋体"/>
                <w:color w:val="auto"/>
                <w:sz w:val="20"/>
                <w:szCs w:val="20"/>
                <w:highlight w:val="none"/>
              </w:rPr>
              <w:t>9.</w:t>
            </w:r>
            <w:r>
              <w:rPr>
                <w:rFonts w:hint="eastAsia" w:ascii="宋体" w:hAnsi="宋体"/>
                <w:color w:val="auto"/>
                <w:sz w:val="20"/>
                <w:szCs w:val="20"/>
                <w:highlight w:val="none"/>
              </w:rPr>
              <w:t>支持通话音量&amp;铃声音量单独设置。</w:t>
            </w:r>
          </w:p>
          <w:p>
            <w:pPr>
              <w:pStyle w:val="287"/>
              <w:widowControl/>
              <w:ind w:firstLine="0" w:firstLineChars="0"/>
              <w:contextualSpacing/>
              <w:jc w:val="left"/>
              <w:rPr>
                <w:rFonts w:hint="eastAsia" w:ascii="宋体" w:hAnsi="宋体"/>
                <w:color w:val="auto"/>
                <w:sz w:val="20"/>
                <w:szCs w:val="20"/>
                <w:highlight w:val="none"/>
              </w:rPr>
            </w:pPr>
            <w:r>
              <w:rPr>
                <w:rFonts w:ascii="宋体" w:hAnsi="宋体"/>
                <w:color w:val="auto"/>
                <w:sz w:val="20"/>
                <w:szCs w:val="20"/>
                <w:highlight w:val="none"/>
              </w:rPr>
              <w:t>30.</w:t>
            </w:r>
            <w:r>
              <w:rPr>
                <w:rFonts w:hint="eastAsia" w:ascii="宋体" w:hAnsi="宋体"/>
                <w:color w:val="auto"/>
                <w:sz w:val="20"/>
                <w:szCs w:val="20"/>
                <w:highlight w:val="none"/>
              </w:rPr>
              <w:t>支持硬件终端SDK，可与第三方硬件终端集成。</w:t>
            </w:r>
          </w:p>
          <w:p>
            <w:pPr>
              <w:pStyle w:val="287"/>
              <w:widowControl/>
              <w:ind w:firstLine="0" w:firstLineChars="0"/>
              <w:contextualSpacing/>
              <w:jc w:val="left"/>
              <w:rPr>
                <w:rFonts w:hint="eastAsia"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1.</w:t>
            </w:r>
            <w:r>
              <w:rPr>
                <w:rFonts w:hint="eastAsia" w:ascii="宋体" w:hAnsi="宋体"/>
                <w:color w:val="auto"/>
                <w:sz w:val="20"/>
                <w:szCs w:val="20"/>
                <w:highlight w:val="none"/>
              </w:rPr>
              <w:t>支持等候室功能。</w:t>
            </w:r>
          </w:p>
          <w:p>
            <w:pPr>
              <w:pStyle w:val="287"/>
              <w:widowControl/>
              <w:ind w:firstLine="0" w:firstLineChars="0"/>
              <w:contextualSpacing/>
              <w:jc w:val="left"/>
              <w:rPr>
                <w:rFonts w:hint="eastAsia" w:ascii="宋体" w:hAnsi="宋体"/>
                <w:color w:val="auto"/>
                <w:sz w:val="20"/>
                <w:szCs w:val="20"/>
                <w:highlight w:val="none"/>
              </w:rPr>
            </w:pPr>
            <w:r>
              <w:rPr>
                <w:rFonts w:ascii="宋体" w:hAnsi="宋体"/>
                <w:color w:val="auto"/>
                <w:sz w:val="20"/>
                <w:szCs w:val="20"/>
                <w:highlight w:val="none"/>
              </w:rPr>
              <w:t>32.</w:t>
            </w:r>
            <w:r>
              <w:rPr>
                <w:rFonts w:hint="eastAsia" w:ascii="宋体" w:hAnsi="宋体"/>
                <w:color w:val="auto"/>
                <w:sz w:val="20"/>
                <w:szCs w:val="20"/>
                <w:highlight w:val="none"/>
              </w:rPr>
              <w:t>支持共享文档多方互动标注。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218" w:type="dxa"/>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会议摄像头</w:t>
            </w:r>
          </w:p>
        </w:tc>
        <w:tc>
          <w:tcPr>
            <w:tcW w:w="6379" w:type="dxa"/>
            <w:shd w:val="clear" w:color="000000" w:fill="FFFFFF"/>
            <w:noWrap w:val="0"/>
            <w:vAlign w:val="center"/>
          </w:tcPr>
          <w:p>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图像传感器：</w:t>
            </w:r>
            <w:r>
              <w:rPr>
                <w:rFonts w:ascii="宋体" w:hAnsi="宋体" w:cs="宋体"/>
                <w:color w:val="auto"/>
                <w:kern w:val="0"/>
                <w:sz w:val="20"/>
                <w:szCs w:val="20"/>
                <w:highlight w:val="none"/>
              </w:rPr>
              <w:t xml:space="preserve"> 1/2.5英寸 CMOS</w:t>
            </w:r>
            <w:r>
              <w:rPr>
                <w:rFonts w:hint="eastAsia" w:ascii="宋体" w:hAnsi="宋体" w:cs="宋体"/>
                <w:color w:val="auto"/>
                <w:kern w:val="0"/>
                <w:sz w:val="20"/>
                <w:szCs w:val="20"/>
                <w:highlight w:val="none"/>
              </w:rPr>
              <w:t>。</w:t>
            </w:r>
          </w:p>
          <w:p>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有效像素：≥</w:t>
            </w:r>
            <w:r>
              <w:rPr>
                <w:rFonts w:ascii="宋体" w:hAnsi="宋体" w:cs="宋体"/>
                <w:color w:val="auto"/>
                <w:kern w:val="0"/>
                <w:sz w:val="20"/>
                <w:szCs w:val="20"/>
                <w:highlight w:val="none"/>
              </w:rPr>
              <w:t>800万</w:t>
            </w:r>
            <w:r>
              <w:rPr>
                <w:rFonts w:hint="eastAsia" w:ascii="宋体" w:hAnsi="宋体" w:cs="宋体"/>
                <w:color w:val="auto"/>
                <w:kern w:val="0"/>
                <w:sz w:val="20"/>
                <w:szCs w:val="20"/>
                <w:highlight w:val="none"/>
              </w:rPr>
              <w:t>。</w:t>
            </w:r>
          </w:p>
          <w:p>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镜头</w:t>
            </w:r>
            <w:r>
              <w:rPr>
                <w:rFonts w:ascii="宋体" w:hAnsi="宋体" w:cs="宋体"/>
                <w:color w:val="auto"/>
                <w:kern w:val="0"/>
                <w:sz w:val="20"/>
                <w:szCs w:val="20"/>
                <w:highlight w:val="none"/>
              </w:rPr>
              <w:t xml:space="preserve"> 光学变焦</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12x, f = 4.4mm ~ 52.8mm, F1.8 ~ F2.6</w:t>
            </w:r>
            <w:r>
              <w:rPr>
                <w:rFonts w:hint="eastAsia" w:ascii="宋体" w:hAnsi="宋体" w:cs="宋体"/>
                <w:color w:val="auto"/>
                <w:kern w:val="0"/>
                <w:sz w:val="20"/>
                <w:szCs w:val="20"/>
                <w:highlight w:val="none"/>
              </w:rPr>
              <w:t>。</w:t>
            </w:r>
          </w:p>
          <w:p>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信号系统：</w:t>
            </w:r>
            <w:r>
              <w:rPr>
                <w:rFonts w:ascii="宋体" w:hAnsi="宋体" w:cs="宋体"/>
                <w:color w:val="auto"/>
                <w:kern w:val="0"/>
                <w:sz w:val="20"/>
                <w:szCs w:val="20"/>
                <w:highlight w:val="none"/>
              </w:rPr>
              <w:t>4K@30fps, 4K@25fps, 1080P@60fps, 1080P@50fps, 1080P@30fps, 1080P@25fps, 720P@60fps, 720P@50fps。</w:t>
            </w:r>
          </w:p>
          <w:p>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水平视场角：</w:t>
            </w:r>
            <w:r>
              <w:rPr>
                <w:rFonts w:ascii="宋体" w:hAnsi="宋体" w:cs="宋体"/>
                <w:color w:val="auto"/>
                <w:kern w:val="0"/>
                <w:sz w:val="20"/>
                <w:szCs w:val="20"/>
                <w:highlight w:val="none"/>
              </w:rPr>
              <w:t xml:space="preserve"> 70.1° ~ 7.4°</w:t>
            </w:r>
            <w:r>
              <w:rPr>
                <w:rFonts w:hint="eastAsia" w:ascii="宋体" w:hAnsi="宋体" w:cs="宋体"/>
                <w:color w:val="auto"/>
                <w:kern w:val="0"/>
                <w:sz w:val="20"/>
                <w:szCs w:val="20"/>
                <w:highlight w:val="none"/>
              </w:rPr>
              <w:t>。</w:t>
            </w:r>
          </w:p>
          <w:p>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垂直视场角</w:t>
            </w:r>
            <w:r>
              <w:rPr>
                <w:rFonts w:ascii="宋体" w:hAnsi="宋体" w:cs="宋体"/>
                <w:color w:val="auto"/>
                <w:kern w:val="0"/>
                <w:sz w:val="20"/>
                <w:szCs w:val="20"/>
                <w:highlight w:val="none"/>
              </w:rPr>
              <w:t xml:space="preserve"> ：40.7° ~ 4.2</w:t>
            </w:r>
            <w:r>
              <w:rPr>
                <w:rFonts w:hint="eastAsia" w:ascii="宋体" w:hAnsi="宋体" w:cs="宋体"/>
                <w:color w:val="auto"/>
                <w:kern w:val="0"/>
                <w:sz w:val="20"/>
                <w:szCs w:val="20"/>
                <w:highlight w:val="none"/>
              </w:rPr>
              <w:t>。</w:t>
            </w:r>
          </w:p>
          <w:p>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水平转动范围：</w:t>
            </w:r>
            <w:r>
              <w:rPr>
                <w:rFonts w:ascii="宋体" w:hAnsi="宋体" w:cs="宋体"/>
                <w:color w:val="auto"/>
                <w:kern w:val="0"/>
                <w:sz w:val="20"/>
                <w:szCs w:val="20"/>
                <w:highlight w:val="none"/>
              </w:rPr>
              <w:t xml:space="preserve"> ±170°</w:t>
            </w:r>
            <w:r>
              <w:rPr>
                <w:rFonts w:hint="eastAsia" w:ascii="宋体" w:hAnsi="宋体" w:cs="宋体"/>
                <w:color w:val="auto"/>
                <w:kern w:val="0"/>
                <w:sz w:val="20"/>
                <w:szCs w:val="20"/>
                <w:highlight w:val="none"/>
              </w:rPr>
              <w:t>。</w:t>
            </w:r>
          </w:p>
          <w:p>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垂直转动范围</w:t>
            </w:r>
            <w:r>
              <w:rPr>
                <w:rFonts w:ascii="宋体" w:hAnsi="宋体" w:cs="宋体"/>
                <w:color w:val="auto"/>
                <w:kern w:val="0"/>
                <w:sz w:val="20"/>
                <w:szCs w:val="20"/>
                <w:highlight w:val="none"/>
              </w:rPr>
              <w:t xml:space="preserve"> ±30°</w:t>
            </w:r>
            <w:r>
              <w:rPr>
                <w:rFonts w:hint="eastAsia" w:ascii="宋体" w:hAnsi="宋体" w:cs="宋体"/>
                <w:color w:val="auto"/>
                <w:kern w:val="0"/>
                <w:sz w:val="20"/>
                <w:szCs w:val="20"/>
                <w:highlight w:val="none"/>
              </w:rPr>
              <w:t>。</w:t>
            </w:r>
          </w:p>
          <w:p>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水平转动速度范围</w:t>
            </w:r>
            <w:r>
              <w:rPr>
                <w:rFonts w:ascii="宋体" w:hAnsi="宋体" w:cs="宋体"/>
                <w:color w:val="auto"/>
                <w:kern w:val="0"/>
                <w:sz w:val="20"/>
                <w:szCs w:val="20"/>
                <w:highlight w:val="none"/>
              </w:rPr>
              <w:t xml:space="preserve"> 1.7° ~ 100°/s</w:t>
            </w:r>
            <w:r>
              <w:rPr>
                <w:rFonts w:hint="eastAsia" w:ascii="宋体" w:hAnsi="宋体" w:cs="宋体"/>
                <w:color w:val="auto"/>
                <w:kern w:val="0"/>
                <w:sz w:val="20"/>
                <w:szCs w:val="20"/>
                <w:highlight w:val="none"/>
              </w:rPr>
              <w:t>。</w:t>
            </w:r>
          </w:p>
          <w:p>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垂直转动速度范围</w:t>
            </w:r>
            <w:r>
              <w:rPr>
                <w:rFonts w:ascii="宋体" w:hAnsi="宋体" w:cs="宋体"/>
                <w:color w:val="auto"/>
                <w:kern w:val="0"/>
                <w:sz w:val="20"/>
                <w:szCs w:val="20"/>
                <w:highlight w:val="none"/>
              </w:rPr>
              <w:t xml:space="preserve"> 1.7° ~ 69.9°/s</w:t>
            </w:r>
            <w:r>
              <w:rPr>
                <w:rFonts w:hint="eastAsia" w:ascii="宋体" w:hAnsi="宋体" w:cs="宋体"/>
                <w:color w:val="auto"/>
                <w:kern w:val="0"/>
                <w:sz w:val="20"/>
                <w:szCs w:val="20"/>
                <w:highlight w:val="none"/>
              </w:rPr>
              <w:t>。</w:t>
            </w:r>
          </w:p>
          <w:p>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水平、垂直翻转</w:t>
            </w:r>
            <w:r>
              <w:rPr>
                <w:rFonts w:ascii="宋体" w:hAnsi="宋体" w:cs="宋体"/>
                <w:color w:val="auto"/>
                <w:kern w:val="0"/>
                <w:sz w:val="20"/>
                <w:szCs w:val="20"/>
                <w:highlight w:val="none"/>
              </w:rPr>
              <w:t xml:space="preserve"> 支持</w:t>
            </w:r>
            <w:r>
              <w:rPr>
                <w:rFonts w:hint="eastAsia" w:ascii="宋体" w:hAnsi="宋体" w:cs="宋体"/>
                <w:color w:val="auto"/>
                <w:kern w:val="0"/>
                <w:sz w:val="20"/>
                <w:szCs w:val="20"/>
                <w:highlight w:val="none"/>
              </w:rPr>
              <w:t>。</w:t>
            </w:r>
          </w:p>
          <w:p>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支持设置摄像机预置位。</w:t>
            </w:r>
          </w:p>
          <w:p>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视频接口</w:t>
            </w:r>
            <w:r>
              <w:rPr>
                <w:rFonts w:ascii="宋体" w:hAnsi="宋体" w:cs="宋体"/>
                <w:color w:val="auto"/>
                <w:kern w:val="0"/>
                <w:sz w:val="20"/>
                <w:szCs w:val="20"/>
                <w:highlight w:val="none"/>
              </w:rPr>
              <w:t xml:space="preserve"> 1路RJ45网络接口，支持PoE供电</w:t>
            </w:r>
            <w:r>
              <w:rPr>
                <w:rFonts w:hint="eastAsia" w:ascii="宋体" w:hAnsi="宋体" w:cs="宋体"/>
                <w:color w:val="auto"/>
                <w:kern w:val="0"/>
                <w:sz w:val="20"/>
                <w:szCs w:val="20"/>
                <w:highlight w:val="none"/>
              </w:rPr>
              <w:t>。</w:t>
            </w:r>
          </w:p>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218" w:type="dxa"/>
            <w:vMerge w:val="restart"/>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20"/>
                <w:szCs w:val="20"/>
                <w:highlight w:val="none"/>
              </w:rPr>
              <w:t>音响设备</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主扩音柱</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频率响应范围 (-6 dB)：180Hz-20kHz；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覆盖范围 (-6dB) [H x V]：120°-30°；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标称阻抗：4Ω；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灵敏度：96dB；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峰值功率：1600W；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持续功率：400W；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峰值声压级：134dB；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系统类型：两分频被动系统；</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扬声器单元：中频: 6 x 3.5" 钕磁单元；</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高频: 2 x 3.5" 同轴单元与 1" 压缩单元；</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连接：输入:Phoenix contact MSTB 4-pins；</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箱体类型：密闭式；</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控制：双向输入信号选择拨档；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218" w:type="dxa"/>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辅助音柱</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频率响应范围 (-6 dB)：120Hz-16kHz；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覆盖范围 (-6dB) [H x V]：120°-40°；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标称阻抗：8Ω；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灵敏度：94dB；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峰值功率：800W；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持续功率：200W；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峰值声压级：129dB；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系统类型：被动系统；</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扬声器单元：4 x 3.5" 钕磁单元；</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连接：输入 / 并联输出: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Phoenix contact MSTB 4-pins；</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箱体类型：倒相式；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控制：双向输入信号选择拨档；</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箱体材料：铝；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218" w:type="dxa"/>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主扩音柱功放</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功放类型：D类功放，SMPS电源；</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通路：≥2；</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额定输出功率(1kHz, THD: &lt;1%)：2 x 400 W @ 4 Ω / 2 x 200 W @ 8 Ω / 2 x 100 W @ 16 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最小负载阻抗：4 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阻尼系数：&gt; 200；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输入阻抗：10 kΩ 平衡/非平衡；</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最大输入电平：+20 dBu；</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信噪比：90 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本底噪声：52 dBu (A计权) @4 dBu 灵敏度, 主输出 0 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通道串扰：62 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THD+N：&lt; 0.1% @ 1 W,1 KHz; &lt;0.3% @ 1 dB 低于额定功率；</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DSP：48 kHz/24-bit，可拓展动态范围；</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处理延时: 1.1 ms；</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保护：短路保护, 过热保护, 过流保护；</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冷却：传感器控制风扇 / Front-to-back air flow；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换能效率：83%；</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功率消耗：空载: 30 W / 满负载: 1000 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工作电压范围：100 – 240 VAC 50/60 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屏幕：LCD, 4x20 数字字母符号；</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控制：无极旋钮, 开关；</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输入信号连接：XLR-3 female 线路信号输入；</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XLR-3 male 信号并联输出；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Phoenix MSTP 3-pin 输入与并联输出；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输出信号连接：Neutrik SpeakON NL4 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Phoenix Contact MSTB 4-pin 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电源连接：IEC-60320 C14；</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DSP 特点：电平，参数EQ，延时设置，相位，输入灵敏度；</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RMS限幅器，峰值限幅器，IIR/FIR滤波器；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设置：调用SE提供的工厂预设 / 存储或调用用户预设；</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监控：温度监控；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箱体：结构钢机身，铝合金面板；</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工作温度范围：[-15°C ; 40°C]；</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储存温度范围：[-40°C ; 70°C]；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1218" w:type="dxa"/>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辅助音柱功放</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功放类型：D类功放，SMPS电源；</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通路：≥2；</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额定输出功率(1kHz, THD: &lt;1%)：2 x 250 W @ 8 Ω / 2 x 150 W @ 16 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最小负载阻抗：8 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阻尼系数：&gt; 200；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输入阻抗：10 kΩ 平衡/非平衡；</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最大输入电平：+20 dBu；</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信噪比：90 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本底噪声：52 dBu (A计权) @4 dBu 灵敏度, 主输出 0 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通道串扰：64 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THD+N：&lt; 0.1% @ 1 W,1 KHz; &lt;0.3% @ 1 dB 低于额定功率；</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DSP：48 kHz/24-bit，可拓展动态范围；</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处理延时: 1.1 ms；</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保护：短路保护, 过热保护, 过流保护；</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冷却：传感器控制风扇 / Front-to-back air flow；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换能效率：76%；</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功率消耗：空载: 29 W / 满负载: 600 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工作电压范围：100 – 240 VAC 50/60 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屏幕：LCD, 4x20 数字字母符号；</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控制：无极旋钮, 开关；</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输入信号连接：XLR-3 female 线路信号输入；</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XLR-3 male 信号并联输出；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Phoenix MSTP 3-pin 输入与并联输出；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输出信号连接：Neutrik SpeakON NL4 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Phoenix Contact MSTB 4-pin 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电源连接：IEC-60320 C14；</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DSP 特点：电平，参数EQ，延时设置，相位，输入灵敏度，</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RMS限幅器，峰值限幅器，IIR/FIR滤波器；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设置：调用SE提供的工厂预设 / 存储或调用用户预设；</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监控：温度监控；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箱体：结构钢机身，铝合金面板；</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工作温度范围：[-15°C ; 40°C]；</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储存温度范围：[-40°C ; 70°C]；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1218" w:type="dxa"/>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调音台</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 XLR带DNA™ 的话筒输入；</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动态压缩（通道1-6）；</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3段带中频扫频的均衡；</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 AUX发送；推前、推后开关 (发送 1+2 )；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60mm推子，带静音和PFL、AFL独听功能；</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DNA 话放带幻象供电；</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USB音频的电平控制；</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每个话筒通道带有动态压缩；</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平衡XLR，平衡 / 非平衡的1/4”输出；</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9段图示均衡 —— 可分配主和监听；</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独立的耳机音量控制；</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100种Alesis DSP效果；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218" w:type="dxa"/>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音频处理器</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≥8路MIC或LINE输入，8路LINE输出；</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可进行Dante网络热备仹,保证网络传输安全；</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高性能的24比特的数/模,模/数转换芯片；</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4进2出的逻辑开关接口,可用亍火警信息接入,开启投影幕布或调 用前8个场景程序；</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用亍系列设计和控制的RJ45接口,连接到路由器PC软件和墙面面板,第三设备可控；</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内置混音器、均衡器、滤波器、分频器、延时器、信号发生器等功能；</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有液晶显示屏，有可调节按钮；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218" w:type="dxa"/>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一拖二手持无线话筒</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射频载波范围: 634.2-691.95MHz；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振荡方式: PLL锁相环合成；</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工作距离: 超远距离接收，理想条件下150米，无阻隔直线距离（视环境变化）；</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调制方式: FM；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最大频道数: 160；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频带宽度：40MHz；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频响范围: 50HZ ~ 18KHZ(±3db)；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最大频偏：±45KHz；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系统失真/THD总谐波失真: &lt; 0.5% @1KHz；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信噪比: &gt; 100dB(A)；</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灵敏度: 在偏移度等于25KHz，输入60DBUV时，S/N＞60dB；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输出接口: (XLR×2)/( 1/4-inch connector×1)；</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音频输出水平: (XLR: +5dbV) / (1/4-inch connector: +5dbV)；</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输出阻抗: (XLR: 3KΩ)/(1/4-inch connector: 3KΩ)；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显示方式: 液晶屏×2；</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电源要求:  12~15V/0.5A直流电源适配器；</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工作温度范围: 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1218" w:type="dxa"/>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一拖二头戴无线话筒</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射频载波范围: 634.2-691.95MHz；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振荡方式: PLL锁相环合成；</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工作距离: 超远距离接收，理想条件下150米，无阻隔直线距离（视环境变化）；</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调制方式: FM；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最大频道数: 160；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频带宽度：40MHz；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频响范围: 50HZ ~ 18KHZ(±3db)；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最大频偏：±45KHz；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系统失真/THD总谐波失真: &lt; 0.5% @1KHz；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信噪比: &gt; 100dB(A)；</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灵敏度: 在偏移度等于25KHz，输入60DBUV时，S/N＞60dB；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输出接口: (XLR×2)/( 1/4-inch connector×1)；</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音频输出水平: (XLR: +5dbV) / (1/4-inch connector: +5dbV)；</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输出阻抗: (XLR: 3KΩ)/(1/4-inch connector: 3KΩ)；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显示方式: 液晶屏×2；</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电源要求:  12~15V/0.5A直流电源适配器；</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工作温度范围: 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1218" w:type="dxa"/>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一拖四鹅颈无线话筒</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采用微电脑CPU控制，红外线对频；</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32/64频道自由选择，液晶数字显示；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杂讯锁定静噪控制+音码导航锁定静噪控制；</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音频动态扩展及自动电平控制电路；</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主机工作电压：DC12V-14V 2A；</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工作电流：600mAh；</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功耗:15W；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接收灵敏度：-105dBM；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接收方式：分集接收；</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信噪比：S/N：&gt;90dB；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失真度THD：&lt;0.01%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音频输出电压：0.3V；</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邻频干扰抑制：&gt;60dB；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工作频率:610-820MHz；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输出端口：6.35混合输出/卡龙真平衡输出；</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频率稳定度：±0.002%；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1218" w:type="dxa"/>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时序电源</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1、8路电源时序控制，每路延时1秒。可通过软件设置延时10分钟关闭，给投影机提供更好保护。</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2、整机容量50A ，进线采用符合CCC要求的4平方RVV软电缆，内部设计保留20%电流余量。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3、每路输出采用万能插座AC220V（10A），适用各种类型插头。</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4、面板配常开电源座,方便临时用电.(面板直通插座可改为受控插座)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5、MCU控制的智能化设计，具有标准RS232（RS232控制可升级为RS485控制）串口控制功能，可设置255个ID地址，最大可支持255台同时使用，适合于大规模集中控制。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6、具有外部电平(5V-24V)控制接口(外部电平控制接口可更改为外部开关控制)，和级联控口.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配套设备</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多媒体插座</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多媒体插座（定制接口），结合实际应用及完全满足用户需求。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机柜</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木制机柜，结合现场环境定制，需完全满足现场环境需求。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1218" w:type="dxa"/>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线材及配件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各种音箱线、音频线、电源线、跳线等、接插件及附件；数量按项目需要配置。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23</w:t>
            </w:r>
          </w:p>
        </w:tc>
        <w:tc>
          <w:tcPr>
            <w:tcW w:w="12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设备安装，信号测试，仪器使用配置等一系列施工及调试，交钥匙工程。。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After w:w="0" w:type="dxa"/>
          <w:trHeight w:val="480" w:hRule="atLeast"/>
        </w:trPr>
        <w:tc>
          <w:tcPr>
            <w:tcW w:w="183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本项目室内全彩屏用电电缆由土建装修单位负责部署到位，不在本次招标范围；但需结合配套到位，做好对接工作。</w:t>
            </w:r>
          </w:p>
        </w:tc>
      </w:tr>
    </w:tbl>
    <w:p>
      <w:pPr>
        <w:pStyle w:val="2"/>
        <w:ind w:left="0" w:leftChars="0" w:firstLine="0" w:firstLineChars="0"/>
        <w:rPr>
          <w:rFonts w:hint="eastAsia"/>
          <w:b/>
          <w:bCs/>
          <w:color w:val="auto"/>
          <w:highlight w:val="none"/>
        </w:rPr>
      </w:pPr>
    </w:p>
    <w:p>
      <w:pPr>
        <w:pStyle w:val="2"/>
        <w:numPr>
          <w:ilvl w:val="0"/>
          <w:numId w:val="9"/>
        </w:numPr>
        <w:ind w:leftChars="0" w:firstLineChars="0"/>
        <w:rPr>
          <w:b/>
          <w:bCs/>
          <w:color w:val="auto"/>
          <w:highlight w:val="none"/>
        </w:rPr>
      </w:pPr>
      <w:r>
        <w:rPr>
          <w:rFonts w:hint="eastAsia"/>
          <w:b/>
          <w:bCs/>
          <w:color w:val="auto"/>
          <w:highlight w:val="none"/>
        </w:rPr>
        <w:t>中庭多媒体系统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18"/>
        <w:gridCol w:w="127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21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127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6379"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大屏显示设备</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智能交互平板</w:t>
            </w:r>
          </w:p>
        </w:tc>
        <w:tc>
          <w:tcPr>
            <w:tcW w:w="6379" w:type="dxa"/>
            <w:noWrap w:val="0"/>
            <w:vAlign w:val="center"/>
          </w:tcPr>
          <w:p>
            <w:pPr>
              <w:pStyle w:val="287"/>
              <w:ind w:firstLine="0" w:firstLineChars="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一、参数要求：</w:t>
            </w:r>
          </w:p>
          <w:p>
            <w:pPr>
              <w:pStyle w:val="287"/>
              <w:ind w:firstLine="0" w:firstLineChars="0"/>
              <w:jc w:val="left"/>
              <w:rPr>
                <w:color w:val="auto"/>
                <w:kern w:val="0"/>
                <w:sz w:val="20"/>
                <w:szCs w:val="20"/>
                <w:highlight w:val="none"/>
              </w:rPr>
            </w:pPr>
            <w:r>
              <w:rPr>
                <w:rFonts w:hint="eastAsia" w:ascii="宋体" w:hAnsi="宋体" w:cs="宋体"/>
                <w:color w:val="auto"/>
                <w:kern w:val="0"/>
                <w:sz w:val="20"/>
                <w:szCs w:val="20"/>
                <w:highlight w:val="none"/>
              </w:rPr>
              <w:t>（一）整体设计</w:t>
            </w:r>
          </w:p>
          <w:p>
            <w:pPr>
              <w:pStyle w:val="287"/>
              <w:numPr>
                <w:ilvl w:val="0"/>
                <w:numId w:val="15"/>
              </w:numPr>
              <w:ind w:firstLineChars="0"/>
              <w:jc w:val="left"/>
              <w:rPr>
                <w:color w:val="auto"/>
                <w:kern w:val="0"/>
                <w:sz w:val="20"/>
                <w:szCs w:val="20"/>
                <w:highlight w:val="none"/>
              </w:rPr>
            </w:pPr>
            <w:r>
              <w:rPr>
                <w:rFonts w:hint="eastAsia" w:ascii="宋体" w:hAnsi="宋体" w:cs="宋体"/>
                <w:color w:val="auto"/>
                <w:kern w:val="0"/>
                <w:sz w:val="20"/>
                <w:szCs w:val="20"/>
                <w:highlight w:val="none"/>
              </w:rPr>
              <w:t>★</w:t>
            </w:r>
            <w:r>
              <w:rPr>
                <w:color w:val="auto"/>
                <w:kern w:val="0"/>
                <w:sz w:val="20"/>
                <w:szCs w:val="20"/>
                <w:highlight w:val="none"/>
              </w:rPr>
              <w:t>整机屏幕采用</w:t>
            </w:r>
            <w:r>
              <w:rPr>
                <w:rFonts w:hint="eastAsia" w:ascii="宋体" w:hAnsi="宋体"/>
                <w:color w:val="auto"/>
                <w:kern w:val="0"/>
                <w:sz w:val="20"/>
                <w:szCs w:val="20"/>
                <w:highlight w:val="none"/>
              </w:rPr>
              <w:t>≥</w:t>
            </w:r>
            <w:r>
              <w:rPr>
                <w:color w:val="auto"/>
                <w:kern w:val="0"/>
                <w:sz w:val="20"/>
                <w:szCs w:val="20"/>
                <w:highlight w:val="none"/>
              </w:rPr>
              <w:t>86英寸UHD超高清LCD液晶屏，显示比例16:9，屏幕图像分辨率达3840*2160，色彩度10bit ,可视角度178°，全高清4K系统图标显示</w:t>
            </w:r>
            <w:r>
              <w:rPr>
                <w:rFonts w:hint="eastAsia"/>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rFonts w:hint="eastAsia" w:ascii="宋体" w:hAnsi="宋体" w:cs="宋体"/>
                <w:color w:val="auto"/>
                <w:kern w:val="0"/>
                <w:sz w:val="20"/>
                <w:szCs w:val="20"/>
                <w:highlight w:val="none"/>
              </w:rPr>
              <w:t>★</w:t>
            </w:r>
            <w:r>
              <w:rPr>
                <w:color w:val="auto"/>
                <w:kern w:val="0"/>
                <w:sz w:val="20"/>
                <w:szCs w:val="20"/>
                <w:highlight w:val="none"/>
              </w:rPr>
              <w:t>整机屏幕与屏幕保护层零贴合技术</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色域达到 90%NTSC， 可显示更真实更鲜艳的色；支持≥5种色彩空间选择</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在色彩空间sRGB模式下达到</w:t>
            </w:r>
            <w:r>
              <w:rPr>
                <w:rFonts w:hint="eastAsia" w:ascii="宋体" w:hAnsi="宋体" w:cs="宋体"/>
                <w:color w:val="auto"/>
                <w:kern w:val="0"/>
                <w:sz w:val="20"/>
                <w:szCs w:val="20"/>
                <w:highlight w:val="none"/>
              </w:rPr>
              <w:t>△</w:t>
            </w:r>
            <w:r>
              <w:rPr>
                <w:color w:val="auto"/>
                <w:kern w:val="0"/>
                <w:sz w:val="20"/>
                <w:szCs w:val="20"/>
                <w:highlight w:val="none"/>
              </w:rPr>
              <w:t>E</w:t>
            </w:r>
            <w:r>
              <w:rPr>
                <w:rFonts w:cs="Calibri"/>
                <w:color w:val="auto"/>
                <w:kern w:val="0"/>
                <w:sz w:val="20"/>
                <w:szCs w:val="20"/>
                <w:highlight w:val="none"/>
              </w:rPr>
              <w:t>≤</w:t>
            </w:r>
            <w:r>
              <w:rPr>
                <w:color w:val="auto"/>
                <w:kern w:val="0"/>
                <w:sz w:val="20"/>
                <w:szCs w:val="20"/>
                <w:highlight w:val="none"/>
              </w:rPr>
              <w:t>1.5</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rFonts w:hint="eastAsia"/>
                <w:color w:val="auto"/>
                <w:kern w:val="0"/>
                <w:sz w:val="20"/>
                <w:szCs w:val="20"/>
                <w:highlight w:val="none"/>
              </w:rPr>
              <w:t>书写延时≤30ms。</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rFonts w:hint="eastAsia"/>
                <w:color w:val="auto"/>
                <w:kern w:val="0"/>
                <w:sz w:val="20"/>
                <w:szCs w:val="20"/>
                <w:highlight w:val="none"/>
              </w:rPr>
              <w:t>超薄窄边框设计，整机屏占比≥88%以上，整机最薄处≤26mm。</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采用模块化系统方案，整机可通过同一高速接口支持Windows 10企业版系统模块、Android 9.0系统模块、Linux系统模块切换使用</w:t>
            </w:r>
            <w:r>
              <w:rPr>
                <w:rFonts w:hint="eastAsia"/>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PC通道下内置视频会议软件，视频会议软件与整机为同一厂家</w:t>
            </w:r>
            <w:r>
              <w:rPr>
                <w:rFonts w:hint="eastAsia"/>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整机内置正面上居中4K、4800W像素及以上高清摄像头，水平视场角≥92°；Autoframing智能取景，保证人物视角；支持声源定位；支持电子云台，无需机械转动部分，可通过程序设置，在摄像机内部控制镜头的视角和变焦；支持WDR功能，过曝环境下自动调整画面亮度。（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内置8个麦克风，8米有效拾音距离，内置独立4核高性能独立DSP，AI降噪+混响抑制，声音清晰通透。</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采用2.1声道，2*10W（中高音）+20W（低音）缝隙发声扬声器</w:t>
            </w:r>
            <w:r>
              <w:rPr>
                <w:rFonts w:hint="eastAsia"/>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rFonts w:hint="eastAsia" w:ascii="宋体" w:hAnsi="宋体" w:cs="宋体"/>
                <w:color w:val="auto"/>
                <w:kern w:val="0"/>
                <w:sz w:val="20"/>
                <w:szCs w:val="20"/>
                <w:highlight w:val="none"/>
              </w:rPr>
              <w:t>★</w:t>
            </w:r>
            <w:r>
              <w:rPr>
                <w:color w:val="auto"/>
                <w:kern w:val="0"/>
                <w:sz w:val="20"/>
                <w:szCs w:val="20"/>
                <w:highlight w:val="none"/>
              </w:rPr>
              <w:t>具有全功能Type-C接口，可支持手机充电、音视频信号传输、外部设备调用本机摄像头、麦克风及扬声器</w:t>
            </w:r>
            <w:r>
              <w:rPr>
                <w:rFonts w:hint="eastAsia"/>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支持空间感应，内置光线传感器/微波传感器，人体靠近屏幕自动开机唤醒</w:t>
            </w:r>
            <w:r>
              <w:rPr>
                <w:rFonts w:hint="eastAsia"/>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传屏之后，在屏幕上部中间部分显示工具栏，可以进行基本的操作（具体包括触摸回传控制，勿扰模式，暂停投屏等）</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无线传屏软硬件均支持win10系统/MAC系统扩展屏显示</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手机扫描整机传屏二维码即可完成连接整机热点，无需单独在手机上输入WIFI账号密码</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为方便共享，手机和电脑可以和整机互传文件</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白板中添加纪要，支持分条书写、删除功能，最多支持添加20条纪要，可单独扫码带走</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支持插入思维导图，可任意增加思维导图单元格数量并形成树状思维导图，并且可在单元格大小可根据书写内容自动扩充</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白板内可一键打开协同白板，可多人同时扫码，从手机端及大板端同时在白板内进行创作，并支持语音通话</w:t>
            </w:r>
            <w:r>
              <w:rPr>
                <w:rFonts w:hint="eastAsia"/>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rFonts w:hint="eastAsia" w:ascii="宋体" w:hAnsi="宋体" w:cs="宋体"/>
                <w:color w:val="auto"/>
                <w:kern w:val="0"/>
                <w:sz w:val="20"/>
                <w:szCs w:val="20"/>
                <w:highlight w:val="none"/>
              </w:rPr>
              <w:t>★</w:t>
            </w:r>
            <w:r>
              <w:rPr>
                <w:color w:val="auto"/>
                <w:kern w:val="0"/>
                <w:sz w:val="20"/>
                <w:szCs w:val="20"/>
                <w:highlight w:val="none"/>
              </w:rPr>
              <w:t>支持提笔检测：吸附在整机笔槽上的书写笔，提笔之后，可出现提示窗口，引导用户进入白板、批注或者快捷白板，方便使用，整体操作更加便捷</w:t>
            </w:r>
            <w:r>
              <w:rPr>
                <w:rFonts w:hint="eastAsia"/>
                <w:color w:val="auto"/>
                <w:kern w:val="0"/>
                <w:sz w:val="20"/>
                <w:szCs w:val="20"/>
                <w:highlight w:val="none"/>
              </w:rPr>
              <w:t>。</w:t>
            </w:r>
          </w:p>
          <w:p>
            <w:pPr>
              <w:pStyle w:val="287"/>
              <w:numPr>
                <w:ilvl w:val="0"/>
                <w:numId w:val="15"/>
              </w:numPr>
              <w:ind w:firstLineChars="0"/>
              <w:jc w:val="left"/>
              <w:rPr>
                <w:color w:val="auto"/>
                <w:kern w:val="0"/>
                <w:sz w:val="20"/>
                <w:szCs w:val="20"/>
                <w:highlight w:val="none"/>
              </w:rPr>
            </w:pPr>
            <w:r>
              <w:rPr>
                <w:rFonts w:hint="eastAsia"/>
                <w:color w:val="auto"/>
                <w:kern w:val="0"/>
                <w:sz w:val="20"/>
                <w:szCs w:val="20"/>
                <w:highlight w:val="none"/>
              </w:rPr>
              <w:t>提供时钟、会议、连接码、单日程、日程组等组件，可自由编辑桌面内容。</w:t>
            </w:r>
          </w:p>
          <w:p>
            <w:pPr>
              <w:pStyle w:val="287"/>
              <w:numPr>
                <w:ilvl w:val="0"/>
                <w:numId w:val="15"/>
              </w:numPr>
              <w:ind w:firstLineChars="0"/>
              <w:jc w:val="left"/>
              <w:rPr>
                <w:color w:val="auto"/>
                <w:kern w:val="0"/>
                <w:sz w:val="20"/>
                <w:szCs w:val="20"/>
                <w:highlight w:val="none"/>
              </w:rPr>
            </w:pPr>
            <w:r>
              <w:rPr>
                <w:rFonts w:hint="eastAsia"/>
                <w:color w:val="auto"/>
                <w:kern w:val="0"/>
                <w:sz w:val="20"/>
                <w:szCs w:val="20"/>
                <w:highlight w:val="none"/>
              </w:rPr>
              <w:t>无需二次操作，即可在侧边栏一键进入远程共享桌面，即可召开视频会议。</w:t>
            </w:r>
          </w:p>
          <w:p>
            <w:pPr>
              <w:pStyle w:val="287"/>
              <w:numPr>
                <w:ilvl w:val="0"/>
                <w:numId w:val="15"/>
              </w:numPr>
              <w:ind w:firstLineChars="0"/>
              <w:jc w:val="left"/>
              <w:rPr>
                <w:color w:val="auto"/>
                <w:kern w:val="0"/>
                <w:sz w:val="20"/>
                <w:szCs w:val="20"/>
                <w:highlight w:val="none"/>
              </w:rPr>
            </w:pPr>
            <w:r>
              <w:rPr>
                <w:rFonts w:hint="eastAsia"/>
                <w:color w:val="auto"/>
                <w:kern w:val="0"/>
                <w:sz w:val="20"/>
                <w:szCs w:val="20"/>
                <w:highlight w:val="none"/>
              </w:rPr>
              <w:t>支持带有NFC功能的手机开启NFC后，一碰即可将手机与大板链接，并进行投屏等后续操作。</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集控管理：支持集控管理平台软件对接，实现集控相关功能，如：远程桌面控制，恢复出厂设置，检查系统更新，开关机，命令行等功能。</w:t>
            </w:r>
          </w:p>
          <w:p>
            <w:pPr>
              <w:pStyle w:val="287"/>
              <w:numPr>
                <w:ilvl w:val="0"/>
                <w:numId w:val="15"/>
              </w:numPr>
              <w:ind w:firstLineChars="0"/>
              <w:jc w:val="left"/>
              <w:rPr>
                <w:color w:val="auto"/>
                <w:kern w:val="0"/>
                <w:sz w:val="20"/>
                <w:szCs w:val="20"/>
                <w:highlight w:val="none"/>
              </w:rPr>
            </w:pPr>
            <w:r>
              <w:rPr>
                <w:color w:val="auto"/>
                <w:kern w:val="0"/>
                <w:sz w:val="20"/>
                <w:szCs w:val="20"/>
                <w:highlight w:val="none"/>
              </w:rPr>
              <w:t>可通过协作平台使用会议平板发起音视频会议，并支持控制麦克风、摄像头、邀请成员</w:t>
            </w:r>
            <w:r>
              <w:rPr>
                <w:rFonts w:hint="eastAsia"/>
                <w:color w:val="auto"/>
                <w:kern w:val="0"/>
                <w:sz w:val="20"/>
                <w:szCs w:val="20"/>
                <w:highlight w:val="none"/>
              </w:rPr>
              <w:t>。</w:t>
            </w:r>
            <w:r>
              <w:rPr>
                <w:color w:val="auto"/>
                <w:kern w:val="0"/>
                <w:sz w:val="20"/>
                <w:szCs w:val="20"/>
                <w:highlight w:val="none"/>
              </w:rPr>
              <w:t>（提供第三方权威机构出具的检测报告</w:t>
            </w:r>
            <w:r>
              <w:rPr>
                <w:rFonts w:hint="eastAsia"/>
                <w:color w:val="auto"/>
                <w:kern w:val="0"/>
                <w:sz w:val="20"/>
                <w:szCs w:val="20"/>
                <w:highlight w:val="none"/>
                <w:lang w:eastAsia="zh-CN"/>
              </w:rPr>
              <w:t>扫描件</w:t>
            </w:r>
            <w:r>
              <w:rPr>
                <w:color w:val="auto"/>
                <w:kern w:val="0"/>
                <w:sz w:val="20"/>
                <w:szCs w:val="20"/>
                <w:highlight w:val="none"/>
              </w:rPr>
              <w:t>）</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（二）OPS模块</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1.采用模块化电脑方案，抽拉内置式，PC模块可完全插入整机，保护PC模块不易受灰尘影响。采用40pin接口，实现无单独接线的插拔。</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2.采用按压式开关，可直接拆卸电脑模块，无需工具。</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3.配置： CPU Intel® Core i5十代/内存DDR4 8G /固态硬盘128G。</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4.正版激活Win10企业版操作系统。</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（三）电动升降支架</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行程可达330MM,适用于55-86寸，承重80KG，可推动，自带滑轮。</w:t>
            </w:r>
          </w:p>
          <w:p>
            <w:pPr>
              <w:pStyle w:val="2"/>
              <w:spacing w:after="0"/>
              <w:ind w:left="0" w:leftChars="0" w:firstLine="0" w:firstLineChars="0"/>
              <w:jc w:val="left"/>
              <w:rPr>
                <w:rFonts w:ascii="宋体" w:hAnsi="宋体" w:cs="宋体"/>
                <w:color w:val="auto"/>
                <w:sz w:val="20"/>
                <w:highlight w:val="none"/>
              </w:rPr>
            </w:pPr>
            <w:r>
              <w:rPr>
                <w:rFonts w:hint="eastAsia" w:ascii="宋体" w:hAnsi="宋体" w:cs="宋体"/>
                <w:color w:val="auto"/>
                <w:sz w:val="20"/>
                <w:highlight w:val="none"/>
              </w:rPr>
              <w:t>二、资质要求：</w:t>
            </w:r>
          </w:p>
          <w:p>
            <w:pPr>
              <w:pStyle w:val="287"/>
              <w:ind w:firstLine="0" w:firstLineChars="0"/>
              <w:jc w:val="left"/>
              <w:rPr>
                <w:rFonts w:ascii="宋体" w:hAnsi="宋体"/>
                <w:color w:val="auto"/>
                <w:kern w:val="0"/>
                <w:sz w:val="20"/>
                <w:szCs w:val="20"/>
                <w:highlight w:val="none"/>
              </w:rPr>
            </w:pPr>
            <w:r>
              <w:rPr>
                <w:rFonts w:hint="eastAsia" w:ascii="宋体" w:hAnsi="宋体"/>
                <w:color w:val="auto"/>
                <w:kern w:val="0"/>
                <w:sz w:val="20"/>
                <w:szCs w:val="20"/>
                <w:highlight w:val="none"/>
              </w:rPr>
              <w:t>1</w:t>
            </w:r>
            <w:r>
              <w:rPr>
                <w:rFonts w:ascii="宋体" w:hAnsi="宋体"/>
                <w:color w:val="auto"/>
                <w:kern w:val="0"/>
                <w:sz w:val="20"/>
                <w:szCs w:val="20"/>
                <w:highlight w:val="none"/>
              </w:rPr>
              <w:t>.</w:t>
            </w:r>
            <w:r>
              <w:rPr>
                <w:rFonts w:hint="eastAsia" w:ascii="宋体" w:hAnsi="宋体"/>
                <w:color w:val="auto"/>
                <w:kern w:val="0"/>
                <w:sz w:val="20"/>
                <w:szCs w:val="20"/>
                <w:highlight w:val="none"/>
              </w:rPr>
              <w:t>提供产品CCC认证证书</w:t>
            </w:r>
            <w:r>
              <w:rPr>
                <w:rFonts w:hint="eastAsia" w:ascii="宋体" w:hAnsi="宋体"/>
                <w:color w:val="auto"/>
                <w:kern w:val="0"/>
                <w:sz w:val="20"/>
                <w:szCs w:val="20"/>
                <w:highlight w:val="none"/>
                <w:lang w:eastAsia="zh-CN"/>
              </w:rPr>
              <w:t>扫描件</w:t>
            </w:r>
            <w:r>
              <w:rPr>
                <w:rFonts w:hint="eastAsia" w:ascii="宋体" w:hAnsi="宋体"/>
                <w:color w:val="auto"/>
                <w:kern w:val="0"/>
                <w:sz w:val="20"/>
                <w:szCs w:val="20"/>
                <w:highlight w:val="none"/>
              </w:rPr>
              <w:t>；</w:t>
            </w:r>
          </w:p>
          <w:p>
            <w:pPr>
              <w:pStyle w:val="287"/>
              <w:ind w:firstLine="0" w:firstLineChars="0"/>
              <w:jc w:val="left"/>
              <w:rPr>
                <w:rFonts w:ascii="宋体" w:hAnsi="宋体"/>
                <w:color w:val="auto"/>
                <w:kern w:val="0"/>
                <w:sz w:val="20"/>
                <w:szCs w:val="20"/>
                <w:highlight w:val="none"/>
              </w:rPr>
            </w:pPr>
            <w:r>
              <w:rPr>
                <w:rFonts w:hint="eastAsia" w:ascii="宋体" w:hAnsi="宋体"/>
                <w:color w:val="auto"/>
                <w:kern w:val="0"/>
                <w:sz w:val="20"/>
                <w:szCs w:val="20"/>
                <w:highlight w:val="none"/>
              </w:rPr>
              <w:t>2</w:t>
            </w:r>
            <w:r>
              <w:rPr>
                <w:rFonts w:ascii="宋体" w:hAnsi="宋体"/>
                <w:color w:val="auto"/>
                <w:kern w:val="0"/>
                <w:sz w:val="20"/>
                <w:szCs w:val="20"/>
                <w:highlight w:val="none"/>
              </w:rPr>
              <w:t>.</w:t>
            </w:r>
            <w:r>
              <w:rPr>
                <w:rFonts w:hint="eastAsia" w:ascii="宋体" w:hAnsi="宋体"/>
                <w:color w:val="auto"/>
                <w:kern w:val="0"/>
                <w:sz w:val="20"/>
                <w:szCs w:val="20"/>
                <w:highlight w:val="none"/>
              </w:rPr>
              <w:t>提供制造</w:t>
            </w:r>
            <w:r>
              <w:rPr>
                <w:rFonts w:ascii="宋体" w:hAnsi="宋体"/>
                <w:color w:val="auto"/>
                <w:kern w:val="0"/>
                <w:sz w:val="20"/>
                <w:szCs w:val="20"/>
                <w:highlight w:val="none"/>
              </w:rPr>
              <w:t>厂商通过GB/T 27922-2011售后服务评价体系及SB/T10962-2013商品经营企业服务质量评价体系，评级10星</w:t>
            </w:r>
            <w:r>
              <w:rPr>
                <w:rFonts w:hint="eastAsia" w:ascii="宋体" w:hAnsi="宋体"/>
                <w:color w:val="auto"/>
                <w:kern w:val="0"/>
                <w:sz w:val="20"/>
                <w:szCs w:val="20"/>
                <w:highlight w:val="none"/>
              </w:rPr>
              <w:t>认证证书</w:t>
            </w:r>
            <w:r>
              <w:rPr>
                <w:rFonts w:hint="eastAsia" w:ascii="宋体" w:hAnsi="宋体"/>
                <w:color w:val="auto"/>
                <w:kern w:val="0"/>
                <w:sz w:val="20"/>
                <w:szCs w:val="20"/>
                <w:highlight w:val="none"/>
                <w:lang w:eastAsia="zh-CN"/>
              </w:rPr>
              <w:t>扫描件</w:t>
            </w:r>
            <w:r>
              <w:rPr>
                <w:rFonts w:hint="eastAsia" w:ascii="宋体" w:hAnsi="宋体"/>
                <w:color w:val="auto"/>
                <w:kern w:val="0"/>
                <w:sz w:val="20"/>
                <w:szCs w:val="20"/>
                <w:highlight w:val="none"/>
              </w:rPr>
              <w:t>；</w:t>
            </w:r>
          </w:p>
          <w:p>
            <w:pPr>
              <w:pStyle w:val="287"/>
              <w:ind w:firstLine="0" w:firstLineChars="0"/>
              <w:jc w:val="left"/>
              <w:rPr>
                <w:rFonts w:ascii="宋体" w:hAnsi="宋体"/>
                <w:color w:val="auto"/>
                <w:kern w:val="0"/>
                <w:sz w:val="20"/>
                <w:szCs w:val="20"/>
                <w:highlight w:val="none"/>
              </w:rPr>
            </w:pPr>
            <w:r>
              <w:rPr>
                <w:rFonts w:hint="eastAsia" w:ascii="宋体" w:hAnsi="宋体"/>
                <w:color w:val="auto"/>
                <w:kern w:val="0"/>
                <w:sz w:val="20"/>
                <w:szCs w:val="20"/>
                <w:highlight w:val="none"/>
              </w:rPr>
              <w:t>3</w:t>
            </w:r>
            <w:r>
              <w:rPr>
                <w:rFonts w:ascii="宋体" w:hAnsi="宋体"/>
                <w:color w:val="auto"/>
                <w:kern w:val="0"/>
                <w:sz w:val="20"/>
                <w:szCs w:val="20"/>
                <w:highlight w:val="none"/>
              </w:rPr>
              <w:t>.提供厂商设备通过权威机构产品信息安全评估认证</w:t>
            </w:r>
            <w:r>
              <w:rPr>
                <w:rFonts w:hint="eastAsia" w:ascii="宋体" w:hAnsi="宋体"/>
                <w:color w:val="auto"/>
                <w:kern w:val="0"/>
                <w:sz w:val="20"/>
                <w:szCs w:val="20"/>
                <w:highlight w:val="none"/>
              </w:rPr>
              <w:t>证书</w:t>
            </w:r>
            <w:r>
              <w:rPr>
                <w:rFonts w:hint="eastAsia" w:ascii="宋体" w:hAnsi="宋体"/>
                <w:color w:val="auto"/>
                <w:kern w:val="0"/>
                <w:sz w:val="20"/>
                <w:szCs w:val="20"/>
                <w:highlight w:val="none"/>
                <w:lang w:eastAsia="zh-CN"/>
              </w:rPr>
              <w:t>扫描件</w:t>
            </w:r>
            <w:r>
              <w:rPr>
                <w:rFonts w:hint="eastAsia" w:ascii="宋体" w:hAnsi="宋体"/>
                <w:color w:val="auto"/>
                <w:kern w:val="0"/>
                <w:sz w:val="20"/>
                <w:szCs w:val="20"/>
                <w:highlight w:val="none"/>
              </w:rPr>
              <w:t>；</w:t>
            </w:r>
          </w:p>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音响设备</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有源全频音箱</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类型：有源音箱；</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单元：≥15寸；</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标称阻抗：8 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连续功率处理（AES）：1000 W；</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标称范围（HXV）：90° x 60°；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灵敏度（dB SPL 1W/1m）：99dB；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最大声压级(1m)：134dB；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频响范围（-6dB）：50 Hz - 18kHz；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控制 双向输入选择开关 双向输入选择开关；</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功放：内置D类功放；</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处理器：内置DSP处理器。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调音台</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其拥有极高头顶空间的动态 (DNA) 话筒输入均搭载有完美的压缩、多种I/O接口、独立的USB接口、Alesis（爱丽丝）DSP效果器、带有USB接口的照明灯/充电口，内置的USB声卡，便于进行实时的录音 。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7 XLR带DNA™ 的话筒输入；</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动态压缩（通道1-4）；</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每通道有3段均衡和2 AUX发送；</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60mm推子，带 LED 和静音开关；</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DNA 话放带幻象供电；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USB音频的电平控制；</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每个话筒通道带有动态压缩；       </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平衡XLR，平衡 / 非平衡的1/4”输出；</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9段图示均衡 —— 可分配主和监听；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独立的耳机音量控制；                                             100种Alesis DSP效果；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手持无线话筒（一拖二）</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射频载波范围: 634.2-691.95MHz；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振荡方式: PLL锁相环合成；</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工作距离: 超远距离接收，理想条件下150米，无阻隔直线距离（视环境变化）；</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调制方式: FM；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最大频道数: 160；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频带宽度：40MHz；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频响范围: 50HZ ~ 18KHZ(±3db)；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最大频偏：±45KHz；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系统失真/THD总谐波失真: &lt; 0.5% @1KHz；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信噪比: &gt; 100dB(A)；</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灵敏度: 在偏移度等于25KHz，输入60DBUV时，S/N＞60dB；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输出接口: (XLR×2)/( 1/4-inch connector×1)；</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音频输出水平: (XLR: +5dbV) / (1/4-inch connector: +5dbV)；</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输出阻抗: (XLR: 3KΩ)/(1/4-inch connector: 3KΩ)；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显示方式: 液晶屏×2；</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电源要求:  12~15V/0.5A直流电源适配器；</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工作温度范围: 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18" w:type="dxa"/>
            <w:vMerge w:val="continue"/>
            <w:shd w:val="clear" w:color="000000" w:fill="FFFFFF"/>
            <w:noWrap w:val="0"/>
            <w:vAlign w:val="center"/>
          </w:tcPr>
          <w:p>
            <w:pPr>
              <w:widowControl/>
              <w:jc w:val="left"/>
              <w:rPr>
                <w:rFonts w:ascii="宋体" w:hAnsi="宋体" w:cs="宋体"/>
                <w:color w:val="auto"/>
                <w:kern w:val="0"/>
                <w:sz w:val="18"/>
                <w:szCs w:val="18"/>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头戴无线话筒（一拖二）</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射频载波范围: 634.2-691.95MHz；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振荡方式: PLL锁相环合成；</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工作距离: 超远距离接收，理想条件下150米，无阻隔直线距离（视环境变化）；</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调制方式: FM；</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最大频道数: 160；</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频带宽度：40MHz；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频响范围: 50HZ ~ 18KHZ(±3db)；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最大频偏：±45KHz；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系统失真/THD总谐波失真: &lt; 0.5% @1KHz；</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信噪比: &gt; 100dB(A)；</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灵敏度: 在偏移度等于25KHz，输入60DBUV时，S/N＞60dB；</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输出接口: (XLR×2)/( 1/4-inch connector×1)；</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音频输出水平: (XLR: +5dbV) / (1/4-inch connector: +5dbV)；</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输出阻抗: (XLR: 3KΩ)/(1/4-inch connector: 3KΩ)；</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显示方式: 液晶屏×2；</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电源要求:  12~15V/0.5A直流电源适配器；</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工作温度范围: 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18" w:type="dxa"/>
            <w:vMerge w:val="continue"/>
            <w:shd w:val="clear" w:color="000000" w:fill="FFFFFF"/>
            <w:noWrap w:val="0"/>
            <w:vAlign w:val="center"/>
          </w:tcPr>
          <w:p>
            <w:pPr>
              <w:widowControl/>
              <w:jc w:val="left"/>
              <w:rPr>
                <w:rFonts w:ascii="宋体" w:hAnsi="宋体" w:cs="宋体"/>
                <w:color w:val="auto"/>
                <w:kern w:val="0"/>
                <w:sz w:val="18"/>
                <w:szCs w:val="18"/>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时序电源</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采用双面板+SMT表面贴片工艺，欧姆龙继电器（空调专用继电器，可承载80A浪涌电流冲击），紫铜输出万能插座，确保产品超高品质。</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1、8路电源时序控制，每路延时1秒。可通过软件设置延时10分钟关闭，给投影机提供更好保护。</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2、整机容量50A ，进线采用符合CCC要求的4平方RVV软电缆，内部设计保留20%电流余量。</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3、每路输出采用万能插座AC220V（10A），适用各种类型插头。</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4、面板配常开电源座,方便临时用电.(面板直通插座可改为受控插座)</w:t>
            </w:r>
          </w:p>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xml:space="preserve">5、MCU控制的智能化设计，具有标准RS232（RS232控制可升级为RS485控制）串口控制功能，可设置255个ID地址，最大可支持255台同时使用，适合于大规模集中控制。                      </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6、具有外部电平(5V-24V)控制接口(外部电平控制接口可更改为外部开关控制)，和级联控口.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18" w:type="dxa"/>
            <w:vMerge w:val="restart"/>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配套设备</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音箱支架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落地式音箱支架，材质优良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218"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话筒支架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落地式话筒支架，材质优良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218" w:type="dxa"/>
            <w:vMerge w:val="continue"/>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多媒体插座</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多媒体插座（定制接口）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全频音箱航空箱</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航空箱可存储两只全频音箱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控制机柜航空箱</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安装周边设备，并配置有抽屉，三开门，可放置调音台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线材存储航空箱</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存放线材等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218" w:type="dxa"/>
            <w:vMerge w:val="restart"/>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信号电源组合线</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30m，3根信号线+1根电缆线；15m，3根信号线+1根电缆线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跳线及接插件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机柜内安装跳线及接插件、按需定制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2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线材及配件</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各种音箱线、音频线、电源线、跳线等、接插件及附件；数量按项目需要配置。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6</w:t>
            </w:r>
          </w:p>
        </w:tc>
        <w:tc>
          <w:tcPr>
            <w:tcW w:w="12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1276"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设备安装，信号测试，仪器使用配置等一系列施工及调试，交钥匙工程。。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After w:w="0" w:type="dxa"/>
          <w:trHeight w:val="480" w:hRule="atLeast"/>
        </w:trPr>
        <w:tc>
          <w:tcPr>
            <w:tcW w:w="183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bl>
    <w:p>
      <w:pPr>
        <w:pStyle w:val="2"/>
        <w:ind w:left="0" w:leftChars="0" w:firstLine="0" w:firstLineChars="0"/>
        <w:rPr>
          <w:rFonts w:hint="eastAsia"/>
          <w:b/>
          <w:bCs/>
          <w:color w:val="auto"/>
          <w:highlight w:val="none"/>
        </w:rPr>
      </w:pPr>
    </w:p>
    <w:p>
      <w:pPr>
        <w:pStyle w:val="2"/>
        <w:ind w:left="0" w:leftChars="0" w:firstLine="0" w:firstLineChars="0"/>
        <w:rPr>
          <w:b/>
          <w:bCs/>
          <w:color w:val="auto"/>
          <w:highlight w:val="none"/>
        </w:rPr>
      </w:pPr>
      <w:r>
        <w:rPr>
          <w:rFonts w:hint="eastAsia"/>
          <w:b/>
          <w:bCs/>
          <w:color w:val="auto"/>
          <w:highlight w:val="none"/>
        </w:rPr>
        <w:t>〈八〉智能巡检系统</w:t>
      </w:r>
    </w:p>
    <w:tbl>
      <w:tblPr>
        <w:tblStyle w:val="53"/>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18"/>
        <w:gridCol w:w="127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20" w:type="dxa"/>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218" w:type="dxa"/>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1276" w:type="dxa"/>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6379" w:type="dxa"/>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智能巡检设备</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智能巡检管理平台</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要求无纸化数据采集，任务自动接收、防作弊的智能巡查，实现巡检管理的数字化、信息化、规范化、智能化，有效降低人为因素带来的 漏检或错检等问题，最大程度提高了工作效率，降低点位风险与故障概率，为巡检管理工 作提供了科学的手段，支持与已有办公管理后台无缝对接。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智能巡检器</w:t>
            </w:r>
          </w:p>
        </w:tc>
        <w:tc>
          <w:tcPr>
            <w:tcW w:w="6379" w:type="dxa"/>
            <w:shd w:val="clear" w:color="000000" w:fill="FFFFFF"/>
            <w:noWrap w:val="0"/>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免插电、免网络、免U盘，支持云与端密钥 动态加密同步·</w:t>
            </w:r>
          </w:p>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支持5米内精准蓝牙打卡，数据实时同步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shd w:val="clear" w:color="000000" w:fill="FFFFFF"/>
            <w:noWrap w:val="0"/>
            <w:vAlign w:val="center"/>
          </w:tcPr>
          <w:p>
            <w:pPr>
              <w:widowControl/>
              <w:jc w:val="center"/>
              <w:rPr>
                <w:rFonts w:ascii="宋体" w:hAnsi="宋体" w:cs="宋体"/>
                <w:color w:val="auto"/>
                <w:kern w:val="0"/>
                <w:sz w:val="20"/>
                <w:szCs w:val="20"/>
                <w:highlight w:val="none"/>
              </w:rPr>
            </w:pPr>
            <w:r>
              <w:rPr>
                <w:rFonts w:hint="eastAsia"/>
                <w:color w:val="auto"/>
                <w:sz w:val="20"/>
                <w:szCs w:val="20"/>
                <w:highlight w:val="none"/>
              </w:rPr>
              <w:t>系统集成</w:t>
            </w:r>
          </w:p>
        </w:tc>
        <w:tc>
          <w:tcPr>
            <w:tcW w:w="127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color w:val="auto"/>
                <w:sz w:val="20"/>
                <w:szCs w:val="20"/>
                <w:highlight w:val="none"/>
              </w:rPr>
              <w:t>安装调试</w:t>
            </w:r>
          </w:p>
        </w:tc>
        <w:tc>
          <w:tcPr>
            <w:tcW w:w="6379"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设备安装，信号测试，仪器使用配置等一系列施工及调试，交钥匙工程。。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After w:w="0" w:type="dxa"/>
          <w:trHeight w:val="480" w:hRule="atLeast"/>
        </w:trPr>
        <w:tc>
          <w:tcPr>
            <w:tcW w:w="183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bl>
    <w:p>
      <w:pPr>
        <w:spacing w:line="360" w:lineRule="auto"/>
        <w:rPr>
          <w:rFonts w:ascii="宋体" w:hAnsi="宋体" w:cs="宋体"/>
          <w:b/>
          <w:color w:val="auto"/>
          <w:sz w:val="24"/>
          <w:highlight w:val="none"/>
        </w:rPr>
      </w:pPr>
    </w:p>
    <w:p>
      <w:pPr>
        <w:pStyle w:val="2"/>
        <w:ind w:left="0" w:leftChars="0" w:firstLine="0" w:firstLineChars="0"/>
        <w:jc w:val="left"/>
        <w:rPr>
          <w:rFonts w:hint="eastAsia"/>
          <w:color w:val="auto"/>
          <w:highlight w:val="none"/>
        </w:rPr>
      </w:pPr>
      <w:r>
        <w:rPr>
          <w:rFonts w:hint="eastAsia"/>
          <w:color w:val="auto"/>
          <w:highlight w:val="none"/>
        </w:rPr>
        <w:t>注：</w:t>
      </w:r>
    </w:p>
    <w:p>
      <w:pPr>
        <w:spacing w:line="360"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一、基本要求：</w:t>
      </w:r>
    </w:p>
    <w:p>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sz w:val="24"/>
          <w:highlight w:val="none"/>
        </w:rPr>
        <w:t>1、其中</w:t>
      </w:r>
      <w:r>
        <w:rPr>
          <w:rFonts w:hint="eastAsia" w:ascii="宋体" w:hAnsi="宋体" w:cs="宋体"/>
          <w:b/>
          <w:color w:val="auto"/>
          <w:kern w:val="0"/>
          <w:sz w:val="24"/>
          <w:highlight w:val="none"/>
          <w:lang w:bidi="ar"/>
        </w:rPr>
        <w:t>室内LED全彩显示屏、户外全彩LED广告屏、智能交互平板为本</w:t>
      </w:r>
      <w:r>
        <w:rPr>
          <w:rFonts w:hint="eastAsia" w:ascii="宋体" w:hAnsi="宋体" w:cs="宋体"/>
          <w:b/>
          <w:color w:val="auto"/>
          <w:sz w:val="24"/>
          <w:highlight w:val="none"/>
        </w:rPr>
        <w:t>次采购核心产品。</w:t>
      </w:r>
    </w:p>
    <w:p>
      <w:pPr>
        <w:autoSpaceDE w:val="0"/>
        <w:autoSpaceDN w:val="0"/>
        <w:adjustRightInd w:val="0"/>
        <w:spacing w:after="120" w:line="360" w:lineRule="auto"/>
        <w:ind w:firstLine="480" w:firstLineChars="200"/>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2、本项目为交钥匙工程，包括货物的供应、运输、装卸、就位、安装、调试和维修工作</w:t>
      </w:r>
      <w:r>
        <w:rPr>
          <w:rFonts w:hint="eastAsia" w:ascii="宋体" w:hAnsi="宋体" w:cs="宋体"/>
          <w:color w:val="auto"/>
          <w:kern w:val="0"/>
          <w:sz w:val="24"/>
          <w:highlight w:val="none"/>
          <w:lang w:eastAsia="zh-CN"/>
        </w:rPr>
        <w:t>，要求总承包方的配合费等</w:t>
      </w:r>
      <w:r>
        <w:rPr>
          <w:rFonts w:hint="eastAsia" w:ascii="宋体" w:hAnsi="宋体" w:cs="宋体"/>
          <w:color w:val="auto"/>
          <w:kern w:val="0"/>
          <w:sz w:val="24"/>
          <w:highlight w:val="none"/>
        </w:rPr>
        <w:t>。清单中未列明，但属设备正常运行必须的配件或辅件由各投标人计入相应的设备报价中。</w:t>
      </w:r>
    </w:p>
    <w:p>
      <w:pPr>
        <w:autoSpaceDE w:val="0"/>
        <w:autoSpaceDN w:val="0"/>
        <w:adjustRightInd w:val="0"/>
        <w:spacing w:after="120" w:line="360" w:lineRule="auto"/>
        <w:ind w:firstLine="420" w:firstLineChars="175"/>
        <w:textAlignment w:val="baseline"/>
        <w:rPr>
          <w:rFonts w:hint="eastAsia" w:ascii="宋体" w:hAnsi="宋体" w:cs="宋体"/>
          <w:color w:val="auto"/>
          <w:kern w:val="0"/>
          <w:sz w:val="24"/>
          <w:highlight w:val="none"/>
        </w:rPr>
      </w:pPr>
      <w:r>
        <w:rPr>
          <w:rFonts w:hint="eastAsia" w:ascii="宋体" w:hAnsi="宋体" w:cs="宋体"/>
          <w:bCs/>
          <w:color w:val="auto"/>
          <w:kern w:val="0"/>
          <w:sz w:val="24"/>
          <w:highlight w:val="none"/>
        </w:rPr>
        <w:t>3、要求投标人充分理解项目需求，建议投标前进行实地勘察，切实为用户提供优质的解决方案。</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4、响应性要求：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各产品标★号参数投标时需提供第三方检测机构出具的检测（验）报告或官网截图或彩页或证书或产品说明书等相关资料予以说明；各产品技术参数描述要求提供的相关资料，未提供或缺少提供都将作为负偏离影响技术得分；</w:t>
      </w:r>
      <w:r>
        <w:rPr>
          <w:rFonts w:ascii="宋体" w:hAnsi="宋体" w:cs="宋体"/>
          <w:color w:val="auto"/>
          <w:sz w:val="24"/>
          <w:highlight w:val="none"/>
        </w:rPr>
        <w:t xml:space="preserve"> </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清单对应所有产品软硬件功能，投标供应商在投标文件中需真实描述投标产品实际响应情况（技术偏离表需准确注明满足情况或负偏离情况），业主有权要求预中标单位在预中标后7天内提供设备进行测试，软硬件功能逐条检验，若有虚假响应，做无效标处理并上报监管部门进行相应追责及处罚。</w:t>
      </w:r>
    </w:p>
    <w:p>
      <w:pPr>
        <w:spacing w:line="360" w:lineRule="auto"/>
        <w:ind w:firstLine="480" w:firstLineChars="200"/>
        <w:jc w:val="left"/>
        <w:rPr>
          <w:rFonts w:hint="eastAsia" w:ascii="宋体" w:hAnsi="宋体" w:cs="宋体"/>
          <w:b/>
          <w:bCs/>
          <w:color w:val="auto"/>
          <w:spacing w:val="20"/>
          <w:sz w:val="24"/>
          <w:highlight w:val="none"/>
        </w:rPr>
      </w:pPr>
      <w:r>
        <w:rPr>
          <w:rFonts w:ascii="宋体" w:hAnsi="宋体" w:cs="宋体"/>
          <w:color w:val="auto"/>
          <w:sz w:val="24"/>
          <w:highlight w:val="none"/>
        </w:rPr>
        <w:t>5</w:t>
      </w:r>
      <w:r>
        <w:rPr>
          <w:rFonts w:hint="eastAsia" w:ascii="宋体" w:hAnsi="宋体" w:cs="宋体"/>
          <w:color w:val="auto"/>
          <w:sz w:val="24"/>
          <w:highlight w:val="none"/>
        </w:rPr>
        <w:t>、质保及服务要求：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rPr>
          <w:rFonts w:hint="eastAsia" w:ascii="宋体" w:hAnsi="宋体" w:cs="宋体"/>
          <w:bCs/>
          <w:color w:val="auto"/>
          <w:kern w:val="0"/>
          <w:sz w:val="24"/>
          <w:highlight w:val="none"/>
        </w:rPr>
      </w:pPr>
      <w:r>
        <w:rPr>
          <w:rFonts w:hint="eastAsia" w:ascii="宋体" w:hAnsi="宋体" w:cs="宋体"/>
          <w:color w:val="auto"/>
          <w:spacing w:val="20"/>
          <w:sz w:val="24"/>
          <w:highlight w:val="none"/>
        </w:rPr>
        <w:t>①质保服务</w:t>
      </w:r>
      <w:r>
        <w:rPr>
          <w:rFonts w:hint="eastAsia" w:ascii="宋体" w:hAnsi="宋体" w:cs="宋体"/>
          <w:bCs/>
          <w:color w:val="auto"/>
          <w:kern w:val="0"/>
          <w:sz w:val="24"/>
          <w:highlight w:val="none"/>
        </w:rPr>
        <w:t>从整个项目产品安装调试完毕，并经验收合格之日开始计算。除非采购人另有要求，保修期内的服务均为免费上门服务。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▲②质保期限：整体项目免费质保维护至少3年，具体以投标人投标承诺质保期为准。</w:t>
      </w:r>
      <w:r>
        <w:rPr>
          <w:rFonts w:hint="eastAsia" w:ascii="宋体" w:hAnsi="宋体" w:cs="宋体"/>
          <w:b/>
          <w:color w:val="auto"/>
          <w:kern w:val="0"/>
          <w:sz w:val="24"/>
          <w:highlight w:val="none"/>
        </w:rPr>
        <w:t>本项目要求预中标后7日内提供各系统主要产品针对本项目质保承诺函原件。否则做无效标处理。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③在质保期内，采购人有故障申报，投标人（或原厂商，在投标文件中注明由谁提供该服务）须在至少2小时内响应提供解决方案，若不能以电话方式解决故障，须在3小时内到达现场，一般故障到达现场后6小时内解决，现场解决不了的重大故障，应在24小时内解决。若不能现场解决，须提供同等性能、同等配置的设备替换，以确保采购人不中断使用运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④质保期内，与维修相关的所有费用、安全等由投标人自负。</w:t>
      </w:r>
    </w:p>
    <w:p>
      <w:pPr>
        <w:spacing w:line="660" w:lineRule="exact"/>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二、其他要求：</w:t>
      </w:r>
    </w:p>
    <w:p>
      <w:pPr>
        <w:spacing w:line="360" w:lineRule="auto"/>
        <w:ind w:firstLine="480" w:firstLineChars="200"/>
        <w:rPr>
          <w:rFonts w:hint="eastAsia" w:ascii="宋体" w:hAnsi="宋体" w:cs="宋体"/>
          <w:bCs/>
          <w:color w:val="auto"/>
          <w:kern w:val="0"/>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、招标人在招标文件所列采购清单中，只列主要产品、设备的名称、品牌、数量、技术参数等要求，其他辅材、配套、配件、软件等未详细列入，均应包括在相应产品、设备器材中，投标人在报价时自行考虑。</w:t>
      </w:r>
    </w:p>
    <w:p>
      <w:pPr>
        <w:spacing w:line="360" w:lineRule="auto"/>
        <w:ind w:firstLine="560" w:firstLineChars="200"/>
        <w:rPr>
          <w:rFonts w:hint="eastAsia" w:ascii="宋体" w:hAnsi="宋体" w:cs="宋体"/>
          <w:bCs/>
          <w:color w:val="auto"/>
          <w:kern w:val="0"/>
          <w:sz w:val="24"/>
          <w:highlight w:val="none"/>
        </w:rPr>
      </w:pPr>
      <w:r>
        <w:rPr>
          <w:rFonts w:ascii="宋体" w:hAnsi="宋体" w:cs="宋体"/>
          <w:bCs/>
          <w:color w:val="auto"/>
          <w:spacing w:val="20"/>
          <w:sz w:val="24"/>
          <w:highlight w:val="none"/>
        </w:rPr>
        <w:t>2</w:t>
      </w:r>
      <w:r>
        <w:rPr>
          <w:rFonts w:hint="eastAsia" w:ascii="宋体" w:hAnsi="宋体" w:cs="宋体"/>
          <w:bCs/>
          <w:color w:val="auto"/>
          <w:spacing w:val="20"/>
          <w:sz w:val="24"/>
          <w:highlight w:val="none"/>
        </w:rPr>
        <w:t>、</w:t>
      </w:r>
      <w:r>
        <w:rPr>
          <w:rFonts w:hint="eastAsia" w:ascii="宋体" w:hAnsi="宋体" w:cs="宋体"/>
          <w:bCs/>
          <w:color w:val="auto"/>
          <w:kern w:val="0"/>
          <w:sz w:val="24"/>
          <w:highlight w:val="none"/>
        </w:rPr>
        <w:t>列入国家生产许可和3C目录的产品，在项目实施前必须取得并提供相应说明资料备查。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 </w:t>
      </w:r>
      <w:r>
        <w:rPr>
          <w:rFonts w:ascii="宋体" w:hAnsi="宋体" w:cs="宋体"/>
          <w:bCs/>
          <w:color w:val="auto"/>
          <w:kern w:val="0"/>
          <w:sz w:val="24"/>
          <w:highlight w:val="none"/>
        </w:rPr>
        <w:t>3</w:t>
      </w:r>
      <w:r>
        <w:rPr>
          <w:rFonts w:hint="eastAsia" w:ascii="宋体" w:hAnsi="宋体" w:cs="宋体"/>
          <w:bCs/>
          <w:color w:val="auto"/>
          <w:kern w:val="0"/>
          <w:sz w:val="24"/>
          <w:highlight w:val="none"/>
        </w:rPr>
        <w:t>、</w:t>
      </w:r>
      <w:r>
        <w:rPr>
          <w:rFonts w:hint="eastAsia" w:ascii="宋体" w:hAnsi="宋体" w:cs="宋体"/>
          <w:bCs/>
          <w:color w:val="auto"/>
          <w:sz w:val="24"/>
          <w:highlight w:val="none"/>
        </w:rPr>
        <w:t>项目方案及安装</w:t>
      </w:r>
      <w:r>
        <w:rPr>
          <w:rFonts w:hint="eastAsia" w:ascii="宋体" w:hAnsi="宋体" w:cs="宋体"/>
          <w:bCs/>
          <w:color w:val="auto"/>
          <w:kern w:val="0"/>
          <w:sz w:val="24"/>
          <w:highlight w:val="none"/>
        </w:rPr>
        <w:t>调试方案具体在实施前须报经采购人同意后方可执行，否则后果自负。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hint="eastAsia" w:ascii="宋体" w:hAnsi="宋体" w:cs="宋体"/>
          <w:b/>
          <w:color w:val="auto"/>
          <w:kern w:val="0"/>
          <w:sz w:val="24"/>
          <w:highlight w:val="none"/>
        </w:rPr>
      </w:pPr>
      <w:r>
        <w:rPr>
          <w:rFonts w:ascii="宋体" w:hAnsi="宋体" w:cs="宋体"/>
          <w:b/>
          <w:color w:val="auto"/>
          <w:kern w:val="0"/>
          <w:sz w:val="24"/>
          <w:highlight w:val="none"/>
        </w:rPr>
        <w:t>4</w:t>
      </w:r>
      <w:r>
        <w:rPr>
          <w:rFonts w:hint="eastAsia" w:ascii="宋体" w:hAnsi="宋体" w:cs="宋体"/>
          <w:b/>
          <w:color w:val="auto"/>
          <w:kern w:val="0"/>
          <w:sz w:val="24"/>
          <w:highlight w:val="none"/>
        </w:rPr>
        <w:t>、本项目为土建同步实施工程，</w:t>
      </w:r>
      <w:r>
        <w:rPr>
          <w:rFonts w:hint="eastAsia" w:ascii="宋体" w:hAnsi="宋体" w:cs="宋体"/>
          <w:b/>
          <w:color w:val="auto"/>
          <w:kern w:val="0"/>
          <w:sz w:val="24"/>
          <w:highlight w:val="none"/>
          <w:lang w:eastAsia="zh-CN"/>
        </w:rPr>
        <w:t>总承包服务</w:t>
      </w:r>
      <w:r>
        <w:rPr>
          <w:rFonts w:hint="eastAsia" w:ascii="宋体" w:hAnsi="宋体" w:cs="宋体"/>
          <w:b/>
          <w:color w:val="auto"/>
          <w:kern w:val="0"/>
          <w:sz w:val="24"/>
          <w:highlight w:val="none"/>
        </w:rPr>
        <w:t>费需自行考虑在报价内，业主不再另行支付。另后续需负责对接上级主管部门对视频联网工作要求。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宋体"/>
          <w:bCs/>
          <w:color w:val="auto"/>
          <w:kern w:val="0"/>
          <w:sz w:val="24"/>
          <w:highlight w:val="none"/>
        </w:rPr>
      </w:pPr>
      <w:r>
        <w:rPr>
          <w:rFonts w:ascii="宋体" w:hAnsi="宋体" w:cs="宋体"/>
          <w:bCs/>
          <w:color w:val="auto"/>
          <w:kern w:val="0"/>
          <w:sz w:val="24"/>
          <w:highlight w:val="none"/>
        </w:rPr>
        <w:t>5</w:t>
      </w:r>
      <w:r>
        <w:rPr>
          <w:rFonts w:hint="eastAsia" w:ascii="宋体" w:hAnsi="宋体" w:cs="宋体"/>
          <w:bCs/>
          <w:color w:val="auto"/>
          <w:kern w:val="0"/>
          <w:sz w:val="24"/>
          <w:highlight w:val="none"/>
        </w:rPr>
        <w:t>、卖方应保护买方在使用该产品、服务或其任何一部分时不受第三方提出侵犯专利权、商标权或工业设计权等知识产权的指控。如果任何第三方提出侵权指控，卖方须与第三方交涉并承担可能发生的一切法律责任和费用。</w:t>
      </w:r>
    </w:p>
    <w:p>
      <w:pPr>
        <w:spacing w:line="360" w:lineRule="auto"/>
        <w:ind w:firstLine="480" w:firstLineChars="200"/>
        <w:jc w:val="left"/>
        <w:rPr>
          <w:rFonts w:hint="eastAsia" w:ascii="宋体" w:hAnsi="宋体" w:cs="宋体"/>
          <w:bCs/>
          <w:color w:val="auto"/>
          <w:kern w:val="0"/>
          <w:sz w:val="24"/>
          <w:highlight w:val="none"/>
        </w:rPr>
      </w:pPr>
      <w:r>
        <w:rPr>
          <w:rFonts w:ascii="宋体" w:hAnsi="宋体" w:cs="宋体"/>
          <w:color w:val="auto"/>
          <w:sz w:val="24"/>
          <w:highlight w:val="none"/>
        </w:rPr>
        <w:t>6</w:t>
      </w:r>
      <w:r>
        <w:rPr>
          <w:rFonts w:hint="eastAsia" w:ascii="宋体" w:hAnsi="宋体" w:cs="宋体"/>
          <w:color w:val="auto"/>
          <w:sz w:val="24"/>
          <w:highlight w:val="none"/>
        </w:rPr>
        <w:t>、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Pr>
          <w:rFonts w:hint="eastAsia" w:ascii="宋体" w:hAnsi="宋体" w:cs="宋体"/>
          <w:bCs/>
          <w:color w:val="auto"/>
          <w:sz w:val="24"/>
          <w:highlight w:val="none"/>
        </w:rPr>
        <w:t>配件必须是原包装到达招标人，</w:t>
      </w:r>
      <w:r>
        <w:rPr>
          <w:rFonts w:hint="eastAsia" w:ascii="宋体" w:hAnsi="宋体" w:cs="宋体"/>
          <w:bCs/>
          <w:color w:val="auto"/>
          <w:kern w:val="0"/>
          <w:sz w:val="24"/>
          <w:highlight w:val="none"/>
        </w:rPr>
        <w:t>未经</w:t>
      </w:r>
      <w:r>
        <w:rPr>
          <w:rFonts w:hint="eastAsia" w:ascii="宋体" w:hAnsi="宋体" w:cs="宋体"/>
          <w:bCs/>
          <w:color w:val="auto"/>
          <w:sz w:val="24"/>
          <w:highlight w:val="none"/>
        </w:rPr>
        <w:t>招标人</w:t>
      </w:r>
      <w:r>
        <w:rPr>
          <w:rFonts w:hint="eastAsia" w:ascii="宋体" w:hAnsi="宋体" w:cs="宋体"/>
          <w:bCs/>
          <w:color w:val="auto"/>
          <w:kern w:val="0"/>
          <w:sz w:val="24"/>
          <w:highlight w:val="none"/>
        </w:rPr>
        <w:t>允许不得私自预先安装。</w:t>
      </w:r>
    </w:p>
    <w:p>
      <w:pPr>
        <w:pStyle w:val="52"/>
        <w:spacing w:line="360" w:lineRule="auto"/>
        <w:ind w:firstLine="480" w:firstLineChars="200"/>
        <w:rPr>
          <w:rFonts w:hint="eastAsia"/>
          <w:color w:val="auto"/>
          <w:szCs w:val="24"/>
          <w:highlight w:val="none"/>
        </w:rPr>
      </w:pPr>
      <w:r>
        <w:rPr>
          <w:rFonts w:hint="eastAsia" w:ascii="宋体" w:hAnsi="宋体" w:cs="宋体"/>
          <w:color w:val="auto"/>
          <w:szCs w:val="24"/>
          <w:highlight w:val="none"/>
          <w:lang w:val="zh-CN"/>
        </w:rPr>
        <w:t>7、如招标文件中遗漏了必须具备的设备、配件、</w:t>
      </w:r>
      <w:r>
        <w:rPr>
          <w:rFonts w:hint="eastAsia" w:ascii="宋体" w:hAnsi="宋体" w:cs="宋体"/>
          <w:color w:val="auto"/>
          <w:szCs w:val="24"/>
          <w:highlight w:val="none"/>
        </w:rPr>
        <w:t>辅材、软件</w:t>
      </w:r>
      <w:r>
        <w:rPr>
          <w:rFonts w:hint="eastAsia" w:ascii="宋体" w:hAnsi="宋体" w:cs="宋体"/>
          <w:color w:val="auto"/>
          <w:szCs w:val="24"/>
          <w:highlight w:val="none"/>
          <w:lang w:val="zh-CN"/>
        </w:rPr>
        <w:t>或服务，请投标人在投标文件中指出，并提出解决方案供采购人参考；</w:t>
      </w:r>
      <w:r>
        <w:rPr>
          <w:rFonts w:hint="eastAsia" w:ascii="宋体" w:hAnsi="宋体" w:cs="宋体"/>
          <w:color w:val="auto"/>
          <w:szCs w:val="24"/>
          <w:highlight w:val="none"/>
        </w:rPr>
        <w:t>投标人</w:t>
      </w:r>
      <w:r>
        <w:rPr>
          <w:rFonts w:hint="eastAsia" w:ascii="宋体" w:hAnsi="宋体" w:cs="宋体"/>
          <w:color w:val="auto"/>
          <w:szCs w:val="24"/>
          <w:highlight w:val="none"/>
          <w:lang w:val="zh-CN"/>
        </w:rPr>
        <w:t>有义务保证采购人</w:t>
      </w:r>
      <w:r>
        <w:rPr>
          <w:rFonts w:hint="eastAsia" w:ascii="宋体" w:hAnsi="宋体" w:cs="宋体"/>
          <w:color w:val="auto"/>
          <w:szCs w:val="24"/>
          <w:highlight w:val="none"/>
        </w:rPr>
        <w:t>采购项目</w:t>
      </w:r>
      <w:r>
        <w:rPr>
          <w:rFonts w:hint="eastAsia" w:ascii="宋体" w:hAnsi="宋体" w:cs="宋体"/>
          <w:color w:val="auto"/>
          <w:szCs w:val="24"/>
          <w:highlight w:val="none"/>
          <w:lang w:val="zh-CN"/>
        </w:rPr>
        <w:t>的完整性，如项目实施过程中因缺少设备、配件、</w:t>
      </w:r>
      <w:r>
        <w:rPr>
          <w:rFonts w:hint="eastAsia" w:ascii="宋体" w:hAnsi="宋体" w:cs="宋体"/>
          <w:color w:val="auto"/>
          <w:szCs w:val="24"/>
          <w:highlight w:val="none"/>
        </w:rPr>
        <w:t>辅材、软件</w:t>
      </w:r>
      <w:r>
        <w:rPr>
          <w:rFonts w:hint="eastAsia" w:ascii="宋体" w:hAnsi="宋体" w:cs="宋体"/>
          <w:color w:val="auto"/>
          <w:szCs w:val="24"/>
          <w:highlight w:val="none"/>
          <w:lang w:val="zh-CN"/>
        </w:rPr>
        <w:t>或服务导致采购人</w:t>
      </w:r>
      <w:r>
        <w:rPr>
          <w:rFonts w:hint="eastAsia" w:ascii="宋体" w:hAnsi="宋体" w:cs="宋体"/>
          <w:color w:val="auto"/>
          <w:szCs w:val="24"/>
          <w:highlight w:val="none"/>
        </w:rPr>
        <w:t>采购项目</w:t>
      </w:r>
      <w:r>
        <w:rPr>
          <w:rFonts w:hint="eastAsia" w:ascii="宋体" w:hAnsi="宋体" w:cs="宋体"/>
          <w:color w:val="auto"/>
          <w:szCs w:val="24"/>
          <w:highlight w:val="none"/>
          <w:lang w:val="zh-CN"/>
        </w:rPr>
        <w:t>无法正常运行</w:t>
      </w:r>
      <w:r>
        <w:rPr>
          <w:rFonts w:hint="eastAsia" w:ascii="宋体" w:hAnsi="宋体" w:cs="宋体"/>
          <w:color w:val="auto"/>
          <w:szCs w:val="24"/>
          <w:highlight w:val="none"/>
        </w:rPr>
        <w:t>或使用</w:t>
      </w:r>
      <w:r>
        <w:rPr>
          <w:rFonts w:hint="eastAsia" w:ascii="宋体" w:hAnsi="宋体" w:cs="宋体"/>
          <w:color w:val="auto"/>
          <w:szCs w:val="24"/>
          <w:highlight w:val="none"/>
          <w:lang w:val="zh-CN"/>
        </w:rPr>
        <w:t>，</w:t>
      </w:r>
      <w:r>
        <w:rPr>
          <w:rFonts w:hint="eastAsia" w:ascii="宋体" w:hAnsi="宋体" w:cs="宋体"/>
          <w:color w:val="auto"/>
          <w:szCs w:val="24"/>
          <w:highlight w:val="none"/>
        </w:rPr>
        <w:t>中标人</w:t>
      </w:r>
      <w:r>
        <w:rPr>
          <w:rFonts w:hint="eastAsia" w:ascii="宋体" w:hAnsi="宋体" w:cs="宋体"/>
          <w:color w:val="auto"/>
          <w:szCs w:val="24"/>
          <w:highlight w:val="none"/>
          <w:lang w:val="zh-CN"/>
        </w:rPr>
        <w:t>须免费提供，报价时自行考虑。</w:t>
      </w:r>
    </w:p>
    <w:p>
      <w:pPr>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Cs/>
          <w:color w:val="auto"/>
          <w:kern w:val="0"/>
          <w:sz w:val="24"/>
          <w:highlight w:val="none"/>
        </w:rPr>
        <w:t>8、</w:t>
      </w:r>
      <w:r>
        <w:rPr>
          <w:rFonts w:hint="eastAsia" w:ascii="宋体" w:hAnsi="宋体" w:cs="宋体"/>
          <w:color w:val="auto"/>
          <w:sz w:val="24"/>
          <w:highlight w:val="none"/>
        </w:rPr>
        <w:t>技术培训：为采购人培训操作技术人员，使其能够熟练掌握系统的安装、操作、维护、维修，并能独立上岗。</w:t>
      </w:r>
    </w:p>
    <w:p>
      <w:pPr>
        <w:tabs>
          <w:tab w:val="left" w:pos="0"/>
        </w:tabs>
        <w:spacing w:line="360" w:lineRule="auto"/>
        <w:ind w:firstLine="562" w:firstLineChars="200"/>
        <w:jc w:val="left"/>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9、安装施工要求</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投标人须保证招标人本次采购所有产品、设备安装调试，并承担全部工作责任。</w:t>
      </w:r>
      <w:r>
        <w:rPr>
          <w:rFonts w:hint="eastAsia" w:ascii="宋体" w:hAnsi="宋体"/>
          <w:color w:val="auto"/>
          <w:sz w:val="24"/>
          <w:highlight w:val="none"/>
        </w:rPr>
        <w:t>要求所有设备原包装到采购人指定地点，由采购人认可并清点后才可拆封。中标单位供货时须提供原厂商相关说明资料。</w:t>
      </w:r>
      <w:r>
        <w:rPr>
          <w:rFonts w:hint="eastAsia" w:ascii="宋体" w:hAnsi="宋体" w:cs="宋体"/>
          <w:b/>
          <w:bCs/>
          <w:color w:val="auto"/>
          <w:sz w:val="24"/>
          <w:highlight w:val="none"/>
        </w:rPr>
        <w:t>在项目实施时业主有权要求中标单位提供设备进行测试，软硬件功能逐条检验，若有虚假响应，后果自负。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要求所有设备原包装到采购人指定地点，由采购人认可并清点后才可拆封。中标单位供货时须提供原厂商相关说明资料。</w:t>
      </w:r>
    </w:p>
    <w:p>
      <w:pPr>
        <w:tabs>
          <w:tab w:val="left" w:pos="0"/>
        </w:tabs>
        <w:spacing w:line="360" w:lineRule="auto"/>
        <w:ind w:firstLine="480" w:firstLineChars="200"/>
        <w:jc w:val="left"/>
        <w:rPr>
          <w:rFonts w:hint="eastAsia" w:ascii="宋体" w:hAnsi="宋体" w:cs="宋体"/>
          <w:bCs/>
          <w:color w:val="auto"/>
          <w:spacing w:val="20"/>
          <w:sz w:val="24"/>
          <w:highlight w:val="none"/>
        </w:rPr>
      </w:pPr>
      <w:r>
        <w:rPr>
          <w:rFonts w:hint="eastAsia" w:ascii="宋体" w:hAnsi="宋体" w:cs="宋体"/>
          <w:bCs/>
          <w:color w:val="auto"/>
          <w:kern w:val="0"/>
          <w:sz w:val="24"/>
          <w:highlight w:val="none"/>
        </w:rPr>
        <w:t>项目实施时不得损坏招标人财物，如有损坏需无条件修复原状，否则招标人有权在应付货款中扣除相应损失。</w:t>
      </w:r>
    </w:p>
    <w:p>
      <w:pPr>
        <w:tabs>
          <w:tab w:val="left" w:pos="0"/>
        </w:tabs>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项目方案及施工方案具体在实施前须报经采购人同意后方可执行；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强化安全意识、抓好安全生产，明确安全责任，杜绝事故发生，项目实施中发生安全及人身事故均由投标人负责处理，并承担全部责任和费用。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宋体"/>
          <w:color w:val="auto"/>
          <w:kern w:val="24"/>
          <w:sz w:val="24"/>
          <w:highlight w:val="none"/>
        </w:rPr>
      </w:pPr>
      <w:r>
        <w:rPr>
          <w:rFonts w:hint="eastAsia" w:ascii="宋体" w:hAnsi="宋体" w:cs="宋体"/>
          <w:bCs/>
          <w:color w:val="auto"/>
          <w:sz w:val="24"/>
          <w:highlight w:val="none"/>
        </w:rPr>
        <w:t>以非投标人制造的产品参加投标的，招标人有权要求在项目实施时提供该产品制造商针对本项目出具的授权书或质保函</w:t>
      </w:r>
      <w:r>
        <w:rPr>
          <w:rFonts w:hint="eastAsia" w:ascii="宋体" w:hAnsi="宋体" w:cs="宋体"/>
          <w:color w:val="auto"/>
          <w:kern w:val="24"/>
          <w:sz w:val="24"/>
          <w:highlight w:val="none"/>
        </w:rPr>
        <w:t>。</w:t>
      </w:r>
    </w:p>
    <w:p>
      <w:pPr>
        <w:pStyle w:val="52"/>
        <w:spacing w:line="360" w:lineRule="auto"/>
        <w:ind w:firstLine="240"/>
        <w:rPr>
          <w:rFonts w:hint="eastAsia"/>
          <w:color w:val="auto"/>
          <w:szCs w:val="24"/>
          <w:highlight w:val="none"/>
        </w:rPr>
      </w:pPr>
      <w:r>
        <w:rPr>
          <w:rFonts w:hint="eastAsia" w:ascii="宋体" w:hAnsi="宋体" w:cs="宋体"/>
          <w:color w:val="auto"/>
          <w:szCs w:val="24"/>
          <w:highlight w:val="none"/>
        </w:rPr>
        <w:t>按业主要求提供接口图及控制功能界面截图佐证和网络接线接口明细图。</w:t>
      </w:r>
    </w:p>
    <w:p>
      <w:pPr>
        <w:tabs>
          <w:tab w:val="left" w:pos="0"/>
        </w:tabs>
        <w:spacing w:line="360" w:lineRule="auto"/>
        <w:ind w:firstLine="551" w:firstLineChars="196"/>
        <w:jc w:val="left"/>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1</w:t>
      </w:r>
      <w:r>
        <w:rPr>
          <w:rFonts w:ascii="宋体" w:hAnsi="宋体" w:cs="宋体"/>
          <w:b/>
          <w:bCs/>
          <w:color w:val="auto"/>
          <w:spacing w:val="20"/>
          <w:sz w:val="24"/>
          <w:highlight w:val="none"/>
        </w:rPr>
        <w:t>0</w:t>
      </w:r>
      <w:r>
        <w:rPr>
          <w:rFonts w:hint="eastAsia" w:ascii="宋体" w:hAnsi="宋体" w:cs="宋体"/>
          <w:b/>
          <w:bCs/>
          <w:color w:val="auto"/>
          <w:spacing w:val="20"/>
          <w:sz w:val="24"/>
          <w:highlight w:val="none"/>
        </w:rPr>
        <w:t>、验收标准及要求</w:t>
      </w:r>
    </w:p>
    <w:p>
      <w:pPr>
        <w:tabs>
          <w:tab w:val="left" w:pos="0"/>
        </w:tabs>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根据中华人民共和国现行技术标准，按招标文件以及合同规定的验收评定标准等规范，由招标人组织验收。</w:t>
      </w:r>
    </w:p>
    <w:p>
      <w:pPr>
        <w:tabs>
          <w:tab w:val="left" w:pos="0"/>
        </w:tabs>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验收在材料、设备到齐时，由招标人组织人员对材料、设备等投标响应要求进行初次验收，经验收合格投标人方可实施；投标人必须按照招标要求及招标人的要求准备完整的验收材料。验收费用由投标人承担。</w:t>
      </w:r>
    </w:p>
    <w:p>
      <w:pPr>
        <w:tabs>
          <w:tab w:val="left" w:pos="0"/>
        </w:tabs>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②最终验收由招标人组织专家组进行验收，同时根据具体情况可以邀请主要设备厂家代表或投标人代表协助采购方进行验收。由于中标人原因超过时间达不到要求的或验收不能过的，中标人须退还已付货款，履约保证金不予退还，赔偿业主损失，并报有关部门处理。</w:t>
      </w:r>
    </w:p>
    <w:p>
      <w:pPr>
        <w:pStyle w:val="52"/>
        <w:widowControl w:val="0"/>
        <w:autoSpaceDE w:val="0"/>
        <w:autoSpaceDN w:val="0"/>
        <w:adjustRightInd w:val="0"/>
        <w:spacing w:line="360" w:lineRule="auto"/>
        <w:ind w:firstLine="240"/>
        <w:textAlignment w:val="baseline"/>
        <w:rPr>
          <w:rFonts w:hint="eastAsia" w:ascii="宋体" w:hAnsi="宋体" w:cs="宋体"/>
          <w:b/>
          <w:bCs/>
          <w:color w:val="auto"/>
          <w:szCs w:val="24"/>
          <w:highlight w:val="none"/>
        </w:rPr>
      </w:pPr>
      <w:r>
        <w:rPr>
          <w:rFonts w:hint="eastAsia" w:ascii="宋体" w:hAnsi="宋体" w:cs="宋体"/>
          <w:color w:val="auto"/>
          <w:szCs w:val="24"/>
          <w:highlight w:val="none"/>
        </w:rPr>
        <w:t>③投标人向招标人提供施工过程中形成的图纸、记录、档案资料（含接口图及控制功能界面截图佐证和网络接线接口明细图）、产品说明书、原厂家安装手册、技术文件资料、安装、验收报告等原件文档汇集成册（含电子版一套），并按招标人的档案管理要求完成资料归档工作，报送招标单位留存。</w:t>
      </w:r>
    </w:p>
    <w:p>
      <w:pPr>
        <w:pStyle w:val="48"/>
        <w:shd w:val="clear" w:color="auto" w:fill="FFFFFF"/>
        <w:spacing w:before="0" w:beforeAutospacing="0" w:after="0" w:afterAutospacing="0" w:line="400" w:lineRule="exact"/>
        <w:rPr>
          <w:rFonts w:hint="default" w:cs="宋体"/>
          <w:color w:val="auto"/>
          <w:highlight w:val="none"/>
        </w:rPr>
      </w:pPr>
    </w:p>
    <w:p>
      <w:pPr>
        <w:pStyle w:val="48"/>
        <w:shd w:val="clear" w:color="auto" w:fill="FFFFFF"/>
        <w:spacing w:before="0" w:beforeAutospacing="0" w:after="0" w:afterAutospacing="0" w:line="400" w:lineRule="exact"/>
        <w:rPr>
          <w:rFonts w:hint="default" w:cs="宋体"/>
          <w:color w:val="auto"/>
          <w:highlight w:val="none"/>
        </w:rPr>
      </w:pPr>
    </w:p>
    <w:p>
      <w:pPr>
        <w:pStyle w:val="48"/>
        <w:shd w:val="clear" w:color="auto" w:fill="FFFFFF"/>
        <w:spacing w:before="0" w:beforeAutospacing="0" w:after="0" w:afterAutospacing="0" w:line="400" w:lineRule="exact"/>
        <w:rPr>
          <w:rFonts w:hint="default" w:cs="宋体"/>
          <w:color w:val="auto"/>
          <w:highlight w:val="none"/>
        </w:rPr>
      </w:pPr>
    </w:p>
    <w:p>
      <w:pPr>
        <w:pStyle w:val="48"/>
        <w:shd w:val="clear" w:color="auto" w:fill="FFFFFF"/>
        <w:spacing w:before="0" w:beforeAutospacing="0" w:after="0" w:afterAutospacing="0" w:line="400" w:lineRule="exact"/>
        <w:rPr>
          <w:rFonts w:hint="default" w:cs="宋体"/>
          <w:color w:val="auto"/>
          <w:highlight w:val="none"/>
        </w:rPr>
      </w:pPr>
    </w:p>
    <w:p>
      <w:pPr>
        <w:pStyle w:val="48"/>
        <w:shd w:val="clear" w:color="auto" w:fill="FFFFFF"/>
        <w:spacing w:before="0" w:beforeAutospacing="0" w:after="0" w:afterAutospacing="0" w:line="400" w:lineRule="exact"/>
        <w:rPr>
          <w:rFonts w:hint="default" w:cs="宋体"/>
          <w:color w:val="auto"/>
          <w:highlight w:val="none"/>
        </w:rPr>
      </w:pPr>
    </w:p>
    <w:p>
      <w:pPr>
        <w:pStyle w:val="48"/>
        <w:shd w:val="clear" w:color="auto" w:fill="FFFFFF"/>
        <w:spacing w:before="0" w:beforeAutospacing="0" w:after="0" w:afterAutospacing="0" w:line="400" w:lineRule="exact"/>
        <w:rPr>
          <w:rFonts w:hint="default" w:cs="宋体"/>
          <w:color w:val="auto"/>
          <w:highlight w:val="none"/>
        </w:rPr>
      </w:pPr>
    </w:p>
    <w:p>
      <w:pPr>
        <w:pStyle w:val="48"/>
        <w:shd w:val="clear" w:color="auto" w:fill="FFFFFF"/>
        <w:spacing w:before="0" w:beforeAutospacing="0" w:after="0" w:afterAutospacing="0" w:line="400" w:lineRule="exact"/>
        <w:rPr>
          <w:rFonts w:cs="宋体"/>
          <w:color w:val="auto"/>
          <w:highlight w:val="none"/>
        </w:rPr>
      </w:pPr>
    </w:p>
    <w:p>
      <w:pPr>
        <w:pStyle w:val="48"/>
        <w:shd w:val="clear" w:color="auto" w:fill="FFFFFF"/>
        <w:spacing w:before="0" w:beforeAutospacing="0" w:after="0" w:afterAutospacing="0" w:line="400" w:lineRule="exact"/>
        <w:rPr>
          <w:rFonts w:hint="default" w:cs="宋体"/>
          <w:color w:val="auto"/>
          <w:highlight w:val="none"/>
        </w:rPr>
      </w:pPr>
    </w:p>
    <w:p>
      <w:pPr>
        <w:pStyle w:val="48"/>
        <w:shd w:val="clear" w:color="auto" w:fill="FFFFFF"/>
        <w:spacing w:before="0" w:beforeAutospacing="0" w:after="0" w:afterAutospacing="0" w:line="400" w:lineRule="exact"/>
        <w:rPr>
          <w:rFonts w:hint="default" w:cs="宋体"/>
          <w:color w:val="auto"/>
          <w:highlight w:val="none"/>
        </w:rPr>
      </w:pPr>
    </w:p>
    <w:p>
      <w:pPr>
        <w:pStyle w:val="48"/>
        <w:shd w:val="clear" w:color="auto" w:fill="FFFFFF"/>
        <w:spacing w:before="0" w:beforeAutospacing="0" w:after="0" w:afterAutospacing="0" w:line="400" w:lineRule="exact"/>
        <w:rPr>
          <w:rFonts w:hint="default" w:cs="宋体"/>
          <w:color w:val="auto"/>
          <w:highlight w:val="none"/>
        </w:rPr>
      </w:pPr>
    </w:p>
    <w:p>
      <w:pPr>
        <w:pStyle w:val="5"/>
        <w:keepNext/>
        <w:keepLines/>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cs="宋体"/>
          <w:color w:val="auto"/>
          <w:sz w:val="36"/>
          <w:szCs w:val="36"/>
          <w:highlight w:val="none"/>
        </w:rPr>
      </w:pPr>
      <w:r>
        <w:rPr>
          <w:rFonts w:hint="eastAsia" w:ascii="宋体" w:hAnsi="宋体" w:cs="宋体"/>
          <w:color w:val="auto"/>
          <w:sz w:val="36"/>
          <w:szCs w:val="36"/>
          <w:highlight w:val="none"/>
        </w:rPr>
        <w:t>第四部分 评标办法及评分标准</w:t>
      </w:r>
    </w:p>
    <w:p>
      <w:pPr>
        <w:jc w:val="center"/>
        <w:rPr>
          <w:rFonts w:hint="eastAsia"/>
          <w:b/>
          <w:bCs/>
          <w:color w:val="auto"/>
          <w:sz w:val="22"/>
          <w:szCs w:val="28"/>
          <w:highlight w:val="none"/>
        </w:rPr>
      </w:pPr>
      <w:r>
        <w:rPr>
          <w:rFonts w:hint="eastAsia"/>
          <w:b/>
          <w:bCs/>
          <w:color w:val="auto"/>
          <w:sz w:val="22"/>
          <w:szCs w:val="28"/>
          <w:highlight w:val="none"/>
        </w:rPr>
        <w:t>评标办法前附表</w:t>
      </w:r>
    </w:p>
    <w:tbl>
      <w:tblPr>
        <w:tblStyle w:val="53"/>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1276"/>
        <w:gridCol w:w="6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4" w:type="dxa"/>
            <w:noWrap w:val="0"/>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76" w:type="dxa"/>
            <w:noWrap w:val="0"/>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评定项目</w:t>
            </w:r>
          </w:p>
        </w:tc>
        <w:tc>
          <w:tcPr>
            <w:tcW w:w="1276" w:type="dxa"/>
            <w:noWrap w:val="0"/>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分值范围</w:t>
            </w:r>
          </w:p>
        </w:tc>
        <w:tc>
          <w:tcPr>
            <w:tcW w:w="6933" w:type="dxa"/>
            <w:noWrap w:val="0"/>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bCs/>
                <w:color w:val="auto"/>
                <w:sz w:val="20"/>
                <w:szCs w:val="20"/>
                <w:highlight w:val="none"/>
              </w:rPr>
            </w:pPr>
            <w:r>
              <w:rPr>
                <w:rFonts w:hint="eastAsia" w:ascii="宋体" w:hAnsi="宋体" w:cs="宋体"/>
                <w:color w:val="auto"/>
                <w:sz w:val="20"/>
                <w:szCs w:val="20"/>
                <w:highlight w:val="none"/>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投标人（或主要产品</w:t>
            </w:r>
            <w:r>
              <w:rPr>
                <w:rFonts w:hint="eastAsia" w:ascii="宋体" w:hAnsi="宋体" w:cs="宋体"/>
                <w:color w:val="auto"/>
                <w:kern w:val="0"/>
                <w:sz w:val="20"/>
                <w:szCs w:val="20"/>
                <w:highlight w:val="none"/>
              </w:rPr>
              <w:t>制造商</w:t>
            </w:r>
            <w:r>
              <w:rPr>
                <w:rFonts w:hint="eastAsia" w:ascii="宋体" w:hAnsi="宋体" w:cs="宋体"/>
                <w:color w:val="auto"/>
                <w:sz w:val="20"/>
                <w:szCs w:val="20"/>
                <w:highlight w:val="none"/>
              </w:rPr>
              <w:t>）情况</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bCs/>
                <w:color w:val="auto"/>
                <w:sz w:val="20"/>
                <w:szCs w:val="20"/>
                <w:highlight w:val="none"/>
              </w:rPr>
            </w:pPr>
            <w:r>
              <w:rPr>
                <w:rFonts w:hint="eastAsia" w:ascii="宋体" w:hAnsi="宋体" w:cs="宋体"/>
                <w:color w:val="auto"/>
                <w:sz w:val="20"/>
                <w:szCs w:val="20"/>
                <w:highlight w:val="none"/>
              </w:rPr>
              <w:t>（</w:t>
            </w:r>
            <w:r>
              <w:rPr>
                <w:rFonts w:ascii="宋体" w:hAnsi="宋体" w:cs="宋体"/>
                <w:color w:val="auto"/>
                <w:sz w:val="20"/>
                <w:szCs w:val="20"/>
                <w:highlight w:val="none"/>
              </w:rPr>
              <w:t>3</w:t>
            </w:r>
            <w:r>
              <w:rPr>
                <w:rFonts w:hint="eastAsia" w:ascii="宋体" w:hAnsi="宋体" w:cs="宋体"/>
                <w:color w:val="auto"/>
                <w:sz w:val="20"/>
                <w:szCs w:val="20"/>
                <w:highlight w:val="none"/>
              </w:rPr>
              <w:t>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0</w:t>
            </w:r>
            <w:r>
              <w:rPr>
                <w:rFonts w:ascii="宋体" w:hAnsi="宋体" w:cs="宋体"/>
                <w:color w:val="auto"/>
                <w:sz w:val="20"/>
                <w:szCs w:val="20"/>
                <w:highlight w:val="none"/>
              </w:rPr>
              <w:t>-3</w:t>
            </w:r>
            <w:r>
              <w:rPr>
                <w:rFonts w:hint="eastAsia" w:ascii="宋体" w:hAnsi="宋体" w:cs="宋体"/>
                <w:color w:val="auto"/>
                <w:sz w:val="20"/>
                <w:szCs w:val="20"/>
                <w:highlight w:val="none"/>
              </w:rPr>
              <w:t>分</w:t>
            </w:r>
          </w:p>
        </w:tc>
        <w:tc>
          <w:tcPr>
            <w:tcW w:w="69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sz w:val="20"/>
                <w:szCs w:val="20"/>
                <w:highlight w:val="none"/>
              </w:rPr>
            </w:pPr>
            <w:r>
              <w:rPr>
                <w:rFonts w:hint="eastAsia" w:ascii="宋体" w:hAnsi="宋体" w:cs="宋体"/>
                <w:color w:val="auto"/>
                <w:sz w:val="20"/>
                <w:szCs w:val="20"/>
                <w:highlight w:val="none"/>
              </w:rPr>
              <w:t>投标人或投标核心产品制造商具有：</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1</w:t>
            </w:r>
            <w:r>
              <w:rPr>
                <w:rFonts w:hint="eastAsia" w:ascii="宋体" w:hAnsi="宋体"/>
                <w:color w:val="auto"/>
                <w:sz w:val="20"/>
                <w:highlight w:val="none"/>
              </w:rPr>
              <w:t>.</w:t>
            </w:r>
            <w:r>
              <w:rPr>
                <w:rFonts w:hint="eastAsia" w:ascii="宋体" w:hAnsi="宋体" w:cs="宋体"/>
                <w:color w:val="auto"/>
                <w:sz w:val="20"/>
                <w:szCs w:val="20"/>
                <w:highlight w:val="none"/>
              </w:rPr>
              <w:t>安防技术防范系统集成及服务专项资质证书二级及以上</w:t>
            </w:r>
            <w:r>
              <w:rPr>
                <w:rFonts w:hint="eastAsia" w:ascii="宋体" w:hAnsi="宋体" w:cs="宋体"/>
                <w:color w:val="auto"/>
                <w:sz w:val="20"/>
                <w:szCs w:val="20"/>
                <w:highlight w:val="none"/>
                <w:lang w:eastAsia="zh-CN"/>
              </w:rPr>
              <w:t>的得</w:t>
            </w:r>
            <w:r>
              <w:rPr>
                <w:rFonts w:hint="eastAsia" w:ascii="宋体" w:hAnsi="宋体" w:cs="宋体"/>
                <w:color w:val="auto"/>
                <w:sz w:val="20"/>
                <w:szCs w:val="20"/>
                <w:highlight w:val="none"/>
                <w:lang w:val="en-US" w:eastAsia="zh-CN"/>
              </w:rPr>
              <w:t>1分</w:t>
            </w:r>
            <w:r>
              <w:rPr>
                <w:rFonts w:hint="eastAsia" w:ascii="宋体" w:hAnsi="宋体" w:cs="宋体"/>
                <w:color w:val="auto"/>
                <w:sz w:val="20"/>
                <w:szCs w:val="20"/>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cs="宋体"/>
                <w:color w:val="auto"/>
                <w:sz w:val="20"/>
                <w:szCs w:val="20"/>
                <w:highlight w:val="none"/>
              </w:rPr>
            </w:pP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rPr>
              <w:t>电子与智能化工程专业承包资质二级及以上</w:t>
            </w:r>
            <w:r>
              <w:rPr>
                <w:rFonts w:hint="eastAsia" w:ascii="宋体" w:hAnsi="宋体" w:cs="宋体"/>
                <w:color w:val="auto"/>
                <w:sz w:val="20"/>
                <w:szCs w:val="20"/>
                <w:highlight w:val="none"/>
                <w:lang w:eastAsia="zh-CN"/>
              </w:rPr>
              <w:t>的得</w:t>
            </w:r>
            <w:r>
              <w:rPr>
                <w:rFonts w:hint="eastAsia" w:ascii="宋体" w:hAnsi="宋体" w:cs="宋体"/>
                <w:color w:val="auto"/>
                <w:sz w:val="20"/>
                <w:szCs w:val="20"/>
                <w:highlight w:val="none"/>
                <w:lang w:val="en-US" w:eastAsia="zh-CN"/>
              </w:rPr>
              <w:t>1分</w:t>
            </w:r>
            <w:r>
              <w:rPr>
                <w:rFonts w:hint="eastAsia" w:ascii="宋体" w:hAnsi="宋体" w:cs="宋体"/>
                <w:color w:val="auto"/>
                <w:sz w:val="20"/>
                <w:szCs w:val="20"/>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3.</w:t>
            </w:r>
            <w:r>
              <w:rPr>
                <w:rFonts w:hint="eastAsia" w:ascii="宋体" w:hAnsi="宋体" w:cs="宋体"/>
                <w:color w:val="auto"/>
                <w:sz w:val="20"/>
                <w:szCs w:val="20"/>
                <w:highlight w:val="none"/>
              </w:rPr>
              <w:t>投保商业综合责任保险、公众责任险、财产一切险（保单均在有效期内）</w:t>
            </w:r>
            <w:r>
              <w:rPr>
                <w:rFonts w:hint="eastAsia" w:ascii="宋体" w:hAnsi="宋体" w:cs="宋体"/>
                <w:color w:val="auto"/>
                <w:sz w:val="20"/>
                <w:szCs w:val="20"/>
                <w:highlight w:val="none"/>
                <w:lang w:eastAsia="zh-CN"/>
              </w:rPr>
              <w:t>的得</w:t>
            </w:r>
            <w:r>
              <w:rPr>
                <w:rFonts w:hint="eastAsia" w:ascii="宋体" w:hAnsi="宋体" w:cs="宋体"/>
                <w:color w:val="auto"/>
                <w:sz w:val="20"/>
                <w:szCs w:val="20"/>
                <w:highlight w:val="none"/>
                <w:lang w:val="en-US" w:eastAsia="zh-CN"/>
              </w:rPr>
              <w:t>1分</w:t>
            </w:r>
            <w:r>
              <w:rPr>
                <w:rFonts w:hint="eastAsia" w:ascii="宋体" w:hAnsi="宋体" w:cs="宋体"/>
                <w:color w:val="auto"/>
                <w:sz w:val="20"/>
                <w:szCs w:val="20"/>
                <w:highlight w:val="none"/>
              </w:rPr>
              <w:t>；</w:t>
            </w:r>
            <w:r>
              <w:rPr>
                <w:rFonts w:ascii="宋体" w:hAnsi="宋体" w:cs="宋体"/>
                <w:color w:val="auto"/>
                <w:sz w:val="20"/>
                <w:szCs w:val="20"/>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sz w:val="20"/>
                <w:szCs w:val="20"/>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eastAsia="zh-CN"/>
              </w:rPr>
              <w:t>投标文件</w:t>
            </w:r>
            <w:r>
              <w:rPr>
                <w:rFonts w:hint="eastAsia" w:ascii="宋体" w:hAnsi="宋体" w:cs="宋体"/>
                <w:b/>
                <w:bCs/>
                <w:color w:val="auto"/>
                <w:szCs w:val="21"/>
                <w:highlight w:val="none"/>
              </w:rPr>
              <w:t>中提供证书</w:t>
            </w:r>
            <w:r>
              <w:rPr>
                <w:rFonts w:hint="eastAsia" w:ascii="宋体" w:hAnsi="宋体" w:cs="宋体"/>
                <w:b/>
                <w:bCs/>
                <w:color w:val="auto"/>
                <w:szCs w:val="21"/>
                <w:highlight w:val="none"/>
                <w:lang w:eastAsia="zh-CN"/>
              </w:rPr>
              <w:t>扫描件</w:t>
            </w:r>
            <w:r>
              <w:rPr>
                <w:rFonts w:hint="eastAsia" w:ascii="宋体" w:hAnsi="宋体" w:cs="宋体"/>
                <w:b/>
                <w:bCs/>
                <w:color w:val="auto"/>
                <w:szCs w:val="21"/>
                <w:highlight w:val="none"/>
              </w:rPr>
              <w:t>（加盖投标人或制造商公章）。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业绩      （</w:t>
            </w:r>
            <w:r>
              <w:rPr>
                <w:rFonts w:ascii="宋体" w:hAnsi="宋体" w:cs="宋体"/>
                <w:color w:val="auto"/>
                <w:sz w:val="20"/>
                <w:szCs w:val="20"/>
                <w:highlight w:val="none"/>
              </w:rPr>
              <w:t>3</w:t>
            </w:r>
            <w:r>
              <w:rPr>
                <w:rFonts w:hint="eastAsia" w:ascii="宋体" w:hAnsi="宋体" w:cs="宋体"/>
                <w:color w:val="auto"/>
                <w:sz w:val="20"/>
                <w:szCs w:val="20"/>
                <w:highlight w:val="none"/>
              </w:rPr>
              <w:t>分）</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0-</w:t>
            </w:r>
            <w:r>
              <w:rPr>
                <w:rFonts w:ascii="宋体" w:hAnsi="宋体" w:cs="宋体"/>
                <w:color w:val="auto"/>
                <w:sz w:val="20"/>
                <w:szCs w:val="20"/>
                <w:highlight w:val="none"/>
              </w:rPr>
              <w:t>3</w:t>
            </w:r>
            <w:r>
              <w:rPr>
                <w:rFonts w:hint="eastAsia" w:ascii="宋体" w:hAnsi="宋体" w:cs="宋体"/>
                <w:color w:val="auto"/>
                <w:sz w:val="20"/>
                <w:szCs w:val="20"/>
                <w:highlight w:val="none"/>
              </w:rPr>
              <w:t>分</w:t>
            </w:r>
          </w:p>
        </w:tc>
        <w:tc>
          <w:tcPr>
            <w:tcW w:w="69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提供投标人近</w:t>
            </w:r>
            <w:r>
              <w:rPr>
                <w:rFonts w:ascii="宋体" w:hAnsi="宋体" w:cs="宋体"/>
                <w:color w:val="auto"/>
                <w:kern w:val="0"/>
                <w:sz w:val="20"/>
                <w:szCs w:val="20"/>
                <w:highlight w:val="none"/>
              </w:rPr>
              <w:t>3</w:t>
            </w:r>
            <w:r>
              <w:rPr>
                <w:rFonts w:hint="eastAsia" w:ascii="宋体" w:hAnsi="宋体" w:cs="宋体"/>
                <w:color w:val="auto"/>
                <w:kern w:val="0"/>
                <w:sz w:val="20"/>
                <w:szCs w:val="20"/>
                <w:highlight w:val="none"/>
              </w:rPr>
              <w:t>年内（20</w:t>
            </w:r>
            <w:r>
              <w:rPr>
                <w:rFonts w:ascii="宋体" w:hAnsi="宋体" w:cs="宋体"/>
                <w:color w:val="auto"/>
                <w:kern w:val="0"/>
                <w:sz w:val="20"/>
                <w:szCs w:val="20"/>
                <w:highlight w:val="none"/>
              </w:rPr>
              <w:t>19</w:t>
            </w:r>
            <w:r>
              <w:rPr>
                <w:rFonts w:hint="eastAsia" w:ascii="宋体" w:hAnsi="宋体" w:cs="宋体"/>
                <w:color w:val="auto"/>
                <w:kern w:val="0"/>
                <w:sz w:val="20"/>
                <w:szCs w:val="20"/>
                <w:highlight w:val="none"/>
              </w:rPr>
              <w:t>年</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月至今，合同签订时间为准）同类型业绩案例，每提供一个有效业绩案例得1分，最高得</w:t>
            </w:r>
            <w:r>
              <w:rPr>
                <w:rFonts w:ascii="宋体" w:hAnsi="宋体" w:cs="宋体"/>
                <w:color w:val="auto"/>
                <w:kern w:val="0"/>
                <w:sz w:val="20"/>
                <w:szCs w:val="20"/>
                <w:highlight w:val="none"/>
              </w:rPr>
              <w:t>3</w:t>
            </w:r>
            <w:r>
              <w:rPr>
                <w:rFonts w:hint="eastAsia" w:ascii="宋体" w:hAnsi="宋体" w:cs="宋体"/>
                <w:color w:val="auto"/>
                <w:kern w:val="0"/>
                <w:sz w:val="20"/>
                <w:szCs w:val="20"/>
                <w:highlight w:val="none"/>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有效案例要求：</w:t>
            </w:r>
          </w:p>
          <w:p>
            <w:pPr>
              <w:pStyle w:val="287"/>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提供合同、验收合格报告</w:t>
            </w:r>
            <w:r>
              <w:rPr>
                <w:rFonts w:hint="eastAsia" w:ascii="宋体" w:hAnsi="宋体" w:cs="宋体"/>
                <w:color w:val="auto"/>
                <w:kern w:val="0"/>
                <w:sz w:val="20"/>
                <w:szCs w:val="20"/>
                <w:highlight w:val="none"/>
                <w:lang w:eastAsia="zh-CN"/>
              </w:rPr>
              <w:t>扫描</w:t>
            </w:r>
            <w:r>
              <w:rPr>
                <w:rFonts w:hint="eastAsia" w:ascii="宋体" w:hAnsi="宋体" w:cs="宋体"/>
                <w:color w:val="auto"/>
                <w:kern w:val="0"/>
                <w:sz w:val="20"/>
                <w:szCs w:val="20"/>
                <w:highlight w:val="none"/>
              </w:rPr>
              <w:t>件；</w:t>
            </w:r>
            <w:r>
              <w:rPr>
                <w:rFonts w:ascii="宋体" w:hAnsi="宋体" w:cs="宋体"/>
                <w:color w:val="auto"/>
                <w:kern w:val="0"/>
                <w:sz w:val="20"/>
                <w:szCs w:val="20"/>
                <w:highlight w:val="none"/>
              </w:rPr>
              <w:t xml:space="preserve"> </w:t>
            </w:r>
          </w:p>
          <w:p>
            <w:pPr>
              <w:pStyle w:val="287"/>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w:t>
            </w:r>
            <w:r>
              <w:rPr>
                <w:rFonts w:hint="eastAsia" w:ascii="宋体" w:hAnsi="宋体" w:cs="宋体"/>
                <w:color w:val="auto"/>
                <w:kern w:val="0"/>
                <w:sz w:val="20"/>
                <w:szCs w:val="20"/>
                <w:highlight w:val="none"/>
              </w:rPr>
              <w:t>同类型定义：包含本次招标需求</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个系统类别及以上。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技术参数 （</w:t>
            </w:r>
            <w:r>
              <w:rPr>
                <w:rFonts w:ascii="宋体" w:hAnsi="宋体" w:cs="宋体"/>
                <w:color w:val="auto"/>
                <w:sz w:val="20"/>
                <w:szCs w:val="20"/>
                <w:highlight w:val="none"/>
              </w:rPr>
              <w:t>34</w:t>
            </w:r>
            <w:r>
              <w:rPr>
                <w:rFonts w:hint="eastAsia" w:ascii="宋体" w:hAnsi="宋体" w:cs="宋体"/>
                <w:color w:val="auto"/>
                <w:sz w:val="20"/>
                <w:szCs w:val="20"/>
                <w:highlight w:val="none"/>
              </w:rPr>
              <w:t>分）</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0-</w:t>
            </w:r>
            <w:r>
              <w:rPr>
                <w:rFonts w:ascii="宋体" w:hAnsi="宋体" w:cs="宋体"/>
                <w:color w:val="auto"/>
                <w:sz w:val="20"/>
                <w:szCs w:val="20"/>
                <w:highlight w:val="none"/>
              </w:rPr>
              <w:t>34</w:t>
            </w:r>
            <w:r>
              <w:rPr>
                <w:rFonts w:hint="eastAsia" w:ascii="宋体" w:hAnsi="宋体" w:cs="宋体"/>
                <w:color w:val="auto"/>
                <w:sz w:val="20"/>
                <w:szCs w:val="20"/>
                <w:highlight w:val="none"/>
              </w:rPr>
              <w:t>分</w:t>
            </w:r>
          </w:p>
        </w:tc>
        <w:tc>
          <w:tcPr>
            <w:tcW w:w="69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bCs/>
                <w:color w:val="auto"/>
                <w:sz w:val="20"/>
                <w:szCs w:val="20"/>
                <w:highlight w:val="none"/>
              </w:rPr>
            </w:pPr>
            <w:r>
              <w:rPr>
                <w:rFonts w:hint="eastAsia" w:ascii="宋体" w:hAnsi="宋体"/>
                <w:b/>
                <w:bCs/>
                <w:color w:val="auto"/>
                <w:sz w:val="20"/>
                <w:szCs w:val="20"/>
                <w:highlight w:val="none"/>
              </w:rPr>
              <w:t>基础分（</w:t>
            </w:r>
            <w:r>
              <w:rPr>
                <w:rFonts w:ascii="宋体" w:hAnsi="宋体"/>
                <w:b/>
                <w:bCs/>
                <w:color w:val="auto"/>
                <w:sz w:val="20"/>
                <w:szCs w:val="20"/>
                <w:highlight w:val="none"/>
              </w:rPr>
              <w:t>32</w:t>
            </w:r>
            <w:r>
              <w:rPr>
                <w:rFonts w:hint="eastAsia" w:ascii="宋体" w:hAnsi="宋体"/>
                <w:b/>
                <w:bCs/>
                <w:color w:val="auto"/>
                <w:sz w:val="20"/>
                <w:szCs w:val="20"/>
                <w:highlight w:val="none"/>
              </w:rPr>
              <w:t>分）</w:t>
            </w:r>
          </w:p>
          <w:p>
            <w:pPr>
              <w:pStyle w:val="2"/>
              <w:keepNext w:val="0"/>
              <w:keepLines w:val="0"/>
              <w:pageBreakBefore w:val="0"/>
              <w:kinsoku/>
              <w:wordWrap/>
              <w:overflowPunct/>
              <w:topLinePunct w:val="0"/>
              <w:autoSpaceDE/>
              <w:autoSpaceDN/>
              <w:bidi w:val="0"/>
              <w:adjustRightInd/>
              <w:snapToGrid/>
              <w:spacing w:after="0" w:line="360" w:lineRule="exact"/>
              <w:ind w:left="-48" w:leftChars="-23" w:firstLine="0" w:firstLineChars="0"/>
              <w:textAlignment w:val="auto"/>
              <w:rPr>
                <w:rFonts w:ascii="宋体" w:hAnsi="宋体"/>
                <w:color w:val="auto"/>
                <w:sz w:val="20"/>
                <w:highlight w:val="none"/>
              </w:rPr>
            </w:pPr>
            <w:r>
              <w:rPr>
                <w:rFonts w:hint="eastAsia" w:ascii="宋体" w:hAnsi="宋体"/>
                <w:color w:val="auto"/>
                <w:sz w:val="20"/>
                <w:highlight w:val="none"/>
              </w:rPr>
              <w:t>1.完全满足招标文件设备清单各项产品技术指标参数要求的</w:t>
            </w:r>
            <w:r>
              <w:rPr>
                <w:rFonts w:hint="eastAsia" w:ascii="宋体" w:hAnsi="宋体"/>
                <w:b/>
                <w:bCs/>
                <w:color w:val="auto"/>
                <w:sz w:val="20"/>
                <w:highlight w:val="none"/>
              </w:rPr>
              <w:t>得</w:t>
            </w:r>
            <w:r>
              <w:rPr>
                <w:rFonts w:ascii="宋体" w:hAnsi="宋体"/>
                <w:b/>
                <w:bCs/>
                <w:color w:val="auto"/>
                <w:sz w:val="20"/>
                <w:highlight w:val="none"/>
              </w:rPr>
              <w:t>16</w:t>
            </w:r>
            <w:r>
              <w:rPr>
                <w:rFonts w:hint="eastAsia" w:ascii="宋体" w:hAnsi="宋体"/>
                <w:b/>
                <w:bCs/>
                <w:color w:val="auto"/>
                <w:sz w:val="20"/>
                <w:highlight w:val="none"/>
              </w:rPr>
              <w:t>分</w:t>
            </w:r>
            <w:r>
              <w:rPr>
                <w:rFonts w:hint="eastAsia" w:ascii="宋体" w:hAnsi="宋体"/>
                <w:color w:val="auto"/>
                <w:sz w:val="20"/>
                <w:highlight w:val="none"/>
              </w:rPr>
              <w:t>；每有一项负偏离进行相应扣分：打★的参数扣1分、非★的参数扣0.5分，扣完为止。</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ascii="宋体" w:hAnsi="宋体"/>
                <w:color w:val="auto"/>
                <w:sz w:val="20"/>
                <w:highlight w:val="none"/>
              </w:rPr>
            </w:pPr>
            <w:r>
              <w:rPr>
                <w:rFonts w:hint="eastAsia" w:ascii="宋体" w:hAnsi="宋体"/>
                <w:color w:val="auto"/>
                <w:sz w:val="20"/>
                <w:highlight w:val="none"/>
              </w:rPr>
              <w:t>2.完整提供招标文件设备清单各项产品要求提供的资质证书、检测报告、彩页、截图等各项证明文件资料的</w:t>
            </w:r>
            <w:r>
              <w:rPr>
                <w:rFonts w:hint="eastAsia" w:ascii="宋体" w:hAnsi="宋体"/>
                <w:b/>
                <w:bCs/>
                <w:color w:val="auto"/>
                <w:sz w:val="20"/>
                <w:highlight w:val="none"/>
              </w:rPr>
              <w:t>得</w:t>
            </w:r>
            <w:r>
              <w:rPr>
                <w:rFonts w:ascii="宋体" w:hAnsi="宋体"/>
                <w:b/>
                <w:bCs/>
                <w:color w:val="auto"/>
                <w:sz w:val="20"/>
                <w:highlight w:val="none"/>
              </w:rPr>
              <w:t>16</w:t>
            </w:r>
            <w:r>
              <w:rPr>
                <w:rFonts w:hint="eastAsia" w:ascii="宋体" w:hAnsi="宋体"/>
                <w:b/>
                <w:bCs/>
                <w:color w:val="auto"/>
                <w:sz w:val="20"/>
                <w:highlight w:val="none"/>
              </w:rPr>
              <w:t>分</w:t>
            </w:r>
            <w:r>
              <w:rPr>
                <w:rFonts w:hint="eastAsia" w:ascii="宋体" w:hAnsi="宋体"/>
                <w:color w:val="auto"/>
                <w:sz w:val="20"/>
                <w:highlight w:val="none"/>
              </w:rPr>
              <w:t>；未提供相关资料或提供的资料不符要求的、模糊不清或难以查询的每项进行相应扣分：打★的资料扣1分、非★的资料扣0.5分，扣完为止。</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ascii="宋体" w:hAnsi="宋体"/>
                <w:b/>
                <w:bCs/>
                <w:color w:val="auto"/>
                <w:sz w:val="20"/>
                <w:highlight w:val="none"/>
              </w:rPr>
            </w:pPr>
            <w:r>
              <w:rPr>
                <w:rFonts w:hint="eastAsia" w:ascii="宋体" w:hAnsi="宋体"/>
                <w:b/>
                <w:bCs/>
                <w:color w:val="auto"/>
                <w:sz w:val="20"/>
                <w:highlight w:val="none"/>
              </w:rPr>
              <w:t>加分项（</w:t>
            </w:r>
            <w:r>
              <w:rPr>
                <w:rFonts w:ascii="宋体" w:hAnsi="宋体"/>
                <w:b/>
                <w:bCs/>
                <w:color w:val="auto"/>
                <w:sz w:val="20"/>
                <w:highlight w:val="none"/>
              </w:rPr>
              <w:t>2</w:t>
            </w:r>
            <w:r>
              <w:rPr>
                <w:rFonts w:hint="eastAsia" w:ascii="宋体" w:hAnsi="宋体"/>
                <w:b/>
                <w:bCs/>
                <w:color w:val="auto"/>
                <w:sz w:val="20"/>
                <w:highlight w:val="none"/>
              </w:rPr>
              <w:t>分）</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ascii="宋体" w:hAnsi="宋体"/>
                <w:b/>
                <w:bCs/>
                <w:color w:val="auto"/>
                <w:sz w:val="20"/>
                <w:highlight w:val="none"/>
              </w:rPr>
            </w:pPr>
            <w:r>
              <w:rPr>
                <w:rFonts w:hint="eastAsia" w:ascii="宋体" w:hAnsi="宋体"/>
                <w:color w:val="auto"/>
                <w:sz w:val="20"/>
                <w:highlight w:val="none"/>
              </w:rPr>
              <w:t>1.现场专家评审投标文件设备清单、技术偏离表各项产品技术指标参数及资质证书、相关资料有正偏离的，每项正偏离认定为有实质性意义的</w:t>
            </w:r>
            <w:r>
              <w:rPr>
                <w:rFonts w:hint="eastAsia" w:ascii="宋体" w:hAnsi="宋体"/>
                <w:color w:val="auto"/>
                <w:sz w:val="20"/>
                <w:highlight w:val="none"/>
                <w:lang w:eastAsia="zh-CN"/>
              </w:rPr>
              <w:t>加</w:t>
            </w:r>
            <w:r>
              <w:rPr>
                <w:rFonts w:hint="eastAsia" w:ascii="宋体" w:hAnsi="宋体"/>
                <w:color w:val="auto"/>
                <w:sz w:val="20"/>
                <w:highlight w:val="none"/>
              </w:rPr>
              <w:t>0.5分，</w:t>
            </w:r>
            <w:r>
              <w:rPr>
                <w:rFonts w:hint="eastAsia" w:ascii="宋体" w:hAnsi="宋体"/>
                <w:b/>
                <w:bCs/>
                <w:color w:val="auto"/>
                <w:sz w:val="20"/>
                <w:highlight w:val="none"/>
              </w:rPr>
              <w:t>最多得</w:t>
            </w:r>
            <w:r>
              <w:rPr>
                <w:rFonts w:ascii="宋体" w:hAnsi="宋体"/>
                <w:b/>
                <w:bCs/>
                <w:color w:val="auto"/>
                <w:sz w:val="20"/>
                <w:highlight w:val="none"/>
              </w:rPr>
              <w:t>2</w:t>
            </w:r>
            <w:r>
              <w:rPr>
                <w:rFonts w:hint="eastAsia" w:ascii="宋体" w:hAnsi="宋体"/>
                <w:b/>
                <w:bCs/>
                <w:color w:val="auto"/>
                <w:sz w:val="20"/>
                <w:highlight w:val="none"/>
              </w:rPr>
              <w:t>分；</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ascii="宋体" w:hAnsi="宋体"/>
                <w:b/>
                <w:bCs/>
                <w:color w:val="auto"/>
                <w:sz w:val="20"/>
                <w:highlight w:val="none"/>
              </w:rPr>
            </w:pPr>
            <w:r>
              <w:rPr>
                <w:rFonts w:hint="eastAsia" w:ascii="宋体" w:hAnsi="宋体"/>
                <w:b/>
                <w:bCs/>
                <w:color w:val="auto"/>
                <w:sz w:val="20"/>
                <w:highlight w:val="none"/>
              </w:rPr>
              <w:t>评标说明：</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ascii="宋体" w:hAnsi="宋体"/>
                <w:color w:val="auto"/>
                <w:sz w:val="20"/>
                <w:highlight w:val="none"/>
              </w:rPr>
            </w:pPr>
            <w:r>
              <w:rPr>
                <w:rFonts w:hint="eastAsia" w:ascii="宋体" w:hAnsi="宋体"/>
                <w:color w:val="auto"/>
                <w:sz w:val="20"/>
                <w:highlight w:val="none"/>
              </w:rPr>
              <w:t>1.带▲的参数不允许负偏离，否则直接按无效标处理；</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ascii="宋体" w:hAnsi="宋体"/>
                <w:color w:val="auto"/>
                <w:sz w:val="20"/>
                <w:highlight w:val="none"/>
              </w:rPr>
            </w:pPr>
            <w:r>
              <w:rPr>
                <w:rFonts w:hint="eastAsia" w:ascii="宋体" w:hAnsi="宋体"/>
                <w:color w:val="auto"/>
                <w:sz w:val="20"/>
                <w:highlight w:val="none"/>
              </w:rPr>
              <w:t>2.要求提供的资质证书、检测报告、彩页、截图等证明文件资料编辑成册，逐条对应；</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ascii="宋体" w:hAnsi="宋体"/>
                <w:color w:val="auto"/>
                <w:sz w:val="20"/>
                <w:highlight w:val="none"/>
              </w:rPr>
            </w:pPr>
            <w:r>
              <w:rPr>
                <w:rFonts w:hint="eastAsia" w:ascii="宋体" w:hAnsi="宋体"/>
                <w:color w:val="auto"/>
                <w:sz w:val="20"/>
                <w:highlight w:val="none"/>
              </w:rPr>
              <w:t>3.技术偏离表需实质性响应，描述准确无选择性，否则将影响得分。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ascii="宋体" w:hAnsi="宋体" w:cs="宋体"/>
                <w:color w:val="auto"/>
                <w:sz w:val="20"/>
                <w:szCs w:val="20"/>
                <w:highlight w:val="none"/>
              </w:rPr>
              <w:t>4</w:t>
            </w:r>
          </w:p>
        </w:tc>
        <w:tc>
          <w:tcPr>
            <w:tcW w:w="12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产品演示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（提供视频形式）</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5</w:t>
            </w:r>
            <w:r>
              <w:rPr>
                <w:rFonts w:hint="eastAsia" w:ascii="宋体" w:hAnsi="宋体" w:cs="宋体"/>
                <w:color w:val="auto"/>
                <w:kern w:val="0"/>
                <w:sz w:val="20"/>
                <w:szCs w:val="20"/>
                <w:highlight w:val="none"/>
              </w:rPr>
              <w:t>分）</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0-</w:t>
            </w:r>
            <w:r>
              <w:rPr>
                <w:rFonts w:ascii="宋体" w:hAnsi="宋体" w:cs="宋体"/>
                <w:color w:val="auto"/>
                <w:sz w:val="20"/>
                <w:szCs w:val="20"/>
                <w:highlight w:val="none"/>
              </w:rPr>
              <w:t>15</w:t>
            </w:r>
            <w:r>
              <w:rPr>
                <w:rFonts w:hint="eastAsia" w:ascii="宋体" w:hAnsi="宋体" w:cs="宋体"/>
                <w:color w:val="auto"/>
                <w:sz w:val="20"/>
                <w:szCs w:val="20"/>
                <w:highlight w:val="none"/>
              </w:rPr>
              <w:t>分</w:t>
            </w:r>
          </w:p>
        </w:tc>
        <w:tc>
          <w:tcPr>
            <w:tcW w:w="6933" w:type="dxa"/>
            <w:noWrap w:val="0"/>
            <w:vAlign w:val="center"/>
          </w:tcPr>
          <w:p>
            <w:pPr>
              <w:pStyle w:val="161"/>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（一）室内及户外LED显示屏投标设备演示（</w:t>
            </w:r>
            <w:r>
              <w:rPr>
                <w:rFonts w:ascii="宋体" w:hAnsi="宋体" w:cs="宋体"/>
                <w:b/>
                <w:color w:val="auto"/>
                <w:kern w:val="0"/>
                <w:szCs w:val="21"/>
                <w:highlight w:val="none"/>
              </w:rPr>
              <w:t>5</w:t>
            </w:r>
            <w:r>
              <w:rPr>
                <w:rFonts w:hint="eastAsia" w:ascii="宋体" w:hAnsi="宋体" w:cs="宋体"/>
                <w:b/>
                <w:color w:val="auto"/>
                <w:kern w:val="0"/>
                <w:szCs w:val="21"/>
                <w:highlight w:val="none"/>
              </w:rPr>
              <w:t>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提供针对本项目的介绍视频，对照以下评分依据进行相关演示；</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评分依据:</w:t>
            </w:r>
          </w:p>
          <w:p>
            <w:pPr>
              <w:keepNext w:val="0"/>
              <w:keepLines w:val="0"/>
              <w:pageBreakBefore w:val="0"/>
              <w:kinsoku/>
              <w:wordWrap/>
              <w:overflowPunct/>
              <w:topLinePunct w:val="0"/>
              <w:autoSpaceDE/>
              <w:autoSpaceDN/>
              <w:bidi w:val="0"/>
              <w:adjustRightInd/>
              <w:snapToGrid/>
              <w:spacing w:line="360" w:lineRule="exact"/>
              <w:ind w:firstLine="400" w:firstLineChars="200"/>
              <w:textAlignment w:val="auto"/>
              <w:rPr>
                <w:color w:val="auto"/>
                <w:highlight w:val="none"/>
              </w:rPr>
            </w:pPr>
            <w:r>
              <w:rPr>
                <w:rFonts w:hint="eastAsia" w:ascii="宋体" w:hAnsi="宋体" w:cs="宋体"/>
                <w:color w:val="auto"/>
                <w:kern w:val="0"/>
                <w:sz w:val="20"/>
                <w:szCs w:val="20"/>
                <w:highlight w:val="none"/>
              </w:rPr>
              <w:t>演示设备硬件性能指标及软件应用功能；根据LED屏箱体外观、材质、工艺；箱体结构、内置电源及接收卡；显示画面、色彩、刷新率；整体硬件满足程度，软件性能体现，以及结合招标参数中重要条款演示内容的完整性等情况，由专家评委进行综合打分</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0-5分</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12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0"/>
                <w:szCs w:val="20"/>
                <w:highlight w:val="none"/>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6933" w:type="dxa"/>
            <w:noWrap w:val="0"/>
            <w:vAlign w:val="center"/>
          </w:tcPr>
          <w:p>
            <w:pPr>
              <w:pStyle w:val="161"/>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（二）智能交互平板设备演示（</w:t>
            </w:r>
            <w:r>
              <w:rPr>
                <w:rFonts w:ascii="宋体" w:hAnsi="宋体" w:cs="宋体"/>
                <w:b/>
                <w:color w:val="auto"/>
                <w:kern w:val="0"/>
                <w:szCs w:val="21"/>
                <w:highlight w:val="none"/>
              </w:rPr>
              <w:t>4</w:t>
            </w:r>
            <w:r>
              <w:rPr>
                <w:rFonts w:hint="eastAsia" w:ascii="宋体" w:hAnsi="宋体" w:cs="宋体"/>
                <w:b/>
                <w:color w:val="auto"/>
                <w:kern w:val="0"/>
                <w:szCs w:val="21"/>
                <w:highlight w:val="none"/>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提供针对本项目的介绍视频，对照以下评分依据进行相关演示；</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评分依据:</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Style w:val="113"/>
                <w:rFonts w:hint="default"/>
                <w:b w:val="0"/>
                <w:bCs/>
                <w:color w:val="auto"/>
                <w:sz w:val="20"/>
                <w:szCs w:val="20"/>
                <w:highlight w:val="none"/>
                <w:lang w:bidi="ar"/>
              </w:rPr>
            </w:pPr>
            <w:r>
              <w:rPr>
                <w:rStyle w:val="113"/>
                <w:rFonts w:hint="eastAsia" w:eastAsia="宋体"/>
                <w:b w:val="0"/>
                <w:bCs/>
                <w:color w:val="auto"/>
                <w:sz w:val="20"/>
                <w:szCs w:val="20"/>
                <w:highlight w:val="none"/>
                <w:lang w:val="en-US" w:eastAsia="zh-CN" w:bidi="ar"/>
              </w:rPr>
              <w:t>1.</w:t>
            </w:r>
            <w:r>
              <w:rPr>
                <w:rStyle w:val="113"/>
                <w:rFonts w:hint="default"/>
                <w:b w:val="0"/>
                <w:bCs/>
                <w:color w:val="auto"/>
                <w:sz w:val="20"/>
                <w:szCs w:val="20"/>
                <w:highlight w:val="none"/>
                <w:lang w:bidi="ar"/>
              </w:rPr>
              <w:t>具备快捷白板功能，在非白板模式下可快捷调出书写板，满足用户临时快速书写需求，快捷白板内容亦可快速复制到白板中进行功能扩展，满足灵活讨论需求。（满足得0.5分）</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Style w:val="113"/>
                <w:rFonts w:hint="default"/>
                <w:b w:val="0"/>
                <w:bCs/>
                <w:color w:val="auto"/>
                <w:sz w:val="20"/>
                <w:szCs w:val="20"/>
                <w:highlight w:val="none"/>
                <w:lang w:bidi="ar"/>
              </w:rPr>
            </w:pPr>
            <w:r>
              <w:rPr>
                <w:rStyle w:val="113"/>
                <w:rFonts w:hint="eastAsia" w:eastAsia="宋体"/>
                <w:b w:val="0"/>
                <w:bCs/>
                <w:color w:val="auto"/>
                <w:sz w:val="20"/>
                <w:szCs w:val="20"/>
                <w:highlight w:val="none"/>
                <w:lang w:val="en-US" w:eastAsia="zh-CN" w:bidi="ar"/>
              </w:rPr>
              <w:t>2.</w:t>
            </w:r>
            <w:r>
              <w:rPr>
                <w:rStyle w:val="113"/>
                <w:rFonts w:hint="default"/>
                <w:b w:val="0"/>
                <w:bCs/>
                <w:color w:val="auto"/>
                <w:sz w:val="20"/>
                <w:szCs w:val="20"/>
                <w:highlight w:val="none"/>
                <w:lang w:bidi="ar"/>
              </w:rPr>
              <w:t>配套的白板软件内支持mp3、mp4、ppt、pdf、word等多种格式文件窗口化插入，插入后可随意调整其位置、大小，同时支持对窗口化文件重点内容直接截图并以图片格式插入白板软件中。（满足得0.5分）</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Style w:val="113"/>
                <w:rFonts w:hint="default"/>
                <w:b w:val="0"/>
                <w:bCs/>
                <w:color w:val="auto"/>
                <w:sz w:val="20"/>
                <w:szCs w:val="20"/>
                <w:highlight w:val="none"/>
                <w:lang w:bidi="ar"/>
              </w:rPr>
            </w:pPr>
            <w:r>
              <w:rPr>
                <w:rStyle w:val="113"/>
                <w:rFonts w:hint="eastAsia" w:eastAsia="宋体"/>
                <w:b w:val="0"/>
                <w:bCs/>
                <w:color w:val="auto"/>
                <w:sz w:val="20"/>
                <w:szCs w:val="20"/>
                <w:highlight w:val="none"/>
                <w:lang w:val="en-US" w:eastAsia="zh-CN" w:bidi="ar"/>
              </w:rPr>
              <w:t>3.</w:t>
            </w:r>
            <w:r>
              <w:rPr>
                <w:rStyle w:val="113"/>
                <w:rFonts w:hint="default"/>
                <w:b w:val="0"/>
                <w:bCs/>
                <w:color w:val="auto"/>
                <w:sz w:val="20"/>
                <w:szCs w:val="20"/>
                <w:highlight w:val="none"/>
                <w:lang w:bidi="ar"/>
              </w:rPr>
              <w:t>支持单笔双色书写：笔尖可单独设定一种颜色，笔尾可单独设定为另外一种颜色，快速实现内容讲解，差异化标注。（满足得0.5分）</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Style w:val="113"/>
                <w:rFonts w:hint="default"/>
                <w:b w:val="0"/>
                <w:bCs/>
                <w:color w:val="auto"/>
                <w:sz w:val="20"/>
                <w:szCs w:val="20"/>
                <w:highlight w:val="none"/>
                <w:lang w:bidi="ar"/>
              </w:rPr>
            </w:pPr>
            <w:r>
              <w:rPr>
                <w:rStyle w:val="113"/>
                <w:rFonts w:hint="eastAsia" w:eastAsia="宋体"/>
                <w:b w:val="0"/>
                <w:bCs/>
                <w:color w:val="auto"/>
                <w:sz w:val="20"/>
                <w:szCs w:val="20"/>
                <w:highlight w:val="none"/>
                <w:lang w:val="en-US" w:eastAsia="zh-CN" w:bidi="ar"/>
              </w:rPr>
              <w:t>4.</w:t>
            </w:r>
            <w:r>
              <w:rPr>
                <w:rStyle w:val="113"/>
                <w:rFonts w:hint="default"/>
                <w:b w:val="0"/>
                <w:bCs/>
                <w:color w:val="auto"/>
                <w:sz w:val="20"/>
                <w:szCs w:val="20"/>
                <w:highlight w:val="none"/>
                <w:lang w:bidi="ar"/>
              </w:rPr>
              <w:t>提供时钟、会议、连接码、单日程、日程组等组件，可自由编辑桌面内容。（满足得0.5分）</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Style w:val="113"/>
                <w:rFonts w:hint="default"/>
                <w:b w:val="0"/>
                <w:bCs/>
                <w:color w:val="auto"/>
                <w:sz w:val="20"/>
                <w:szCs w:val="20"/>
                <w:highlight w:val="none"/>
                <w:lang w:bidi="ar"/>
              </w:rPr>
            </w:pPr>
            <w:r>
              <w:rPr>
                <w:rStyle w:val="113"/>
                <w:rFonts w:hint="eastAsia" w:eastAsia="宋体"/>
                <w:b w:val="0"/>
                <w:bCs/>
                <w:color w:val="auto"/>
                <w:sz w:val="20"/>
                <w:szCs w:val="20"/>
                <w:highlight w:val="none"/>
                <w:lang w:val="en-US" w:eastAsia="zh-CN" w:bidi="ar"/>
              </w:rPr>
              <w:t>5.</w:t>
            </w:r>
            <w:r>
              <w:rPr>
                <w:rStyle w:val="113"/>
                <w:rFonts w:hint="default"/>
                <w:b w:val="0"/>
                <w:bCs/>
                <w:color w:val="auto"/>
                <w:sz w:val="20"/>
                <w:szCs w:val="20"/>
                <w:highlight w:val="none"/>
                <w:lang w:bidi="ar"/>
              </w:rPr>
              <w:t>支持在设置中选择不同的色采空间，适应不同的展示场景，如标准、SRGB、DCI-P3、ADOBE RGB等。（满足得0.5分)</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Style w:val="113"/>
                <w:rFonts w:hint="default"/>
                <w:b w:val="0"/>
                <w:bCs/>
                <w:color w:val="auto"/>
                <w:sz w:val="20"/>
                <w:szCs w:val="20"/>
                <w:highlight w:val="none"/>
                <w:lang w:bidi="ar"/>
              </w:rPr>
            </w:pPr>
            <w:r>
              <w:rPr>
                <w:rStyle w:val="113"/>
                <w:rFonts w:hint="eastAsia" w:eastAsia="宋体"/>
                <w:b w:val="0"/>
                <w:bCs/>
                <w:color w:val="auto"/>
                <w:sz w:val="20"/>
                <w:szCs w:val="20"/>
                <w:highlight w:val="none"/>
                <w:lang w:val="en-US" w:eastAsia="zh-CN" w:bidi="ar"/>
              </w:rPr>
              <w:t>6.</w:t>
            </w:r>
            <w:r>
              <w:rPr>
                <w:rStyle w:val="113"/>
                <w:rFonts w:hint="default"/>
                <w:b w:val="0"/>
                <w:bCs/>
                <w:color w:val="auto"/>
                <w:sz w:val="20"/>
                <w:szCs w:val="20"/>
                <w:highlight w:val="none"/>
                <w:lang w:bidi="ar"/>
              </w:rPr>
              <w:t>无线传屏软硬件均支持市面主流操作系统（例如：win10系统/MAC系统）扩展屏显示，可以仅对一个窗口进行无线投屏，其他窗口内容不做展示，保证沉浸式+个人端隐私，能避免如微信弹窗的尴尬。（满足得0.5分）</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Style w:val="113"/>
                <w:rFonts w:hint="default"/>
                <w:b w:val="0"/>
                <w:bCs/>
                <w:color w:val="auto"/>
                <w:sz w:val="20"/>
                <w:szCs w:val="20"/>
                <w:highlight w:val="none"/>
                <w:lang w:bidi="ar"/>
              </w:rPr>
            </w:pPr>
            <w:r>
              <w:rPr>
                <w:rStyle w:val="113"/>
                <w:rFonts w:hint="eastAsia" w:eastAsia="宋体"/>
                <w:b w:val="0"/>
                <w:bCs/>
                <w:color w:val="auto"/>
                <w:sz w:val="20"/>
                <w:szCs w:val="20"/>
                <w:highlight w:val="none"/>
                <w:lang w:val="en-US" w:eastAsia="zh-CN" w:bidi="ar"/>
              </w:rPr>
              <w:t>7.</w:t>
            </w:r>
            <w:r>
              <w:rPr>
                <w:rStyle w:val="113"/>
                <w:rFonts w:hint="default"/>
                <w:b w:val="0"/>
                <w:bCs/>
                <w:color w:val="auto"/>
                <w:sz w:val="20"/>
                <w:szCs w:val="20"/>
                <w:highlight w:val="none"/>
                <w:lang w:bidi="ar"/>
              </w:rPr>
              <w:t>无线传屏之后，在屏幕上可以显示工具栏，并可以进行基本的操作。可通过传屏工具栏暂停投屏功能进行画面冻结暂停，投屏电脑可自主进行其他操作，不影响整机的冻结画面内容显示。（满足得0.5分）</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ascii="宋体" w:hAnsi="宋体" w:cs="宋体"/>
                <w:color w:val="auto"/>
                <w:sz w:val="20"/>
                <w:szCs w:val="20"/>
                <w:highlight w:val="none"/>
                <w:lang w:bidi="ar"/>
              </w:rPr>
            </w:pPr>
            <w:r>
              <w:rPr>
                <w:rStyle w:val="113"/>
                <w:rFonts w:hint="eastAsia" w:eastAsia="宋体"/>
                <w:b w:val="0"/>
                <w:bCs/>
                <w:color w:val="auto"/>
                <w:sz w:val="20"/>
                <w:szCs w:val="20"/>
                <w:highlight w:val="none"/>
                <w:lang w:val="en-US" w:eastAsia="zh-CN" w:bidi="ar"/>
              </w:rPr>
              <w:t>8.</w:t>
            </w:r>
            <w:r>
              <w:rPr>
                <w:rStyle w:val="113"/>
                <w:rFonts w:hint="default"/>
                <w:b w:val="0"/>
                <w:bCs/>
                <w:color w:val="auto"/>
                <w:sz w:val="20"/>
                <w:szCs w:val="20"/>
                <w:highlight w:val="none"/>
                <w:lang w:bidi="ar"/>
              </w:rPr>
              <w:t>支持多人同时将文件上传至智能交互平板，并可以选择所有上传文件切换播放。（满足得0.5分）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12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0"/>
                <w:szCs w:val="20"/>
                <w:highlight w:val="none"/>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6933" w:type="dxa"/>
            <w:noWrap w:val="0"/>
            <w:vAlign w:val="center"/>
          </w:tcPr>
          <w:p>
            <w:pPr>
              <w:pStyle w:val="161"/>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（三）会议室录播终端投标设备演示（</w:t>
            </w:r>
            <w:r>
              <w:rPr>
                <w:rFonts w:ascii="宋体" w:hAnsi="宋体" w:cs="宋体"/>
                <w:b/>
                <w:color w:val="auto"/>
                <w:kern w:val="0"/>
                <w:szCs w:val="21"/>
                <w:highlight w:val="none"/>
              </w:rPr>
              <w:t>3</w:t>
            </w:r>
            <w:r>
              <w:rPr>
                <w:rFonts w:hint="eastAsia" w:ascii="宋体" w:hAnsi="宋体" w:cs="宋体"/>
                <w:b/>
                <w:color w:val="auto"/>
                <w:kern w:val="0"/>
                <w:szCs w:val="21"/>
                <w:highlight w:val="none"/>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提供针对本项目的介绍视频，对照以下评分依据进行相关演示；</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评分依据:</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Style w:val="113"/>
                <w:rFonts w:hint="default"/>
                <w:b w:val="0"/>
                <w:bCs/>
                <w:color w:val="auto"/>
                <w:kern w:val="0"/>
                <w:szCs w:val="21"/>
                <w:highlight w:val="none"/>
              </w:rPr>
            </w:pPr>
            <w:r>
              <w:rPr>
                <w:rStyle w:val="113"/>
                <w:rFonts w:hint="eastAsia" w:eastAsia="宋体"/>
                <w:b w:val="0"/>
                <w:bCs/>
                <w:color w:val="auto"/>
                <w:sz w:val="20"/>
                <w:szCs w:val="20"/>
                <w:highlight w:val="none"/>
                <w:lang w:val="en-US" w:eastAsia="zh-CN" w:bidi="ar"/>
              </w:rPr>
              <w:t>1.</w:t>
            </w:r>
            <w:r>
              <w:rPr>
                <w:rStyle w:val="113"/>
                <w:rFonts w:hint="default"/>
                <w:b w:val="0"/>
                <w:bCs/>
                <w:color w:val="auto"/>
                <w:sz w:val="20"/>
                <w:szCs w:val="20"/>
                <w:highlight w:val="none"/>
                <w:lang w:bidi="ar"/>
              </w:rPr>
              <w:t>设备内置高性能电池，无市电情况下可正常应用；（满足得0.5分）</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Style w:val="113"/>
                <w:rFonts w:hint="default"/>
                <w:b w:val="0"/>
                <w:bCs/>
                <w:color w:val="auto"/>
                <w:sz w:val="20"/>
                <w:szCs w:val="20"/>
                <w:highlight w:val="none"/>
                <w:lang w:bidi="ar"/>
              </w:rPr>
            </w:pPr>
            <w:r>
              <w:rPr>
                <w:rStyle w:val="113"/>
                <w:rFonts w:hint="eastAsia" w:eastAsia="宋体"/>
                <w:b w:val="0"/>
                <w:bCs/>
                <w:color w:val="auto"/>
                <w:sz w:val="20"/>
                <w:szCs w:val="20"/>
                <w:highlight w:val="none"/>
                <w:lang w:val="en-US" w:eastAsia="zh-CN" w:bidi="ar"/>
              </w:rPr>
              <w:t>2.</w:t>
            </w:r>
            <w:r>
              <w:rPr>
                <w:rStyle w:val="113"/>
                <w:rFonts w:hint="default"/>
                <w:b w:val="0"/>
                <w:bCs/>
                <w:color w:val="auto"/>
                <w:sz w:val="20"/>
                <w:szCs w:val="20"/>
                <w:highlight w:val="none"/>
                <w:lang w:bidi="ar"/>
              </w:rPr>
              <w:t>设备可以通过物理开关或会控平台关闭视频，视频关闭后其他与会者不能看到本地视频，本地终端正常接受远端主流和辅流视频。（满足得0.5分）</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Style w:val="113"/>
                <w:rFonts w:hint="default"/>
                <w:b w:val="0"/>
                <w:bCs/>
                <w:color w:val="auto"/>
                <w:kern w:val="0"/>
                <w:szCs w:val="21"/>
                <w:highlight w:val="none"/>
              </w:rPr>
            </w:pPr>
            <w:r>
              <w:rPr>
                <w:rStyle w:val="113"/>
                <w:rFonts w:hint="eastAsia" w:eastAsia="宋体"/>
                <w:b w:val="0"/>
                <w:bCs/>
                <w:color w:val="auto"/>
                <w:sz w:val="20"/>
                <w:szCs w:val="20"/>
                <w:highlight w:val="none"/>
                <w:lang w:val="en-US" w:eastAsia="zh-CN" w:bidi="ar"/>
              </w:rPr>
              <w:t>3.</w:t>
            </w:r>
            <w:r>
              <w:rPr>
                <w:rStyle w:val="113"/>
                <w:rFonts w:hint="default"/>
                <w:b w:val="0"/>
                <w:bCs/>
                <w:color w:val="auto"/>
                <w:sz w:val="20"/>
                <w:szCs w:val="20"/>
                <w:highlight w:val="none"/>
                <w:lang w:bidi="ar"/>
              </w:rPr>
              <w:t>设备自带物联网卡槽，在不具备有线网络或无线WIFI信号接入情况下，通过运营商物联网卡可直接联网进行视频会议等功能；（满足得0.5分）</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Style w:val="113"/>
                <w:rFonts w:hint="default"/>
                <w:b w:val="0"/>
                <w:bCs/>
                <w:color w:val="auto"/>
                <w:kern w:val="0"/>
                <w:szCs w:val="21"/>
                <w:highlight w:val="none"/>
              </w:rPr>
            </w:pPr>
            <w:r>
              <w:rPr>
                <w:rStyle w:val="113"/>
                <w:rFonts w:hint="eastAsia" w:eastAsia="宋体"/>
                <w:b w:val="0"/>
                <w:bCs/>
                <w:color w:val="auto"/>
                <w:sz w:val="20"/>
                <w:szCs w:val="20"/>
                <w:highlight w:val="none"/>
                <w:lang w:val="en-US" w:eastAsia="zh-CN" w:bidi="ar"/>
              </w:rPr>
              <w:t>4.</w:t>
            </w:r>
            <w:r>
              <w:rPr>
                <w:rStyle w:val="113"/>
                <w:rFonts w:hint="default"/>
                <w:b w:val="0"/>
                <w:bCs/>
                <w:color w:val="auto"/>
                <w:sz w:val="20"/>
                <w:szCs w:val="20"/>
                <w:highlight w:val="none"/>
                <w:lang w:bidi="ar"/>
              </w:rPr>
              <w:t>设备支持通过HDMI高清线直接讲视频画面扩展到外部显示设备，实现更大画面观看效果；（满足得0.5分）</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Style w:val="113"/>
                <w:rFonts w:hint="default"/>
                <w:b w:val="0"/>
                <w:bCs/>
                <w:color w:val="auto"/>
                <w:sz w:val="20"/>
                <w:szCs w:val="20"/>
                <w:highlight w:val="none"/>
                <w:lang w:bidi="ar"/>
              </w:rPr>
            </w:pPr>
            <w:r>
              <w:rPr>
                <w:rStyle w:val="113"/>
                <w:rFonts w:hint="eastAsia" w:eastAsia="宋体"/>
                <w:b w:val="0"/>
                <w:bCs/>
                <w:color w:val="auto"/>
                <w:sz w:val="20"/>
                <w:szCs w:val="20"/>
                <w:highlight w:val="none"/>
                <w:lang w:val="en-US" w:eastAsia="zh-CN" w:bidi="ar"/>
              </w:rPr>
              <w:t>5.</w:t>
            </w:r>
            <w:r>
              <w:rPr>
                <w:rStyle w:val="113"/>
                <w:rFonts w:hint="default"/>
                <w:b w:val="0"/>
                <w:bCs/>
                <w:color w:val="auto"/>
                <w:sz w:val="20"/>
                <w:szCs w:val="20"/>
                <w:highlight w:val="none"/>
                <w:lang w:bidi="ar"/>
              </w:rPr>
              <w:t>设备支持扫码签到功能，会议中管理员发起会议签到，会场人员可通过扫描终端二维码进行会议签到；（满足得0.5分）</w:t>
            </w:r>
          </w:p>
          <w:p>
            <w:pPr>
              <w:pStyle w:val="287"/>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ascii="宋体" w:hAnsi="宋体" w:cs="宋体"/>
                <w:color w:val="auto"/>
                <w:sz w:val="20"/>
                <w:szCs w:val="20"/>
                <w:highlight w:val="none"/>
                <w:lang w:bidi="ar"/>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具备会议录制功能，在会中可对正在召开的视频会议进行自主的录制，并可将会议内容进行保存、点播。</w:t>
            </w:r>
            <w:r>
              <w:rPr>
                <w:rStyle w:val="113"/>
                <w:rFonts w:hint="default"/>
                <w:b w:val="0"/>
                <w:bCs/>
                <w:color w:val="auto"/>
                <w:sz w:val="20"/>
                <w:szCs w:val="20"/>
                <w:highlight w:val="none"/>
                <w:lang w:bidi="ar"/>
              </w:rPr>
              <w:t>（满足得0.5分）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0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6933" w:type="dxa"/>
            <w:noWrap w:val="0"/>
            <w:vAlign w:val="center"/>
          </w:tcPr>
          <w:p>
            <w:pPr>
              <w:pStyle w:val="161"/>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（四）会议室及中庭音响投标设备演示（</w:t>
            </w:r>
            <w:r>
              <w:rPr>
                <w:rFonts w:ascii="宋体" w:hAnsi="宋体" w:cs="宋体"/>
                <w:b/>
                <w:color w:val="auto"/>
                <w:kern w:val="0"/>
                <w:szCs w:val="21"/>
                <w:highlight w:val="none"/>
              </w:rPr>
              <w:t>3</w:t>
            </w:r>
            <w:r>
              <w:rPr>
                <w:rFonts w:hint="eastAsia" w:ascii="宋体" w:hAnsi="宋体" w:cs="宋体"/>
                <w:b/>
                <w:color w:val="auto"/>
                <w:kern w:val="0"/>
                <w:szCs w:val="21"/>
                <w:highlight w:val="none"/>
              </w:rPr>
              <w:t>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提供针对本项目的介绍视频，对照以下评分依据进行相关演示；</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评分依据:</w:t>
            </w:r>
          </w:p>
          <w:p>
            <w:pPr>
              <w:pStyle w:val="161"/>
              <w:keepNext w:val="0"/>
              <w:keepLines w:val="0"/>
              <w:pageBreakBefore w:val="0"/>
              <w:widowControl/>
              <w:kinsoku/>
              <w:wordWrap/>
              <w:overflowPunct/>
              <w:topLinePunct w:val="0"/>
              <w:autoSpaceDE/>
              <w:autoSpaceDN/>
              <w:bidi w:val="0"/>
              <w:adjustRightInd/>
              <w:snapToGrid/>
              <w:spacing w:line="360" w:lineRule="exact"/>
              <w:ind w:firstLineChars="0"/>
              <w:jc w:val="left"/>
              <w:textAlignment w:val="auto"/>
              <w:rPr>
                <w:rFonts w:ascii="宋体" w:hAnsi="宋体" w:cs="宋体"/>
                <w:b/>
                <w:color w:val="auto"/>
                <w:kern w:val="0"/>
                <w:szCs w:val="21"/>
                <w:highlight w:val="none"/>
              </w:rPr>
            </w:pPr>
            <w:r>
              <w:rPr>
                <w:rFonts w:hint="eastAsia" w:ascii="宋体" w:hAnsi="宋体" w:cs="宋体"/>
                <w:color w:val="auto"/>
                <w:kern w:val="0"/>
                <w:sz w:val="20"/>
                <w:szCs w:val="20"/>
                <w:highlight w:val="none"/>
              </w:rPr>
              <w:t>演示设备硬件性能指标及软件应用功能；根据音箱外观、材质、工艺、Logo标识；音箱设备搭建时间、搭建协调性、调试操作便捷性、出声时间及视听效果；话筒近距离防啸叫功能；整体硬件满足程度，软件性能体现，以及结合招标参数中重要条款演示内容的完整性等情况，由专家评委进行综合打分</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0-3分</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04"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ascii="宋体" w:hAnsi="宋体" w:cs="宋体"/>
                <w:color w:val="auto"/>
                <w:sz w:val="20"/>
                <w:szCs w:val="20"/>
                <w:highlight w:val="none"/>
              </w:rPr>
              <w:t>5</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auto"/>
                <w:sz w:val="20"/>
                <w:szCs w:val="20"/>
                <w:highlight w:val="none"/>
              </w:rPr>
            </w:pPr>
            <w:r>
              <w:rPr>
                <w:rFonts w:hint="eastAsia" w:ascii="宋体" w:hAnsi="宋体" w:cs="宋体"/>
                <w:color w:val="auto"/>
                <w:sz w:val="20"/>
                <w:szCs w:val="20"/>
                <w:highlight w:val="none"/>
              </w:rPr>
              <w:t>项目实施方案（</w:t>
            </w:r>
            <w:r>
              <w:rPr>
                <w:rFonts w:ascii="宋体" w:hAnsi="宋体" w:cs="宋体"/>
                <w:color w:val="auto"/>
                <w:sz w:val="20"/>
                <w:szCs w:val="20"/>
                <w:highlight w:val="none"/>
              </w:rPr>
              <w:t>6</w:t>
            </w:r>
            <w:r>
              <w:rPr>
                <w:rFonts w:hint="eastAsia" w:ascii="宋体" w:hAnsi="宋体" w:cs="宋体"/>
                <w:color w:val="auto"/>
                <w:sz w:val="20"/>
                <w:szCs w:val="20"/>
                <w:highlight w:val="none"/>
              </w:rPr>
              <w:t>分）</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Tahoma"/>
                <w:color w:val="auto"/>
                <w:kern w:val="0"/>
                <w:sz w:val="20"/>
                <w:szCs w:val="20"/>
                <w:highlight w:val="none"/>
              </w:rPr>
              <w:t>0-</w:t>
            </w:r>
            <w:r>
              <w:rPr>
                <w:rFonts w:ascii="宋体" w:hAnsi="宋体" w:cs="Tahoma"/>
                <w:color w:val="auto"/>
                <w:kern w:val="0"/>
                <w:sz w:val="20"/>
                <w:szCs w:val="20"/>
                <w:highlight w:val="none"/>
              </w:rPr>
              <w:t>6</w:t>
            </w:r>
            <w:r>
              <w:rPr>
                <w:rFonts w:hint="eastAsia" w:ascii="宋体" w:hAnsi="宋体" w:cs="Tahoma"/>
                <w:color w:val="auto"/>
                <w:kern w:val="0"/>
                <w:sz w:val="20"/>
                <w:szCs w:val="20"/>
                <w:highlight w:val="none"/>
              </w:rPr>
              <w:t>分</w:t>
            </w:r>
          </w:p>
        </w:tc>
        <w:tc>
          <w:tcPr>
            <w:tcW w:w="6933"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Cs/>
                <w:color w:val="auto"/>
                <w:kern w:val="0"/>
                <w:sz w:val="20"/>
                <w:szCs w:val="20"/>
                <w:highlight w:val="none"/>
              </w:rPr>
            </w:pPr>
            <w:r>
              <w:rPr>
                <w:rFonts w:hint="eastAsia" w:ascii="宋体" w:hAnsi="宋体" w:cs="Tahoma"/>
                <w:b/>
                <w:color w:val="auto"/>
                <w:kern w:val="0"/>
                <w:sz w:val="20"/>
                <w:szCs w:val="20"/>
                <w:highlight w:val="none"/>
              </w:rPr>
              <w:t>1.保证项目实施及质量的方案和措施（</w:t>
            </w:r>
            <w:r>
              <w:rPr>
                <w:rFonts w:ascii="宋体" w:hAnsi="宋体" w:cs="Tahoma"/>
                <w:b/>
                <w:color w:val="auto"/>
                <w:kern w:val="0"/>
                <w:sz w:val="20"/>
                <w:szCs w:val="20"/>
                <w:highlight w:val="none"/>
              </w:rPr>
              <w:t>4</w:t>
            </w:r>
            <w:r>
              <w:rPr>
                <w:rFonts w:hint="eastAsia" w:ascii="宋体" w:hAnsi="宋体" w:cs="Tahoma"/>
                <w:b/>
                <w:color w:val="auto"/>
                <w:kern w:val="0"/>
                <w:sz w:val="20"/>
                <w:szCs w:val="20"/>
                <w:highlight w:val="none"/>
              </w:rPr>
              <w:t>分）</w:t>
            </w:r>
            <w:r>
              <w:rPr>
                <w:rFonts w:hint="eastAsia" w:ascii="宋体" w:hAnsi="宋体" w:cs="Tahoma"/>
                <w:color w:val="auto"/>
                <w:kern w:val="0"/>
                <w:sz w:val="20"/>
                <w:szCs w:val="20"/>
                <w:highlight w:val="none"/>
              </w:rPr>
              <w:t>：根据投标人关于本项目实施的方案（重点参考各系统深化图纸及拓扑图等文案资料）、时间安排等情况</w:t>
            </w:r>
            <w:r>
              <w:rPr>
                <w:rFonts w:hint="eastAsia" w:ascii="宋体" w:hAnsi="宋体" w:cs="Tahoma"/>
                <w:color w:val="auto"/>
                <w:kern w:val="0"/>
                <w:sz w:val="20"/>
                <w:szCs w:val="20"/>
                <w:highlight w:val="none"/>
                <w:lang w:eastAsia="zh-CN"/>
              </w:rPr>
              <w:t>综合打分（</w:t>
            </w:r>
            <w:r>
              <w:rPr>
                <w:rFonts w:hint="eastAsia" w:ascii="宋体" w:hAnsi="宋体" w:cs="Tahoma"/>
                <w:color w:val="auto"/>
                <w:kern w:val="0"/>
                <w:sz w:val="20"/>
                <w:szCs w:val="20"/>
                <w:highlight w:val="none"/>
                <w:lang w:val="en-US" w:eastAsia="zh-CN"/>
              </w:rPr>
              <w:t>0-4分</w:t>
            </w:r>
            <w:r>
              <w:rPr>
                <w:rFonts w:hint="eastAsia" w:ascii="宋体" w:hAnsi="宋体" w:cs="Tahoma"/>
                <w:color w:val="auto"/>
                <w:kern w:val="0"/>
                <w:sz w:val="20"/>
                <w:szCs w:val="20"/>
                <w:highlight w:val="none"/>
                <w:lang w:eastAsia="zh-CN"/>
              </w:rPr>
              <w:t>）</w:t>
            </w:r>
            <w:r>
              <w:rPr>
                <w:rFonts w:hint="eastAsia" w:ascii="宋体" w:hAnsi="宋体" w:cs="Tahoma"/>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0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auto"/>
                <w:sz w:val="20"/>
                <w:szCs w:val="20"/>
                <w:highlight w:val="none"/>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6933"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Cs/>
                <w:color w:val="auto"/>
                <w:kern w:val="0"/>
                <w:sz w:val="20"/>
                <w:szCs w:val="20"/>
                <w:highlight w:val="none"/>
              </w:rPr>
            </w:pPr>
            <w:r>
              <w:rPr>
                <w:rFonts w:hint="eastAsia"/>
                <w:b/>
                <w:bCs/>
                <w:color w:val="auto"/>
                <w:sz w:val="20"/>
                <w:szCs w:val="20"/>
                <w:highlight w:val="none"/>
              </w:rPr>
              <w:t>2.保证项目实施及质量的技术力量和人力资源安排（2分）</w:t>
            </w:r>
            <w:r>
              <w:rPr>
                <w:rFonts w:hint="eastAsia"/>
                <w:color w:val="auto"/>
                <w:sz w:val="20"/>
                <w:szCs w:val="20"/>
                <w:highlight w:val="none"/>
              </w:rPr>
              <w:t>：根据投标人拟派本项目的技术力量和人力资源安排情况，技术力量充足人员安排齐全合理的得2分，</w:t>
            </w:r>
            <w:r>
              <w:rPr>
                <w:rFonts w:hint="eastAsia"/>
                <w:color w:val="auto"/>
                <w:sz w:val="20"/>
                <w:szCs w:val="20"/>
                <w:highlight w:val="none"/>
                <w:lang w:eastAsia="zh-CN"/>
              </w:rPr>
              <w:t>欠缺的（</w:t>
            </w:r>
            <w:r>
              <w:rPr>
                <w:rFonts w:hint="eastAsia"/>
                <w:color w:val="auto"/>
                <w:sz w:val="20"/>
                <w:szCs w:val="20"/>
                <w:highlight w:val="none"/>
                <w:lang w:val="en-US" w:eastAsia="zh-CN"/>
              </w:rPr>
              <w:t>0-1分</w:t>
            </w:r>
            <w:r>
              <w:rPr>
                <w:rFonts w:hint="eastAsia"/>
                <w:color w:val="auto"/>
                <w:sz w:val="20"/>
                <w:szCs w:val="20"/>
                <w:highlight w:val="none"/>
                <w:lang w:eastAsia="zh-CN"/>
              </w:rPr>
              <w:t>）</w:t>
            </w:r>
            <w:r>
              <w:rPr>
                <w:rFonts w:hint="eastAsia"/>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04"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ascii="宋体" w:hAnsi="宋体" w:cs="宋体"/>
                <w:color w:val="auto"/>
                <w:sz w:val="20"/>
                <w:szCs w:val="20"/>
                <w:highlight w:val="none"/>
              </w:rPr>
              <w:t>6</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Cs/>
                <w:color w:val="auto"/>
                <w:sz w:val="20"/>
                <w:szCs w:val="20"/>
                <w:highlight w:val="none"/>
              </w:rPr>
            </w:pPr>
            <w:r>
              <w:rPr>
                <w:rFonts w:hint="eastAsia" w:ascii="宋体" w:hAnsi="宋体" w:cs="宋体"/>
                <w:bCs/>
                <w:color w:val="auto"/>
                <w:sz w:val="20"/>
                <w:szCs w:val="20"/>
                <w:highlight w:val="none"/>
              </w:rPr>
              <w:t>售后服务及质保期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Cs/>
                <w:color w:val="auto"/>
                <w:sz w:val="20"/>
                <w:szCs w:val="20"/>
                <w:highlight w:val="none"/>
              </w:rPr>
            </w:pPr>
            <w:r>
              <w:rPr>
                <w:rFonts w:hint="eastAsia" w:ascii="宋体" w:hAnsi="宋体" w:cs="宋体"/>
                <w:bCs/>
                <w:color w:val="auto"/>
                <w:sz w:val="20"/>
                <w:szCs w:val="20"/>
                <w:highlight w:val="none"/>
              </w:rPr>
              <w:t>（</w:t>
            </w:r>
            <w:r>
              <w:rPr>
                <w:rFonts w:ascii="宋体" w:hAnsi="宋体" w:cs="宋体"/>
                <w:bCs/>
                <w:color w:val="auto"/>
                <w:sz w:val="20"/>
                <w:szCs w:val="20"/>
                <w:highlight w:val="none"/>
              </w:rPr>
              <w:t>6</w:t>
            </w:r>
            <w:r>
              <w:rPr>
                <w:rFonts w:hint="eastAsia" w:ascii="宋体" w:hAnsi="宋体" w:cs="宋体"/>
                <w:bCs/>
                <w:color w:val="auto"/>
                <w:sz w:val="20"/>
                <w:szCs w:val="20"/>
                <w:highlight w:val="none"/>
              </w:rPr>
              <w:t>分）</w:t>
            </w:r>
          </w:p>
        </w:tc>
        <w:tc>
          <w:tcPr>
            <w:tcW w:w="1276" w:type="dxa"/>
            <w:noWrap w:val="0"/>
            <w:vAlign w:val="center"/>
          </w:tcPr>
          <w:p>
            <w:pPr>
              <w:keepNext w:val="0"/>
              <w:keepLines w:val="0"/>
              <w:pageBreakBefore w:val="0"/>
              <w:tabs>
                <w:tab w:val="left" w:pos="432"/>
              </w:tabs>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0-</w:t>
            </w:r>
            <w:r>
              <w:rPr>
                <w:rFonts w:ascii="宋体" w:hAnsi="宋体" w:cs="宋体"/>
                <w:color w:val="auto"/>
                <w:sz w:val="20"/>
                <w:szCs w:val="20"/>
                <w:highlight w:val="none"/>
              </w:rPr>
              <w:t>4</w:t>
            </w:r>
            <w:r>
              <w:rPr>
                <w:rFonts w:hint="eastAsia" w:ascii="宋体" w:hAnsi="宋体" w:cs="宋体"/>
                <w:color w:val="auto"/>
                <w:sz w:val="20"/>
                <w:szCs w:val="20"/>
                <w:highlight w:val="none"/>
              </w:rPr>
              <w:t>分</w:t>
            </w:r>
          </w:p>
        </w:tc>
        <w:tc>
          <w:tcPr>
            <w:tcW w:w="6933"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360" w:lineRule="exact"/>
              <w:textAlignment w:val="auto"/>
              <w:rPr>
                <w:rFonts w:ascii="宋体" w:hAnsi="宋体"/>
                <w:bCs/>
                <w:color w:val="auto"/>
                <w:kern w:val="0"/>
                <w:sz w:val="20"/>
                <w:szCs w:val="20"/>
                <w:highlight w:val="none"/>
              </w:rPr>
            </w:pPr>
            <w:r>
              <w:rPr>
                <w:rFonts w:hint="eastAsia" w:ascii="宋体" w:hAnsi="宋体" w:cs="Tahoma"/>
                <w:color w:val="auto"/>
                <w:kern w:val="0"/>
                <w:sz w:val="20"/>
                <w:szCs w:val="20"/>
                <w:highlight w:val="none"/>
              </w:rPr>
              <w:t>根据投标人的技术培训、本地化服务能力（实质性响应能力）、售后服务体系（服务标准、队伍、响应时间、维护体系）、回访体系、备品备件及优惠承诺、合理化建议等情况</w:t>
            </w:r>
            <w:r>
              <w:rPr>
                <w:rFonts w:hint="eastAsia" w:ascii="宋体" w:hAnsi="宋体" w:cs="Tahoma"/>
                <w:color w:val="auto"/>
                <w:kern w:val="0"/>
                <w:sz w:val="20"/>
                <w:szCs w:val="20"/>
                <w:highlight w:val="none"/>
                <w:lang w:eastAsia="zh-CN"/>
              </w:rPr>
              <w:t>打分（</w:t>
            </w:r>
            <w:r>
              <w:rPr>
                <w:rFonts w:hint="eastAsia" w:ascii="宋体" w:hAnsi="宋体" w:cs="Tahoma"/>
                <w:color w:val="auto"/>
                <w:kern w:val="0"/>
                <w:sz w:val="20"/>
                <w:szCs w:val="20"/>
                <w:highlight w:val="none"/>
                <w:lang w:val="en-US" w:eastAsia="zh-CN"/>
              </w:rPr>
              <w:t>0-4分</w:t>
            </w:r>
            <w:r>
              <w:rPr>
                <w:rFonts w:hint="eastAsia" w:ascii="宋体" w:hAnsi="宋体" w:cs="Tahoma"/>
                <w:color w:val="auto"/>
                <w:kern w:val="0"/>
                <w:sz w:val="20"/>
                <w:szCs w:val="20"/>
                <w:highlight w:val="none"/>
                <w:lang w:eastAsia="zh-CN"/>
              </w:rPr>
              <w:t>）</w:t>
            </w:r>
            <w:r>
              <w:rPr>
                <w:rFonts w:hint="eastAsia" w:ascii="宋体" w:hAnsi="宋体" w:cs="Tahoma"/>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1276" w:type="dxa"/>
            <w:noWrap w:val="0"/>
            <w:vAlign w:val="center"/>
          </w:tcPr>
          <w:p>
            <w:pPr>
              <w:keepNext w:val="0"/>
              <w:keepLines w:val="0"/>
              <w:pageBreakBefore w:val="0"/>
              <w:tabs>
                <w:tab w:val="left" w:pos="432"/>
              </w:tabs>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0-</w:t>
            </w:r>
            <w:r>
              <w:rPr>
                <w:rFonts w:ascii="宋体" w:hAnsi="宋体" w:cs="宋体"/>
                <w:color w:val="auto"/>
                <w:sz w:val="20"/>
                <w:szCs w:val="20"/>
                <w:highlight w:val="none"/>
              </w:rPr>
              <w:t>2</w:t>
            </w:r>
            <w:r>
              <w:rPr>
                <w:rFonts w:hint="eastAsia" w:ascii="宋体" w:hAnsi="宋体" w:cs="宋体"/>
                <w:color w:val="auto"/>
                <w:sz w:val="20"/>
                <w:szCs w:val="20"/>
                <w:highlight w:val="none"/>
              </w:rPr>
              <w:t>分</w:t>
            </w:r>
          </w:p>
        </w:tc>
        <w:tc>
          <w:tcPr>
            <w:tcW w:w="6933"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360" w:lineRule="exact"/>
              <w:textAlignment w:val="auto"/>
              <w:rPr>
                <w:rFonts w:ascii="宋体" w:hAnsi="宋体" w:cs="宋体"/>
                <w:color w:val="auto"/>
                <w:sz w:val="20"/>
                <w:szCs w:val="20"/>
                <w:highlight w:val="none"/>
              </w:rPr>
            </w:pPr>
            <w:r>
              <w:rPr>
                <w:rFonts w:hint="eastAsia" w:ascii="宋体" w:hAnsi="宋体" w:cs="宋体"/>
                <w:color w:val="auto"/>
                <w:sz w:val="20"/>
                <w:szCs w:val="20"/>
                <w:highlight w:val="none"/>
              </w:rPr>
              <w:t>本项目承诺3年基本质保期的，不得分；</w:t>
            </w:r>
            <w:r>
              <w:rPr>
                <w:rFonts w:hint="eastAsia" w:ascii="宋体" w:hAnsi="宋体" w:cs="宋体"/>
                <w:color w:val="auto"/>
                <w:sz w:val="20"/>
                <w:szCs w:val="20"/>
                <w:highlight w:val="none"/>
                <w:lang w:eastAsia="zh-CN"/>
              </w:rPr>
              <w:t>在三年基础上</w:t>
            </w:r>
            <w:r>
              <w:rPr>
                <w:rFonts w:hint="eastAsia" w:ascii="宋体" w:hAnsi="宋体" w:cs="宋体"/>
                <w:color w:val="auto"/>
                <w:sz w:val="20"/>
                <w:szCs w:val="20"/>
                <w:highlight w:val="none"/>
              </w:rPr>
              <w:t>每增加1年质保期，加</w:t>
            </w:r>
            <w:r>
              <w:rPr>
                <w:rFonts w:ascii="宋体" w:hAnsi="宋体" w:cs="宋体"/>
                <w:color w:val="auto"/>
                <w:sz w:val="20"/>
                <w:szCs w:val="20"/>
                <w:highlight w:val="none"/>
              </w:rPr>
              <w:t>1</w:t>
            </w:r>
            <w:r>
              <w:rPr>
                <w:rFonts w:hint="eastAsia" w:ascii="宋体" w:hAnsi="宋体" w:cs="宋体"/>
                <w:color w:val="auto"/>
                <w:sz w:val="20"/>
                <w:szCs w:val="20"/>
                <w:highlight w:val="none"/>
              </w:rPr>
              <w:t>分, 本项最高得</w:t>
            </w:r>
            <w:r>
              <w:rPr>
                <w:rFonts w:ascii="宋体" w:hAnsi="宋体" w:cs="宋体"/>
                <w:color w:val="auto"/>
                <w:sz w:val="20"/>
                <w:szCs w:val="20"/>
                <w:highlight w:val="none"/>
              </w:rPr>
              <w:t>2</w:t>
            </w:r>
            <w:r>
              <w:rPr>
                <w:rFonts w:hint="eastAsia" w:ascii="宋体" w:hAnsi="宋体" w:cs="宋体"/>
                <w:color w:val="auto"/>
                <w:sz w:val="20"/>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ascii="宋体" w:hAnsi="宋体" w:cs="宋体"/>
                <w:color w:val="auto"/>
                <w:sz w:val="20"/>
                <w:szCs w:val="20"/>
                <w:highlight w:val="none"/>
              </w:rPr>
              <w:t>7</w:t>
            </w:r>
          </w:p>
        </w:tc>
        <w:tc>
          <w:tcPr>
            <w:tcW w:w="1276" w:type="dxa"/>
            <w:vMerge w:val="restart"/>
            <w:noWrap w:val="0"/>
            <w:vAlign w:val="center"/>
          </w:tcPr>
          <w:p>
            <w:pPr>
              <w:keepNext w:val="0"/>
              <w:keepLines w:val="0"/>
              <w:pageBreakBefore w:val="0"/>
              <w:tabs>
                <w:tab w:val="left" w:pos="432"/>
              </w:tabs>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 xml:space="preserve">政策分 </w:t>
            </w:r>
          </w:p>
          <w:p>
            <w:pPr>
              <w:keepNext w:val="0"/>
              <w:keepLines w:val="0"/>
              <w:pageBreakBefore w:val="0"/>
              <w:tabs>
                <w:tab w:val="left" w:pos="432"/>
              </w:tabs>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（3分）</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0-2分</w:t>
            </w:r>
          </w:p>
        </w:tc>
        <w:tc>
          <w:tcPr>
            <w:tcW w:w="69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sz w:val="20"/>
                <w:szCs w:val="20"/>
                <w:highlight w:val="none"/>
              </w:rPr>
            </w:pPr>
            <w:r>
              <w:rPr>
                <w:rFonts w:hint="eastAsia" w:ascii="宋体" w:hAnsi="宋体" w:cs="宋体"/>
                <w:color w:val="auto"/>
                <w:sz w:val="20"/>
                <w:szCs w:val="20"/>
                <w:highlight w:val="none"/>
              </w:rPr>
              <w:t>所投产品或其主要（核心）设备列入节能产品、环境标志产品等目录，评标委员会根据通过节能产品、环境标志产品采购的数量、造价占比情况进行打分，0-2分。投标产品未取得国家确定的认证机构出具的、处于有效期之内的节能产品、环境标志产品的认证证书的，本项得分不予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0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1276" w:type="dxa"/>
            <w:vMerge w:val="continue"/>
            <w:noWrap w:val="0"/>
            <w:vAlign w:val="center"/>
          </w:tcPr>
          <w:p>
            <w:pPr>
              <w:keepNext w:val="0"/>
              <w:keepLines w:val="0"/>
              <w:pageBreakBefore w:val="0"/>
              <w:tabs>
                <w:tab w:val="left" w:pos="432"/>
              </w:tabs>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1276" w:type="dxa"/>
            <w:noWrap w:val="0"/>
            <w:vAlign w:val="center"/>
          </w:tcPr>
          <w:p>
            <w:pPr>
              <w:keepNext w:val="0"/>
              <w:keepLines w:val="0"/>
              <w:pageBreakBefore w:val="0"/>
              <w:tabs>
                <w:tab w:val="left" w:pos="432"/>
              </w:tabs>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r>
              <w:rPr>
                <w:rFonts w:hint="eastAsia" w:ascii="宋体" w:hAnsi="宋体" w:cs="宋体"/>
                <w:color w:val="auto"/>
                <w:sz w:val="20"/>
                <w:szCs w:val="20"/>
                <w:highlight w:val="none"/>
              </w:rPr>
              <w:t>0-1分</w:t>
            </w:r>
          </w:p>
        </w:tc>
        <w:tc>
          <w:tcPr>
            <w:tcW w:w="6933"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auto"/>
                <w:sz w:val="20"/>
                <w:szCs w:val="20"/>
                <w:highlight w:val="none"/>
              </w:rPr>
            </w:pPr>
            <w:r>
              <w:rPr>
                <w:rFonts w:hint="eastAsia" w:ascii="宋体" w:hAnsi="宋体" w:cs="宋体"/>
                <w:color w:val="auto"/>
                <w:sz w:val="20"/>
                <w:szCs w:val="20"/>
                <w:highlight w:val="none"/>
              </w:rPr>
              <w:t>投标人所在地区属于不发达地区或少数名族地区的得1分。</w:t>
            </w:r>
          </w:p>
          <w:p>
            <w:pPr>
              <w:keepNext w:val="0"/>
              <w:keepLines w:val="0"/>
              <w:pageBreakBefore w:val="0"/>
              <w:tabs>
                <w:tab w:val="left" w:pos="1080"/>
              </w:tabs>
              <w:kinsoku/>
              <w:wordWrap/>
              <w:overflowPunct/>
              <w:topLinePunct w:val="0"/>
              <w:autoSpaceDE/>
              <w:autoSpaceDN/>
              <w:bidi w:val="0"/>
              <w:adjustRightInd/>
              <w:snapToGrid/>
              <w:spacing w:line="360" w:lineRule="exact"/>
              <w:textAlignment w:val="auto"/>
              <w:rPr>
                <w:rFonts w:ascii="宋体" w:hAnsi="宋体" w:cs="宋体"/>
                <w:color w:val="auto"/>
                <w:sz w:val="20"/>
                <w:szCs w:val="20"/>
                <w:highlight w:val="none"/>
              </w:rPr>
            </w:pPr>
            <w:r>
              <w:rPr>
                <w:rFonts w:hint="eastAsia" w:ascii="宋体" w:hAnsi="宋体" w:cs="宋体"/>
                <w:b/>
                <w:bCs/>
                <w:color w:val="auto"/>
                <w:sz w:val="20"/>
                <w:szCs w:val="20"/>
                <w:highlight w:val="none"/>
              </w:rPr>
              <w:t>注：</w:t>
            </w:r>
            <w:r>
              <w:rPr>
                <w:rFonts w:hint="eastAsia" w:ascii="宋体" w:hAnsi="宋体" w:cs="宋体"/>
                <w:b/>
                <w:bCs/>
                <w:color w:val="auto"/>
                <w:sz w:val="20"/>
                <w:szCs w:val="20"/>
                <w:highlight w:val="none"/>
                <w:lang w:eastAsia="zh-CN"/>
              </w:rPr>
              <w:t>投标文件</w:t>
            </w:r>
            <w:r>
              <w:rPr>
                <w:rFonts w:hint="eastAsia" w:ascii="宋体" w:hAnsi="宋体" w:cs="宋体"/>
                <w:b/>
                <w:bCs/>
                <w:color w:val="auto"/>
                <w:sz w:val="20"/>
                <w:szCs w:val="20"/>
                <w:highlight w:val="none"/>
              </w:rPr>
              <w:t>中需提供不发达地区或少数名族地区的声明函（格式附后）及相关资料。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8</w:t>
            </w:r>
          </w:p>
        </w:tc>
        <w:tc>
          <w:tcPr>
            <w:tcW w:w="1276" w:type="dxa"/>
            <w:noWrap w:val="0"/>
            <w:vAlign w:val="center"/>
          </w:tcPr>
          <w:p>
            <w:pPr>
              <w:keepNext w:val="0"/>
              <w:keepLines w:val="0"/>
              <w:pageBreakBefore w:val="0"/>
              <w:tabs>
                <w:tab w:val="left" w:pos="43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报价文件</w:t>
            </w:r>
          </w:p>
          <w:p>
            <w:pPr>
              <w:keepNext w:val="0"/>
              <w:keepLines w:val="0"/>
              <w:pageBreakBefore w:val="0"/>
              <w:tabs>
                <w:tab w:val="left" w:pos="43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评分办法</w:t>
            </w:r>
          </w:p>
          <w:p>
            <w:pPr>
              <w:keepNext w:val="0"/>
              <w:keepLines w:val="0"/>
              <w:pageBreakBefore w:val="0"/>
              <w:tabs>
                <w:tab w:val="left" w:pos="43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(30分)</w:t>
            </w:r>
          </w:p>
          <w:p>
            <w:pPr>
              <w:keepNext w:val="0"/>
              <w:keepLines w:val="0"/>
              <w:pageBreakBefore w:val="0"/>
              <w:tabs>
                <w:tab w:val="left" w:pos="432"/>
              </w:tabs>
              <w:kinsoku/>
              <w:wordWrap/>
              <w:overflowPunct/>
              <w:topLinePunct w:val="0"/>
              <w:autoSpaceDE/>
              <w:autoSpaceDN/>
              <w:bidi w:val="0"/>
              <w:adjustRightInd/>
              <w:snapToGrid/>
              <w:spacing w:line="360" w:lineRule="exact"/>
              <w:jc w:val="center"/>
              <w:textAlignment w:val="auto"/>
              <w:rPr>
                <w:rFonts w:ascii="宋体" w:hAnsi="宋体" w:cs="宋体"/>
                <w:color w:val="auto"/>
                <w:sz w:val="20"/>
                <w:szCs w:val="20"/>
                <w:highlight w:val="none"/>
              </w:rPr>
            </w:pPr>
          </w:p>
        </w:tc>
        <w:tc>
          <w:tcPr>
            <w:tcW w:w="1276" w:type="dxa"/>
            <w:noWrap w:val="0"/>
            <w:vAlign w:val="center"/>
          </w:tcPr>
          <w:p>
            <w:pPr>
              <w:keepNext w:val="0"/>
              <w:keepLines w:val="0"/>
              <w:pageBreakBefore w:val="0"/>
              <w:tabs>
                <w:tab w:val="left" w:pos="432"/>
              </w:tabs>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0-30分</w:t>
            </w:r>
          </w:p>
        </w:tc>
        <w:tc>
          <w:tcPr>
            <w:tcW w:w="6933"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价格评分采用低价优先法计算，在有效报价中，满足招标文件要求</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且投标价格最低的投标报价为评标基准价，其价格分为满分</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0 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其他供应商的价格分统一按照下列公式计算：投标报价得分=（评</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标基准价/投标报价）×</w:t>
            </w:r>
            <w:r>
              <w:rPr>
                <w:rFonts w:hint="eastAsia" w:ascii="宋体" w:hAnsi="宋体" w:eastAsia="宋体" w:cs="宋体"/>
                <w:color w:val="auto"/>
                <w:sz w:val="20"/>
                <w:szCs w:val="20"/>
                <w:highlight w:val="none"/>
                <w:lang w:val="en-US" w:eastAsia="zh-CN"/>
              </w:rPr>
              <w:t>30</w:t>
            </w:r>
            <w:r>
              <w:rPr>
                <w:rFonts w:hint="eastAsia" w:ascii="宋体" w:hAnsi="宋体" w:eastAsia="宋体" w:cs="宋体"/>
                <w:color w:val="auto"/>
                <w:sz w:val="20"/>
                <w:szCs w:val="20"/>
                <w:highlight w:val="none"/>
              </w:rPr>
              <w:t>%×100。</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
                <w:bCs/>
                <w:color w:val="auto"/>
                <w:sz w:val="20"/>
                <w:szCs w:val="20"/>
                <w:highlight w:val="none"/>
              </w:rPr>
            </w:pPr>
            <w:r>
              <w:rPr>
                <w:rFonts w:hint="eastAsia" w:ascii="宋体" w:hAnsi="宋体" w:eastAsia="宋体" w:cs="宋体"/>
                <w:color w:val="auto"/>
                <w:sz w:val="20"/>
                <w:szCs w:val="20"/>
                <w:highlight w:val="none"/>
              </w:rPr>
              <w:t>投标人最终得分=商务技术标得分+报价得分，满分为 100 分</w:t>
            </w:r>
            <w:r>
              <w:rPr>
                <w:rFonts w:hint="eastAsia" w:ascii="宋体" w:hAnsi="宋体" w:eastAsia="宋体" w:cs="宋体"/>
                <w:color w:val="auto"/>
                <w:sz w:val="24"/>
                <w:szCs w:val="24"/>
                <w:highlight w:val="none"/>
              </w:rPr>
              <w:t>。</w:t>
            </w:r>
          </w:p>
        </w:tc>
      </w:tr>
    </w:tbl>
    <w:p>
      <w:pPr>
        <w:pStyle w:val="52"/>
        <w:spacing w:before="0" w:after="0" w:line="400" w:lineRule="exact"/>
        <w:ind w:firstLine="0" w:firstLineChars="0"/>
        <w:rPr>
          <w:rFonts w:hint="eastAsia"/>
          <w:b/>
          <w:bCs/>
          <w:color w:val="auto"/>
          <w:highlight w:val="none"/>
        </w:rPr>
      </w:pPr>
      <w:r>
        <w:rPr>
          <w:rFonts w:hint="eastAsia"/>
          <w:b/>
          <w:bCs/>
          <w:color w:val="auto"/>
          <w:highlight w:val="none"/>
        </w:rPr>
        <w:t>一、评标方法</w:t>
      </w:r>
    </w:p>
    <w:p>
      <w:pPr>
        <w:pStyle w:val="52"/>
        <w:spacing w:before="0" w:after="0" w:line="400" w:lineRule="exact"/>
        <w:ind w:firstLine="482" w:firstLineChars="200"/>
        <w:rPr>
          <w:rFonts w:hint="eastAsia"/>
          <w:color w:val="auto"/>
          <w:highlight w:val="none"/>
        </w:rPr>
      </w:pPr>
      <w:r>
        <w:rPr>
          <w:rFonts w:hint="eastAsia"/>
          <w:b/>
          <w:bCs/>
          <w:color w:val="auto"/>
          <w:highlight w:val="none"/>
        </w:rPr>
        <w:t>1.本项目采用综合评分法。</w:t>
      </w:r>
      <w:r>
        <w:rPr>
          <w:rFonts w:hint="eastAsia"/>
          <w:color w:val="auto"/>
          <w:highlight w:val="none"/>
        </w:rPr>
        <w:t xml:space="preserve">综合评分法，是指投标文件满足招标文件全部实质性要求，且按照评审因素的量化指标评审得分最高的投标人为中标候选人的评标方法。 </w:t>
      </w:r>
    </w:p>
    <w:p>
      <w:pPr>
        <w:pStyle w:val="52"/>
        <w:spacing w:before="0" w:after="0" w:line="400" w:lineRule="exact"/>
        <w:rPr>
          <w:rFonts w:hint="eastAsia"/>
          <w:color w:val="auto"/>
          <w:highlight w:val="none"/>
        </w:rPr>
      </w:pPr>
      <w:r>
        <w:rPr>
          <w:rFonts w:hint="eastAsia"/>
          <w:b/>
          <w:bCs/>
          <w:color w:val="auto"/>
          <w:highlight w:val="none"/>
        </w:rPr>
        <w:t>二、评标标准</w:t>
      </w:r>
    </w:p>
    <w:p>
      <w:pPr>
        <w:pStyle w:val="52"/>
        <w:spacing w:before="0" w:after="0" w:line="400" w:lineRule="exact"/>
        <w:ind w:firstLine="482" w:firstLineChars="200"/>
        <w:rPr>
          <w:rFonts w:hint="eastAsia"/>
          <w:color w:val="auto"/>
          <w:highlight w:val="none"/>
        </w:rPr>
      </w:pPr>
      <w:r>
        <w:rPr>
          <w:rFonts w:hint="eastAsia"/>
          <w:b/>
          <w:bCs/>
          <w:color w:val="auto"/>
          <w:highlight w:val="none"/>
        </w:rPr>
        <w:t>2.评标标准：</w:t>
      </w:r>
      <w:r>
        <w:rPr>
          <w:rFonts w:hint="eastAsia"/>
          <w:color w:val="auto"/>
          <w:highlight w:val="none"/>
        </w:rPr>
        <w:t>见评标办法前附表。</w:t>
      </w:r>
    </w:p>
    <w:p>
      <w:pPr>
        <w:adjustRightInd w:val="0"/>
        <w:spacing w:line="400" w:lineRule="exact"/>
        <w:outlineLvl w:val="0"/>
        <w:rPr>
          <w:rFonts w:hint="eastAsia"/>
          <w:b/>
          <w:bCs/>
          <w:snapToGrid w:val="0"/>
          <w:color w:val="auto"/>
          <w:kern w:val="0"/>
          <w:sz w:val="24"/>
          <w:szCs w:val="18"/>
          <w:highlight w:val="none"/>
        </w:rPr>
      </w:pPr>
      <w:r>
        <w:rPr>
          <w:rFonts w:hint="eastAsia"/>
          <w:b/>
          <w:bCs/>
          <w:snapToGrid w:val="0"/>
          <w:color w:val="auto"/>
          <w:kern w:val="0"/>
          <w:sz w:val="24"/>
          <w:szCs w:val="18"/>
          <w:highlight w:val="none"/>
        </w:rPr>
        <w:t>三、评标程序</w:t>
      </w:r>
    </w:p>
    <w:p>
      <w:pPr>
        <w:adjustRightInd w:val="0"/>
        <w:spacing w:line="400" w:lineRule="exact"/>
        <w:ind w:firstLine="482" w:firstLineChars="200"/>
        <w:outlineLvl w:val="0"/>
        <w:rPr>
          <w:rFonts w:hint="eastAsia"/>
          <w:snapToGrid w:val="0"/>
          <w:color w:val="auto"/>
          <w:kern w:val="0"/>
          <w:sz w:val="24"/>
          <w:szCs w:val="18"/>
          <w:highlight w:val="none"/>
        </w:rPr>
      </w:pPr>
      <w:r>
        <w:rPr>
          <w:rFonts w:hint="eastAsia"/>
          <w:b/>
          <w:bCs/>
          <w:snapToGrid w:val="0"/>
          <w:color w:val="auto"/>
          <w:kern w:val="0"/>
          <w:sz w:val="24"/>
          <w:szCs w:val="18"/>
          <w:highlight w:val="none"/>
        </w:rPr>
        <w:t>3.1 符合性审查。</w:t>
      </w:r>
      <w:r>
        <w:rPr>
          <w:rFonts w:hint="eastAsia"/>
          <w:snapToGrid w:val="0"/>
          <w:color w:val="auto"/>
          <w:kern w:val="0"/>
          <w:sz w:val="24"/>
          <w:szCs w:val="18"/>
          <w:highlight w:val="none"/>
        </w:rPr>
        <w:t>评标委员会应当对符合资格的投标人的投标文件进行符合性审查，以确定其是否满足招标文件的实质性要求。不满足招标文件的实质性要求的，投标无效。</w:t>
      </w:r>
    </w:p>
    <w:p>
      <w:pPr>
        <w:adjustRightInd w:val="0"/>
        <w:spacing w:line="400" w:lineRule="exact"/>
        <w:ind w:firstLine="482" w:firstLineChars="200"/>
        <w:outlineLvl w:val="0"/>
        <w:rPr>
          <w:rFonts w:hint="eastAsia"/>
          <w:snapToGrid w:val="0"/>
          <w:color w:val="auto"/>
          <w:kern w:val="0"/>
          <w:sz w:val="24"/>
          <w:szCs w:val="18"/>
          <w:highlight w:val="none"/>
        </w:rPr>
      </w:pPr>
      <w:r>
        <w:rPr>
          <w:rFonts w:hint="eastAsia"/>
          <w:b/>
          <w:bCs/>
          <w:snapToGrid w:val="0"/>
          <w:color w:val="auto"/>
          <w:kern w:val="0"/>
          <w:sz w:val="24"/>
          <w:szCs w:val="18"/>
          <w:highlight w:val="none"/>
        </w:rPr>
        <w:t>3.2 比较与评价。</w:t>
      </w:r>
      <w:r>
        <w:rPr>
          <w:rFonts w:hint="eastAsia"/>
          <w:snapToGrid w:val="0"/>
          <w:color w:val="auto"/>
          <w:kern w:val="0"/>
          <w:sz w:val="24"/>
          <w:szCs w:val="18"/>
          <w:highlight w:val="none"/>
        </w:rPr>
        <w:t>评标委员会应当按照招标文件中规定的评标方法和标准，对符合性审查合格的投标文件进行商务和技术评估，综合比较与评价。</w:t>
      </w:r>
    </w:p>
    <w:p>
      <w:pPr>
        <w:adjustRightInd w:val="0"/>
        <w:spacing w:line="400" w:lineRule="exact"/>
        <w:ind w:firstLine="482" w:firstLineChars="200"/>
        <w:outlineLvl w:val="0"/>
        <w:rPr>
          <w:rFonts w:hint="eastAsia"/>
          <w:snapToGrid w:val="0"/>
          <w:color w:val="auto"/>
          <w:kern w:val="0"/>
          <w:sz w:val="24"/>
          <w:szCs w:val="18"/>
          <w:highlight w:val="none"/>
        </w:rPr>
      </w:pPr>
      <w:r>
        <w:rPr>
          <w:rFonts w:hint="eastAsia"/>
          <w:b/>
          <w:bCs/>
          <w:snapToGrid w:val="0"/>
          <w:color w:val="auto"/>
          <w:kern w:val="0"/>
          <w:sz w:val="24"/>
          <w:szCs w:val="18"/>
          <w:highlight w:val="none"/>
        </w:rPr>
        <w:t>3.3 汇总商务技术得分。</w:t>
      </w:r>
      <w:r>
        <w:rPr>
          <w:rFonts w:hint="eastAsia"/>
          <w:snapToGrid w:val="0"/>
          <w:color w:val="auto"/>
          <w:kern w:val="0"/>
          <w:sz w:val="24"/>
          <w:szCs w:val="18"/>
          <w:highlight w:val="none"/>
        </w:rPr>
        <w:t>评标委员会各成员应当独立对每个投标人的商务和技术文件进行评价，汇总各评委打分的算术平均值（小数点后保留二位数），并汇总商务技术得分情况。</w:t>
      </w:r>
    </w:p>
    <w:p>
      <w:pPr>
        <w:adjustRightInd w:val="0"/>
        <w:spacing w:line="400" w:lineRule="exact"/>
        <w:ind w:firstLine="482" w:firstLineChars="200"/>
        <w:outlineLvl w:val="0"/>
        <w:rPr>
          <w:rFonts w:hint="eastAsia"/>
          <w:b/>
          <w:bCs/>
          <w:snapToGrid w:val="0"/>
          <w:color w:val="auto"/>
          <w:kern w:val="0"/>
          <w:sz w:val="24"/>
          <w:szCs w:val="18"/>
          <w:highlight w:val="none"/>
        </w:rPr>
      </w:pPr>
      <w:r>
        <w:rPr>
          <w:rFonts w:hint="eastAsia"/>
          <w:b/>
          <w:bCs/>
          <w:snapToGrid w:val="0"/>
          <w:color w:val="auto"/>
          <w:kern w:val="0"/>
          <w:sz w:val="24"/>
          <w:szCs w:val="18"/>
          <w:highlight w:val="none"/>
        </w:rPr>
        <w:t>3.4 报价评审。</w:t>
      </w:r>
    </w:p>
    <w:p>
      <w:pPr>
        <w:adjustRightInd w:val="0"/>
        <w:spacing w:line="40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3.4.1 投标文件报价出现前后不一致的，按照下列规定修正：</w:t>
      </w:r>
    </w:p>
    <w:p>
      <w:pPr>
        <w:adjustRightInd w:val="0"/>
        <w:spacing w:line="40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3.4.1.1 投标文件中开标一览表(报价表)内容与投标文件中相应内容不一致的，以开标一览表(报价表)为准；</w:t>
      </w:r>
    </w:p>
    <w:p>
      <w:pPr>
        <w:adjustRightInd w:val="0"/>
        <w:spacing w:line="40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3.4.1.2 大写金额和小写金额不一致的，以大写金额为准；</w:t>
      </w:r>
    </w:p>
    <w:p>
      <w:pPr>
        <w:adjustRightInd w:val="0"/>
        <w:spacing w:line="40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3.4.1.3 单价金额小数点或者百分比有明显错位的，以开标一览表的总价为准，并修改单价；</w:t>
      </w:r>
    </w:p>
    <w:p>
      <w:pPr>
        <w:adjustRightInd w:val="0"/>
        <w:spacing w:line="40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3.4.1.4 总价金额与按单价汇总金额不一致的，以单价金额计算结果为准。</w:t>
      </w:r>
    </w:p>
    <w:p>
      <w:pPr>
        <w:adjustRightInd w:val="0"/>
        <w:spacing w:line="40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3.4.1.5 同时出现两种以上不一致的，按照 3.4.1 规定的顺序修正。修正后的报价按照财政部第 87 号令 《政府采购货物和服务招标投标管理办法》第五十一条第二款的规定经投标人确认后产生约束力。</w:t>
      </w:r>
    </w:p>
    <w:p>
      <w:pPr>
        <w:adjustRightInd w:val="0"/>
        <w:spacing w:line="40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3.4.2 投标文件出现不是唯一的、有选择性投标报价的，投标无效。</w:t>
      </w:r>
    </w:p>
    <w:p>
      <w:pPr>
        <w:adjustRightInd w:val="0"/>
        <w:spacing w:line="40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3.4.3 投标报价超过招标文件中规定的预算金额或者最高限价的，投标无效。</w:t>
      </w:r>
    </w:p>
    <w:p>
      <w:pPr>
        <w:adjustRightInd w:val="0"/>
        <w:spacing w:line="40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adjustRightInd w:val="0"/>
        <w:spacing w:line="40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3.4.5 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 30%以上的，对联合体或者大中型企业的报价给予 6%的扣除，用扣除后的价格参加评审。组成联合体或者接受分包的小微企业与联合体内其他企业、分包企业之间存在直接控股、管理关系的，不享受价扣除优惠政策。</w:t>
      </w:r>
    </w:p>
    <w:p>
      <w:pPr>
        <w:adjustRightInd w:val="0"/>
        <w:spacing w:line="400" w:lineRule="exact"/>
        <w:ind w:firstLine="482" w:firstLineChars="200"/>
        <w:outlineLvl w:val="0"/>
        <w:rPr>
          <w:rFonts w:hint="eastAsia"/>
          <w:snapToGrid w:val="0"/>
          <w:color w:val="auto"/>
          <w:kern w:val="0"/>
          <w:sz w:val="24"/>
          <w:szCs w:val="18"/>
          <w:highlight w:val="none"/>
        </w:rPr>
      </w:pPr>
      <w:r>
        <w:rPr>
          <w:rFonts w:hint="eastAsia"/>
          <w:b/>
          <w:bCs/>
          <w:snapToGrid w:val="0"/>
          <w:color w:val="auto"/>
          <w:kern w:val="0"/>
          <w:sz w:val="24"/>
          <w:szCs w:val="18"/>
          <w:highlight w:val="none"/>
        </w:rPr>
        <w:t>3.5 排序与推荐。</w:t>
      </w:r>
      <w:r>
        <w:rPr>
          <w:rFonts w:hint="eastAsia"/>
          <w:snapToGrid w:val="0"/>
          <w:color w:val="auto"/>
          <w:kern w:val="0"/>
          <w:sz w:val="24"/>
          <w:szCs w:val="18"/>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招标人可以确定无异议的第二中标候选人为中标候选人，也可以重新招标。评分过程中采用四舍五入法，并保留小数 2 位。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line="400" w:lineRule="exact"/>
        <w:ind w:firstLine="482" w:firstLineChars="200"/>
        <w:outlineLvl w:val="0"/>
        <w:rPr>
          <w:rFonts w:hint="eastAsia"/>
          <w:snapToGrid w:val="0"/>
          <w:color w:val="auto"/>
          <w:kern w:val="0"/>
          <w:sz w:val="24"/>
          <w:szCs w:val="18"/>
          <w:highlight w:val="none"/>
        </w:rPr>
      </w:pPr>
      <w:r>
        <w:rPr>
          <w:rFonts w:hint="eastAsia"/>
          <w:b/>
          <w:bCs/>
          <w:snapToGrid w:val="0"/>
          <w:color w:val="auto"/>
          <w:kern w:val="0"/>
          <w:sz w:val="24"/>
          <w:szCs w:val="18"/>
          <w:highlight w:val="none"/>
        </w:rPr>
        <w:t>3.6 编写评标报告。</w:t>
      </w:r>
      <w:r>
        <w:rPr>
          <w:rFonts w:hint="eastAsia"/>
          <w:snapToGrid w:val="0"/>
          <w:color w:val="auto"/>
          <w:kern w:val="0"/>
          <w:sz w:val="24"/>
          <w:szCs w:val="18"/>
          <w:highlight w:val="none"/>
        </w:rPr>
        <w:t xml:space="preserve">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评标过程中如发现有异常情况，由评委集体讨论决定。 </w:t>
      </w:r>
    </w:p>
    <w:p>
      <w:pPr>
        <w:adjustRightInd w:val="0"/>
        <w:spacing w:line="400" w:lineRule="exact"/>
        <w:outlineLvl w:val="0"/>
        <w:rPr>
          <w:rFonts w:hint="eastAsia"/>
          <w:b/>
          <w:bCs/>
          <w:snapToGrid w:val="0"/>
          <w:color w:val="auto"/>
          <w:kern w:val="0"/>
          <w:sz w:val="24"/>
          <w:szCs w:val="18"/>
          <w:highlight w:val="none"/>
        </w:rPr>
      </w:pPr>
      <w:r>
        <w:rPr>
          <w:rFonts w:hint="eastAsia"/>
          <w:b/>
          <w:bCs/>
          <w:snapToGrid w:val="0"/>
          <w:color w:val="auto"/>
          <w:kern w:val="0"/>
          <w:sz w:val="24"/>
          <w:szCs w:val="18"/>
          <w:highlight w:val="none"/>
        </w:rPr>
        <w:t>四、评标中的其他事项</w:t>
      </w:r>
    </w:p>
    <w:p>
      <w:pPr>
        <w:adjustRightInd w:val="0"/>
        <w:spacing w:line="400" w:lineRule="exact"/>
        <w:ind w:firstLine="482" w:firstLineChars="200"/>
        <w:outlineLvl w:val="0"/>
        <w:rPr>
          <w:rFonts w:hint="eastAsia"/>
          <w:snapToGrid w:val="0"/>
          <w:color w:val="auto"/>
          <w:kern w:val="0"/>
          <w:sz w:val="24"/>
          <w:szCs w:val="18"/>
          <w:highlight w:val="none"/>
        </w:rPr>
      </w:pPr>
      <w:r>
        <w:rPr>
          <w:rFonts w:hint="eastAsia"/>
          <w:b/>
          <w:bCs/>
          <w:snapToGrid w:val="0"/>
          <w:color w:val="auto"/>
          <w:kern w:val="0"/>
          <w:sz w:val="24"/>
          <w:szCs w:val="18"/>
          <w:highlight w:val="none"/>
        </w:rPr>
        <w:t>4.1 投标人澄清、说明或者补正。</w:t>
      </w:r>
      <w:r>
        <w:rPr>
          <w:rFonts w:hint="eastAsia"/>
          <w:snapToGrid w:val="0"/>
          <w:color w:val="auto"/>
          <w:kern w:val="0"/>
          <w:sz w:val="24"/>
          <w:szCs w:val="18"/>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400" w:lineRule="exact"/>
        <w:ind w:firstLine="482" w:firstLineChars="200"/>
        <w:outlineLvl w:val="0"/>
        <w:rPr>
          <w:rFonts w:hint="eastAsia"/>
          <w:snapToGrid w:val="0"/>
          <w:color w:val="auto"/>
          <w:kern w:val="0"/>
          <w:sz w:val="24"/>
          <w:szCs w:val="18"/>
          <w:highlight w:val="none"/>
        </w:rPr>
      </w:pPr>
      <w:r>
        <w:rPr>
          <w:rFonts w:hint="eastAsia"/>
          <w:b/>
          <w:bCs/>
          <w:snapToGrid w:val="0"/>
          <w:color w:val="auto"/>
          <w:kern w:val="0"/>
          <w:sz w:val="24"/>
          <w:szCs w:val="18"/>
          <w:highlight w:val="none"/>
        </w:rPr>
        <w:t>4.2 投标无效。</w:t>
      </w:r>
      <w:r>
        <w:rPr>
          <w:rFonts w:hint="eastAsia"/>
          <w:snapToGrid w:val="0"/>
          <w:color w:val="auto"/>
          <w:kern w:val="0"/>
          <w:sz w:val="24"/>
          <w:szCs w:val="18"/>
          <w:highlight w:val="none"/>
        </w:rPr>
        <w:t>有下列情况之一的，投标无效：</w:t>
      </w:r>
    </w:p>
    <w:p>
      <w:pPr>
        <w:adjustRightInd w:val="0"/>
        <w:spacing w:line="40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4.2.1 投标人不具备招标文件中规定的资格要求的（投标人未提供有效的资格文件的，视为投标人不具备招标文件中规定的资格要求）；</w:t>
      </w:r>
    </w:p>
    <w:p>
      <w:pPr>
        <w:adjustRightInd w:val="0"/>
        <w:spacing w:line="40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4.2.2 投标文件未按照招标文件要求签署、盖章的；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4.2.3 采购人拟采购的产品属于政府强制采购的节能产品品目清单范围的，投标人未按招标文件要求提供国家确定的认证机构出具的、处于有效期之内的节能产品认证证书的；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4.2.4 投标文件含有采购人不能接受的附加条件的；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4.2.5 投标文件中承诺的投标有效期少于招标文件中载明的投标有效期的；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4.2.6 投标文件出现不是唯一的、有选择性投标报价的；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4.2.7 投标报价超过招标文件中规定的预算金额或者最高限价的；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4.2.8 报价明显低于其他通过符合性审查投标人的报价，有可能影响产品质量或者不能诚信履约的，未能按要求提供书面说明或者提交相关证明材料，不能证明其报价合理性的；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4.2.9 投标人对根据修正原则修正后的报价不确认的；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4.2.10 投标人提供虚假材料投标的；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4.2.11 投标人有恶意串通、妨碍其他投标人的竞争行为、损害采购人或者其他投标人的合法权益情形的；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4.2.12 投标人仅提交备份投标文件，没有在电子交易平台传输递交投标文件的，投标无效；</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4.2.13 投标文件不满足招标文件的其它实质性要求的；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4.2.14 法律、法规、规章（适用本市的）及省级以上规范性文件（适用本市的）规定的其他无效情形。</w:t>
      </w:r>
    </w:p>
    <w:p>
      <w:pPr>
        <w:adjustRightInd w:val="0"/>
        <w:spacing w:line="360" w:lineRule="exact"/>
        <w:ind w:firstLine="482" w:firstLineChars="200"/>
        <w:outlineLvl w:val="0"/>
        <w:rPr>
          <w:rFonts w:hint="eastAsia"/>
          <w:snapToGrid w:val="0"/>
          <w:color w:val="auto"/>
          <w:kern w:val="0"/>
          <w:sz w:val="24"/>
          <w:szCs w:val="18"/>
          <w:highlight w:val="none"/>
        </w:rPr>
      </w:pPr>
      <w:r>
        <w:rPr>
          <w:rFonts w:hint="eastAsia"/>
          <w:b/>
          <w:bCs/>
          <w:snapToGrid w:val="0"/>
          <w:color w:val="auto"/>
          <w:kern w:val="0"/>
          <w:sz w:val="24"/>
          <w:szCs w:val="18"/>
          <w:highlight w:val="none"/>
        </w:rPr>
        <w:t>5.废标。</w:t>
      </w:r>
      <w:r>
        <w:rPr>
          <w:rFonts w:hint="eastAsia"/>
          <w:snapToGrid w:val="0"/>
          <w:color w:val="auto"/>
          <w:kern w:val="0"/>
          <w:sz w:val="24"/>
          <w:szCs w:val="18"/>
          <w:highlight w:val="none"/>
        </w:rPr>
        <w:t>根据《中华人民共和国政府采购法》第三十六条之规定，在采购中，出现下列情形之一的，应予废标：</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5.1 符合专业条件的供应商或者对招标文件作实质响应的供应商不足 3 家的；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5.2 出现影响采购公正的违法、违规行为的；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5.3 投标人的报价均超过了采购预算，采购人不能支付的；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5.4 因重大变故，采购任务取消的。</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废标后，采购机构应当将废标理由通知所有投标人。</w:t>
      </w:r>
    </w:p>
    <w:p>
      <w:pPr>
        <w:adjustRightInd w:val="0"/>
        <w:spacing w:line="360" w:lineRule="exact"/>
        <w:ind w:firstLine="482" w:firstLineChars="200"/>
        <w:outlineLvl w:val="0"/>
        <w:rPr>
          <w:rFonts w:hint="eastAsia"/>
          <w:snapToGrid w:val="0"/>
          <w:color w:val="auto"/>
          <w:kern w:val="0"/>
          <w:sz w:val="24"/>
          <w:szCs w:val="18"/>
          <w:highlight w:val="none"/>
        </w:rPr>
      </w:pPr>
      <w:r>
        <w:rPr>
          <w:rFonts w:hint="eastAsia"/>
          <w:b/>
          <w:bCs/>
          <w:snapToGrid w:val="0"/>
          <w:color w:val="auto"/>
          <w:kern w:val="0"/>
          <w:sz w:val="24"/>
          <w:szCs w:val="18"/>
          <w:highlight w:val="none"/>
        </w:rPr>
        <w:t>6.修改招标文件，重新组织采购活动。</w:t>
      </w:r>
      <w:r>
        <w:rPr>
          <w:rFonts w:hint="eastAsia"/>
          <w:snapToGrid w:val="0"/>
          <w:color w:val="auto"/>
          <w:kern w:val="0"/>
          <w:sz w:val="24"/>
          <w:szCs w:val="18"/>
          <w:highlight w:val="none"/>
        </w:rPr>
        <w:t>评标委员会发现招标文件存在歧义、重大</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pacing w:line="360" w:lineRule="exact"/>
        <w:ind w:firstLine="482" w:firstLineChars="200"/>
        <w:outlineLvl w:val="0"/>
        <w:rPr>
          <w:rFonts w:hint="eastAsia"/>
          <w:snapToGrid w:val="0"/>
          <w:color w:val="auto"/>
          <w:kern w:val="0"/>
          <w:sz w:val="24"/>
          <w:szCs w:val="18"/>
          <w:highlight w:val="none"/>
        </w:rPr>
      </w:pPr>
      <w:r>
        <w:rPr>
          <w:rFonts w:hint="eastAsia"/>
          <w:b/>
          <w:bCs/>
          <w:snapToGrid w:val="0"/>
          <w:color w:val="auto"/>
          <w:kern w:val="0"/>
          <w:sz w:val="24"/>
          <w:szCs w:val="18"/>
          <w:highlight w:val="none"/>
        </w:rPr>
        <w:t>7.重新开展采购。</w:t>
      </w:r>
      <w:r>
        <w:rPr>
          <w:rFonts w:hint="eastAsia"/>
          <w:snapToGrid w:val="0"/>
          <w:color w:val="auto"/>
          <w:kern w:val="0"/>
          <w:sz w:val="24"/>
          <w:szCs w:val="18"/>
          <w:highlight w:val="none"/>
        </w:rPr>
        <w:t>有政府采购法第七十一条、第七十二条规定的违法行为之一，影响或者可能影响中标、成交结果的，依照下列规定处理：</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7.1 未确定中标或者中标人的，终止本次政府采购活动，重新开展政府采购活动。</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7.2 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7.3 政府采购合同已签订但尚未履行的，撤销合同，从合格的中标或者成交候选人中另行确定中标或者中标人；没有合格的中标或者成交候选人的，重新开展政府采购活动。</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7.4 政府采购合同已经履行，给采购人、供应商造成损失的，由责任人承担赔偿责任。</w:t>
      </w:r>
    </w:p>
    <w:p>
      <w:pPr>
        <w:adjustRightInd w:val="0"/>
        <w:spacing w:line="360" w:lineRule="exact"/>
        <w:ind w:firstLine="480" w:firstLineChars="200"/>
        <w:outlineLvl w:val="0"/>
        <w:rPr>
          <w:rFonts w:hint="eastAsia"/>
          <w:snapToGrid w:val="0"/>
          <w:color w:val="auto"/>
          <w:kern w:val="0"/>
          <w:sz w:val="24"/>
          <w:szCs w:val="18"/>
          <w:highlight w:val="none"/>
        </w:rPr>
      </w:pPr>
      <w:r>
        <w:rPr>
          <w:rFonts w:hint="eastAsia"/>
          <w:snapToGrid w:val="0"/>
          <w:color w:val="auto"/>
          <w:kern w:val="0"/>
          <w:sz w:val="24"/>
          <w:szCs w:val="18"/>
          <w:highlight w:val="none"/>
        </w:rPr>
        <w:t>7.5 政府采购当事人有其他违反政府采购法或者政府采购法实施条例等法律法规规定的行为，经改正后仍然影响或者可能影响中标、成交结果或者依法被认定为中标、成交无效的，依照 7.1-7.4 规定处理。</w:t>
      </w:r>
    </w:p>
    <w:p>
      <w:pPr>
        <w:pStyle w:val="2"/>
        <w:rPr>
          <w:rFonts w:hint="eastAsia"/>
          <w:snapToGrid w:val="0"/>
          <w:color w:val="auto"/>
          <w:kern w:val="0"/>
          <w:sz w:val="24"/>
          <w:szCs w:val="18"/>
          <w:highlight w:val="none"/>
        </w:rPr>
      </w:pPr>
    </w:p>
    <w:p>
      <w:pPr>
        <w:rPr>
          <w:rFonts w:hint="eastAsia"/>
          <w:snapToGrid w:val="0"/>
          <w:color w:val="auto"/>
          <w:kern w:val="0"/>
          <w:sz w:val="24"/>
          <w:szCs w:val="18"/>
          <w:highlight w:val="none"/>
        </w:rPr>
      </w:pPr>
    </w:p>
    <w:p>
      <w:pPr>
        <w:pStyle w:val="2"/>
        <w:rPr>
          <w:rFonts w:hint="eastAsia"/>
          <w:snapToGrid w:val="0"/>
          <w:color w:val="auto"/>
          <w:kern w:val="0"/>
          <w:sz w:val="24"/>
          <w:szCs w:val="18"/>
          <w:highlight w:val="none"/>
        </w:rPr>
      </w:pPr>
    </w:p>
    <w:p>
      <w:pPr>
        <w:rPr>
          <w:rFonts w:hint="eastAsia"/>
          <w:snapToGrid w:val="0"/>
          <w:color w:val="auto"/>
          <w:kern w:val="0"/>
          <w:sz w:val="24"/>
          <w:szCs w:val="18"/>
          <w:highlight w:val="none"/>
        </w:rPr>
      </w:pPr>
    </w:p>
    <w:p>
      <w:pPr>
        <w:pStyle w:val="2"/>
        <w:rPr>
          <w:color w:val="auto"/>
          <w:highlight w:val="none"/>
        </w:rPr>
      </w:pPr>
    </w:p>
    <w:p>
      <w:pPr>
        <w:adjustRightInd w:val="0"/>
        <w:jc w:val="center"/>
        <w:outlineLvl w:val="0"/>
        <w:rPr>
          <w:rFonts w:ascii="宋体" w:hAnsi="宋体" w:cs="宋体"/>
          <w:b/>
          <w:bCs/>
          <w:color w:val="auto"/>
          <w:sz w:val="30"/>
          <w:szCs w:val="30"/>
          <w:highlight w:val="none"/>
        </w:rPr>
      </w:pPr>
    </w:p>
    <w:p>
      <w:pPr>
        <w:pStyle w:val="2"/>
        <w:ind w:firstLine="560"/>
        <w:rPr>
          <w:color w:val="auto"/>
          <w:highlight w:val="none"/>
        </w:rPr>
      </w:pPr>
    </w:p>
    <w:p>
      <w:pPr>
        <w:pStyle w:val="5"/>
        <w:spacing w:before="100" w:beforeAutospacing="1" w:after="100" w:afterAutospacing="1"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第五部分  合同主要条款</w:t>
      </w:r>
    </w:p>
    <w:p>
      <w:pPr>
        <w:spacing w:line="400" w:lineRule="exact"/>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合同格式（供签约参考）</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合同编号：</w:t>
      </w:r>
      <w:r>
        <w:rPr>
          <w:rFonts w:hint="eastAsia" w:ascii="宋体" w:hAnsi="宋体" w:cs="宋体"/>
          <w:color w:val="auto"/>
          <w:szCs w:val="21"/>
          <w:highlight w:val="none"/>
          <w:u w:val="single"/>
        </w:rPr>
        <w:t xml:space="preserve">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买方：</w:t>
      </w:r>
      <w:r>
        <w:rPr>
          <w:rFonts w:hint="eastAsia" w:ascii="宋体" w:hAnsi="宋体" w:cs="宋体"/>
          <w:color w:val="auto"/>
          <w:szCs w:val="21"/>
          <w:highlight w:val="none"/>
          <w:u w:val="single"/>
        </w:rPr>
        <w:t xml:space="preserve">        （甲方）</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卖方：</w:t>
      </w:r>
      <w:r>
        <w:rPr>
          <w:rFonts w:hint="eastAsia" w:ascii="宋体" w:hAnsi="宋体" w:cs="宋体"/>
          <w:color w:val="auto"/>
          <w:szCs w:val="21"/>
          <w:highlight w:val="none"/>
          <w:u w:val="single"/>
        </w:rPr>
        <w:t xml:space="preserve">        （乙方）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甲、乙双方根据山明美术院扩建工程弱电智能化设备采购项目（项目编号：HZJSCGGK2022003）公开招标的结果，签署本合同。</w:t>
      </w:r>
    </w:p>
    <w:p>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一、合同产品和服务名称、数量及价格：</w:t>
      </w:r>
    </w:p>
    <w:tbl>
      <w:tblPr>
        <w:tblStyle w:val="53"/>
        <w:tblpPr w:leftFromText="180" w:rightFromText="180" w:vertAnchor="text" w:tblpX="248"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861"/>
        <w:gridCol w:w="1235"/>
        <w:gridCol w:w="1177"/>
        <w:gridCol w:w="1223"/>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81" w:type="dxa"/>
            <w:noWrap w:val="0"/>
            <w:vAlign w:val="top"/>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861" w:type="dxa"/>
            <w:noWrap w:val="0"/>
            <w:vAlign w:val="top"/>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产品名称</w:t>
            </w:r>
          </w:p>
        </w:tc>
        <w:tc>
          <w:tcPr>
            <w:tcW w:w="1235" w:type="dxa"/>
            <w:noWrap w:val="0"/>
            <w:vAlign w:val="top"/>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型号</w:t>
            </w:r>
          </w:p>
        </w:tc>
        <w:tc>
          <w:tcPr>
            <w:tcW w:w="1177" w:type="dxa"/>
            <w:noWrap w:val="0"/>
            <w:vAlign w:val="top"/>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223" w:type="dxa"/>
            <w:noWrap w:val="0"/>
            <w:vAlign w:val="top"/>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单价</w:t>
            </w:r>
          </w:p>
        </w:tc>
        <w:tc>
          <w:tcPr>
            <w:tcW w:w="1350" w:type="dxa"/>
            <w:noWrap w:val="0"/>
            <w:vAlign w:val="top"/>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81" w:type="dxa"/>
            <w:noWrap w:val="0"/>
            <w:vAlign w:val="top"/>
          </w:tcPr>
          <w:p>
            <w:pPr>
              <w:spacing w:line="400" w:lineRule="exact"/>
              <w:rPr>
                <w:rFonts w:hint="eastAsia" w:ascii="宋体" w:hAnsi="宋体" w:cs="宋体"/>
                <w:color w:val="auto"/>
                <w:szCs w:val="21"/>
                <w:highlight w:val="none"/>
              </w:rPr>
            </w:pPr>
          </w:p>
        </w:tc>
        <w:tc>
          <w:tcPr>
            <w:tcW w:w="2861" w:type="dxa"/>
            <w:noWrap w:val="0"/>
            <w:vAlign w:val="top"/>
          </w:tcPr>
          <w:p>
            <w:pPr>
              <w:spacing w:line="400" w:lineRule="exact"/>
              <w:rPr>
                <w:rFonts w:hint="eastAsia" w:ascii="宋体" w:hAnsi="宋体" w:cs="宋体"/>
                <w:color w:val="auto"/>
                <w:szCs w:val="21"/>
                <w:highlight w:val="none"/>
              </w:rPr>
            </w:pPr>
          </w:p>
        </w:tc>
        <w:tc>
          <w:tcPr>
            <w:tcW w:w="1235" w:type="dxa"/>
            <w:noWrap w:val="0"/>
            <w:vAlign w:val="top"/>
          </w:tcPr>
          <w:p>
            <w:pPr>
              <w:spacing w:line="400" w:lineRule="exact"/>
              <w:rPr>
                <w:rFonts w:hint="eastAsia" w:ascii="宋体" w:hAnsi="宋体" w:cs="宋体"/>
                <w:color w:val="auto"/>
                <w:szCs w:val="21"/>
                <w:highlight w:val="none"/>
              </w:rPr>
            </w:pPr>
          </w:p>
        </w:tc>
        <w:tc>
          <w:tcPr>
            <w:tcW w:w="1177" w:type="dxa"/>
            <w:noWrap w:val="0"/>
            <w:vAlign w:val="top"/>
          </w:tcPr>
          <w:p>
            <w:pPr>
              <w:spacing w:line="400" w:lineRule="exact"/>
              <w:rPr>
                <w:rFonts w:hint="eastAsia" w:ascii="宋体" w:hAnsi="宋体" w:cs="宋体"/>
                <w:color w:val="auto"/>
                <w:szCs w:val="21"/>
                <w:highlight w:val="none"/>
              </w:rPr>
            </w:pPr>
          </w:p>
        </w:tc>
        <w:tc>
          <w:tcPr>
            <w:tcW w:w="1223" w:type="dxa"/>
            <w:noWrap w:val="0"/>
            <w:vAlign w:val="top"/>
          </w:tcPr>
          <w:p>
            <w:pPr>
              <w:spacing w:line="400" w:lineRule="exact"/>
              <w:rPr>
                <w:rFonts w:hint="eastAsia" w:ascii="宋体" w:hAnsi="宋体" w:cs="宋体"/>
                <w:color w:val="auto"/>
                <w:szCs w:val="21"/>
                <w:highlight w:val="none"/>
              </w:rPr>
            </w:pPr>
          </w:p>
        </w:tc>
        <w:tc>
          <w:tcPr>
            <w:tcW w:w="1350" w:type="dxa"/>
            <w:noWrap w:val="0"/>
            <w:vAlign w:val="top"/>
          </w:tcPr>
          <w:p>
            <w:pPr>
              <w:spacing w:line="4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81" w:type="dxa"/>
            <w:noWrap w:val="0"/>
            <w:vAlign w:val="top"/>
          </w:tcPr>
          <w:p>
            <w:pPr>
              <w:spacing w:line="400" w:lineRule="exact"/>
              <w:rPr>
                <w:rFonts w:hint="eastAsia" w:ascii="宋体" w:hAnsi="宋体" w:cs="宋体"/>
                <w:color w:val="auto"/>
                <w:szCs w:val="21"/>
                <w:highlight w:val="none"/>
              </w:rPr>
            </w:pPr>
          </w:p>
        </w:tc>
        <w:tc>
          <w:tcPr>
            <w:tcW w:w="2861" w:type="dxa"/>
            <w:noWrap w:val="0"/>
            <w:vAlign w:val="top"/>
          </w:tcPr>
          <w:p>
            <w:pPr>
              <w:spacing w:line="400" w:lineRule="exact"/>
              <w:rPr>
                <w:rFonts w:hint="eastAsia" w:ascii="宋体" w:hAnsi="宋体" w:cs="宋体"/>
                <w:color w:val="auto"/>
                <w:szCs w:val="21"/>
                <w:highlight w:val="none"/>
              </w:rPr>
            </w:pPr>
          </w:p>
        </w:tc>
        <w:tc>
          <w:tcPr>
            <w:tcW w:w="1235" w:type="dxa"/>
            <w:noWrap w:val="0"/>
            <w:vAlign w:val="top"/>
          </w:tcPr>
          <w:p>
            <w:pPr>
              <w:spacing w:line="400" w:lineRule="exact"/>
              <w:rPr>
                <w:rFonts w:hint="eastAsia" w:ascii="宋体" w:hAnsi="宋体" w:cs="宋体"/>
                <w:color w:val="auto"/>
                <w:szCs w:val="21"/>
                <w:highlight w:val="none"/>
              </w:rPr>
            </w:pPr>
          </w:p>
        </w:tc>
        <w:tc>
          <w:tcPr>
            <w:tcW w:w="1177" w:type="dxa"/>
            <w:noWrap w:val="0"/>
            <w:vAlign w:val="top"/>
          </w:tcPr>
          <w:p>
            <w:pPr>
              <w:spacing w:line="400" w:lineRule="exact"/>
              <w:rPr>
                <w:rFonts w:hint="eastAsia" w:ascii="宋体" w:hAnsi="宋体" w:cs="宋体"/>
                <w:color w:val="auto"/>
                <w:szCs w:val="21"/>
                <w:highlight w:val="none"/>
              </w:rPr>
            </w:pPr>
          </w:p>
        </w:tc>
        <w:tc>
          <w:tcPr>
            <w:tcW w:w="1223" w:type="dxa"/>
            <w:noWrap w:val="0"/>
            <w:vAlign w:val="top"/>
          </w:tcPr>
          <w:p>
            <w:pPr>
              <w:spacing w:line="400" w:lineRule="exact"/>
              <w:rPr>
                <w:rFonts w:hint="eastAsia" w:ascii="宋体" w:hAnsi="宋体" w:cs="宋体"/>
                <w:color w:val="auto"/>
                <w:szCs w:val="21"/>
                <w:highlight w:val="none"/>
              </w:rPr>
            </w:pPr>
          </w:p>
        </w:tc>
        <w:tc>
          <w:tcPr>
            <w:tcW w:w="1350" w:type="dxa"/>
            <w:noWrap w:val="0"/>
            <w:vAlign w:val="top"/>
          </w:tcPr>
          <w:p>
            <w:pPr>
              <w:spacing w:line="4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81" w:type="dxa"/>
            <w:noWrap w:val="0"/>
            <w:vAlign w:val="top"/>
          </w:tcPr>
          <w:p>
            <w:pPr>
              <w:spacing w:line="400" w:lineRule="exact"/>
              <w:rPr>
                <w:rFonts w:hint="eastAsia" w:ascii="宋体" w:hAnsi="宋体" w:cs="宋体"/>
                <w:color w:val="auto"/>
                <w:szCs w:val="21"/>
                <w:highlight w:val="none"/>
              </w:rPr>
            </w:pPr>
          </w:p>
        </w:tc>
        <w:tc>
          <w:tcPr>
            <w:tcW w:w="2861" w:type="dxa"/>
            <w:noWrap w:val="0"/>
            <w:vAlign w:val="top"/>
          </w:tcPr>
          <w:p>
            <w:pPr>
              <w:spacing w:line="400" w:lineRule="exact"/>
              <w:rPr>
                <w:rFonts w:hint="eastAsia" w:ascii="宋体" w:hAnsi="宋体" w:cs="宋体"/>
                <w:color w:val="auto"/>
                <w:szCs w:val="21"/>
                <w:highlight w:val="none"/>
              </w:rPr>
            </w:pPr>
          </w:p>
        </w:tc>
        <w:tc>
          <w:tcPr>
            <w:tcW w:w="1235" w:type="dxa"/>
            <w:noWrap w:val="0"/>
            <w:vAlign w:val="top"/>
          </w:tcPr>
          <w:p>
            <w:pPr>
              <w:spacing w:line="400" w:lineRule="exact"/>
              <w:rPr>
                <w:rFonts w:hint="eastAsia" w:ascii="宋体" w:hAnsi="宋体" w:cs="宋体"/>
                <w:color w:val="auto"/>
                <w:szCs w:val="21"/>
                <w:highlight w:val="none"/>
              </w:rPr>
            </w:pPr>
          </w:p>
        </w:tc>
        <w:tc>
          <w:tcPr>
            <w:tcW w:w="1177" w:type="dxa"/>
            <w:noWrap w:val="0"/>
            <w:vAlign w:val="top"/>
          </w:tcPr>
          <w:p>
            <w:pPr>
              <w:spacing w:line="400" w:lineRule="exact"/>
              <w:rPr>
                <w:rFonts w:hint="eastAsia" w:ascii="宋体" w:hAnsi="宋体" w:cs="宋体"/>
                <w:color w:val="auto"/>
                <w:szCs w:val="21"/>
                <w:highlight w:val="none"/>
              </w:rPr>
            </w:pPr>
          </w:p>
        </w:tc>
        <w:tc>
          <w:tcPr>
            <w:tcW w:w="1223" w:type="dxa"/>
            <w:noWrap w:val="0"/>
            <w:vAlign w:val="top"/>
          </w:tcPr>
          <w:p>
            <w:pPr>
              <w:spacing w:line="400" w:lineRule="exact"/>
              <w:rPr>
                <w:rFonts w:hint="eastAsia" w:ascii="宋体" w:hAnsi="宋体" w:cs="宋体"/>
                <w:color w:val="auto"/>
                <w:szCs w:val="21"/>
                <w:highlight w:val="none"/>
              </w:rPr>
            </w:pPr>
          </w:p>
        </w:tc>
        <w:tc>
          <w:tcPr>
            <w:tcW w:w="1350" w:type="dxa"/>
            <w:noWrap w:val="0"/>
            <w:vAlign w:val="top"/>
          </w:tcPr>
          <w:p>
            <w:pPr>
              <w:spacing w:line="4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81" w:type="dxa"/>
            <w:noWrap w:val="0"/>
            <w:vAlign w:val="top"/>
          </w:tcPr>
          <w:p>
            <w:pPr>
              <w:spacing w:line="400" w:lineRule="exact"/>
              <w:rPr>
                <w:rFonts w:hint="eastAsia" w:ascii="宋体" w:hAnsi="宋体" w:cs="宋体"/>
                <w:color w:val="auto"/>
                <w:szCs w:val="21"/>
                <w:highlight w:val="none"/>
              </w:rPr>
            </w:pPr>
          </w:p>
        </w:tc>
        <w:tc>
          <w:tcPr>
            <w:tcW w:w="2861" w:type="dxa"/>
            <w:noWrap w:val="0"/>
            <w:vAlign w:val="top"/>
          </w:tcPr>
          <w:p>
            <w:pPr>
              <w:spacing w:line="400" w:lineRule="exact"/>
              <w:rPr>
                <w:rFonts w:hint="eastAsia" w:ascii="宋体" w:hAnsi="宋体" w:cs="宋体"/>
                <w:color w:val="auto"/>
                <w:szCs w:val="21"/>
                <w:highlight w:val="none"/>
              </w:rPr>
            </w:pPr>
          </w:p>
        </w:tc>
        <w:tc>
          <w:tcPr>
            <w:tcW w:w="1235" w:type="dxa"/>
            <w:noWrap w:val="0"/>
            <w:vAlign w:val="top"/>
          </w:tcPr>
          <w:p>
            <w:pPr>
              <w:spacing w:line="400" w:lineRule="exact"/>
              <w:rPr>
                <w:rFonts w:hint="eastAsia" w:ascii="宋体" w:hAnsi="宋体" w:cs="宋体"/>
                <w:color w:val="auto"/>
                <w:szCs w:val="21"/>
                <w:highlight w:val="none"/>
              </w:rPr>
            </w:pPr>
          </w:p>
        </w:tc>
        <w:tc>
          <w:tcPr>
            <w:tcW w:w="1177" w:type="dxa"/>
            <w:noWrap w:val="0"/>
            <w:vAlign w:val="top"/>
          </w:tcPr>
          <w:p>
            <w:pPr>
              <w:spacing w:line="400" w:lineRule="exact"/>
              <w:rPr>
                <w:rFonts w:hint="eastAsia" w:ascii="宋体" w:hAnsi="宋体" w:cs="宋体"/>
                <w:color w:val="auto"/>
                <w:szCs w:val="21"/>
                <w:highlight w:val="none"/>
              </w:rPr>
            </w:pPr>
          </w:p>
        </w:tc>
        <w:tc>
          <w:tcPr>
            <w:tcW w:w="1223" w:type="dxa"/>
            <w:noWrap w:val="0"/>
            <w:vAlign w:val="top"/>
          </w:tcPr>
          <w:p>
            <w:pPr>
              <w:spacing w:line="400" w:lineRule="exact"/>
              <w:rPr>
                <w:rFonts w:hint="eastAsia" w:ascii="宋体" w:hAnsi="宋体" w:cs="宋体"/>
                <w:color w:val="auto"/>
                <w:szCs w:val="21"/>
                <w:highlight w:val="none"/>
              </w:rPr>
            </w:pPr>
          </w:p>
        </w:tc>
        <w:tc>
          <w:tcPr>
            <w:tcW w:w="1350" w:type="dxa"/>
            <w:noWrap w:val="0"/>
            <w:vAlign w:val="top"/>
          </w:tcPr>
          <w:p>
            <w:pPr>
              <w:spacing w:line="400" w:lineRule="exact"/>
              <w:rPr>
                <w:rFonts w:hint="eastAsia" w:ascii="宋体" w:hAnsi="宋体" w:cs="宋体"/>
                <w:color w:val="auto"/>
                <w:szCs w:val="21"/>
                <w:highlight w:val="none"/>
              </w:rPr>
            </w:pPr>
          </w:p>
        </w:tc>
      </w:tr>
    </w:tbl>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合同总价内包含的内容：包括货款、标准附件、备品备件、包装、运输、装卸、货</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到就位、安装、检测、验收、管理费、利润、风险费、保险、税金、技术指导、服务费、专利</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费、</w:t>
      </w:r>
      <w:r>
        <w:rPr>
          <w:rFonts w:hint="eastAsia" w:ascii="宋体" w:hAnsi="宋体" w:cs="宋体"/>
          <w:color w:val="auto"/>
          <w:szCs w:val="21"/>
          <w:highlight w:val="none"/>
          <w:lang w:eastAsia="zh-CN"/>
        </w:rPr>
        <w:t>代理费、总承包服务费、</w:t>
      </w:r>
      <w:r>
        <w:rPr>
          <w:rFonts w:hint="eastAsia" w:ascii="宋体" w:hAnsi="宋体" w:cs="宋体"/>
          <w:color w:val="auto"/>
          <w:szCs w:val="21"/>
          <w:highlight w:val="none"/>
        </w:rPr>
        <w:t>其他费用等完成招标内容及要求所提供的货物及服务过程中涉及的一切费</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用。</w:t>
      </w:r>
    </w:p>
    <w:p>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二、履约保证金：</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履约保证金：卖方向买方提供</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元作为履约保证金（不超过合同金额的1%，由甲乙双方协商确定）。验收合格后，经招标人认可后30日内无息退还。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履约保证金的形式：银行转账或电汇或银行保函或保险公司保证保险形式</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□履约保证金形式为现金（账户另行通知），履约保证金待验收通过后视履约情况</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到采购人处办理履约保证金的退还手续。</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□履约保证金形式为银行保函或者保险公司保证保险，履约保证金保函应在合同履</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行期限内有效，如出现工期延期等情况，及时办理续保手续，不得出现保函或保险时效</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失效的情况；如出现保函或保险时效失效的情况，则中标人需支付保函时效失效违约金，</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该违约金按500元/天计算。</w:t>
      </w:r>
    </w:p>
    <w:p>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三、结算方法、付款方式及付款期：</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1.投标人中标单价乘实际供货数量为实际结算价。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2.付款方式：签订合同后 7 个工作日内，采购人向中标人支付合同总价的</w:t>
      </w:r>
      <w:r>
        <w:rPr>
          <w:rFonts w:hint="eastAsia" w:ascii="宋体" w:hAnsi="宋体" w:cs="宋体"/>
          <w:color w:val="auto"/>
          <w:szCs w:val="21"/>
          <w:highlight w:val="none"/>
          <w:lang w:eastAsia="zh-CN"/>
        </w:rPr>
        <w:t>40%</w:t>
      </w:r>
      <w:r>
        <w:rPr>
          <w:rFonts w:hint="eastAsia" w:ascii="宋体" w:hAnsi="宋体" w:cs="宋体"/>
          <w:color w:val="auto"/>
          <w:szCs w:val="21"/>
          <w:highlight w:val="none"/>
        </w:rPr>
        <w:t>作为预付款（中标人需出具同金额预付款保函。如中标人明确表示无需预付款或者主动要求降低预付款比例的，采购人可不支付或减少预付款支付比例），项目结束且经验收合格后7个工作日内付清余款。</w:t>
      </w:r>
    </w:p>
    <w:p>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四、交货时间及交货地点：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1.交货（完工）地点：招标人指定地址。</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2.交货（完工）期限：</w:t>
      </w:r>
      <w:r>
        <w:rPr>
          <w:rFonts w:hint="eastAsia" w:ascii="宋体" w:hAnsi="宋体" w:cs="宋体"/>
          <w:color w:val="auto"/>
          <w:szCs w:val="21"/>
          <w:highlight w:val="none"/>
          <w:lang w:val="en-GB"/>
        </w:rPr>
        <w:t>配套土建工程根据项目进度交货，安装实施，在具备安装条件后25天内完成安装调试，并验收通过。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3.交货方式：按招标人要求。</w:t>
      </w:r>
    </w:p>
    <w:p>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五、其他约定事项：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1.乙方交付技术资料的时间、数量和质量按业主要求；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关于交货和终交验收的约定：交货完毕并试用一个月满后，由甲、乙双方派人员验收，并邀请相关专家参加验收，也可送相关专业机构检测，验收及检测（含中间验收）费用由乙方承担。超过时间达不到要求的或验收不能通过的，业主有权终止合同，并退还已付货款（服务费），履约保证金不予退还，赔偿业主损失，并报采购管理部门处理。一次验收不通过的，甲方有权扣除应付货款的20%，二次不通过的，招标人有权终止合同，退回已付货款，履约保证金不予退还，并赔偿甲方损失。交货时须随附出厂说明和检测报告。交付货物的出厂说明和国家认可的专业检测机构出具的质量合格的检测报告（出厂说明与质量检测报告必须与所交付的货物相对应）。</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3.违约赔偿约定：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了合同的专门约定外，如果卖方没有按照合同规定的时间交货和提供服务，买方可从货款中扣除误期赔偿费，赔偿费应按每迟交一天，从货款中扣除每天1000元，以此类推，如推迟达30天时，甲方有权终止合同，履约保证金不予退还，并赔偿甲方损失。甲方无故逾期验收和办理款项支付手续的，甲方应按逾期付款总额每日千分之五向乙方支付违约金。在未得到对方许可的情况下，双方均不得擅自终止本合同，如任何一方无正当理由终止合同，则违约方将向另一方支付中途毁约违约金，金额为合同总价的30%。中标人在投标文件中承诺的项目负责人、项目部组成人员必须及时到位为本项目服务，人员不到位服务的，每发现一次甲方可从货款中扣除2000元。</w:t>
      </w:r>
    </w:p>
    <w:p>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六、质保期和售后服务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1.质量保证期：货物验收合格并办理正式移交使用手续后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2.售后服务：卖方应便于买方购买备件，并在需要时安排技术服务。售后服务的响应速度要求：免费维修与更换缺陷部件（或提供备品备件或备用产品）的时间为卖方收到买方通知后 小时内到达现场，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小时内解决。</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3.乙方在投标文件中承诺的售后服务内容。</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七、鉴于甲方将按照本合同向乙方支付货款，乙方在此保证全部按照合同的规定向甲方提供货物与服务并修补缺陷。鉴于乙方将按本合同规定提供货物和服务并修补缺陷，甲方在此保证按照合同规定的时间和方式向乙方支付合同价或其它按合同应支付的金额。</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八、其他：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1.合同经双方法定代表人或授权代表签字并加盖单位公章后生效。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合同未尽事宜由双方协商解决，并签署书面的修改或补充协议，形成的书面修改或补充协议视为本合同的组成部分。合同执行中涉及采购资金和采购内容修改或补充的，须经原审批部门审批，并签书面补充协议报政府采购监督管理部门备案，方可作为主合同不可分割的一部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3.本项目的中标通知书、招标文件、投标文件为本合同的有效组成部分。本合同未尽事宜，遵照《中华人民共和国民法典》有关条文执行。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4.强化安全意识、抓好安全生产，明确安全责任，杜绝事故发生，项目实施中（含质保期）发生安全及人身事故均由乙方负责处理，并承担全部责任和费用。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5.因合同及合同有关事项发生的争议，双方协商，协商不成的，双方约定由甲方所在地法院管辖。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6.本合同一式陆份，具有同等法律效力，甲乙双方各执二份，其余用于采购代理机构存档一份，政府采购管理部门备案一份。</w:t>
      </w: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甲方：                                   乙方：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法定（授权）代表人：                     法定（授权）代表人：</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签字日期：      年  月  日               签字日期：      年  月  日</w:t>
      </w: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pStyle w:val="52"/>
        <w:ind w:firstLine="24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2"/>
        <w:ind w:firstLine="24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2"/>
        <w:ind w:firstLine="24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
        <w:spacing w:before="100" w:beforeAutospacing="1" w:after="100" w:afterAutospacing="1" w:line="360" w:lineRule="auto"/>
        <w:jc w:val="center"/>
        <w:rPr>
          <w:rFonts w:hint="eastAsia" w:hAnsi="宋体" w:cs="宋体"/>
          <w:b w:val="0"/>
          <w:bCs w:val="0"/>
          <w:color w:val="auto"/>
          <w:sz w:val="32"/>
          <w:szCs w:val="32"/>
          <w:highlight w:val="none"/>
        </w:rPr>
      </w:pPr>
      <w:r>
        <w:rPr>
          <w:rFonts w:hint="eastAsia" w:ascii="宋体" w:hAnsi="宋体" w:cs="宋体"/>
          <w:color w:val="auto"/>
          <w:sz w:val="30"/>
          <w:szCs w:val="30"/>
          <w:highlight w:val="none"/>
        </w:rPr>
        <w:br w:type="page"/>
      </w:r>
      <w:r>
        <w:rPr>
          <w:rFonts w:hint="eastAsia" w:ascii="宋体" w:hAnsi="宋体" w:cs="宋体"/>
          <w:color w:val="auto"/>
          <w:sz w:val="36"/>
          <w:szCs w:val="36"/>
          <w:highlight w:val="none"/>
        </w:rPr>
        <w:t>第六部分 应提交的有关格式范例</w:t>
      </w:r>
    </w:p>
    <w:p>
      <w:pPr>
        <w:spacing w:line="400" w:lineRule="exact"/>
        <w:ind w:firstLine="420" w:firstLineChars="200"/>
        <w:rPr>
          <w:rFonts w:hint="eastAsia" w:ascii="宋体" w:hAnsi="宋体" w:cs="宋体"/>
          <w:color w:val="auto"/>
          <w:szCs w:val="21"/>
          <w:highlight w:val="none"/>
        </w:rPr>
      </w:pP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说明：</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1.投标文件由供应商根据招标文件要求参照附件格式编制。</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2.供应商根据实际情况填写。</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3.招标文件中没有参考格式的，供应商自行编制。</w:t>
      </w:r>
    </w:p>
    <w:p>
      <w:pPr>
        <w:snapToGrid w:val="0"/>
        <w:spacing w:before="50" w:after="50"/>
        <w:outlineLvl w:val="1"/>
        <w:rPr>
          <w:rFonts w:hint="eastAsia" w:ascii="宋体" w:hAnsi="宋体" w:cs="宋体"/>
          <w:color w:val="auto"/>
          <w:sz w:val="32"/>
          <w:szCs w:val="20"/>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jc w:val="center"/>
        <w:outlineLvl w:val="1"/>
        <w:rPr>
          <w:rFonts w:hint="eastAsia" w:ascii="宋体" w:hAnsi="宋体" w:cs="宋体"/>
          <w:b/>
          <w:bCs/>
          <w:color w:val="auto"/>
          <w:szCs w:val="21"/>
          <w:highlight w:val="none"/>
        </w:rPr>
      </w:pPr>
    </w:p>
    <w:p>
      <w:pPr>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一、资格文件封面格式</w:t>
      </w:r>
    </w:p>
    <w:p>
      <w:pPr>
        <w:snapToGrid w:val="0"/>
        <w:spacing w:line="700" w:lineRule="exact"/>
        <w:ind w:firstLine="646"/>
        <w:jc w:val="center"/>
        <w:rPr>
          <w:rFonts w:hint="eastAsia" w:ascii="宋体" w:hAnsi="宋体" w:cs="宋体"/>
          <w:b/>
          <w:bCs/>
          <w:color w:val="auto"/>
          <w:sz w:val="44"/>
          <w:szCs w:val="44"/>
          <w:highlight w:val="none"/>
        </w:rPr>
      </w:pPr>
    </w:p>
    <w:p>
      <w:pPr>
        <w:snapToGrid w:val="0"/>
        <w:spacing w:line="700" w:lineRule="exact"/>
        <w:ind w:firstLine="646"/>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山明美术院扩建工程弱电智能化设备采购项目</w:t>
      </w:r>
    </w:p>
    <w:p>
      <w:pPr>
        <w:snapToGrid w:val="0"/>
        <w:spacing w:line="700" w:lineRule="exact"/>
        <w:ind w:firstLine="646"/>
        <w:jc w:val="center"/>
        <w:rPr>
          <w:rFonts w:hint="eastAsia" w:ascii="宋体" w:hAnsi="宋体" w:cs="宋体"/>
          <w:b/>
          <w:bCs/>
          <w:color w:val="auto"/>
          <w:sz w:val="44"/>
          <w:szCs w:val="44"/>
          <w:highlight w:val="none"/>
        </w:rPr>
      </w:pPr>
    </w:p>
    <w:p>
      <w:pPr>
        <w:snapToGrid w:val="0"/>
        <w:spacing w:line="700" w:lineRule="exact"/>
        <w:ind w:firstLine="646"/>
        <w:jc w:val="center"/>
        <w:rPr>
          <w:rFonts w:hint="eastAsia" w:ascii="宋体" w:hAnsi="宋体" w:cs="宋体"/>
          <w:b/>
          <w:bCs/>
          <w:color w:val="auto"/>
          <w:sz w:val="44"/>
          <w:szCs w:val="44"/>
          <w:highlight w:val="none"/>
        </w:rPr>
      </w:pPr>
    </w:p>
    <w:p>
      <w:pPr>
        <w:snapToGrid w:val="0"/>
        <w:spacing w:line="700" w:lineRule="exact"/>
        <w:ind w:firstLine="646"/>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投 标 文 件</w:t>
      </w:r>
    </w:p>
    <w:p>
      <w:pPr>
        <w:snapToGrid w:val="0"/>
        <w:spacing w:line="400" w:lineRule="exact"/>
        <w:ind w:firstLine="645"/>
        <w:jc w:val="center"/>
        <w:rPr>
          <w:rFonts w:hint="eastAsia" w:ascii="宋体" w:hAnsi="宋体" w:cs="宋体"/>
          <w:b/>
          <w:bCs/>
          <w:color w:val="auto"/>
          <w:szCs w:val="21"/>
          <w:highlight w:val="none"/>
        </w:rPr>
      </w:pPr>
      <w:r>
        <w:rPr>
          <w:rFonts w:hint="eastAsia" w:ascii="宋体" w:hAnsi="宋体" w:cs="宋体"/>
          <w:b/>
          <w:bCs/>
          <w:color w:val="auto"/>
          <w:szCs w:val="21"/>
          <w:highlight w:val="none"/>
        </w:rPr>
        <w:t>（资格文件）</w:t>
      </w:r>
    </w:p>
    <w:p>
      <w:pPr>
        <w:snapToGrid w:val="0"/>
        <w:spacing w:line="400" w:lineRule="exact"/>
        <w:ind w:firstLine="645"/>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项目编号：</w:t>
      </w:r>
    </w:p>
    <w:p>
      <w:pPr>
        <w:pStyle w:val="2"/>
        <w:ind w:firstLine="562"/>
        <w:rPr>
          <w:rFonts w:hint="eastAsia" w:ascii="宋体" w:hAnsi="宋体" w:cs="宋体"/>
          <w:b/>
          <w:bCs/>
          <w:color w:val="auto"/>
          <w:szCs w:val="21"/>
          <w:highlight w:val="none"/>
        </w:rPr>
      </w:pPr>
    </w:p>
    <w:p>
      <w:pPr>
        <w:pStyle w:val="52"/>
        <w:ind w:firstLine="241"/>
        <w:rPr>
          <w:rFonts w:hint="eastAsia" w:ascii="宋体" w:hAnsi="宋体" w:cs="宋体"/>
          <w:b/>
          <w:bCs/>
          <w:color w:val="auto"/>
          <w:szCs w:val="21"/>
          <w:highlight w:val="none"/>
        </w:rPr>
      </w:pPr>
    </w:p>
    <w:p>
      <w:pPr>
        <w:rPr>
          <w:rFonts w:hint="eastAsia"/>
          <w:color w:val="auto"/>
          <w:sz w:val="28"/>
          <w:szCs w:val="36"/>
          <w:highlight w:val="none"/>
        </w:rPr>
      </w:pPr>
    </w:p>
    <w:p>
      <w:pPr>
        <w:snapToGrid w:val="0"/>
        <w:spacing w:line="700" w:lineRule="exact"/>
        <w:ind w:firstLine="646"/>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投标人名称（电子签章）：</w:t>
      </w:r>
      <w:r>
        <w:rPr>
          <w:rFonts w:hint="eastAsia" w:ascii="宋体" w:hAnsi="宋体" w:cs="宋体"/>
          <w:b/>
          <w:bCs/>
          <w:color w:val="auto"/>
          <w:sz w:val="28"/>
          <w:szCs w:val="28"/>
          <w:highlight w:val="none"/>
          <w:u w:val="single"/>
        </w:rPr>
        <w:t xml:space="preserve">     </w:t>
      </w:r>
    </w:p>
    <w:p>
      <w:pPr>
        <w:snapToGrid w:val="0"/>
        <w:spacing w:line="700" w:lineRule="exact"/>
        <w:ind w:firstLine="646"/>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法定代表人或授权代表(签字或盖章)：</w:t>
      </w:r>
    </w:p>
    <w:p>
      <w:pPr>
        <w:snapToGrid w:val="0"/>
        <w:spacing w:line="700" w:lineRule="exact"/>
        <w:ind w:firstLine="646"/>
        <w:jc w:val="center"/>
        <w:rPr>
          <w:rFonts w:hint="eastAsia" w:ascii="宋体" w:hAnsi="宋体" w:cs="宋体"/>
          <w:b/>
          <w:bCs/>
          <w:color w:val="auto"/>
          <w:sz w:val="28"/>
          <w:szCs w:val="28"/>
          <w:highlight w:val="none"/>
        </w:rPr>
      </w:pPr>
    </w:p>
    <w:p>
      <w:pPr>
        <w:snapToGrid w:val="0"/>
        <w:spacing w:line="700" w:lineRule="exact"/>
        <w:ind w:firstLine="646"/>
        <w:jc w:val="center"/>
        <w:rPr>
          <w:rFonts w:hint="eastAsia" w:ascii="宋体" w:hAnsi="宋体" w:cs="宋体"/>
          <w:bCs/>
          <w:color w:val="auto"/>
          <w:sz w:val="28"/>
          <w:szCs w:val="28"/>
          <w:highlight w:val="none"/>
        </w:rPr>
      </w:pPr>
      <w:r>
        <w:rPr>
          <w:rFonts w:hint="eastAsia" w:ascii="宋体" w:hAnsi="宋体" w:cs="宋体"/>
          <w:b/>
          <w:bCs/>
          <w:color w:val="auto"/>
          <w:sz w:val="28"/>
          <w:szCs w:val="28"/>
          <w:highlight w:val="none"/>
        </w:rPr>
        <w:t>时间： 年 月 日</w:t>
      </w:r>
    </w:p>
    <w:p>
      <w:pPr>
        <w:snapToGrid w:val="0"/>
        <w:spacing w:line="400" w:lineRule="exact"/>
        <w:jc w:val="center"/>
        <w:outlineLvl w:val="1"/>
        <w:rPr>
          <w:rFonts w:hint="eastAsia" w:ascii="宋体" w:hAnsi="宋体" w:cs="宋体"/>
          <w:color w:val="auto"/>
          <w:szCs w:val="21"/>
          <w:highlight w:val="none"/>
        </w:rPr>
      </w:pPr>
    </w:p>
    <w:p>
      <w:pPr>
        <w:snapToGrid w:val="0"/>
        <w:spacing w:line="400" w:lineRule="exact"/>
        <w:jc w:val="center"/>
        <w:outlineLvl w:val="1"/>
        <w:rPr>
          <w:rFonts w:hint="eastAsia" w:ascii="宋体" w:hAnsi="宋体" w:cs="宋体"/>
          <w:color w:val="auto"/>
          <w:szCs w:val="21"/>
          <w:highlight w:val="none"/>
        </w:rPr>
      </w:pPr>
    </w:p>
    <w:p>
      <w:pPr>
        <w:snapToGrid w:val="0"/>
        <w:spacing w:line="400" w:lineRule="exact"/>
        <w:jc w:val="center"/>
        <w:outlineLvl w:val="1"/>
        <w:rPr>
          <w:rFonts w:hint="eastAsia" w:ascii="宋体" w:hAnsi="宋体" w:cs="宋体"/>
          <w:color w:val="auto"/>
          <w:szCs w:val="21"/>
          <w:highlight w:val="none"/>
        </w:rPr>
      </w:pPr>
    </w:p>
    <w:p>
      <w:pPr>
        <w:snapToGrid w:val="0"/>
        <w:spacing w:line="400" w:lineRule="exact"/>
        <w:jc w:val="center"/>
        <w:outlineLvl w:val="1"/>
        <w:rPr>
          <w:rFonts w:hint="eastAsia" w:ascii="宋体" w:hAnsi="宋体" w:cs="宋体"/>
          <w:color w:val="auto"/>
          <w:szCs w:val="21"/>
          <w:highlight w:val="none"/>
        </w:rPr>
      </w:pPr>
    </w:p>
    <w:p>
      <w:pPr>
        <w:snapToGrid w:val="0"/>
        <w:spacing w:line="400" w:lineRule="exact"/>
        <w:jc w:val="center"/>
        <w:outlineLvl w:val="1"/>
        <w:rPr>
          <w:rFonts w:hint="eastAsia" w:ascii="宋体" w:hAnsi="宋体" w:cs="宋体"/>
          <w:color w:val="auto"/>
          <w:szCs w:val="21"/>
          <w:highlight w:val="none"/>
        </w:rPr>
      </w:pPr>
    </w:p>
    <w:p>
      <w:pPr>
        <w:pStyle w:val="2"/>
        <w:ind w:firstLine="560"/>
        <w:rPr>
          <w:rFonts w:hint="eastAsia" w:ascii="宋体" w:hAnsi="宋体" w:cs="宋体"/>
          <w:color w:val="auto"/>
          <w:szCs w:val="21"/>
          <w:highlight w:val="none"/>
        </w:rPr>
      </w:pPr>
    </w:p>
    <w:p>
      <w:pPr>
        <w:pStyle w:val="52"/>
        <w:ind w:firstLine="24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2"/>
        <w:ind w:firstLine="560"/>
        <w:rPr>
          <w:rFonts w:hint="eastAsia" w:ascii="宋体" w:hAnsi="宋体" w:cs="宋体"/>
          <w:color w:val="auto"/>
          <w:szCs w:val="21"/>
          <w:highlight w:val="none"/>
        </w:rPr>
      </w:pPr>
    </w:p>
    <w:p>
      <w:pPr>
        <w:pStyle w:val="52"/>
        <w:ind w:firstLine="240"/>
        <w:rPr>
          <w:rFonts w:hint="eastAsia"/>
          <w:color w:val="auto"/>
          <w:highlight w:val="none"/>
        </w:rPr>
      </w:pPr>
    </w:p>
    <w:p>
      <w:pPr>
        <w:pStyle w:val="148"/>
        <w:jc w:val="center"/>
        <w:rPr>
          <w:rFonts w:hint="eastAsia" w:ascii="宋体" w:hAnsi="宋体"/>
          <w:b/>
          <w:color w:val="auto"/>
          <w:kern w:val="0"/>
          <w:sz w:val="43"/>
          <w:szCs w:val="43"/>
          <w:highlight w:val="none"/>
          <w:lang w:bidi="ar"/>
        </w:rPr>
      </w:pPr>
      <w:r>
        <w:rPr>
          <w:rFonts w:hint="eastAsia" w:ascii="宋体" w:hAnsi="宋体"/>
          <w:b/>
          <w:color w:val="auto"/>
          <w:kern w:val="0"/>
          <w:sz w:val="43"/>
          <w:szCs w:val="43"/>
          <w:highlight w:val="none"/>
          <w:lang w:bidi="ar"/>
        </w:rPr>
        <w:t>资格文件目录</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（1）基本资格条件：符合《中华人民共和国政府采购法》第二十二条的规定；</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以下 a~e 项是第二十二条要求及对应材料的具体内容，各投标人须在投标文件中出具对应说明材料。</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a.具有独立承担民事责任能力的说明材料；</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投标人须在投标文件中出具符合以下情况的说明材料</w:t>
      </w:r>
      <w:r>
        <w:rPr>
          <w:rFonts w:hint="eastAsia" w:ascii="宋体" w:hAnsi="宋体"/>
          <w:bCs/>
          <w:color w:val="auto"/>
          <w:kern w:val="0"/>
          <w:sz w:val="24"/>
          <w:highlight w:val="none"/>
          <w:lang w:eastAsia="zh-CN" w:bidi="ar"/>
        </w:rPr>
        <w:t>扫描件</w:t>
      </w:r>
      <w:r>
        <w:rPr>
          <w:rFonts w:hint="eastAsia" w:ascii="宋体" w:hAnsi="宋体"/>
          <w:bCs/>
          <w:color w:val="auto"/>
          <w:kern w:val="0"/>
          <w:sz w:val="24"/>
          <w:highlight w:val="none"/>
          <w:lang w:bidi="ar"/>
        </w:rPr>
        <w:t>（五选一）：</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①如投标人是企业（包括合伙企业），提供在工商部门注册的有效“企业法人营业执照”或“营业执照”；</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②如投标人是事业单位，提供有效的“事业单位法人证书”；</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③如投标人是非企业专业服务机构的，提供执业许可证等说明文件；</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④如投标人是个体工商户，提供有效的“个体工商户营业执照”；</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⑤如投标人是自然人，提供有效的自然人身份说明（居民身份证正反面或公安机关出具的临时居民身份证正反面或港澳台胞证或护照）。</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b.具有良好的商业信誉和健全的财务会计制度的有效依据：</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①良好的商业信誉：</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至本项目投标截止时间止未列入失信被执行人、重大税收违法案件当事人名单、政府采购严重违法失信行为记录名单。（以开标当日在“信用中国”网站（www.creditchina.gov.cn）、中国政府采购网（www.ccgp.gov.cn）网页查询记录为准）</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②健全的财务会计制度：</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投标人须在投标文件中出具符合以下情况的有效依据扫描件（三选一）：</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1）投标人是法人的，应提供最近一个年度经审计的财务报告，包括资产负债表、利润表或损益表(执行《小企业会计准则》的提供资产负债表和利润表两张基本报表），未经审计的，提供最近一个年度资产负债表、利润表或损益表。</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2）其他组织和自然人如没有经审计的最近一个年度财务报告的，可以提供资产负债表、利润表或损益表。</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3）新成立不足一年的公司须出具情况说明。</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c.具有履行合同所必需的设备和专业技术能力：</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投标人须在投标文件中出具具有履行合同所必需的设备和专业技术能力的《承诺函》（格式自拟）。</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d.有依法缴纳税收和社会保障资金的良好记录：</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投标人须在投标文件中同时出具满足以下要求的有效依据扫描件：</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①投标人须提供最近三个月内任一时间点的纳税凭证，依法免税的投标人，应提供相应其依法免税的有效依据。</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②投标人须提供最近三个月内任一时间点缴纳社会保险的凭据（缴税付款凭证或社会保险缴纳凭证），依法不需要缴纳社会保障资金的投标人，应提供相应其依法不需要缴纳社会保障资金的有效依据。</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e.参加政府采购活动前三年内，在经营活动中没有重大违法记录：</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投标人须在投标文件中出具《投标声明书》。（ 格式附后）</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f.落实政府采购政策需满足的资格要求：无。</w:t>
      </w:r>
    </w:p>
    <w:p>
      <w:pPr>
        <w:pStyle w:val="148"/>
        <w:spacing w:after="0" w:line="400" w:lineRule="exact"/>
        <w:ind w:left="0" w:leftChars="0" w:firstLine="480" w:firstLineChars="200"/>
        <w:rPr>
          <w:rFonts w:hint="eastAsia" w:ascii="宋体" w:hAnsi="宋体"/>
          <w:bCs/>
          <w:color w:val="auto"/>
          <w:kern w:val="0"/>
          <w:sz w:val="24"/>
          <w:highlight w:val="none"/>
          <w:lang w:bidi="ar"/>
        </w:rPr>
      </w:pPr>
      <w:r>
        <w:rPr>
          <w:rFonts w:hint="eastAsia" w:ascii="宋体" w:hAnsi="宋体"/>
          <w:bCs/>
          <w:color w:val="auto"/>
          <w:kern w:val="0"/>
          <w:sz w:val="24"/>
          <w:highlight w:val="none"/>
          <w:lang w:bidi="ar"/>
        </w:rPr>
        <w:t>注：以上资料为强制性资格要求，投标时投标人必须提供扫描件，未提供的作否决投标处理。同时投标人应确保资料的真实、有效，一经查实存在弄虚作假行为的，作否决投标处理，同时对其不良行为予以记录，并纳入统一的信用信息平台。 注：附后无格式部分由投标人根据招标文件规定自行编制</w:t>
      </w:r>
    </w:p>
    <w:p>
      <w:pPr>
        <w:snapToGrid w:val="0"/>
        <w:spacing w:line="360" w:lineRule="auto"/>
        <w:ind w:firstLine="482" w:firstLineChars="200"/>
        <w:rPr>
          <w:rFonts w:hint="eastAsia" w:ascii="宋体" w:hAnsi="宋体" w:cs="宋体"/>
          <w:bCs/>
          <w:color w:val="auto"/>
          <w:kern w:val="0"/>
          <w:sz w:val="24"/>
          <w:highlight w:val="none"/>
          <w:lang w:bidi="ar"/>
        </w:rPr>
      </w:pPr>
      <w:r>
        <w:rPr>
          <w:rFonts w:hint="eastAsia" w:ascii="宋体" w:hAnsi="宋体" w:cs="宋体"/>
          <w:b/>
          <w:bCs/>
          <w:color w:val="auto"/>
          <w:kern w:val="0"/>
          <w:sz w:val="24"/>
          <w:highlight w:val="none"/>
        </w:rPr>
        <w:t>说明：（1）根据《浙江省财政厅关于简化供应商信息登记和试行供应商诚信管理的通知》浙财函〔2020〕298号文件，供应商提供书面承诺</w:t>
      </w:r>
      <w:r>
        <w:rPr>
          <w:rFonts w:hint="eastAsia" w:ascii="宋体" w:hAnsi="宋体" w:cs="宋体"/>
          <w:b/>
          <w:bCs/>
          <w:color w:val="auto"/>
          <w:kern w:val="0"/>
          <w:sz w:val="24"/>
          <w:szCs w:val="22"/>
          <w:highlight w:val="none"/>
        </w:rPr>
        <w:t>的，不再要求供应商提供相关财务状况、缴纳税收和社会保障资金等证明材料。</w:t>
      </w:r>
    </w:p>
    <w:p>
      <w:pPr>
        <w:widowControl/>
        <w:ind w:firstLine="622" w:firstLineChars="200"/>
        <w:jc w:val="center"/>
        <w:rPr>
          <w:rFonts w:hint="eastAsia" w:ascii="宋体" w:hAnsi="宋体" w:cs="宋体"/>
          <w:b/>
          <w:color w:val="auto"/>
          <w:kern w:val="0"/>
          <w:sz w:val="31"/>
          <w:szCs w:val="31"/>
          <w:highlight w:val="none"/>
          <w:lang w:bidi="ar"/>
        </w:rPr>
      </w:pPr>
      <w:r>
        <w:rPr>
          <w:rFonts w:hint="eastAsia" w:ascii="宋体" w:hAnsi="宋体" w:cs="宋体"/>
          <w:b/>
          <w:color w:val="auto"/>
          <w:kern w:val="0"/>
          <w:sz w:val="31"/>
          <w:szCs w:val="31"/>
          <w:highlight w:val="none"/>
          <w:lang w:bidi="ar"/>
        </w:rPr>
        <w:t>附后无格式部门由各投标人规定自行编制</w:t>
      </w:r>
    </w:p>
    <w:p>
      <w:pPr>
        <w:pStyle w:val="2"/>
        <w:ind w:firstLine="622"/>
        <w:rPr>
          <w:rFonts w:hint="eastAsia" w:ascii="宋体" w:hAnsi="宋体" w:cs="宋体"/>
          <w:b/>
          <w:color w:val="auto"/>
          <w:sz w:val="31"/>
          <w:szCs w:val="31"/>
          <w:highlight w:val="none"/>
          <w:lang w:bidi="ar"/>
        </w:rPr>
      </w:pPr>
    </w:p>
    <w:p>
      <w:pPr>
        <w:rPr>
          <w:rFonts w:hint="eastAsia" w:ascii="宋体" w:hAnsi="宋体" w:cs="宋体"/>
          <w:b/>
          <w:color w:val="auto"/>
          <w:kern w:val="0"/>
          <w:sz w:val="31"/>
          <w:szCs w:val="31"/>
          <w:highlight w:val="none"/>
          <w:lang w:bidi="ar"/>
        </w:rPr>
      </w:pPr>
    </w:p>
    <w:p>
      <w:pPr>
        <w:pStyle w:val="2"/>
        <w:ind w:firstLine="622"/>
        <w:rPr>
          <w:rFonts w:hint="eastAsia" w:ascii="宋体" w:hAnsi="宋体" w:cs="宋体"/>
          <w:b/>
          <w:color w:val="auto"/>
          <w:sz w:val="31"/>
          <w:szCs w:val="31"/>
          <w:highlight w:val="none"/>
          <w:lang w:bidi="ar"/>
        </w:rPr>
      </w:pPr>
    </w:p>
    <w:p>
      <w:pPr>
        <w:rPr>
          <w:rFonts w:hint="eastAsia" w:ascii="宋体" w:hAnsi="宋体" w:cs="宋体"/>
          <w:b/>
          <w:color w:val="auto"/>
          <w:kern w:val="0"/>
          <w:sz w:val="31"/>
          <w:szCs w:val="31"/>
          <w:highlight w:val="none"/>
          <w:lang w:bidi="ar"/>
        </w:rPr>
      </w:pPr>
    </w:p>
    <w:p>
      <w:pPr>
        <w:pStyle w:val="2"/>
        <w:ind w:firstLine="622"/>
        <w:rPr>
          <w:rFonts w:hint="eastAsia" w:ascii="宋体" w:hAnsi="宋体" w:cs="宋体"/>
          <w:b/>
          <w:color w:val="auto"/>
          <w:sz w:val="31"/>
          <w:szCs w:val="31"/>
          <w:highlight w:val="none"/>
          <w:lang w:bidi="ar"/>
        </w:rPr>
      </w:pPr>
    </w:p>
    <w:p>
      <w:pPr>
        <w:rPr>
          <w:rFonts w:hint="eastAsia" w:ascii="宋体" w:hAnsi="宋体" w:cs="宋体"/>
          <w:b/>
          <w:color w:val="auto"/>
          <w:kern w:val="0"/>
          <w:sz w:val="31"/>
          <w:szCs w:val="31"/>
          <w:highlight w:val="none"/>
          <w:lang w:bidi="ar"/>
        </w:rPr>
      </w:pPr>
    </w:p>
    <w:p>
      <w:pPr>
        <w:pStyle w:val="2"/>
        <w:ind w:firstLine="622"/>
        <w:rPr>
          <w:rFonts w:ascii="宋体" w:hAnsi="宋体" w:cs="宋体"/>
          <w:b/>
          <w:color w:val="auto"/>
          <w:sz w:val="31"/>
          <w:szCs w:val="31"/>
          <w:highlight w:val="none"/>
          <w:lang w:bidi="ar"/>
        </w:rPr>
      </w:pPr>
    </w:p>
    <w:p>
      <w:pPr>
        <w:rPr>
          <w:color w:val="auto"/>
          <w:highlight w:val="none"/>
          <w:lang w:bidi="ar"/>
        </w:rPr>
      </w:pPr>
    </w:p>
    <w:p>
      <w:pPr>
        <w:pStyle w:val="2"/>
        <w:ind w:firstLine="560"/>
        <w:rPr>
          <w:rFonts w:hint="eastAsia"/>
          <w:color w:val="auto"/>
          <w:highlight w:val="none"/>
          <w:lang w:bidi="ar"/>
        </w:rPr>
      </w:pPr>
    </w:p>
    <w:p>
      <w:pPr>
        <w:rPr>
          <w:rFonts w:hint="eastAsia"/>
          <w:color w:val="auto"/>
          <w:highlight w:val="none"/>
        </w:rPr>
      </w:pPr>
    </w:p>
    <w:p>
      <w:pPr>
        <w:adjustRightInd w:val="0"/>
        <w:spacing w:line="360" w:lineRule="auto"/>
        <w:jc w:val="center"/>
        <w:outlineLvl w:val="2"/>
        <w:rPr>
          <w:rFonts w:hint="eastAsia" w:ascii="宋体" w:hAnsi="宋体" w:cs="宋体"/>
          <w:b/>
          <w:color w:val="auto"/>
          <w:sz w:val="30"/>
          <w:szCs w:val="30"/>
          <w:highlight w:val="none"/>
        </w:rPr>
      </w:pPr>
    </w:p>
    <w:p>
      <w:pPr>
        <w:adjustRightInd w:val="0"/>
        <w:spacing w:line="360" w:lineRule="auto"/>
        <w:jc w:val="center"/>
        <w:outlineLvl w:val="2"/>
        <w:rPr>
          <w:rFonts w:hint="eastAsia" w:ascii="宋体" w:hAnsi="宋体" w:cs="宋体"/>
          <w:b/>
          <w:bCs/>
          <w:color w:val="auto"/>
          <w:sz w:val="24"/>
          <w:szCs w:val="22"/>
          <w:highlight w:val="none"/>
        </w:rPr>
      </w:pPr>
      <w:r>
        <w:rPr>
          <w:rFonts w:hint="eastAsia" w:ascii="宋体" w:hAnsi="宋体" w:cs="宋体"/>
          <w:b/>
          <w:color w:val="auto"/>
          <w:sz w:val="30"/>
          <w:szCs w:val="30"/>
          <w:highlight w:val="none"/>
        </w:rPr>
        <w:t>一、符合参加政府采购活动应当具备的一般条件的承诺函</w:t>
      </w:r>
    </w:p>
    <w:p>
      <w:pPr>
        <w:snapToGrid w:val="0"/>
        <w:spacing w:line="360" w:lineRule="auto"/>
        <w:rPr>
          <w:rFonts w:hint="eastAsia" w:ascii="宋体" w:hAnsi="宋体" w:cs="宋体"/>
          <w:color w:val="auto"/>
          <w:kern w:val="0"/>
          <w:sz w:val="24"/>
          <w:szCs w:val="22"/>
          <w:highlight w:val="none"/>
        </w:rPr>
      </w:pPr>
    </w:p>
    <w:p>
      <w:pPr>
        <w:adjustRightIn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山明美术院、杭州市建设工程管理集团有限公司</w:t>
      </w:r>
      <w:r>
        <w:rPr>
          <w:rFonts w:hint="eastAsia" w:ascii="宋体" w:hAnsi="宋体" w:cs="宋体"/>
          <w:color w:val="auto"/>
          <w:kern w:val="0"/>
          <w:sz w:val="24"/>
          <w:highlight w:val="none"/>
          <w:lang w:val="zh-CN"/>
        </w:rPr>
        <w:t>：</w:t>
      </w:r>
    </w:p>
    <w:p>
      <w:pPr>
        <w:adjustRightInd w:val="0"/>
        <w:spacing w:line="360" w:lineRule="auto"/>
        <w:ind w:firstLine="480"/>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我方参与山明美术院扩建工程弱电智能化设备采购项目【招标编号：HZJSCGGK2022003】政府采购活动，郑重承诺：</w:t>
      </w:r>
    </w:p>
    <w:p>
      <w:pPr>
        <w:adjustRightInd w:val="0"/>
        <w:spacing w:line="360" w:lineRule="auto"/>
        <w:ind w:firstLine="480"/>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（一）具备《中华人民共和国政府采购法》第二十二条第一款规定的条件：</w:t>
      </w:r>
    </w:p>
    <w:p>
      <w:pPr>
        <w:adjustRightInd w:val="0"/>
        <w:spacing w:line="360" w:lineRule="auto"/>
        <w:ind w:firstLine="480"/>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1、具有独立承担民事责任的能力；</w:t>
      </w:r>
    </w:p>
    <w:p>
      <w:pPr>
        <w:adjustRightInd w:val="0"/>
        <w:spacing w:line="360" w:lineRule="auto"/>
        <w:ind w:firstLine="480"/>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 xml:space="preserve">2、具有良好的商业信誉和健全的财务会计制度； </w:t>
      </w:r>
    </w:p>
    <w:p>
      <w:pPr>
        <w:adjustRightInd w:val="0"/>
        <w:spacing w:line="360" w:lineRule="auto"/>
        <w:ind w:firstLine="480"/>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3、具有履行合同所必需的设备和专业技术能力；</w:t>
      </w:r>
    </w:p>
    <w:p>
      <w:pPr>
        <w:adjustRightInd w:val="0"/>
        <w:spacing w:line="360" w:lineRule="auto"/>
        <w:ind w:firstLine="480"/>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4、有依法缴纳税收和社会保障资金的良好记录；</w:t>
      </w:r>
    </w:p>
    <w:p>
      <w:pPr>
        <w:adjustRightInd w:val="0"/>
        <w:spacing w:line="360" w:lineRule="auto"/>
        <w:ind w:firstLine="480"/>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5、参加政府采购活动前三年内，在经营活动中没有重大违法记录；</w:t>
      </w:r>
    </w:p>
    <w:p>
      <w:pPr>
        <w:adjustRightInd w:val="0"/>
        <w:spacing w:line="360" w:lineRule="auto"/>
        <w:ind w:firstLine="480"/>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6、具有法律、行政法规规定的其他条件。</w:t>
      </w:r>
    </w:p>
    <w:p>
      <w:pPr>
        <w:adjustRightInd w:val="0"/>
        <w:spacing w:line="360" w:lineRule="auto"/>
        <w:ind w:firstLine="480"/>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（二）未被信用中国（www.creditchina.gov.cn)、中国政府采购网（www.ccgp.gov.cn）列入失信被执行人、重大税收违法案件当事人名单、政府采购严重违法失信行为记录名单。</w:t>
      </w:r>
    </w:p>
    <w:p>
      <w:pPr>
        <w:adjustRightInd w:val="0"/>
        <w:spacing w:line="360" w:lineRule="auto"/>
        <w:ind w:firstLine="480"/>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（三）不存在以下情况：</w:t>
      </w:r>
    </w:p>
    <w:p>
      <w:pPr>
        <w:adjustRightInd w:val="0"/>
        <w:spacing w:line="360" w:lineRule="auto"/>
        <w:ind w:firstLine="480"/>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1、单位负责人为同一人或者存在直接控股、管理关系的不同供应商参加同一合同项下的政府采购活动的；</w:t>
      </w:r>
    </w:p>
    <w:p>
      <w:pPr>
        <w:adjustRightInd w:val="0"/>
        <w:spacing w:line="360" w:lineRule="auto"/>
        <w:ind w:firstLine="480"/>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2、为采购项目提供整体设计、规范编制或者项目管理、监理、检测等服务后再参加该采购项目的其他采购活动的。</w:t>
      </w:r>
    </w:p>
    <w:p>
      <w:pPr>
        <w:widowControl/>
        <w:adjustRightInd w:val="0"/>
        <w:spacing w:line="360" w:lineRule="auto"/>
        <w:ind w:firstLine="420" w:firstLineChars="200"/>
        <w:jc w:val="left"/>
        <w:rPr>
          <w:rFonts w:hint="eastAsia" w:ascii="宋体" w:hAnsi="宋体" w:cs="宋体"/>
          <w:color w:val="auto"/>
          <w:szCs w:val="21"/>
          <w:highlight w:val="none"/>
          <w:lang w:val="zh-CN"/>
        </w:rPr>
      </w:pPr>
    </w:p>
    <w:p>
      <w:pPr>
        <w:autoSpaceDE w:val="0"/>
        <w:autoSpaceDN w:val="0"/>
        <w:adjustRightIn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电子签名</w:t>
      </w:r>
      <w:r>
        <w:rPr>
          <w:rFonts w:hint="eastAsia" w:ascii="宋体" w:hAnsi="宋体" w:cs="宋体"/>
          <w:color w:val="auto"/>
          <w:kern w:val="0"/>
          <w:sz w:val="24"/>
          <w:highlight w:val="none"/>
          <w:lang w:val="zh-CN"/>
        </w:rPr>
        <w:t>）：</w:t>
      </w:r>
    </w:p>
    <w:p>
      <w:pPr>
        <w:widowControl/>
        <w:jc w:val="left"/>
        <w:rPr>
          <w:rFonts w:hint="eastAsia" w:ascii="宋体" w:hAnsi="宋体" w:cs="宋体"/>
          <w:b/>
          <w:color w:val="auto"/>
          <w:kern w:val="0"/>
          <w:sz w:val="31"/>
          <w:szCs w:val="31"/>
          <w:highlight w:val="none"/>
          <w:lang w:bidi="ar"/>
        </w:rPr>
      </w:pPr>
      <w:r>
        <w:rPr>
          <w:rFonts w:hint="eastAsia" w:ascii="宋体" w:hAnsi="宋体" w:cs="宋体"/>
          <w:color w:val="auto"/>
          <w:kern w:val="0"/>
          <w:sz w:val="24"/>
          <w:highlight w:val="none"/>
          <w:lang w:val="zh-CN"/>
        </w:rPr>
        <w:t xml:space="preserve">                                       日期：     年  月   日</w:t>
      </w:r>
    </w:p>
    <w:p>
      <w:pPr>
        <w:widowControl/>
        <w:ind w:firstLine="622" w:firstLineChars="200"/>
        <w:jc w:val="left"/>
        <w:rPr>
          <w:rFonts w:hint="eastAsia" w:ascii="宋体" w:hAnsi="宋体" w:cs="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pStyle w:val="148"/>
        <w:rPr>
          <w:rFonts w:ascii="宋体" w:hAnsi="宋体"/>
          <w:b/>
          <w:color w:val="auto"/>
          <w:kern w:val="0"/>
          <w:sz w:val="31"/>
          <w:szCs w:val="31"/>
          <w:highlight w:val="none"/>
          <w:lang w:bidi="ar"/>
        </w:rPr>
      </w:pPr>
    </w:p>
    <w:p>
      <w:pPr>
        <w:pStyle w:val="148"/>
        <w:rPr>
          <w:rFonts w:ascii="宋体" w:hAnsi="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widowControl/>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投标声明书格式：</w:t>
      </w:r>
    </w:p>
    <w:p>
      <w:pPr>
        <w:widowControl/>
        <w:jc w:val="center"/>
        <w:rPr>
          <w:rFonts w:hint="eastAsia" w:ascii="宋体" w:hAnsi="宋体" w:cs="宋体"/>
          <w:b/>
          <w:color w:val="auto"/>
          <w:kern w:val="0"/>
          <w:sz w:val="36"/>
          <w:szCs w:val="36"/>
          <w:highlight w:val="none"/>
          <w:lang w:bidi="ar"/>
        </w:rPr>
      </w:pPr>
      <w:r>
        <w:rPr>
          <w:rFonts w:hint="eastAsia" w:ascii="宋体" w:hAnsi="宋体" w:cs="宋体"/>
          <w:b/>
          <w:color w:val="auto"/>
          <w:kern w:val="0"/>
          <w:sz w:val="36"/>
          <w:szCs w:val="36"/>
          <w:highlight w:val="none"/>
          <w:lang w:bidi="ar"/>
        </w:rPr>
        <w:t>投标声明书</w:t>
      </w:r>
    </w:p>
    <w:p>
      <w:pPr>
        <w:widowControl/>
        <w:spacing w:line="400" w:lineRule="exac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致：</w:t>
      </w:r>
      <w:r>
        <w:rPr>
          <w:rFonts w:hint="eastAsia" w:ascii="宋体" w:hAnsi="宋体" w:cs="宋体"/>
          <w:bCs/>
          <w:color w:val="auto"/>
          <w:kern w:val="0"/>
          <w:sz w:val="24"/>
          <w:highlight w:val="none"/>
          <w:u w:val="single"/>
          <w:lang w:bidi="ar"/>
        </w:rPr>
        <w:t xml:space="preserve">        </w:t>
      </w:r>
      <w:r>
        <w:rPr>
          <w:rFonts w:hint="eastAsia" w:ascii="宋体" w:hAnsi="宋体" w:cs="宋体"/>
          <w:bCs/>
          <w:color w:val="auto"/>
          <w:kern w:val="0"/>
          <w:sz w:val="24"/>
          <w:highlight w:val="none"/>
          <w:lang w:bidi="ar"/>
        </w:rPr>
        <w:t>（采购单位）：</w:t>
      </w:r>
    </w:p>
    <w:p>
      <w:pPr>
        <w:widowControl/>
        <w:spacing w:line="400" w:lineRule="exact"/>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u w:val="single"/>
          <w:lang w:bidi="ar"/>
        </w:rPr>
        <w:t xml:space="preserve">               </w:t>
      </w:r>
      <w:r>
        <w:rPr>
          <w:rFonts w:hint="eastAsia" w:ascii="宋体" w:hAnsi="宋体" w:cs="宋体"/>
          <w:bCs/>
          <w:color w:val="auto"/>
          <w:kern w:val="0"/>
          <w:sz w:val="24"/>
          <w:highlight w:val="none"/>
          <w:lang w:bidi="ar"/>
        </w:rPr>
        <w:t>投标 人 名 称 ） 系 中 华 人 民 共 和 国 合 法 企 业 ， 经营地址</w:t>
      </w:r>
      <w:r>
        <w:rPr>
          <w:rFonts w:hint="eastAsia" w:ascii="宋体" w:hAnsi="宋体" w:cs="宋体"/>
          <w:bCs/>
          <w:color w:val="auto"/>
          <w:kern w:val="0"/>
          <w:sz w:val="24"/>
          <w:highlight w:val="none"/>
          <w:u w:val="single"/>
          <w:lang w:bidi="ar"/>
        </w:rPr>
        <w:t xml:space="preserve">         </w:t>
      </w:r>
      <w:r>
        <w:rPr>
          <w:rFonts w:hint="eastAsia" w:ascii="宋体" w:hAnsi="宋体" w:cs="宋体"/>
          <w:bCs/>
          <w:color w:val="auto"/>
          <w:kern w:val="0"/>
          <w:sz w:val="24"/>
          <w:highlight w:val="none"/>
          <w:lang w:bidi="ar"/>
        </w:rPr>
        <w:t>。</w:t>
      </w:r>
    </w:p>
    <w:p>
      <w:pPr>
        <w:widowControl/>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我</w:t>
      </w:r>
      <w:r>
        <w:rPr>
          <w:rFonts w:hint="eastAsia" w:ascii="宋体" w:hAnsi="宋体" w:cs="宋体"/>
          <w:bCs/>
          <w:color w:val="auto"/>
          <w:kern w:val="0"/>
          <w:sz w:val="24"/>
          <w:highlight w:val="none"/>
          <w:u w:val="single"/>
          <w:lang w:bidi="ar"/>
        </w:rPr>
        <w:t xml:space="preserve">        </w:t>
      </w:r>
      <w:r>
        <w:rPr>
          <w:rFonts w:hint="eastAsia" w:ascii="宋体" w:hAnsi="宋体" w:cs="宋体"/>
          <w:bCs/>
          <w:color w:val="auto"/>
          <w:kern w:val="0"/>
          <w:sz w:val="24"/>
          <w:highlight w:val="none"/>
          <w:lang w:bidi="ar"/>
        </w:rPr>
        <w:t>（姓名）系</w:t>
      </w:r>
      <w:r>
        <w:rPr>
          <w:rFonts w:hint="eastAsia" w:ascii="宋体" w:hAnsi="宋体" w:cs="宋体"/>
          <w:bCs/>
          <w:color w:val="auto"/>
          <w:kern w:val="0"/>
          <w:sz w:val="24"/>
          <w:highlight w:val="none"/>
          <w:u w:val="single"/>
          <w:lang w:bidi="ar"/>
        </w:rPr>
        <w:t xml:space="preserve">      </w:t>
      </w:r>
      <w:r>
        <w:rPr>
          <w:rFonts w:hint="eastAsia" w:ascii="宋体" w:hAnsi="宋体" w:cs="宋体"/>
          <w:bCs/>
          <w:color w:val="auto"/>
          <w:kern w:val="0"/>
          <w:sz w:val="24"/>
          <w:highlight w:val="none"/>
          <w:lang w:bidi="ar"/>
        </w:rPr>
        <w:t>（投标人名称）的法定代表人，我方愿意参加贵方组织的 项目的投标，为便于贵方公正、择优地确定中标人及其投标产品和服务，我方就本次投标有关事项郑重声明如下：</w:t>
      </w:r>
    </w:p>
    <w:p>
      <w:pPr>
        <w:widowControl/>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1.我方向贵方提交的所有投标文件、资料都是准确的和真实的。我方在近三年内的经营活动中没有重大违法记录，且财务状况良好，并已依法按时缴纳税收和社会保障资金，具备履行本项目合同所必须的设备和专业技术能力。</w:t>
      </w:r>
    </w:p>
    <w:p>
      <w:pPr>
        <w:widowControl/>
        <w:spacing w:line="400" w:lineRule="exact"/>
        <w:ind w:firstLine="240" w:firstLineChars="1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2.我方不是采购人的附属机构；在获知本项目采购信息后，与采购人聘请的为此项目提供咨询服务的公司及其附属机构没有任何联系。</w:t>
      </w:r>
    </w:p>
    <w:p>
      <w:pPr>
        <w:widowControl/>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 xml:space="preserve">3.我方诚意提请贵方关注：近期有关该型号产品的生产、供货、售后服务以及性能等方面的重大决策和事项有：      </w:t>
      </w:r>
    </w:p>
    <w:p>
      <w:pPr>
        <w:widowControl/>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4.我方及由本人担任法定代表人的其他机构最近三年内被通报或者被处罚的违法行为有：</w:t>
      </w:r>
    </w:p>
    <w:p>
      <w:pPr>
        <w:widowControl/>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5.我们已详细审查全部招标文件及有关的澄清、修改文件（若有的话），我们完全理解并同意放弃对这方面提出任何异议的权利。保证遵守招标文件有关条款规定。</w:t>
      </w:r>
    </w:p>
    <w:p>
      <w:pPr>
        <w:widowControl/>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6.保证在中标后忠实地执行与采购人所签署的合同，并承担合同规定的责任义务。保证在中标后按照招标文件的规定支付采购代理服务费。承诺按招标人要求作好保密工作。</w:t>
      </w:r>
    </w:p>
    <w:p>
      <w:pPr>
        <w:widowControl/>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7.我们郑重声明：我公司符合政府采购法规定的参加采购活动应当具备的条件：具有健全的财务会计制度、依法缴纳税收和社会保障资金、参加本次采购活动之前的三年内，在经营活动中无重大违法活动，并在人员、设备、技术、资金、售后服务等方面具有相应的服务能力。我公司未被列入失信被执行人名单、重大税收违法案件当事人名单、政府采购严重违法失信行为记录名单。</w:t>
      </w:r>
    </w:p>
    <w:p>
      <w:pPr>
        <w:widowControl/>
        <w:spacing w:line="400" w:lineRule="exact"/>
        <w:ind w:firstLine="480" w:firstLineChars="200"/>
        <w:rPr>
          <w:rFonts w:hint="eastAsia"/>
          <w:color w:val="auto"/>
          <w:highlight w:val="none"/>
        </w:rPr>
      </w:pPr>
      <w:r>
        <w:rPr>
          <w:rFonts w:hint="eastAsia" w:ascii="宋体" w:hAnsi="宋体" w:cs="宋体"/>
          <w:bCs/>
          <w:color w:val="auto"/>
          <w:kern w:val="0"/>
          <w:sz w:val="24"/>
          <w:highlight w:val="none"/>
          <w:lang w:bidi="ar"/>
        </w:rPr>
        <w:t>8.以上事项如有虚假或隐瞒，我方愿意承担一切后果，并不再寻求任何旨在减轻或免除法律责任的辩解。</w:t>
      </w:r>
    </w:p>
    <w:p>
      <w:pPr>
        <w:widowControl/>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 xml:space="preserve">投标人名称（盖电子公章）：                             </w:t>
      </w:r>
    </w:p>
    <w:p>
      <w:pPr>
        <w:widowControl/>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法定代表人或授权代表(签字或盖章)：</w:t>
      </w:r>
    </w:p>
    <w:p>
      <w:pPr>
        <w:widowControl/>
        <w:spacing w:line="400" w:lineRule="exact"/>
        <w:ind w:firstLine="480" w:firstLineChars="200"/>
        <w:rPr>
          <w:rFonts w:ascii="宋体" w:hAnsi="宋体" w:cs="宋体"/>
          <w:b/>
          <w:color w:val="auto"/>
          <w:sz w:val="32"/>
          <w:szCs w:val="32"/>
          <w:highlight w:val="none"/>
          <w:u w:val="single"/>
        </w:rPr>
      </w:pPr>
      <w:r>
        <w:rPr>
          <w:rFonts w:hint="eastAsia" w:ascii="宋体" w:hAnsi="宋体" w:cs="宋体"/>
          <w:bCs/>
          <w:color w:val="auto"/>
          <w:kern w:val="0"/>
          <w:sz w:val="24"/>
          <w:highlight w:val="none"/>
          <w:lang w:bidi="ar"/>
        </w:rPr>
        <w:t>日期：  年  月 日</w:t>
      </w: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u w:val="single"/>
        </w:rPr>
        <w:t xml:space="preserve">              </w:t>
      </w:r>
    </w:p>
    <w:p>
      <w:pPr>
        <w:pStyle w:val="2"/>
        <w:ind w:firstLine="560"/>
        <w:rPr>
          <w:rFonts w:hint="eastAsia"/>
          <w:color w:val="auto"/>
          <w:highlight w:val="none"/>
        </w:rPr>
      </w:pPr>
    </w:p>
    <w:p>
      <w:pPr>
        <w:widowControl/>
        <w:rPr>
          <w:rFonts w:hint="eastAsia"/>
          <w:color w:val="auto"/>
          <w:highlight w:val="none"/>
          <w:lang w:bidi="ar"/>
        </w:rPr>
      </w:pPr>
      <w:r>
        <w:rPr>
          <w:rFonts w:hint="eastAsia" w:ascii="宋体" w:hAnsi="宋体" w:cs="宋体"/>
          <w:color w:val="auto"/>
          <w:kern w:val="0"/>
          <w:sz w:val="24"/>
          <w:highlight w:val="none"/>
          <w:lang w:bidi="ar"/>
        </w:rPr>
        <w:t>中小企业声明函格式：</w:t>
      </w:r>
    </w:p>
    <w:p>
      <w:pPr>
        <w:widowControl/>
        <w:ind w:firstLine="622" w:firstLineChars="200"/>
        <w:jc w:val="center"/>
        <w:rPr>
          <w:rFonts w:hint="eastAsia" w:ascii="宋体" w:hAnsi="宋体" w:cs="宋体"/>
          <w:b/>
          <w:color w:val="auto"/>
          <w:kern w:val="0"/>
          <w:sz w:val="31"/>
          <w:szCs w:val="31"/>
          <w:highlight w:val="none"/>
          <w:lang w:bidi="ar"/>
        </w:rPr>
      </w:pPr>
      <w:r>
        <w:rPr>
          <w:rFonts w:hint="eastAsia" w:ascii="宋体" w:hAnsi="宋体" w:cs="宋体"/>
          <w:b/>
          <w:color w:val="auto"/>
          <w:kern w:val="0"/>
          <w:sz w:val="31"/>
          <w:szCs w:val="31"/>
          <w:highlight w:val="none"/>
          <w:lang w:bidi="ar"/>
        </w:rPr>
        <w:t>中小企业声明函（货物）</w:t>
      </w:r>
    </w:p>
    <w:p>
      <w:pPr>
        <w:pStyle w:val="148"/>
        <w:rPr>
          <w:rFonts w:hint="eastAsia"/>
          <w:color w:val="auto"/>
          <w:highlight w:val="none"/>
        </w:rPr>
      </w:pPr>
    </w:p>
    <w:p>
      <w:pPr>
        <w:widowControl/>
        <w:spacing w:line="44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本公司（联合体）郑重声明，根据《政府采购促进中小企业发展管理办法》（财库﹝2020﹞46号）的规定，本公司（联合体）参加</w:t>
      </w:r>
      <w:r>
        <w:rPr>
          <w:rFonts w:hint="eastAsia" w:ascii="宋体" w:hAnsi="宋体" w:cs="宋体"/>
          <w:color w:val="auto"/>
          <w:kern w:val="0"/>
          <w:sz w:val="24"/>
          <w:highlight w:val="none"/>
          <w:u w:val="single"/>
          <w:lang w:bidi="ar"/>
        </w:rPr>
        <w:t xml:space="preserve">                </w:t>
      </w:r>
      <w:r>
        <w:rPr>
          <w:rFonts w:hint="eastAsia" w:ascii="宋体" w:hAnsi="宋体" w:cs="宋体"/>
          <w:i/>
          <w:color w:val="auto"/>
          <w:kern w:val="0"/>
          <w:sz w:val="24"/>
          <w:highlight w:val="none"/>
          <w:lang w:bidi="ar"/>
        </w:rPr>
        <w:t>（单位名称）</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u w:val="single"/>
          <w:lang w:bidi="ar"/>
        </w:rPr>
        <w:t xml:space="preserve">             </w:t>
      </w:r>
      <w:r>
        <w:rPr>
          <w:rFonts w:hint="eastAsia" w:ascii="宋体" w:hAnsi="宋体" w:cs="宋体"/>
          <w:i/>
          <w:color w:val="auto"/>
          <w:kern w:val="0"/>
          <w:sz w:val="24"/>
          <w:highlight w:val="none"/>
          <w:lang w:bidi="ar"/>
        </w:rPr>
        <w:t>（项目名称）</w:t>
      </w:r>
      <w:r>
        <w:rPr>
          <w:rFonts w:hint="eastAsia" w:ascii="宋体" w:hAnsi="宋体" w:cs="宋体"/>
          <w:color w:val="auto"/>
          <w:kern w:val="0"/>
          <w:sz w:val="24"/>
          <w:highlight w:val="none"/>
          <w:lang w:bidi="ar"/>
        </w:rPr>
        <w:t>采购活动，</w:t>
      </w:r>
      <w:r>
        <w:rPr>
          <w:rFonts w:hint="eastAsia" w:ascii="宋体" w:hAnsi="宋体" w:eastAsia="宋体" w:cs="宋体"/>
          <w:color w:val="auto"/>
          <w:kern w:val="0"/>
          <w:sz w:val="24"/>
          <w:highlight w:val="none"/>
          <w:lang w:bidi="ar"/>
        </w:rPr>
        <w:t>提供的货物全部由符合政策要求的中小企业制造。</w:t>
      </w:r>
      <w:r>
        <w:rPr>
          <w:rFonts w:hint="eastAsia" w:ascii="宋体" w:hAnsi="宋体" w:cs="宋体"/>
          <w:color w:val="auto"/>
          <w:kern w:val="0"/>
          <w:sz w:val="24"/>
          <w:highlight w:val="none"/>
          <w:lang w:bidi="ar"/>
        </w:rPr>
        <w:t>相关企业（含联合体中的中小企业、签订分包意向协议的中小企业）的具体情况如下：</w:t>
      </w:r>
    </w:p>
    <w:p>
      <w:pPr>
        <w:widowControl/>
        <w:numPr>
          <w:ilvl w:val="0"/>
          <w:numId w:val="16"/>
        </w:numPr>
        <w:spacing w:line="44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u w:val="single"/>
          <w:lang w:bidi="ar"/>
        </w:rPr>
        <w:t xml:space="preserve">（标的名称） </w:t>
      </w:r>
      <w:r>
        <w:rPr>
          <w:rFonts w:hint="eastAsia" w:ascii="宋体" w:hAnsi="宋体" w:cs="宋体"/>
          <w:color w:val="auto"/>
          <w:kern w:val="0"/>
          <w:sz w:val="24"/>
          <w:highlight w:val="none"/>
          <w:lang w:bidi="ar"/>
        </w:rPr>
        <w:t xml:space="preserve"> ，属于</w:t>
      </w:r>
      <w:r>
        <w:rPr>
          <w:rFonts w:hint="eastAsia" w:ascii="宋体" w:hAnsi="宋体" w:cs="宋体"/>
          <w:color w:val="auto"/>
          <w:kern w:val="0"/>
          <w:sz w:val="24"/>
          <w:highlight w:val="none"/>
          <w:u w:val="single"/>
          <w:lang w:bidi="ar"/>
        </w:rPr>
        <w:t>（采购文件中明确的所属行业）</w:t>
      </w:r>
      <w:r>
        <w:rPr>
          <w:rFonts w:hint="eastAsia" w:ascii="宋体" w:hAnsi="宋体" w:cs="宋体"/>
          <w:color w:val="auto"/>
          <w:kern w:val="0"/>
          <w:sz w:val="24"/>
          <w:highlight w:val="none"/>
          <w:lang w:bidi="ar"/>
        </w:rPr>
        <w:t>；制造商为为</w:t>
      </w:r>
      <w:r>
        <w:rPr>
          <w:rFonts w:hint="eastAsia" w:ascii="宋体" w:hAnsi="宋体" w:cs="宋体"/>
          <w:color w:val="auto"/>
          <w:kern w:val="0"/>
          <w:sz w:val="24"/>
          <w:highlight w:val="none"/>
          <w:u w:val="single"/>
          <w:lang w:bidi="ar"/>
        </w:rPr>
        <w:t>（企业名称）</w:t>
      </w:r>
      <w:r>
        <w:rPr>
          <w:rFonts w:hint="eastAsia" w:ascii="宋体" w:hAnsi="宋体" w:cs="宋体"/>
          <w:color w:val="auto"/>
          <w:kern w:val="0"/>
          <w:sz w:val="24"/>
          <w:highlight w:val="none"/>
          <w:lang w:bidi="ar"/>
        </w:rPr>
        <w:t>，从业人员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万元，属于（中型企业、 小型企业、微型企业）；</w:t>
      </w:r>
    </w:p>
    <w:p>
      <w:pPr>
        <w:widowControl/>
        <w:numPr>
          <w:ilvl w:val="0"/>
          <w:numId w:val="16"/>
        </w:numPr>
        <w:spacing w:line="44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u w:val="single"/>
          <w:lang w:bidi="ar"/>
        </w:rPr>
        <w:t xml:space="preserve">（标的名称） </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（采购文件中明确的所属行业）</w:t>
      </w:r>
      <w:r>
        <w:rPr>
          <w:rFonts w:hint="eastAsia" w:ascii="宋体" w:hAnsi="宋体" w:cs="宋体"/>
          <w:color w:val="auto"/>
          <w:kern w:val="0"/>
          <w:sz w:val="24"/>
          <w:highlight w:val="none"/>
          <w:lang w:bidi="ar"/>
        </w:rPr>
        <w:t>； 制造商为为</w:t>
      </w:r>
      <w:r>
        <w:rPr>
          <w:rFonts w:hint="eastAsia" w:ascii="宋体" w:hAnsi="宋体" w:cs="宋体"/>
          <w:color w:val="auto"/>
          <w:kern w:val="0"/>
          <w:sz w:val="24"/>
          <w:highlight w:val="none"/>
          <w:u w:val="single"/>
          <w:lang w:bidi="ar"/>
        </w:rPr>
        <w:t>（企业名称）</w:t>
      </w:r>
      <w:r>
        <w:rPr>
          <w:rFonts w:hint="eastAsia" w:ascii="宋体" w:hAnsi="宋体" w:cs="宋体"/>
          <w:color w:val="auto"/>
          <w:kern w:val="0"/>
          <w:sz w:val="24"/>
          <w:highlight w:val="none"/>
          <w:lang w:bidi="ar"/>
        </w:rPr>
        <w:t>，从业人员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 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万元，属于（中型企业、 小型企业、微型企业）；</w:t>
      </w:r>
    </w:p>
    <w:p>
      <w:pPr>
        <w:widowControl/>
        <w:spacing w:line="440" w:lineRule="exact"/>
        <w:ind w:left="420" w:leftChars="200" w:firstLine="480" w:firstLineChars="200"/>
        <w:rPr>
          <w:color w:val="auto"/>
          <w:highlight w:val="none"/>
        </w:rPr>
      </w:pPr>
      <w:r>
        <w:rPr>
          <w:color w:val="auto"/>
          <w:kern w:val="0"/>
          <w:sz w:val="24"/>
          <w:highlight w:val="none"/>
          <w:lang w:bidi="ar"/>
        </w:rPr>
        <w:t>……</w:t>
      </w:r>
    </w:p>
    <w:p>
      <w:pPr>
        <w:widowControl/>
        <w:spacing w:line="44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以上企业，不属于大企业的分支机构，不存在控股股东为大企业的情形，也不存在与大企业的负责人为同一人的情形。本企业对上述声明内容的真实性负责。如有虚假，将依法承担相应责任。</w:t>
      </w:r>
    </w:p>
    <w:p>
      <w:pPr>
        <w:pStyle w:val="148"/>
        <w:rPr>
          <w:rFonts w:hint="eastAsia" w:ascii="宋体" w:hAnsi="宋体"/>
          <w:color w:val="auto"/>
          <w:kern w:val="0"/>
          <w:sz w:val="24"/>
          <w:highlight w:val="none"/>
          <w:lang w:bidi="ar"/>
        </w:rPr>
      </w:pPr>
    </w:p>
    <w:p>
      <w:pPr>
        <w:pStyle w:val="148"/>
        <w:rPr>
          <w:rFonts w:hint="eastAsia" w:ascii="宋体" w:hAnsi="宋体"/>
          <w:color w:val="auto"/>
          <w:kern w:val="0"/>
          <w:sz w:val="24"/>
          <w:highlight w:val="none"/>
          <w:lang w:bidi="ar"/>
        </w:rPr>
      </w:pPr>
    </w:p>
    <w:p>
      <w:pPr>
        <w:pStyle w:val="148"/>
        <w:rPr>
          <w:rFonts w:hint="eastAsia" w:ascii="宋体" w:hAnsi="宋体"/>
          <w:color w:val="auto"/>
          <w:kern w:val="0"/>
          <w:sz w:val="24"/>
          <w:highlight w:val="none"/>
          <w:lang w:bidi="ar"/>
        </w:rPr>
      </w:pPr>
    </w:p>
    <w:p>
      <w:pPr>
        <w:widowControl/>
        <w:spacing w:line="44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投标人全称（盖电子公章）：</w:t>
      </w:r>
    </w:p>
    <w:p>
      <w:pPr>
        <w:widowControl/>
        <w:spacing w:line="440" w:lineRule="exact"/>
        <w:ind w:firstLine="480" w:firstLineChars="200"/>
        <w:jc w:val="left"/>
        <w:rPr>
          <w:rFonts w:hint="eastAsia" w:ascii="宋体" w:hAnsi="宋体" w:cs="宋体"/>
          <w:color w:val="auto"/>
          <w:kern w:val="0"/>
          <w:sz w:val="24"/>
          <w:highlight w:val="none"/>
          <w:lang w:bidi="ar"/>
        </w:rPr>
      </w:pPr>
    </w:p>
    <w:p>
      <w:pPr>
        <w:widowControl/>
        <w:spacing w:line="44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日 期：</w:t>
      </w:r>
    </w:p>
    <w:p>
      <w:pPr>
        <w:pStyle w:val="52"/>
        <w:ind w:firstLine="240"/>
        <w:rPr>
          <w:rFonts w:hint="eastAsia" w:ascii="宋体" w:hAnsi="宋体" w:cs="宋体"/>
          <w:color w:val="auto"/>
          <w:szCs w:val="24"/>
          <w:highlight w:val="none"/>
          <w:lang w:bidi="ar"/>
        </w:rPr>
      </w:pPr>
    </w:p>
    <w:p>
      <w:pPr>
        <w:rPr>
          <w:rFonts w:hint="eastAsia" w:ascii="宋体" w:hAnsi="宋体" w:cs="宋体"/>
          <w:color w:val="auto"/>
          <w:kern w:val="0"/>
          <w:sz w:val="24"/>
          <w:highlight w:val="none"/>
          <w:lang w:bidi="ar"/>
        </w:rPr>
      </w:pPr>
    </w:p>
    <w:p>
      <w:pPr>
        <w:pStyle w:val="52"/>
        <w:ind w:firstLine="240"/>
        <w:rPr>
          <w:rFonts w:hint="eastAsia" w:ascii="宋体" w:hAnsi="宋体" w:cs="宋体"/>
          <w:color w:val="auto"/>
          <w:szCs w:val="24"/>
          <w:highlight w:val="none"/>
          <w:lang w:bidi="ar"/>
        </w:rPr>
      </w:pPr>
    </w:p>
    <w:p>
      <w:pPr>
        <w:rPr>
          <w:rFonts w:hint="eastAsia" w:ascii="宋体" w:hAnsi="宋体" w:cs="宋体"/>
          <w:color w:val="auto"/>
          <w:kern w:val="0"/>
          <w:sz w:val="24"/>
          <w:highlight w:val="none"/>
          <w:lang w:bidi="ar"/>
        </w:rPr>
      </w:pPr>
    </w:p>
    <w:p>
      <w:pPr>
        <w:pStyle w:val="52"/>
        <w:ind w:firstLine="240"/>
        <w:rPr>
          <w:rFonts w:hint="eastAsia" w:ascii="宋体" w:hAnsi="宋体" w:cs="宋体"/>
          <w:color w:val="auto"/>
          <w:szCs w:val="24"/>
          <w:highlight w:val="none"/>
          <w:lang w:bidi="ar"/>
        </w:rPr>
      </w:pPr>
    </w:p>
    <w:p>
      <w:pPr>
        <w:rPr>
          <w:rFonts w:ascii="宋体" w:hAnsi="宋体" w:cs="宋体"/>
          <w:color w:val="auto"/>
          <w:kern w:val="0"/>
          <w:sz w:val="24"/>
          <w:highlight w:val="none"/>
          <w:lang w:bidi="ar"/>
        </w:rPr>
      </w:pPr>
    </w:p>
    <w:p>
      <w:pPr>
        <w:pStyle w:val="2"/>
        <w:ind w:firstLine="560"/>
        <w:rPr>
          <w:color w:val="auto"/>
          <w:highlight w:val="none"/>
          <w:lang w:bidi="ar"/>
        </w:rPr>
      </w:pPr>
    </w:p>
    <w:p>
      <w:pPr>
        <w:widowControl/>
        <w:jc w:val="left"/>
        <w:rPr>
          <w:rFonts w:hint="eastAsia"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残疾人福利性单位声明函格式：</w:t>
      </w:r>
    </w:p>
    <w:p>
      <w:pPr>
        <w:widowControl/>
        <w:jc w:val="center"/>
        <w:rPr>
          <w:rFonts w:hint="eastAsia" w:ascii="宋体" w:hAnsi="宋体" w:cs="宋体"/>
          <w:b/>
          <w:color w:val="auto"/>
          <w:kern w:val="0"/>
          <w:sz w:val="28"/>
          <w:szCs w:val="28"/>
          <w:highlight w:val="none"/>
          <w:lang w:bidi="ar"/>
        </w:rPr>
      </w:pPr>
    </w:p>
    <w:p>
      <w:pPr>
        <w:widowControl/>
        <w:jc w:val="center"/>
        <w:rPr>
          <w:rFonts w:hint="eastAsia"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残疾人福利性单位声明函</w:t>
      </w:r>
    </w:p>
    <w:p>
      <w:pPr>
        <w:pStyle w:val="148"/>
        <w:rPr>
          <w:rFonts w:hint="eastAsia"/>
          <w:color w:val="auto"/>
          <w:highlight w:val="none"/>
        </w:rPr>
      </w:pPr>
    </w:p>
    <w:p>
      <w:pPr>
        <w:widowControl/>
        <w:spacing w:line="50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pPr>
        <w:widowControl/>
        <w:spacing w:line="500" w:lineRule="exact"/>
        <w:ind w:firstLine="480" w:firstLineChars="200"/>
        <w:jc w:val="left"/>
        <w:rPr>
          <w:rFonts w:hint="eastAsia" w:ascii="宋体" w:hAnsi="宋体" w:cs="宋体"/>
          <w:color w:val="auto"/>
          <w:kern w:val="0"/>
          <w:sz w:val="24"/>
          <w:highlight w:val="none"/>
          <w:lang w:bidi="ar"/>
        </w:rPr>
      </w:pPr>
    </w:p>
    <w:p>
      <w:pPr>
        <w:widowControl/>
        <w:spacing w:line="50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投标人全称（盖电子公章）：</w:t>
      </w:r>
    </w:p>
    <w:p>
      <w:pPr>
        <w:widowControl/>
        <w:spacing w:line="500" w:lineRule="exact"/>
        <w:ind w:firstLine="480" w:firstLineChars="200"/>
        <w:jc w:val="left"/>
        <w:rPr>
          <w:rFonts w:hint="eastAsia" w:ascii="宋体" w:hAnsi="宋体" w:cs="宋体"/>
          <w:color w:val="auto"/>
          <w:kern w:val="0"/>
          <w:sz w:val="24"/>
          <w:highlight w:val="none"/>
          <w:lang w:bidi="ar"/>
        </w:rPr>
      </w:pPr>
    </w:p>
    <w:p>
      <w:pPr>
        <w:widowControl/>
        <w:spacing w:line="50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日期：</w:t>
      </w:r>
    </w:p>
    <w:p>
      <w:pPr>
        <w:widowControl/>
        <w:spacing w:line="500" w:lineRule="exact"/>
        <w:ind w:firstLine="482" w:firstLineChars="200"/>
        <w:jc w:val="left"/>
        <w:rPr>
          <w:rFonts w:hint="eastAsia" w:ascii="宋体" w:hAnsi="宋体" w:cs="宋体"/>
          <w:b/>
          <w:color w:val="auto"/>
          <w:kern w:val="0"/>
          <w:sz w:val="24"/>
          <w:highlight w:val="none"/>
          <w:lang w:bidi="ar"/>
        </w:rPr>
      </w:pPr>
    </w:p>
    <w:p>
      <w:pPr>
        <w:widowControl/>
        <w:spacing w:line="500" w:lineRule="exact"/>
        <w:ind w:firstLine="482" w:firstLineChars="200"/>
        <w:jc w:val="left"/>
        <w:rPr>
          <w:rFonts w:hint="eastAsia" w:ascii="宋体" w:hAnsi="宋体" w:cs="宋体"/>
          <w:b/>
          <w:color w:val="auto"/>
          <w:kern w:val="0"/>
          <w:sz w:val="24"/>
          <w:highlight w:val="none"/>
          <w:lang w:bidi="ar"/>
        </w:rPr>
      </w:pPr>
    </w:p>
    <w:p>
      <w:pPr>
        <w:widowControl/>
        <w:spacing w:line="500" w:lineRule="exact"/>
        <w:ind w:firstLine="482" w:firstLineChars="200"/>
        <w:jc w:val="left"/>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注：（1）残疾人福利性单位说明材料：残疾人福利性单位声明函。（2）如提供其他残疾人福利性单位制造的货物，还须同时提供该企业的残疾人福利性单位声明函。</w:t>
      </w:r>
    </w:p>
    <w:p>
      <w:pPr>
        <w:widowControl/>
        <w:spacing w:line="500" w:lineRule="exact"/>
        <w:ind w:firstLine="482" w:firstLineChars="200"/>
        <w:jc w:val="left"/>
        <w:rPr>
          <w:rFonts w:hint="eastAsia" w:ascii="宋体" w:hAnsi="宋体" w:cs="宋体"/>
          <w:b/>
          <w:color w:val="auto"/>
          <w:kern w:val="0"/>
          <w:sz w:val="24"/>
          <w:highlight w:val="none"/>
          <w:lang w:bidi="ar"/>
        </w:rPr>
      </w:pPr>
    </w:p>
    <w:p>
      <w:pPr>
        <w:widowControl/>
        <w:spacing w:line="500" w:lineRule="exact"/>
        <w:ind w:firstLine="482" w:firstLineChars="200"/>
        <w:jc w:val="left"/>
        <w:rPr>
          <w:rFonts w:hint="eastAsia" w:ascii="宋体" w:hAnsi="宋体" w:cs="宋体"/>
          <w:b/>
          <w:color w:val="auto"/>
          <w:kern w:val="0"/>
          <w:sz w:val="24"/>
          <w:highlight w:val="none"/>
          <w:lang w:bidi="ar"/>
        </w:rPr>
      </w:pPr>
    </w:p>
    <w:p>
      <w:pPr>
        <w:widowControl/>
        <w:spacing w:line="500" w:lineRule="exact"/>
        <w:ind w:firstLine="482" w:firstLineChars="200"/>
        <w:jc w:val="left"/>
        <w:rPr>
          <w:rFonts w:hint="eastAsia" w:ascii="宋体" w:hAnsi="宋体" w:cs="宋体"/>
          <w:b/>
          <w:color w:val="auto"/>
          <w:kern w:val="0"/>
          <w:sz w:val="24"/>
          <w:highlight w:val="none"/>
          <w:lang w:bidi="ar"/>
        </w:rPr>
      </w:pPr>
    </w:p>
    <w:p>
      <w:pPr>
        <w:pStyle w:val="148"/>
        <w:rPr>
          <w:rFonts w:hint="eastAsia" w:ascii="宋体" w:hAnsi="宋体"/>
          <w:b/>
          <w:color w:val="auto"/>
          <w:kern w:val="0"/>
          <w:sz w:val="24"/>
          <w:highlight w:val="none"/>
          <w:lang w:bidi="ar"/>
        </w:rPr>
      </w:pPr>
    </w:p>
    <w:p>
      <w:pPr>
        <w:pStyle w:val="148"/>
        <w:rPr>
          <w:rFonts w:hint="eastAsia" w:ascii="宋体" w:hAnsi="宋体"/>
          <w:b/>
          <w:color w:val="auto"/>
          <w:kern w:val="0"/>
          <w:sz w:val="24"/>
          <w:highlight w:val="none"/>
          <w:lang w:bidi="ar"/>
        </w:rPr>
      </w:pPr>
    </w:p>
    <w:p>
      <w:pPr>
        <w:pStyle w:val="148"/>
        <w:rPr>
          <w:rFonts w:hint="eastAsia" w:ascii="宋体" w:hAnsi="宋体"/>
          <w:b/>
          <w:color w:val="auto"/>
          <w:kern w:val="0"/>
          <w:sz w:val="24"/>
          <w:highlight w:val="none"/>
          <w:lang w:bidi="ar"/>
        </w:rPr>
      </w:pPr>
    </w:p>
    <w:p>
      <w:pPr>
        <w:pStyle w:val="148"/>
        <w:rPr>
          <w:rFonts w:hint="eastAsia" w:ascii="宋体" w:hAnsi="宋体"/>
          <w:b/>
          <w:color w:val="auto"/>
          <w:kern w:val="0"/>
          <w:sz w:val="24"/>
          <w:highlight w:val="none"/>
          <w:lang w:bidi="ar"/>
        </w:rPr>
      </w:pPr>
    </w:p>
    <w:p>
      <w:pPr>
        <w:pStyle w:val="148"/>
        <w:rPr>
          <w:rFonts w:hint="eastAsia" w:ascii="宋体" w:hAnsi="宋体"/>
          <w:b/>
          <w:color w:val="auto"/>
          <w:kern w:val="0"/>
          <w:sz w:val="24"/>
          <w:highlight w:val="none"/>
          <w:lang w:bidi="ar"/>
        </w:rPr>
      </w:pPr>
    </w:p>
    <w:p>
      <w:pPr>
        <w:pStyle w:val="148"/>
        <w:rPr>
          <w:rFonts w:ascii="宋体" w:hAnsi="宋体"/>
          <w:b/>
          <w:color w:val="auto"/>
          <w:kern w:val="0"/>
          <w:sz w:val="24"/>
          <w:highlight w:val="none"/>
          <w:lang w:bidi="ar"/>
        </w:rPr>
      </w:pPr>
    </w:p>
    <w:p>
      <w:pPr>
        <w:pStyle w:val="148"/>
        <w:rPr>
          <w:rFonts w:ascii="宋体" w:hAnsi="宋体"/>
          <w:b/>
          <w:color w:val="auto"/>
          <w:kern w:val="0"/>
          <w:sz w:val="24"/>
          <w:highlight w:val="none"/>
          <w:lang w:bidi="ar"/>
        </w:rPr>
      </w:pPr>
    </w:p>
    <w:p>
      <w:pPr>
        <w:pStyle w:val="148"/>
        <w:rPr>
          <w:rFonts w:hint="eastAsia" w:ascii="宋体" w:hAnsi="宋体"/>
          <w:b/>
          <w:color w:val="auto"/>
          <w:kern w:val="0"/>
          <w:sz w:val="24"/>
          <w:highlight w:val="none"/>
          <w:lang w:bidi="ar"/>
        </w:rPr>
      </w:pPr>
    </w:p>
    <w:p>
      <w:pPr>
        <w:pStyle w:val="148"/>
        <w:ind w:left="0" w:leftChars="0" w:firstLine="0"/>
        <w:rPr>
          <w:rFonts w:hint="eastAsia" w:ascii="宋体" w:hAnsi="宋体"/>
          <w:b/>
          <w:color w:val="auto"/>
          <w:kern w:val="0"/>
          <w:sz w:val="24"/>
          <w:highlight w:val="none"/>
          <w:lang w:bidi="ar"/>
        </w:rPr>
      </w:pPr>
      <w:r>
        <w:rPr>
          <w:rFonts w:hint="eastAsia" w:ascii="宋体" w:hAnsi="宋体"/>
          <w:b/>
          <w:color w:val="auto"/>
          <w:kern w:val="0"/>
          <w:sz w:val="24"/>
          <w:highlight w:val="none"/>
          <w:lang w:bidi="ar"/>
        </w:rPr>
        <w:t>监狱企业声明文件：</w:t>
      </w:r>
    </w:p>
    <w:p>
      <w:pPr>
        <w:pStyle w:val="148"/>
        <w:rPr>
          <w:rFonts w:hint="eastAsia" w:ascii="宋体" w:hAnsi="宋体"/>
          <w:b/>
          <w:color w:val="auto"/>
          <w:kern w:val="0"/>
          <w:sz w:val="24"/>
          <w:highlight w:val="none"/>
          <w:lang w:bidi="ar"/>
        </w:rPr>
      </w:pPr>
    </w:p>
    <w:p>
      <w:pPr>
        <w:pStyle w:val="148"/>
        <w:rPr>
          <w:rFonts w:hint="eastAsia" w:ascii="宋体" w:hAnsi="宋体"/>
          <w:b/>
          <w:color w:val="auto"/>
          <w:kern w:val="0"/>
          <w:sz w:val="24"/>
          <w:highlight w:val="none"/>
          <w:lang w:bidi="ar"/>
        </w:rPr>
      </w:pPr>
    </w:p>
    <w:p>
      <w:pPr>
        <w:pStyle w:val="148"/>
        <w:rPr>
          <w:rFonts w:hint="eastAsia" w:ascii="宋体" w:hAnsi="宋体"/>
          <w:b/>
          <w:color w:val="auto"/>
          <w:kern w:val="0"/>
          <w:sz w:val="24"/>
          <w:highlight w:val="none"/>
          <w:lang w:bidi="ar"/>
        </w:rPr>
      </w:pPr>
    </w:p>
    <w:p>
      <w:pPr>
        <w:widowControl/>
        <w:spacing w:line="500" w:lineRule="exact"/>
        <w:ind w:firstLine="620" w:firstLineChars="200"/>
        <w:jc w:val="left"/>
        <w:rPr>
          <w:rFonts w:hint="eastAsia" w:ascii="宋体" w:hAnsi="宋体" w:cs="宋体"/>
          <w:color w:val="auto"/>
          <w:kern w:val="0"/>
          <w:sz w:val="31"/>
          <w:szCs w:val="31"/>
          <w:highlight w:val="none"/>
          <w:lang w:bidi="ar"/>
        </w:rPr>
      </w:pPr>
    </w:p>
    <w:p>
      <w:pPr>
        <w:widowControl/>
        <w:spacing w:line="500" w:lineRule="exact"/>
        <w:ind w:firstLine="620" w:firstLineChars="200"/>
        <w:jc w:val="left"/>
        <w:rPr>
          <w:rFonts w:hint="eastAsia" w:ascii="宋体" w:hAnsi="宋体" w:cs="宋体"/>
          <w:color w:val="auto"/>
          <w:kern w:val="0"/>
          <w:sz w:val="31"/>
          <w:szCs w:val="31"/>
          <w:highlight w:val="none"/>
          <w:lang w:bidi="ar"/>
        </w:rPr>
      </w:pPr>
    </w:p>
    <w:p>
      <w:pPr>
        <w:widowControl/>
        <w:spacing w:line="500" w:lineRule="exact"/>
        <w:ind w:firstLine="620" w:firstLineChars="200"/>
        <w:jc w:val="left"/>
        <w:rPr>
          <w:rFonts w:hint="eastAsia" w:ascii="宋体" w:hAnsi="宋体" w:cs="宋体"/>
          <w:color w:val="auto"/>
          <w:kern w:val="0"/>
          <w:sz w:val="31"/>
          <w:szCs w:val="31"/>
          <w:highlight w:val="none"/>
          <w:lang w:bidi="ar"/>
        </w:rPr>
      </w:pPr>
    </w:p>
    <w:p>
      <w:pPr>
        <w:widowControl/>
        <w:spacing w:line="500" w:lineRule="exact"/>
        <w:ind w:firstLine="620" w:firstLineChars="200"/>
        <w:jc w:val="left"/>
        <w:rPr>
          <w:rFonts w:hint="eastAsia" w:ascii="宋体" w:hAnsi="宋体" w:cs="宋体"/>
          <w:color w:val="auto"/>
          <w:kern w:val="0"/>
          <w:sz w:val="31"/>
          <w:szCs w:val="31"/>
          <w:highlight w:val="none"/>
          <w:lang w:bidi="ar"/>
        </w:rPr>
      </w:pPr>
    </w:p>
    <w:p>
      <w:pPr>
        <w:widowControl/>
        <w:spacing w:line="500" w:lineRule="exact"/>
        <w:ind w:firstLine="620" w:firstLineChars="200"/>
        <w:jc w:val="left"/>
        <w:rPr>
          <w:rFonts w:hint="eastAsia" w:ascii="宋体" w:hAnsi="宋体" w:cs="宋体"/>
          <w:color w:val="auto"/>
          <w:kern w:val="0"/>
          <w:sz w:val="31"/>
          <w:szCs w:val="31"/>
          <w:highlight w:val="none"/>
          <w:lang w:bidi="ar"/>
        </w:rPr>
      </w:pPr>
      <w:r>
        <w:rPr>
          <w:rFonts w:hint="eastAsia" w:ascii="宋体" w:hAnsi="宋体" w:cs="宋体"/>
          <w:color w:val="auto"/>
          <w:kern w:val="0"/>
          <w:sz w:val="31"/>
          <w:szCs w:val="31"/>
          <w:highlight w:val="none"/>
          <w:lang w:bidi="ar"/>
        </w:rPr>
        <w:t>省级以上监狱管理局、戒毒管理局（含新疆生产建设兵团）出具的属于监狱企业的佐证文件（格式自拟）</w:t>
      </w:r>
    </w:p>
    <w:p>
      <w:pPr>
        <w:widowControl/>
        <w:spacing w:line="500" w:lineRule="exact"/>
        <w:ind w:firstLine="620" w:firstLineChars="200"/>
        <w:jc w:val="left"/>
        <w:rPr>
          <w:rFonts w:hint="eastAsia" w:ascii="宋体" w:hAnsi="宋体" w:cs="宋体"/>
          <w:color w:val="auto"/>
          <w:kern w:val="0"/>
          <w:sz w:val="31"/>
          <w:szCs w:val="31"/>
          <w:highlight w:val="none"/>
          <w:lang w:bidi="ar"/>
        </w:rPr>
      </w:pPr>
    </w:p>
    <w:p>
      <w:pPr>
        <w:widowControl/>
        <w:spacing w:line="500" w:lineRule="exact"/>
        <w:ind w:firstLine="620" w:firstLineChars="200"/>
        <w:jc w:val="left"/>
        <w:rPr>
          <w:rFonts w:hint="eastAsia" w:ascii="宋体" w:hAnsi="宋体" w:cs="宋体"/>
          <w:color w:val="auto"/>
          <w:kern w:val="0"/>
          <w:sz w:val="31"/>
          <w:szCs w:val="31"/>
          <w:highlight w:val="none"/>
          <w:lang w:bidi="ar"/>
        </w:rPr>
      </w:pPr>
    </w:p>
    <w:p>
      <w:pPr>
        <w:widowControl/>
        <w:spacing w:line="500" w:lineRule="exact"/>
        <w:ind w:firstLine="482" w:firstLineChars="200"/>
        <w:jc w:val="left"/>
        <w:rPr>
          <w:color w:val="auto"/>
          <w:highlight w:val="none"/>
        </w:rPr>
      </w:pPr>
      <w:r>
        <w:rPr>
          <w:rFonts w:hint="eastAsia" w:ascii="宋体" w:hAnsi="宋体" w:cs="宋体"/>
          <w:b/>
          <w:color w:val="auto"/>
          <w:kern w:val="0"/>
          <w:sz w:val="24"/>
          <w:highlight w:val="none"/>
          <w:lang w:bidi="ar"/>
        </w:rPr>
        <w:t>注：投标人为属于监狱企业时需提供。</w:t>
      </w:r>
    </w:p>
    <w:p>
      <w:pPr>
        <w:snapToGrid w:val="0"/>
        <w:spacing w:line="400" w:lineRule="exact"/>
        <w:outlineLvl w:val="1"/>
        <w:rPr>
          <w:rFonts w:hint="eastAsia" w:ascii="宋体" w:hAnsi="宋体" w:cs="宋体"/>
          <w:color w:val="auto"/>
          <w:szCs w:val="21"/>
          <w:highlight w:val="none"/>
        </w:rPr>
      </w:pPr>
    </w:p>
    <w:p>
      <w:pPr>
        <w:snapToGrid w:val="0"/>
        <w:spacing w:line="400" w:lineRule="exact"/>
        <w:jc w:val="center"/>
        <w:outlineLvl w:val="1"/>
        <w:rPr>
          <w:rFonts w:hint="eastAsia" w:ascii="宋体" w:hAnsi="宋体" w:cs="宋体"/>
          <w:color w:val="auto"/>
          <w:szCs w:val="21"/>
          <w:highlight w:val="none"/>
        </w:rPr>
      </w:pPr>
    </w:p>
    <w:p>
      <w:pPr>
        <w:snapToGrid w:val="0"/>
        <w:spacing w:line="400" w:lineRule="exact"/>
        <w:jc w:val="center"/>
        <w:outlineLvl w:val="1"/>
        <w:rPr>
          <w:rFonts w:hint="eastAsia" w:ascii="宋体" w:hAnsi="宋体" w:cs="宋体"/>
          <w:color w:val="auto"/>
          <w:szCs w:val="21"/>
          <w:highlight w:val="none"/>
        </w:rPr>
      </w:pPr>
    </w:p>
    <w:p>
      <w:pPr>
        <w:snapToGrid w:val="0"/>
        <w:spacing w:line="400" w:lineRule="exact"/>
        <w:jc w:val="center"/>
        <w:outlineLvl w:val="1"/>
        <w:rPr>
          <w:rFonts w:hint="eastAsia" w:ascii="宋体" w:hAnsi="宋体" w:cs="宋体"/>
          <w:color w:val="auto"/>
          <w:szCs w:val="21"/>
          <w:highlight w:val="none"/>
        </w:rPr>
      </w:pPr>
    </w:p>
    <w:p>
      <w:pPr>
        <w:snapToGrid w:val="0"/>
        <w:spacing w:line="400" w:lineRule="exact"/>
        <w:jc w:val="center"/>
        <w:outlineLvl w:val="1"/>
        <w:rPr>
          <w:rFonts w:hint="eastAsia" w:ascii="宋体" w:hAnsi="宋体" w:cs="宋体"/>
          <w:color w:val="auto"/>
          <w:szCs w:val="21"/>
          <w:highlight w:val="none"/>
        </w:rPr>
      </w:pPr>
    </w:p>
    <w:p>
      <w:pPr>
        <w:snapToGrid w:val="0"/>
        <w:spacing w:line="400" w:lineRule="exact"/>
        <w:outlineLvl w:val="1"/>
        <w:rPr>
          <w:rFonts w:hint="eastAsia" w:ascii="宋体" w:hAnsi="宋体" w:cs="宋体"/>
          <w:color w:val="auto"/>
          <w:szCs w:val="21"/>
          <w:highlight w:val="none"/>
        </w:rPr>
      </w:pPr>
    </w:p>
    <w:p>
      <w:pPr>
        <w:pStyle w:val="52"/>
        <w:ind w:firstLine="24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2"/>
        <w:ind w:firstLine="24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2"/>
        <w:ind w:firstLine="24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2"/>
        <w:ind w:firstLine="24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2"/>
        <w:ind w:firstLine="24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2"/>
        <w:ind w:firstLine="24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2"/>
        <w:ind w:firstLine="0" w:firstLineChars="0"/>
        <w:rPr>
          <w:rFonts w:hint="eastAsia"/>
          <w:color w:val="auto"/>
          <w:highlight w:val="none"/>
        </w:rPr>
      </w:pPr>
    </w:p>
    <w:p>
      <w:pPr>
        <w:widowControl/>
        <w:jc w:val="center"/>
        <w:rPr>
          <w:rFonts w:hint="eastAsia" w:ascii="宋体" w:hAnsi="宋体" w:cs="宋体"/>
          <w:b/>
          <w:color w:val="auto"/>
          <w:kern w:val="0"/>
          <w:sz w:val="36"/>
          <w:szCs w:val="36"/>
          <w:highlight w:val="none"/>
          <w:lang w:bidi="ar"/>
        </w:rPr>
      </w:pPr>
      <w:r>
        <w:rPr>
          <w:rFonts w:hint="eastAsia" w:ascii="宋体" w:hAnsi="宋体" w:cs="宋体"/>
          <w:b/>
          <w:color w:val="auto"/>
          <w:kern w:val="0"/>
          <w:sz w:val="36"/>
          <w:szCs w:val="36"/>
          <w:highlight w:val="none"/>
          <w:lang w:bidi="ar"/>
        </w:rPr>
        <w:t>不发达地区或少数民族地区的声明函</w:t>
      </w:r>
    </w:p>
    <w:p>
      <w:pPr>
        <w:pStyle w:val="52"/>
        <w:ind w:firstLine="240"/>
        <w:rPr>
          <w:color w:val="auto"/>
          <w:highlight w:val="none"/>
        </w:rPr>
      </w:pPr>
    </w:p>
    <w:p>
      <w:pPr>
        <w:widowControl/>
        <w:spacing w:line="500" w:lineRule="exact"/>
        <w:ind w:firstLine="480" w:firstLineChars="200"/>
        <w:jc w:val="left"/>
        <w:rPr>
          <w:color w:val="auto"/>
          <w:highlight w:val="none"/>
        </w:rPr>
      </w:pPr>
      <w:r>
        <w:rPr>
          <w:rFonts w:hint="eastAsia" w:ascii="宋体" w:hAnsi="宋体" w:cs="宋体"/>
          <w:color w:val="auto"/>
          <w:kern w:val="0"/>
          <w:sz w:val="24"/>
          <w:highlight w:val="none"/>
          <w:lang w:bidi="ar"/>
        </w:rPr>
        <w:t>本单位郑重声明，本单位为符合条件的不发达地区或少数民族地区单位，且本</w:t>
      </w:r>
    </w:p>
    <w:p>
      <w:pPr>
        <w:widowControl/>
        <w:spacing w:line="500" w:lineRule="exact"/>
        <w:jc w:val="left"/>
        <w:rPr>
          <w:color w:val="auto"/>
          <w:highlight w:val="none"/>
        </w:rPr>
      </w:pPr>
      <w:r>
        <w:rPr>
          <w:rFonts w:hint="eastAsia" w:ascii="宋体" w:hAnsi="宋体" w:cs="宋体"/>
          <w:color w:val="auto"/>
          <w:kern w:val="0"/>
          <w:sz w:val="24"/>
          <w:highlight w:val="none"/>
          <w:lang w:bidi="ar"/>
        </w:rPr>
        <w:t>单位参加_______单位的______项目采购活动提供本单位制造的货物（由本单位承担</w:t>
      </w:r>
    </w:p>
    <w:p>
      <w:pPr>
        <w:widowControl/>
        <w:spacing w:line="500" w:lineRule="exact"/>
        <w:jc w:val="left"/>
        <w:rPr>
          <w:color w:val="auto"/>
          <w:highlight w:val="none"/>
        </w:rPr>
      </w:pPr>
      <w:r>
        <w:rPr>
          <w:rFonts w:hint="eastAsia" w:ascii="宋体" w:hAnsi="宋体" w:cs="宋体"/>
          <w:color w:val="auto"/>
          <w:kern w:val="0"/>
          <w:sz w:val="24"/>
          <w:highlight w:val="none"/>
          <w:lang w:bidi="ar"/>
        </w:rPr>
        <w:t>工程/提供服务）。</w:t>
      </w:r>
    </w:p>
    <w:p>
      <w:pPr>
        <w:widowControl/>
        <w:spacing w:line="500" w:lineRule="exact"/>
        <w:ind w:firstLine="480" w:firstLineChars="200"/>
        <w:jc w:val="left"/>
        <w:rPr>
          <w:color w:val="auto"/>
          <w:highlight w:val="none"/>
        </w:rPr>
      </w:pPr>
      <w:r>
        <w:rPr>
          <w:rFonts w:hint="eastAsia" w:ascii="宋体" w:hAnsi="宋体" w:cs="宋体"/>
          <w:color w:val="auto"/>
          <w:kern w:val="0"/>
          <w:sz w:val="24"/>
          <w:highlight w:val="none"/>
          <w:lang w:bidi="ar"/>
        </w:rPr>
        <w:t>本单位对上述声明的真实性负责。如有虚假，将依法承担相应责任。</w:t>
      </w:r>
    </w:p>
    <w:p>
      <w:pPr>
        <w:widowControl/>
        <w:spacing w:line="500" w:lineRule="exact"/>
        <w:jc w:val="left"/>
        <w:rPr>
          <w:rFonts w:hint="eastAsia" w:ascii="宋体" w:hAnsi="宋体" w:cs="宋体"/>
          <w:color w:val="auto"/>
          <w:kern w:val="0"/>
          <w:sz w:val="24"/>
          <w:highlight w:val="none"/>
          <w:lang w:bidi="ar"/>
        </w:rPr>
      </w:pPr>
    </w:p>
    <w:p>
      <w:pPr>
        <w:widowControl/>
        <w:spacing w:line="500" w:lineRule="exact"/>
        <w:jc w:val="left"/>
        <w:rPr>
          <w:rFonts w:hint="eastAsia" w:ascii="宋体" w:hAnsi="宋体" w:cs="宋体"/>
          <w:color w:val="auto"/>
          <w:kern w:val="0"/>
          <w:sz w:val="24"/>
          <w:highlight w:val="none"/>
          <w:lang w:bidi="ar"/>
        </w:rPr>
      </w:pPr>
    </w:p>
    <w:p>
      <w:pPr>
        <w:widowControl/>
        <w:spacing w:line="500" w:lineRule="exact"/>
        <w:jc w:val="left"/>
        <w:rPr>
          <w:color w:val="auto"/>
          <w:highlight w:val="none"/>
        </w:rPr>
      </w:pPr>
      <w:r>
        <w:rPr>
          <w:rFonts w:hint="eastAsia" w:ascii="宋体" w:hAnsi="宋体" w:cs="宋体"/>
          <w:color w:val="auto"/>
          <w:kern w:val="0"/>
          <w:sz w:val="24"/>
          <w:highlight w:val="none"/>
          <w:lang w:bidi="ar"/>
        </w:rPr>
        <w:t>投标人全称（盖电子公章）：</w:t>
      </w:r>
    </w:p>
    <w:p>
      <w:pPr>
        <w:widowControl/>
        <w:spacing w:line="500" w:lineRule="exact"/>
        <w:jc w:val="left"/>
        <w:rPr>
          <w:color w:val="auto"/>
          <w:highlight w:val="none"/>
        </w:rPr>
      </w:pPr>
      <w:r>
        <w:rPr>
          <w:rFonts w:hint="eastAsia" w:ascii="宋体" w:hAnsi="宋体" w:cs="宋体"/>
          <w:color w:val="auto"/>
          <w:kern w:val="0"/>
          <w:sz w:val="24"/>
          <w:highlight w:val="none"/>
          <w:lang w:bidi="ar"/>
        </w:rPr>
        <w:t>日期：</w:t>
      </w:r>
    </w:p>
    <w:p>
      <w:pPr>
        <w:widowControl/>
        <w:spacing w:line="500" w:lineRule="exact"/>
        <w:jc w:val="left"/>
        <w:rPr>
          <w:rFonts w:hint="eastAsia" w:ascii="宋体" w:hAnsi="宋体" w:cs="宋体"/>
          <w:b/>
          <w:color w:val="auto"/>
          <w:kern w:val="0"/>
          <w:sz w:val="24"/>
          <w:highlight w:val="none"/>
          <w:lang w:bidi="ar"/>
        </w:rPr>
      </w:pPr>
    </w:p>
    <w:p>
      <w:pPr>
        <w:widowControl/>
        <w:spacing w:line="500" w:lineRule="exact"/>
        <w:jc w:val="left"/>
        <w:rPr>
          <w:rFonts w:hint="eastAsia" w:ascii="宋体" w:hAnsi="宋体" w:cs="宋体"/>
          <w:b/>
          <w:color w:val="auto"/>
          <w:kern w:val="0"/>
          <w:sz w:val="24"/>
          <w:highlight w:val="none"/>
          <w:lang w:bidi="ar"/>
        </w:rPr>
      </w:pPr>
    </w:p>
    <w:p>
      <w:pPr>
        <w:widowControl/>
        <w:spacing w:line="500" w:lineRule="exact"/>
        <w:jc w:val="left"/>
        <w:rPr>
          <w:color w:val="auto"/>
          <w:highlight w:val="none"/>
        </w:rPr>
      </w:pPr>
      <w:r>
        <w:rPr>
          <w:rFonts w:hint="eastAsia" w:ascii="宋体" w:hAnsi="宋体" w:cs="宋体"/>
          <w:b/>
          <w:color w:val="auto"/>
          <w:kern w:val="0"/>
          <w:sz w:val="24"/>
          <w:highlight w:val="none"/>
          <w:lang w:bidi="ar"/>
        </w:rPr>
        <w:t>注：投标人注册地为不发达地区或少数民族地区时提供“不发达地区或少数民</w:t>
      </w:r>
    </w:p>
    <w:p>
      <w:pPr>
        <w:widowControl/>
        <w:spacing w:line="500" w:lineRule="exact"/>
        <w:jc w:val="left"/>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族地区的声明函”并附相关资料</w:t>
      </w:r>
    </w:p>
    <w:p>
      <w:pPr>
        <w:pStyle w:val="52"/>
        <w:ind w:firstLine="241"/>
        <w:rPr>
          <w:rFonts w:hint="eastAsia" w:ascii="宋体" w:hAnsi="宋体" w:cs="宋体"/>
          <w:b/>
          <w:color w:val="auto"/>
          <w:szCs w:val="24"/>
          <w:highlight w:val="none"/>
          <w:lang w:bidi="ar"/>
        </w:rPr>
      </w:pPr>
    </w:p>
    <w:p>
      <w:pPr>
        <w:rPr>
          <w:rFonts w:hint="eastAsia" w:ascii="宋体" w:hAnsi="宋体" w:cs="宋体"/>
          <w:b/>
          <w:color w:val="auto"/>
          <w:kern w:val="0"/>
          <w:sz w:val="24"/>
          <w:highlight w:val="none"/>
          <w:lang w:bidi="ar"/>
        </w:rPr>
      </w:pPr>
    </w:p>
    <w:p>
      <w:pPr>
        <w:pStyle w:val="52"/>
        <w:ind w:firstLine="241"/>
        <w:rPr>
          <w:rFonts w:hint="eastAsia" w:ascii="宋体" w:hAnsi="宋体" w:cs="宋体"/>
          <w:b/>
          <w:color w:val="auto"/>
          <w:szCs w:val="24"/>
          <w:highlight w:val="none"/>
          <w:lang w:bidi="ar"/>
        </w:rPr>
      </w:pPr>
    </w:p>
    <w:p>
      <w:pPr>
        <w:rPr>
          <w:rFonts w:hint="eastAsia" w:ascii="宋体" w:hAnsi="宋体" w:cs="宋体"/>
          <w:b/>
          <w:color w:val="auto"/>
          <w:kern w:val="0"/>
          <w:sz w:val="24"/>
          <w:highlight w:val="none"/>
          <w:lang w:bidi="ar"/>
        </w:rPr>
      </w:pPr>
    </w:p>
    <w:p>
      <w:pPr>
        <w:pStyle w:val="52"/>
        <w:ind w:firstLine="241"/>
        <w:rPr>
          <w:rFonts w:hint="eastAsia" w:ascii="宋体" w:hAnsi="宋体" w:cs="宋体"/>
          <w:b/>
          <w:color w:val="auto"/>
          <w:szCs w:val="24"/>
          <w:highlight w:val="none"/>
          <w:lang w:bidi="ar"/>
        </w:rPr>
      </w:pPr>
    </w:p>
    <w:p>
      <w:pPr>
        <w:rPr>
          <w:rFonts w:hint="eastAsia" w:ascii="宋体" w:hAnsi="宋体" w:cs="宋体"/>
          <w:b/>
          <w:color w:val="auto"/>
          <w:kern w:val="0"/>
          <w:sz w:val="24"/>
          <w:highlight w:val="none"/>
          <w:lang w:bidi="ar"/>
        </w:rPr>
      </w:pPr>
    </w:p>
    <w:p>
      <w:pPr>
        <w:pStyle w:val="52"/>
        <w:ind w:firstLine="241"/>
        <w:rPr>
          <w:rFonts w:hint="eastAsia" w:ascii="宋体" w:hAnsi="宋体" w:cs="宋体"/>
          <w:b/>
          <w:color w:val="auto"/>
          <w:szCs w:val="24"/>
          <w:highlight w:val="none"/>
          <w:lang w:bidi="ar"/>
        </w:rPr>
      </w:pPr>
    </w:p>
    <w:p>
      <w:pPr>
        <w:rPr>
          <w:rFonts w:hint="eastAsia" w:ascii="宋体" w:hAnsi="宋体" w:cs="宋体"/>
          <w:b/>
          <w:color w:val="auto"/>
          <w:kern w:val="0"/>
          <w:sz w:val="24"/>
          <w:highlight w:val="none"/>
          <w:lang w:bidi="ar"/>
        </w:rPr>
      </w:pPr>
    </w:p>
    <w:p>
      <w:pPr>
        <w:pStyle w:val="52"/>
        <w:ind w:firstLine="241"/>
        <w:rPr>
          <w:rFonts w:hint="eastAsia" w:ascii="宋体" w:hAnsi="宋体" w:cs="宋体"/>
          <w:b/>
          <w:color w:val="auto"/>
          <w:szCs w:val="24"/>
          <w:highlight w:val="none"/>
          <w:lang w:bidi="ar"/>
        </w:rPr>
      </w:pPr>
    </w:p>
    <w:p>
      <w:pPr>
        <w:rPr>
          <w:rFonts w:hint="eastAsia" w:ascii="宋体" w:hAnsi="宋体" w:cs="宋体"/>
          <w:b/>
          <w:color w:val="auto"/>
          <w:kern w:val="0"/>
          <w:sz w:val="24"/>
          <w:highlight w:val="none"/>
          <w:lang w:bidi="ar"/>
        </w:rPr>
      </w:pPr>
    </w:p>
    <w:p>
      <w:pPr>
        <w:pStyle w:val="52"/>
        <w:ind w:firstLine="241"/>
        <w:rPr>
          <w:rFonts w:hint="eastAsia" w:ascii="宋体" w:hAnsi="宋体" w:cs="宋体"/>
          <w:b/>
          <w:color w:val="auto"/>
          <w:szCs w:val="24"/>
          <w:highlight w:val="none"/>
          <w:lang w:bidi="ar"/>
        </w:rPr>
      </w:pPr>
    </w:p>
    <w:p>
      <w:pPr>
        <w:rPr>
          <w:rFonts w:hint="eastAsia" w:ascii="宋体" w:hAnsi="宋体" w:cs="宋体"/>
          <w:b/>
          <w:color w:val="auto"/>
          <w:kern w:val="0"/>
          <w:sz w:val="24"/>
          <w:highlight w:val="none"/>
          <w:lang w:bidi="ar"/>
        </w:rPr>
      </w:pPr>
    </w:p>
    <w:p>
      <w:pPr>
        <w:spacing w:line="360" w:lineRule="auto"/>
        <w:rPr>
          <w:rFonts w:hint="eastAsia" w:ascii="宋体" w:hAnsi="宋体" w:cs="宋体"/>
          <w:b/>
          <w:color w:val="auto"/>
          <w:kern w:val="0"/>
          <w:sz w:val="24"/>
          <w:highlight w:val="none"/>
          <w:lang w:bidi="ar"/>
        </w:rPr>
      </w:pPr>
    </w:p>
    <w:p>
      <w:pPr>
        <w:spacing w:line="360" w:lineRule="auto"/>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二、商务技术文件封面格式</w:t>
      </w: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40"/>
          <w:szCs w:val="40"/>
          <w:highlight w:val="none"/>
        </w:rPr>
        <w:t>山明美术院扩建工程弱电智能化设备采购项目</w:t>
      </w:r>
    </w:p>
    <w:p>
      <w:pPr>
        <w:pStyle w:val="50"/>
        <w:tabs>
          <w:tab w:val="left" w:pos="1200"/>
        </w:tabs>
        <w:spacing w:after="480"/>
        <w:rPr>
          <w:rFonts w:hint="eastAsia" w:ascii="宋体" w:hAnsi="宋体" w:cs="宋体"/>
          <w:color w:val="auto"/>
          <w:highlight w:val="none"/>
        </w:rPr>
      </w:pPr>
    </w:p>
    <w:p>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eastAsia" w:ascii="宋体" w:hAnsi="宋体" w:cs="宋体"/>
          <w:b/>
          <w:color w:val="auto"/>
          <w:sz w:val="44"/>
          <w:szCs w:val="44"/>
          <w:highlight w:val="none"/>
        </w:rPr>
      </w:pPr>
    </w:p>
    <w:p>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（商务技术投标文件）</w:t>
      </w:r>
    </w:p>
    <w:p>
      <w:pPr>
        <w:autoSpaceDE w:val="0"/>
        <w:autoSpaceDN w:val="0"/>
        <w:adjustRightInd w:val="0"/>
        <w:spacing w:line="360" w:lineRule="auto"/>
        <w:jc w:val="center"/>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项目编号：HZJSCGGK2022003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投标人名称（盖电子公章）：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snapToGrid w:val="0"/>
        <w:spacing w:line="400" w:lineRule="exact"/>
        <w:jc w:val="center"/>
        <w:outlineLvl w:val="1"/>
        <w:rPr>
          <w:rFonts w:hint="eastAsia" w:ascii="宋体" w:hAnsi="宋体" w:cs="宋体"/>
          <w:color w:val="auto"/>
          <w:szCs w:val="21"/>
          <w:highlight w:val="none"/>
        </w:rPr>
      </w:pPr>
    </w:p>
    <w:p>
      <w:pPr>
        <w:snapToGrid w:val="0"/>
        <w:spacing w:line="400" w:lineRule="exact"/>
        <w:jc w:val="center"/>
        <w:outlineLvl w:val="1"/>
        <w:rPr>
          <w:rFonts w:hint="eastAsia" w:ascii="宋体" w:hAnsi="宋体" w:cs="宋体"/>
          <w:color w:val="auto"/>
          <w:szCs w:val="21"/>
          <w:highlight w:val="none"/>
        </w:rPr>
      </w:pPr>
    </w:p>
    <w:p>
      <w:pPr>
        <w:widowControl/>
        <w:jc w:val="left"/>
        <w:rPr>
          <w:rFonts w:hint="eastAsia" w:ascii="宋体" w:hAnsi="宋体" w:cs="宋体"/>
          <w:b/>
          <w:color w:val="auto"/>
          <w:szCs w:val="21"/>
          <w:highlight w:val="none"/>
        </w:rPr>
      </w:pPr>
    </w:p>
    <w:p>
      <w:pPr>
        <w:widowControl/>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商务技术文件目录（供参考）</w:t>
      </w:r>
    </w:p>
    <w:p>
      <w:pPr>
        <w:pStyle w:val="2"/>
        <w:ind w:firstLine="560"/>
        <w:rPr>
          <w:rFonts w:hint="eastAsia"/>
          <w:color w:val="auto"/>
          <w:highlight w:val="none"/>
        </w:rPr>
      </w:pPr>
    </w:p>
    <w:p>
      <w:pPr>
        <w:widowControl/>
        <w:spacing w:line="50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1.投标人基本情况表（格式见附件）——————————————————页码</w:t>
      </w:r>
    </w:p>
    <w:p>
      <w:pPr>
        <w:widowControl/>
        <w:spacing w:line="50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2.法定代表人资格说明书和法定代表人授权委托书（格式见附件）—————页码</w:t>
      </w:r>
    </w:p>
    <w:p>
      <w:pPr>
        <w:widowControl/>
        <w:spacing w:line="50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3.商务响应表（格式见附件）—————————————————————页码</w:t>
      </w:r>
    </w:p>
    <w:p>
      <w:pPr>
        <w:widowControl/>
        <w:spacing w:line="50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4.技术响应表（格式见附件）—————————————————————页码</w:t>
      </w:r>
    </w:p>
    <w:p>
      <w:pPr>
        <w:widowControl/>
        <w:spacing w:line="50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5.商务技术分自评表（格式自拟）———————————————————页码</w:t>
      </w:r>
    </w:p>
    <w:p>
      <w:pPr>
        <w:widowControl/>
        <w:spacing w:line="50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6.投标货物的性能及技术指标—————————————————————页码</w:t>
      </w:r>
    </w:p>
    <w:p>
      <w:pPr>
        <w:widowControl/>
        <w:spacing w:line="50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7.投标人需要说明的其他资料（对照相应项目评分标准，由投标人自行考虑）——页码。 </w:t>
      </w:r>
    </w:p>
    <w:p>
      <w:pPr>
        <w:widowControl/>
        <w:spacing w:line="500" w:lineRule="exact"/>
        <w:jc w:val="left"/>
        <w:rPr>
          <w:rFonts w:hint="eastAsia" w:ascii="宋体" w:hAnsi="宋体" w:cs="宋体"/>
          <w:bCs/>
          <w:color w:val="auto"/>
          <w:sz w:val="24"/>
          <w:highlight w:val="none"/>
        </w:rPr>
      </w:pPr>
    </w:p>
    <w:p>
      <w:pPr>
        <w:widowControl/>
        <w:spacing w:line="50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注：1.投标人根据商务技术分评分细则附“商务技术分自评表”【格式自拟】</w:t>
      </w:r>
    </w:p>
    <w:p>
      <w:pPr>
        <w:widowControl/>
        <w:spacing w:line="500" w:lineRule="exact"/>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sz w:val="24"/>
          <w:highlight w:val="none"/>
        </w:rPr>
        <w:t>2.商务技术文件的文字部分及其他未提供格式部分由各投标人根据招标文件要求、评分标准要求自行设置。</w:t>
      </w:r>
    </w:p>
    <w:p>
      <w:pPr>
        <w:widowControl/>
        <w:jc w:val="left"/>
        <w:rPr>
          <w:rFonts w:hint="eastAsia" w:ascii="宋体" w:hAnsi="宋体" w:cs="宋体"/>
          <w:b/>
          <w:color w:val="auto"/>
          <w:kern w:val="0"/>
          <w:sz w:val="31"/>
          <w:szCs w:val="31"/>
          <w:highlight w:val="none"/>
          <w:lang w:bidi="ar"/>
        </w:rPr>
      </w:pPr>
    </w:p>
    <w:p>
      <w:pPr>
        <w:widowControl/>
        <w:jc w:val="left"/>
        <w:rPr>
          <w:rFonts w:hint="eastAsia" w:ascii="宋体" w:hAnsi="宋体" w:cs="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pStyle w:val="148"/>
        <w:rPr>
          <w:rFonts w:ascii="宋体" w:hAnsi="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widowControl/>
        <w:jc w:val="center"/>
        <w:rPr>
          <w:color w:val="auto"/>
          <w:highlight w:val="none"/>
        </w:rPr>
      </w:pPr>
      <w:r>
        <w:rPr>
          <w:rFonts w:hint="eastAsia" w:ascii="宋体" w:hAnsi="宋体" w:cs="宋体"/>
          <w:b/>
          <w:color w:val="auto"/>
          <w:kern w:val="0"/>
          <w:sz w:val="31"/>
          <w:szCs w:val="31"/>
          <w:highlight w:val="none"/>
          <w:lang w:bidi="ar"/>
        </w:rPr>
        <w:t>投标人基本情况表</w:t>
      </w:r>
    </w:p>
    <w:p>
      <w:pPr>
        <w:rPr>
          <w:rFonts w:hint="eastAsia" w:ascii="宋体" w:hAnsi="宋体"/>
          <w:b/>
          <w:color w:val="auto"/>
          <w:sz w:val="28"/>
          <w:szCs w:val="28"/>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100"/>
        <w:gridCol w:w="2094"/>
        <w:gridCol w:w="195"/>
        <w:gridCol w:w="1246"/>
        <w:gridCol w:w="260"/>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r>
              <w:rPr>
                <w:rFonts w:hint="eastAsia" w:ascii="宋体" w:hAnsi="宋体"/>
                <w:color w:val="auto"/>
                <w:sz w:val="24"/>
                <w:highlight w:val="none"/>
              </w:rPr>
              <w:t>投标人名称</w:t>
            </w:r>
          </w:p>
        </w:tc>
        <w:tc>
          <w:tcPr>
            <w:tcW w:w="7020" w:type="dxa"/>
            <w:gridSpan w:val="6"/>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r>
              <w:rPr>
                <w:rFonts w:hint="eastAsia" w:ascii="宋体" w:hAnsi="宋体"/>
                <w:color w:val="auto"/>
                <w:sz w:val="24"/>
                <w:highlight w:val="none"/>
              </w:rPr>
              <w:t>注册地址</w:t>
            </w:r>
          </w:p>
        </w:tc>
        <w:tc>
          <w:tcPr>
            <w:tcW w:w="3389"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r>
              <w:rPr>
                <w:rFonts w:hint="eastAsia" w:ascii="宋体" w:hAnsi="宋体"/>
                <w:color w:val="auto"/>
                <w:sz w:val="24"/>
                <w:highlight w:val="none"/>
              </w:rPr>
              <w:t>邮政编码</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r>
              <w:rPr>
                <w:rFonts w:hint="eastAsia" w:ascii="宋体" w:hAnsi="宋体"/>
                <w:color w:val="auto"/>
                <w:sz w:val="24"/>
                <w:highlight w:val="none"/>
              </w:rPr>
              <w:t>联系方式</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r>
              <w:rPr>
                <w:rFonts w:hint="eastAsia" w:ascii="宋体" w:hAnsi="宋体"/>
                <w:color w:val="auto"/>
                <w:sz w:val="24"/>
                <w:highlight w:val="none"/>
              </w:rPr>
              <w:t>联系人</w:t>
            </w:r>
          </w:p>
        </w:tc>
        <w:tc>
          <w:tcPr>
            <w:tcW w:w="2289"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r>
              <w:rPr>
                <w:rFonts w:hint="eastAsia" w:ascii="宋体" w:hAnsi="宋体"/>
                <w:color w:val="auto"/>
                <w:sz w:val="24"/>
                <w:highlight w:val="none"/>
              </w:rPr>
              <w:t>电  话</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r>
              <w:rPr>
                <w:rFonts w:hint="eastAsia" w:ascii="宋体" w:hAnsi="宋体"/>
                <w:color w:val="auto"/>
                <w:sz w:val="24"/>
                <w:highlight w:val="none"/>
              </w:rPr>
              <w:t>传  真</w:t>
            </w:r>
          </w:p>
        </w:tc>
        <w:tc>
          <w:tcPr>
            <w:tcW w:w="2289"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r>
              <w:rPr>
                <w:rFonts w:hint="eastAsia" w:ascii="宋体" w:hAnsi="宋体"/>
                <w:color w:val="auto"/>
                <w:sz w:val="24"/>
                <w:highlight w:val="none"/>
              </w:rPr>
              <w:t>网  址</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highlight w:val="none"/>
              </w:rPr>
            </w:pPr>
            <w:r>
              <w:rPr>
                <w:rFonts w:hint="eastAsia" w:ascii="宋体" w:hAnsi="宋体"/>
                <w:color w:val="auto"/>
                <w:sz w:val="24"/>
                <w:highlight w:val="none"/>
              </w:rPr>
              <w:t>企业资质</w:t>
            </w:r>
          </w:p>
        </w:tc>
        <w:tc>
          <w:tcPr>
            <w:tcW w:w="7020" w:type="dxa"/>
            <w:gridSpan w:val="6"/>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ascii="宋体" w:hAnsi="宋体"/>
                <w:color w:val="auto"/>
                <w:sz w:val="24"/>
                <w:highlight w:val="none"/>
              </w:rPr>
            </w:pPr>
            <w:r>
              <w:rPr>
                <w:rFonts w:hint="eastAsia" w:ascii="宋体" w:hAnsi="宋体"/>
                <w:color w:val="auto"/>
                <w:sz w:val="24"/>
                <w:highlight w:val="none"/>
              </w:rPr>
              <w:t>1.等级：               2. 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highlight w:val="none"/>
              </w:rPr>
            </w:pPr>
            <w:r>
              <w:rPr>
                <w:rFonts w:hint="eastAsia" w:ascii="宋体" w:hAnsi="宋体"/>
                <w:color w:val="auto"/>
                <w:sz w:val="24"/>
                <w:highlight w:val="none"/>
              </w:rPr>
              <w:t>营业执照</w:t>
            </w:r>
          </w:p>
        </w:tc>
        <w:tc>
          <w:tcPr>
            <w:tcW w:w="7020" w:type="dxa"/>
            <w:gridSpan w:val="6"/>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ascii="宋体" w:hAnsi="宋体"/>
                <w:color w:val="auto"/>
                <w:sz w:val="24"/>
                <w:highlight w:val="none"/>
              </w:rPr>
            </w:pPr>
            <w:r>
              <w:rPr>
                <w:rFonts w:hint="eastAsia" w:ascii="宋体" w:hAnsi="宋体"/>
                <w:color w:val="auto"/>
                <w:sz w:val="24"/>
                <w:highlight w:val="none"/>
              </w:rPr>
              <w:t>1.编号：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highlight w:val="none"/>
              </w:rPr>
            </w:pPr>
            <w:r>
              <w:rPr>
                <w:rFonts w:hint="eastAsia" w:ascii="宋体" w:hAnsi="宋体"/>
                <w:color w:val="auto"/>
                <w:sz w:val="24"/>
                <w:highlight w:val="none"/>
              </w:rPr>
              <w:t>建立日期</w:t>
            </w:r>
          </w:p>
        </w:tc>
        <w:tc>
          <w:tcPr>
            <w:tcW w:w="3194"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highlight w:val="none"/>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highlight w:val="none"/>
              </w:rPr>
            </w:pPr>
            <w:r>
              <w:rPr>
                <w:rFonts w:hint="eastAsia" w:ascii="宋体" w:hAnsi="宋体"/>
                <w:color w:val="auto"/>
                <w:sz w:val="24"/>
                <w:highlight w:val="none"/>
              </w:rPr>
              <w:t>现有职工</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highlight w:val="none"/>
              </w:rPr>
            </w:pPr>
            <w:r>
              <w:rPr>
                <w:rFonts w:hint="eastAsia" w:ascii="宋体" w:hAnsi="宋体"/>
                <w:color w:val="auto"/>
                <w:sz w:val="24"/>
                <w:highlight w:val="none"/>
              </w:rPr>
              <w:t>固定资产净值（万元）</w:t>
            </w:r>
          </w:p>
        </w:tc>
        <w:tc>
          <w:tcPr>
            <w:tcW w:w="7020" w:type="dxa"/>
            <w:gridSpan w:val="6"/>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r>
              <w:rPr>
                <w:rFonts w:hint="eastAsia" w:ascii="宋体" w:hAnsi="宋体"/>
                <w:color w:val="auto"/>
                <w:sz w:val="24"/>
                <w:highlight w:val="none"/>
              </w:rPr>
              <w:t>法定代表人</w:t>
            </w:r>
          </w:p>
        </w:tc>
        <w:tc>
          <w:tcPr>
            <w:tcW w:w="7020" w:type="dxa"/>
            <w:gridSpan w:val="6"/>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color w:val="auto"/>
                <w:sz w:val="24"/>
                <w:highlight w:val="none"/>
              </w:rPr>
            </w:pPr>
            <w:r>
              <w:rPr>
                <w:rFonts w:hint="eastAsia" w:ascii="宋体" w:hAnsi="宋体"/>
                <w:color w:val="auto"/>
                <w:sz w:val="24"/>
                <w:highlight w:val="none"/>
              </w:rPr>
              <w:t>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r>
              <w:rPr>
                <w:rFonts w:hint="eastAsia" w:ascii="宋体" w:hAnsi="宋体"/>
                <w:color w:val="auto"/>
                <w:sz w:val="24"/>
                <w:highlight w:val="none"/>
              </w:rPr>
              <w:t>技术负责人</w:t>
            </w:r>
          </w:p>
        </w:tc>
        <w:tc>
          <w:tcPr>
            <w:tcW w:w="7020" w:type="dxa"/>
            <w:gridSpan w:val="6"/>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ascii="宋体" w:hAnsi="宋体"/>
                <w:color w:val="auto"/>
                <w:sz w:val="24"/>
                <w:highlight w:val="none"/>
              </w:rPr>
            </w:pPr>
            <w:r>
              <w:rPr>
                <w:rFonts w:hint="eastAsia" w:ascii="宋体" w:hAnsi="宋体"/>
                <w:color w:val="auto"/>
                <w:sz w:val="24"/>
                <w:highlight w:val="none"/>
              </w:rPr>
              <w:t>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highlight w:val="none"/>
              </w:rPr>
            </w:pPr>
            <w:r>
              <w:rPr>
                <w:rFonts w:hint="eastAsia" w:ascii="宋体" w:hAnsi="宋体"/>
                <w:color w:val="auto"/>
                <w:sz w:val="24"/>
                <w:highlight w:val="none"/>
              </w:rPr>
              <w:t>经营范围</w:t>
            </w:r>
          </w:p>
        </w:tc>
        <w:tc>
          <w:tcPr>
            <w:tcW w:w="7020" w:type="dxa"/>
            <w:gridSpan w:val="6"/>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highlight w:val="none"/>
              </w:rPr>
            </w:pPr>
            <w:r>
              <w:rPr>
                <w:rFonts w:hint="eastAsia" w:ascii="宋体" w:hAnsi="宋体"/>
                <w:color w:val="auto"/>
                <w:sz w:val="24"/>
                <w:highlight w:val="none"/>
              </w:rPr>
              <w:t>开户银行</w:t>
            </w:r>
          </w:p>
        </w:tc>
        <w:tc>
          <w:tcPr>
            <w:tcW w:w="702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开 户 名： </w:t>
            </w:r>
          </w:p>
          <w:p>
            <w:pPr>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基本账号：</w:t>
            </w:r>
          </w:p>
          <w:p>
            <w:pPr>
              <w:pStyle w:val="148"/>
              <w:spacing w:after="0" w:line="500" w:lineRule="exact"/>
              <w:ind w:left="0" w:leftChars="0" w:firstLine="0"/>
              <w:rPr>
                <w:rFonts w:hint="eastAsia"/>
                <w:color w:val="auto"/>
                <w:sz w:val="24"/>
                <w:highlight w:val="none"/>
              </w:rPr>
            </w:pPr>
            <w:r>
              <w:rPr>
                <w:rFonts w:hint="eastAsia" w:ascii="宋体" w:hAnsi="宋体"/>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highlight w:val="none"/>
              </w:rPr>
            </w:pPr>
            <w:r>
              <w:rPr>
                <w:rFonts w:hint="eastAsia" w:ascii="宋体" w:hAnsi="宋体"/>
                <w:color w:val="auto"/>
                <w:sz w:val="24"/>
                <w:highlight w:val="none"/>
              </w:rPr>
              <w:t>专业履约能力介绍</w:t>
            </w:r>
          </w:p>
        </w:tc>
        <w:tc>
          <w:tcPr>
            <w:tcW w:w="7020" w:type="dxa"/>
            <w:gridSpan w:val="6"/>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highlight w:val="none"/>
              </w:rPr>
            </w:pPr>
            <w:r>
              <w:rPr>
                <w:rFonts w:hint="eastAsia" w:ascii="宋体" w:hAnsi="宋体"/>
                <w:color w:val="auto"/>
                <w:sz w:val="24"/>
                <w:highlight w:val="none"/>
              </w:rPr>
              <w:t>其他</w:t>
            </w:r>
          </w:p>
        </w:tc>
        <w:tc>
          <w:tcPr>
            <w:tcW w:w="7020" w:type="dxa"/>
            <w:gridSpan w:val="6"/>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ascii="宋体" w:hAnsi="宋体"/>
                <w:color w:val="auto"/>
                <w:sz w:val="24"/>
                <w:highlight w:val="none"/>
              </w:rPr>
            </w:pPr>
          </w:p>
        </w:tc>
      </w:tr>
    </w:tbl>
    <w:p>
      <w:pPr>
        <w:widowControl/>
        <w:spacing w:line="440" w:lineRule="exact"/>
        <w:jc w:val="left"/>
        <w:rPr>
          <w:bCs/>
          <w:color w:val="auto"/>
          <w:sz w:val="24"/>
          <w:highlight w:val="none"/>
        </w:rPr>
      </w:pPr>
      <w:r>
        <w:rPr>
          <w:rFonts w:hint="eastAsia" w:ascii="宋体" w:hAnsi="宋体" w:cs="宋体"/>
          <w:bCs/>
          <w:color w:val="auto"/>
          <w:kern w:val="0"/>
          <w:sz w:val="24"/>
          <w:highlight w:val="none"/>
          <w:lang w:bidi="ar"/>
        </w:rPr>
        <w:t xml:space="preserve">投标人（盖电子公章）： </w:t>
      </w:r>
    </w:p>
    <w:p>
      <w:pPr>
        <w:widowControl/>
        <w:spacing w:line="440" w:lineRule="exact"/>
        <w:jc w:val="left"/>
        <w:rPr>
          <w:bCs/>
          <w:color w:val="auto"/>
          <w:sz w:val="24"/>
          <w:highlight w:val="none"/>
        </w:rPr>
      </w:pPr>
      <w:r>
        <w:rPr>
          <w:rFonts w:hint="eastAsia" w:ascii="宋体" w:hAnsi="宋体" w:cs="宋体"/>
          <w:bCs/>
          <w:color w:val="auto"/>
          <w:kern w:val="0"/>
          <w:sz w:val="24"/>
          <w:highlight w:val="none"/>
          <w:lang w:bidi="ar"/>
        </w:rPr>
        <w:t>法定代表人或授权代表(签字或盖章)：</w:t>
      </w:r>
    </w:p>
    <w:p>
      <w:pPr>
        <w:widowControl/>
        <w:spacing w:line="440" w:lineRule="exact"/>
        <w:jc w:val="left"/>
        <w:rPr>
          <w:bCs/>
          <w:color w:val="auto"/>
          <w:sz w:val="24"/>
          <w:highlight w:val="none"/>
        </w:rPr>
      </w:pPr>
      <w:r>
        <w:rPr>
          <w:rFonts w:hint="eastAsia" w:ascii="宋体" w:hAnsi="宋体" w:cs="宋体"/>
          <w:bCs/>
          <w:color w:val="auto"/>
          <w:kern w:val="0"/>
          <w:sz w:val="24"/>
          <w:highlight w:val="none"/>
          <w:lang w:bidi="ar"/>
        </w:rPr>
        <w:t>时间：   年   月  日</w:t>
      </w:r>
    </w:p>
    <w:p>
      <w:pPr>
        <w:widowControl/>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法定代表人资格说明书格式：</w:t>
      </w:r>
    </w:p>
    <w:p>
      <w:pPr>
        <w:widowControl/>
        <w:jc w:val="center"/>
        <w:rPr>
          <w:rFonts w:hint="eastAsia" w:ascii="宋体" w:hAnsi="宋体" w:cs="宋体"/>
          <w:b/>
          <w:color w:val="auto"/>
          <w:kern w:val="0"/>
          <w:sz w:val="28"/>
          <w:szCs w:val="28"/>
          <w:highlight w:val="none"/>
          <w:lang w:bidi="ar"/>
        </w:rPr>
      </w:pPr>
    </w:p>
    <w:p>
      <w:pPr>
        <w:widowControl/>
        <w:jc w:val="center"/>
        <w:rPr>
          <w:rFonts w:hint="eastAsia"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法定代表人证明书</w:t>
      </w:r>
    </w:p>
    <w:p>
      <w:pPr>
        <w:widowControl/>
        <w:rPr>
          <w:rFonts w:hint="eastAsia" w:ascii="宋体" w:hAnsi="宋体" w:cs="宋体"/>
          <w:b/>
          <w:color w:val="auto"/>
          <w:kern w:val="0"/>
          <w:sz w:val="28"/>
          <w:szCs w:val="28"/>
          <w:highlight w:val="none"/>
          <w:lang w:bidi="ar"/>
        </w:rPr>
      </w:pPr>
    </w:p>
    <w:p>
      <w:pPr>
        <w:widowControl/>
        <w:spacing w:line="500" w:lineRule="exact"/>
        <w:ind w:firstLine="562" w:firstLineChars="200"/>
        <w:rPr>
          <w:color w:val="auto"/>
          <w:highlight w:val="none"/>
        </w:rPr>
      </w:pPr>
      <w:r>
        <w:rPr>
          <w:rFonts w:hint="eastAsia" w:ascii="宋体" w:hAnsi="宋体" w:cs="宋体"/>
          <w:b/>
          <w:color w:val="auto"/>
          <w:kern w:val="0"/>
          <w:sz w:val="28"/>
          <w:szCs w:val="28"/>
          <w:highlight w:val="none"/>
          <w:u w:val="single"/>
          <w:lang w:bidi="ar"/>
        </w:rPr>
        <w:t xml:space="preserve">         </w:t>
      </w:r>
      <w:r>
        <w:rPr>
          <w:rFonts w:hint="eastAsia" w:ascii="宋体" w:hAnsi="宋体" w:cs="宋体"/>
          <w:color w:val="auto"/>
          <w:kern w:val="0"/>
          <w:sz w:val="24"/>
          <w:highlight w:val="none"/>
          <w:lang w:bidi="ar"/>
        </w:rPr>
        <w:t>系</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的法定代表人。身份证号：</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 </w:t>
      </w:r>
    </w:p>
    <w:p>
      <w:pPr>
        <w:widowControl/>
        <w:spacing w:line="500" w:lineRule="exact"/>
        <w:ind w:firstLine="480" w:firstLineChars="200"/>
        <w:jc w:val="left"/>
        <w:rPr>
          <w:color w:val="auto"/>
          <w:highlight w:val="none"/>
        </w:rPr>
      </w:pPr>
      <w:r>
        <w:rPr>
          <w:rFonts w:hint="eastAsia" w:ascii="宋体" w:hAnsi="宋体" w:cs="宋体"/>
          <w:color w:val="auto"/>
          <w:kern w:val="0"/>
          <w:sz w:val="24"/>
          <w:highlight w:val="none"/>
          <w:lang w:bidi="ar"/>
        </w:rPr>
        <w:t>特此证明。</w:t>
      </w:r>
    </w:p>
    <w:p>
      <w:pPr>
        <w:widowControl/>
        <w:spacing w:line="500" w:lineRule="exact"/>
        <w:jc w:val="left"/>
        <w:rPr>
          <w:rFonts w:hint="eastAsia" w:ascii="宋体" w:hAnsi="宋体" w:cs="宋体"/>
          <w:color w:val="auto"/>
          <w:kern w:val="0"/>
          <w:sz w:val="24"/>
          <w:highlight w:val="none"/>
          <w:lang w:bidi="ar"/>
        </w:rPr>
      </w:pPr>
    </w:p>
    <w:p>
      <w:pPr>
        <w:widowControl/>
        <w:spacing w:line="500" w:lineRule="exact"/>
        <w:jc w:val="left"/>
        <w:rPr>
          <w:rFonts w:hint="eastAsia" w:ascii="宋体" w:hAnsi="宋体" w:cs="宋体"/>
          <w:color w:val="auto"/>
          <w:kern w:val="0"/>
          <w:sz w:val="24"/>
          <w:highlight w:val="none"/>
          <w:lang w:bidi="ar"/>
        </w:rPr>
      </w:pPr>
    </w:p>
    <w:p>
      <w:pPr>
        <w:widowControl/>
        <w:spacing w:line="500" w:lineRule="exact"/>
        <w:jc w:val="left"/>
        <w:rPr>
          <w:color w:val="auto"/>
          <w:highlight w:val="none"/>
        </w:rPr>
      </w:pPr>
      <w:r>
        <w:rPr>
          <w:rFonts w:hint="eastAsia" w:ascii="宋体" w:hAnsi="宋体" w:cs="宋体"/>
          <w:color w:val="auto"/>
          <w:kern w:val="0"/>
          <w:sz w:val="24"/>
          <w:highlight w:val="none"/>
          <w:lang w:bidi="ar"/>
        </w:rPr>
        <w:t xml:space="preserve">投标人全称（盖电子公章） </w:t>
      </w:r>
    </w:p>
    <w:p>
      <w:pPr>
        <w:widowControl/>
        <w:spacing w:line="500" w:lineRule="exact"/>
        <w:jc w:val="left"/>
        <w:rPr>
          <w:color w:val="auto"/>
          <w:highlight w:val="none"/>
        </w:rPr>
      </w:pPr>
      <w:r>
        <w:rPr>
          <w:rFonts w:hint="eastAsia" w:ascii="宋体" w:hAnsi="宋体" w:cs="宋体"/>
          <w:color w:val="auto"/>
          <w:kern w:val="0"/>
          <w:sz w:val="24"/>
          <w:highlight w:val="none"/>
          <w:lang w:bidi="ar"/>
        </w:rPr>
        <w:t xml:space="preserve">日期： 年 月 日 </w:t>
      </w:r>
    </w:p>
    <w:p>
      <w:pPr>
        <w:widowControl/>
        <w:jc w:val="left"/>
        <w:rPr>
          <w:rFonts w:hint="eastAsia" w:ascii="宋体" w:hAnsi="宋体" w:cs="宋体"/>
          <w:b/>
          <w:color w:val="auto"/>
          <w:kern w:val="0"/>
          <w:sz w:val="24"/>
          <w:highlight w:val="none"/>
          <w:lang w:bidi="ar"/>
        </w:rPr>
      </w:pPr>
    </w:p>
    <w:p>
      <w:pPr>
        <w:widowControl/>
        <w:jc w:val="left"/>
        <w:rPr>
          <w:rFonts w:hint="eastAsia" w:ascii="宋体" w:hAnsi="宋体" w:cs="宋体"/>
          <w:b/>
          <w:color w:val="auto"/>
          <w:kern w:val="0"/>
          <w:sz w:val="24"/>
          <w:highlight w:val="none"/>
          <w:lang w:bidi="ar"/>
        </w:rPr>
      </w:pPr>
    </w:p>
    <w:p>
      <w:pPr>
        <w:widowControl/>
        <w:jc w:val="left"/>
        <w:rPr>
          <w:color w:val="auto"/>
          <w:highlight w:val="none"/>
        </w:rPr>
      </w:pPr>
      <w:r>
        <w:rPr>
          <w:rFonts w:hint="eastAsia" w:ascii="宋体" w:hAnsi="宋体" w:cs="宋体"/>
          <w:b/>
          <w:color w:val="auto"/>
          <w:kern w:val="0"/>
          <w:sz w:val="24"/>
          <w:highlight w:val="none"/>
          <w:lang w:bidi="ar"/>
        </w:rPr>
        <w:t>附：法定代表人身份证扫描件（正反面）</w:t>
      </w:r>
      <w:r>
        <w:rPr>
          <w:color w:val="auto"/>
          <w:kern w:val="0"/>
          <w:sz w:val="18"/>
          <w:szCs w:val="18"/>
          <w:highlight w:val="none"/>
          <w:lang w:bidi="ar"/>
        </w:rPr>
        <w:t xml:space="preserve"> </w:t>
      </w: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8"/>
          <w:szCs w:val="28"/>
          <w:highlight w:val="none"/>
          <w:lang w:bidi="ar"/>
        </w:rPr>
      </w:pPr>
    </w:p>
    <w:p>
      <w:pPr>
        <w:widowControl/>
        <w:jc w:val="left"/>
        <w:rPr>
          <w:rFonts w:hint="eastAsia" w:ascii="宋体" w:hAnsi="宋体" w:cs="宋体"/>
          <w:b/>
          <w:color w:val="auto"/>
          <w:kern w:val="0"/>
          <w:sz w:val="22"/>
          <w:szCs w:val="22"/>
          <w:highlight w:val="none"/>
          <w:lang w:bidi="ar"/>
        </w:rPr>
      </w:pPr>
    </w:p>
    <w:p>
      <w:pPr>
        <w:widowControl/>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法定代表人授权委托书格式：</w:t>
      </w:r>
    </w:p>
    <w:p>
      <w:pPr>
        <w:widowControl/>
        <w:jc w:val="center"/>
        <w:rPr>
          <w:rFonts w:hint="eastAsia" w:ascii="宋体" w:hAnsi="宋体" w:cs="宋体"/>
          <w:b/>
          <w:color w:val="auto"/>
          <w:kern w:val="0"/>
          <w:sz w:val="28"/>
          <w:szCs w:val="28"/>
          <w:highlight w:val="none"/>
          <w:lang w:bidi="ar"/>
        </w:rPr>
      </w:pPr>
    </w:p>
    <w:p>
      <w:pPr>
        <w:widowControl/>
        <w:jc w:val="center"/>
        <w:rPr>
          <w:rFonts w:hint="eastAsia"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授权委托书</w:t>
      </w:r>
    </w:p>
    <w:p>
      <w:pPr>
        <w:pStyle w:val="52"/>
        <w:ind w:firstLine="240"/>
        <w:rPr>
          <w:color w:val="auto"/>
          <w:highlight w:val="none"/>
        </w:rPr>
      </w:pPr>
    </w:p>
    <w:p>
      <w:pPr>
        <w:widowControl/>
        <w:spacing w:line="500" w:lineRule="exact"/>
        <w:ind w:firstLine="480" w:firstLineChars="200"/>
        <w:jc w:val="left"/>
        <w:rPr>
          <w:color w:val="auto"/>
          <w:highlight w:val="none"/>
        </w:rPr>
      </w:pPr>
      <w:r>
        <w:rPr>
          <w:rFonts w:hint="eastAsia" w:ascii="宋体" w:hAnsi="宋体" w:cs="宋体"/>
          <w:color w:val="auto"/>
          <w:kern w:val="0"/>
          <w:sz w:val="24"/>
          <w:highlight w:val="none"/>
          <w:lang w:bidi="ar"/>
        </w:rPr>
        <w:t>我</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（姓名）系</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（投标人名称）的法定代表人，现授权委托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（姓名）为我公司授权代表，以本公司的名义参加</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（采购人）的</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项目的投标活动。授权代表在开标、评标、合同谈判过程中所签署的一切文件和处理与之 有关的一切事务，我均予以承认。 </w:t>
      </w:r>
    </w:p>
    <w:p>
      <w:pPr>
        <w:widowControl/>
        <w:spacing w:line="50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授权代表无权转委托。特此委托。</w:t>
      </w:r>
    </w:p>
    <w:p>
      <w:pPr>
        <w:pStyle w:val="52"/>
        <w:ind w:firstLine="240"/>
        <w:rPr>
          <w:color w:val="auto"/>
          <w:highlight w:val="none"/>
        </w:rPr>
      </w:pPr>
    </w:p>
    <w:p>
      <w:pPr>
        <w:widowControl/>
        <w:spacing w:line="500" w:lineRule="exact"/>
        <w:jc w:val="left"/>
        <w:rPr>
          <w:color w:val="auto"/>
          <w:highlight w:val="none"/>
        </w:rPr>
      </w:pPr>
      <w:r>
        <w:rPr>
          <w:rFonts w:hint="eastAsia" w:ascii="宋体" w:hAnsi="宋体" w:cs="宋体"/>
          <w:color w:val="auto"/>
          <w:kern w:val="0"/>
          <w:sz w:val="24"/>
          <w:highlight w:val="none"/>
          <w:lang w:bidi="ar"/>
        </w:rPr>
        <w:t>投标人：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（盖电子公章） </w:t>
      </w:r>
    </w:p>
    <w:p>
      <w:pPr>
        <w:widowControl/>
        <w:spacing w:line="500" w:lineRule="exact"/>
        <w:jc w:val="left"/>
        <w:rPr>
          <w:color w:val="auto"/>
          <w:highlight w:val="none"/>
        </w:rPr>
      </w:pPr>
      <w:r>
        <w:rPr>
          <w:rFonts w:hint="eastAsia" w:ascii="宋体" w:hAnsi="宋体" w:cs="宋体"/>
          <w:color w:val="auto"/>
          <w:kern w:val="0"/>
          <w:sz w:val="24"/>
          <w:highlight w:val="none"/>
          <w:lang w:bidi="ar"/>
        </w:rPr>
        <w:t>法定代表人：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（签字或盖章） </w:t>
      </w:r>
    </w:p>
    <w:p>
      <w:pPr>
        <w:widowControl/>
        <w:spacing w:line="500" w:lineRule="exact"/>
        <w:jc w:val="left"/>
        <w:rPr>
          <w:rFonts w:hint="eastAsia" w:ascii="宋体" w:hAnsi="宋体" w:cs="宋体"/>
          <w:color w:val="auto"/>
          <w:kern w:val="0"/>
          <w:sz w:val="24"/>
          <w:highlight w:val="none"/>
          <w:u w:val="single"/>
          <w:lang w:bidi="ar"/>
        </w:rPr>
      </w:pPr>
      <w:r>
        <w:rPr>
          <w:rFonts w:hint="eastAsia" w:ascii="宋体" w:hAnsi="宋体" w:cs="宋体"/>
          <w:color w:val="auto"/>
          <w:kern w:val="0"/>
          <w:sz w:val="24"/>
          <w:highlight w:val="none"/>
          <w:lang w:bidi="ar"/>
        </w:rPr>
        <w:t>法定代表人身份证号码：</w:t>
      </w:r>
      <w:r>
        <w:rPr>
          <w:rFonts w:hint="eastAsia" w:ascii="宋体" w:hAnsi="宋体" w:cs="宋体"/>
          <w:color w:val="auto"/>
          <w:kern w:val="0"/>
          <w:sz w:val="24"/>
          <w:highlight w:val="none"/>
          <w:u w:val="single"/>
          <w:lang w:bidi="ar"/>
        </w:rPr>
        <w:t xml:space="preserve">               </w:t>
      </w:r>
    </w:p>
    <w:p>
      <w:pPr>
        <w:widowControl/>
        <w:spacing w:line="500" w:lineRule="exact"/>
        <w:jc w:val="left"/>
        <w:rPr>
          <w:color w:val="auto"/>
          <w:highlight w:val="none"/>
        </w:rPr>
      </w:pPr>
      <w:r>
        <w:rPr>
          <w:rFonts w:hint="eastAsia" w:ascii="宋体" w:hAnsi="宋体" w:cs="宋体"/>
          <w:color w:val="auto"/>
          <w:kern w:val="0"/>
          <w:sz w:val="24"/>
          <w:highlight w:val="none"/>
          <w:lang w:bidi="ar"/>
        </w:rPr>
        <w:t>授权代表</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（签字或盖章） </w:t>
      </w:r>
    </w:p>
    <w:p>
      <w:pPr>
        <w:widowControl/>
        <w:spacing w:line="500" w:lineRule="exact"/>
        <w:jc w:val="left"/>
        <w:rPr>
          <w:color w:val="auto"/>
          <w:highlight w:val="none"/>
        </w:rPr>
      </w:pPr>
      <w:r>
        <w:rPr>
          <w:rFonts w:hint="eastAsia" w:ascii="宋体" w:hAnsi="宋体" w:cs="宋体"/>
          <w:color w:val="auto"/>
          <w:kern w:val="0"/>
          <w:sz w:val="24"/>
          <w:highlight w:val="none"/>
          <w:lang w:bidi="ar"/>
        </w:rPr>
        <w:t xml:space="preserve">授权代表身份证号码： </w:t>
      </w:r>
    </w:p>
    <w:p>
      <w:pPr>
        <w:widowControl/>
        <w:spacing w:line="500" w:lineRule="exact"/>
        <w:ind w:firstLine="720" w:firstLineChars="300"/>
        <w:jc w:val="left"/>
        <w:rPr>
          <w:color w:val="auto"/>
          <w:highlight w:val="none"/>
        </w:rPr>
      </w:pPr>
      <w:r>
        <w:rPr>
          <w:rFonts w:hint="eastAsia" w:ascii="宋体" w:hAnsi="宋体" w:cs="宋体"/>
          <w:color w:val="auto"/>
          <w:kern w:val="0"/>
          <w:sz w:val="24"/>
          <w:highlight w:val="none"/>
          <w:lang w:bidi="ar"/>
        </w:rPr>
        <w:t xml:space="preserve">年   月   日 </w:t>
      </w:r>
    </w:p>
    <w:p>
      <w:pPr>
        <w:widowControl/>
        <w:jc w:val="left"/>
        <w:rPr>
          <w:rFonts w:hint="eastAsia" w:ascii="宋体" w:hAnsi="宋体" w:cs="宋体"/>
          <w:b/>
          <w:color w:val="auto"/>
          <w:kern w:val="0"/>
          <w:sz w:val="24"/>
          <w:highlight w:val="none"/>
          <w:lang w:bidi="ar"/>
        </w:rPr>
      </w:pPr>
    </w:p>
    <w:p>
      <w:pPr>
        <w:widowControl/>
        <w:jc w:val="left"/>
        <w:rPr>
          <w:rFonts w:hint="eastAsia" w:ascii="宋体" w:hAnsi="宋体" w:cs="宋体"/>
          <w:b/>
          <w:color w:val="auto"/>
          <w:kern w:val="0"/>
          <w:sz w:val="24"/>
          <w:highlight w:val="none"/>
          <w:lang w:bidi="ar"/>
        </w:rPr>
      </w:pPr>
    </w:p>
    <w:p>
      <w:pPr>
        <w:widowControl/>
        <w:jc w:val="left"/>
        <w:rPr>
          <w:color w:val="auto"/>
          <w:highlight w:val="none"/>
        </w:rPr>
      </w:pPr>
      <w:r>
        <w:rPr>
          <w:rFonts w:hint="eastAsia" w:ascii="宋体" w:hAnsi="宋体" w:cs="宋体"/>
          <w:b/>
          <w:color w:val="auto"/>
          <w:kern w:val="0"/>
          <w:sz w:val="24"/>
          <w:highlight w:val="none"/>
          <w:lang w:bidi="ar"/>
        </w:rPr>
        <w:t>附：授权代表的身份证扫描件（正反面）</w:t>
      </w:r>
    </w:p>
    <w:p>
      <w:pPr>
        <w:widowControl/>
        <w:jc w:val="left"/>
        <w:rPr>
          <w:rFonts w:hint="eastAsia" w:ascii="宋体" w:hAnsi="宋体" w:cs="宋体"/>
          <w:b/>
          <w:color w:val="auto"/>
          <w:kern w:val="0"/>
          <w:sz w:val="31"/>
          <w:szCs w:val="31"/>
          <w:highlight w:val="none"/>
          <w:lang w:bidi="ar"/>
        </w:rPr>
      </w:pPr>
    </w:p>
    <w:p>
      <w:pPr>
        <w:widowControl/>
        <w:jc w:val="left"/>
        <w:rPr>
          <w:rFonts w:hint="eastAsia" w:ascii="宋体" w:hAnsi="宋体" w:cs="宋体"/>
          <w:b/>
          <w:color w:val="auto"/>
          <w:kern w:val="0"/>
          <w:sz w:val="31"/>
          <w:szCs w:val="31"/>
          <w:highlight w:val="none"/>
          <w:lang w:bidi="ar"/>
        </w:rPr>
      </w:pPr>
    </w:p>
    <w:p>
      <w:pPr>
        <w:widowControl/>
        <w:jc w:val="left"/>
        <w:rPr>
          <w:rFonts w:hint="eastAsia" w:ascii="宋体" w:hAnsi="宋体" w:cs="宋体"/>
          <w:b/>
          <w:color w:val="auto"/>
          <w:kern w:val="0"/>
          <w:sz w:val="31"/>
          <w:szCs w:val="31"/>
          <w:highlight w:val="none"/>
          <w:lang w:bidi="ar"/>
        </w:rPr>
      </w:pPr>
    </w:p>
    <w:p>
      <w:pPr>
        <w:widowControl/>
        <w:jc w:val="left"/>
        <w:rPr>
          <w:rFonts w:hint="eastAsia" w:ascii="宋体" w:hAnsi="宋体" w:cs="宋体"/>
          <w:b/>
          <w:color w:val="auto"/>
          <w:kern w:val="0"/>
          <w:sz w:val="31"/>
          <w:szCs w:val="31"/>
          <w:highlight w:val="none"/>
          <w:lang w:bidi="ar"/>
        </w:rPr>
      </w:pPr>
    </w:p>
    <w:p>
      <w:pPr>
        <w:widowControl/>
        <w:jc w:val="left"/>
        <w:rPr>
          <w:rFonts w:hint="eastAsia" w:ascii="宋体" w:hAnsi="宋体" w:cs="宋体"/>
          <w:b/>
          <w:color w:val="auto"/>
          <w:kern w:val="0"/>
          <w:sz w:val="31"/>
          <w:szCs w:val="31"/>
          <w:highlight w:val="none"/>
          <w:lang w:bidi="ar"/>
        </w:rPr>
      </w:pPr>
    </w:p>
    <w:p>
      <w:pPr>
        <w:widowControl/>
        <w:jc w:val="left"/>
        <w:rPr>
          <w:rFonts w:hint="eastAsia" w:ascii="宋体" w:hAnsi="宋体" w:cs="宋体"/>
          <w:b/>
          <w:color w:val="auto"/>
          <w:kern w:val="0"/>
          <w:sz w:val="31"/>
          <w:szCs w:val="31"/>
          <w:highlight w:val="none"/>
          <w:lang w:bidi="ar"/>
        </w:rPr>
      </w:pPr>
    </w:p>
    <w:p>
      <w:pPr>
        <w:widowControl/>
        <w:jc w:val="left"/>
        <w:rPr>
          <w:rFonts w:hint="eastAsia" w:ascii="宋体" w:hAnsi="宋体" w:cs="宋体"/>
          <w:b/>
          <w:color w:val="auto"/>
          <w:kern w:val="0"/>
          <w:sz w:val="31"/>
          <w:szCs w:val="31"/>
          <w:highlight w:val="none"/>
          <w:lang w:bidi="ar"/>
        </w:rPr>
      </w:pPr>
    </w:p>
    <w:p>
      <w:pPr>
        <w:widowControl/>
        <w:jc w:val="left"/>
        <w:rPr>
          <w:rFonts w:hint="eastAsia" w:ascii="宋体" w:hAnsi="宋体" w:cs="宋体"/>
          <w:b/>
          <w:color w:val="auto"/>
          <w:kern w:val="0"/>
          <w:sz w:val="31"/>
          <w:szCs w:val="31"/>
          <w:highlight w:val="none"/>
          <w:lang w:bidi="ar"/>
        </w:rPr>
      </w:pPr>
    </w:p>
    <w:p>
      <w:pPr>
        <w:widowControl/>
        <w:jc w:val="left"/>
        <w:rPr>
          <w:rFonts w:hint="eastAsia" w:ascii="宋体" w:hAnsi="宋体" w:cs="宋体"/>
          <w:b/>
          <w:color w:val="auto"/>
          <w:kern w:val="0"/>
          <w:sz w:val="31"/>
          <w:szCs w:val="31"/>
          <w:highlight w:val="none"/>
          <w:lang w:bidi="ar"/>
        </w:rPr>
      </w:pPr>
    </w:p>
    <w:p>
      <w:pPr>
        <w:widowControl/>
        <w:jc w:val="left"/>
        <w:rPr>
          <w:rFonts w:hint="eastAsia" w:ascii="宋体" w:hAnsi="宋体" w:cs="宋体"/>
          <w:b/>
          <w:color w:val="auto"/>
          <w:kern w:val="0"/>
          <w:sz w:val="31"/>
          <w:szCs w:val="31"/>
          <w:highlight w:val="none"/>
          <w:lang w:bidi="ar"/>
        </w:rPr>
      </w:pPr>
    </w:p>
    <w:p>
      <w:pPr>
        <w:widowControl/>
        <w:jc w:val="left"/>
        <w:rPr>
          <w:rFonts w:hint="eastAsia" w:ascii="宋体" w:hAnsi="宋体" w:cs="宋体"/>
          <w:b/>
          <w:color w:val="auto"/>
          <w:kern w:val="0"/>
          <w:sz w:val="31"/>
          <w:szCs w:val="31"/>
          <w:highlight w:val="none"/>
          <w:lang w:bidi="ar"/>
        </w:rPr>
      </w:pPr>
    </w:p>
    <w:p>
      <w:pPr>
        <w:widowControl/>
        <w:jc w:val="left"/>
        <w:rPr>
          <w:rFonts w:hint="eastAsia" w:ascii="宋体" w:hAnsi="宋体" w:cs="宋体"/>
          <w:b/>
          <w:color w:val="auto"/>
          <w:kern w:val="0"/>
          <w:sz w:val="31"/>
          <w:szCs w:val="31"/>
          <w:highlight w:val="none"/>
          <w:lang w:bidi="ar"/>
        </w:rPr>
      </w:pPr>
    </w:p>
    <w:p>
      <w:pPr>
        <w:widowControl/>
        <w:jc w:val="left"/>
        <w:rPr>
          <w:rFonts w:hint="eastAsia" w:ascii="宋体" w:hAnsi="宋体" w:cs="宋体"/>
          <w:b/>
          <w:color w:val="auto"/>
          <w:kern w:val="0"/>
          <w:sz w:val="31"/>
          <w:szCs w:val="31"/>
          <w:highlight w:val="none"/>
          <w:lang w:bidi="ar"/>
        </w:rPr>
      </w:pPr>
    </w:p>
    <w:p>
      <w:pPr>
        <w:widowControl/>
        <w:jc w:val="center"/>
        <w:rPr>
          <w:rFonts w:hint="eastAsia" w:ascii="宋体" w:hAnsi="宋体" w:cs="宋体"/>
          <w:b/>
          <w:color w:val="auto"/>
          <w:kern w:val="0"/>
          <w:sz w:val="31"/>
          <w:szCs w:val="31"/>
          <w:highlight w:val="none"/>
          <w:lang w:bidi="ar"/>
        </w:rPr>
      </w:pPr>
      <w:r>
        <w:rPr>
          <w:rFonts w:hint="eastAsia" w:ascii="宋体" w:hAnsi="宋体" w:cs="宋体"/>
          <w:b/>
          <w:color w:val="auto"/>
          <w:kern w:val="0"/>
          <w:sz w:val="31"/>
          <w:szCs w:val="31"/>
          <w:highlight w:val="none"/>
          <w:lang w:bidi="ar"/>
        </w:rPr>
        <w:t>廉 政 承 诺 书</w:t>
      </w:r>
    </w:p>
    <w:p>
      <w:pPr>
        <w:pStyle w:val="52"/>
        <w:ind w:firstLine="240"/>
        <w:rPr>
          <w:color w:val="auto"/>
          <w:highlight w:val="none"/>
        </w:rPr>
      </w:pPr>
    </w:p>
    <w:p>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山明美术院：</w:t>
      </w:r>
    </w:p>
    <w:p>
      <w:pPr>
        <w:widowControl/>
        <w:jc w:val="left"/>
        <w:rPr>
          <w:color w:val="auto"/>
          <w:highlight w:val="none"/>
        </w:rPr>
      </w:pPr>
      <w:r>
        <w:rPr>
          <w:rFonts w:hint="eastAsia" w:ascii="宋体" w:hAnsi="宋体" w:cs="宋体"/>
          <w:color w:val="auto"/>
          <w:kern w:val="0"/>
          <w:sz w:val="24"/>
          <w:highlight w:val="none"/>
          <w:lang w:bidi="ar"/>
        </w:rPr>
        <w:t xml:space="preserve"> </w:t>
      </w:r>
    </w:p>
    <w:p>
      <w:pPr>
        <w:widowControl/>
        <w:spacing w:line="500" w:lineRule="exact"/>
        <w:ind w:firstLine="480" w:firstLineChars="200"/>
        <w:jc w:val="left"/>
        <w:rPr>
          <w:color w:val="auto"/>
          <w:highlight w:val="none"/>
        </w:rPr>
      </w:pPr>
      <w:r>
        <w:rPr>
          <w:rFonts w:hint="eastAsia" w:ascii="宋体" w:hAnsi="宋体" w:cs="宋体"/>
          <w:color w:val="auto"/>
          <w:kern w:val="0"/>
          <w:sz w:val="24"/>
          <w:highlight w:val="none"/>
          <w:lang w:bidi="ar"/>
        </w:rPr>
        <w:t>我单位响应你单位项目招标要求参加应标。在这次应标过程中和中标后，我们将严格遵守国家法律法规规定要求，并郑重承诺：</w:t>
      </w:r>
    </w:p>
    <w:p>
      <w:pPr>
        <w:widowControl/>
        <w:spacing w:line="500" w:lineRule="exact"/>
        <w:ind w:firstLine="480" w:firstLineChars="200"/>
        <w:jc w:val="left"/>
        <w:rPr>
          <w:color w:val="auto"/>
          <w:highlight w:val="none"/>
        </w:rPr>
      </w:pPr>
      <w:r>
        <w:rPr>
          <w:rFonts w:hint="eastAsia" w:ascii="宋体" w:hAnsi="宋体" w:cs="宋体"/>
          <w:color w:val="auto"/>
          <w:kern w:val="0"/>
          <w:sz w:val="24"/>
          <w:highlight w:val="none"/>
          <w:lang w:bidi="ar"/>
        </w:rPr>
        <w:t>一、不向项目有关人员及部门赠送礼金礼物、有价证券、回扣以及中介费、介绍费、咨询费等好处费；</w:t>
      </w:r>
    </w:p>
    <w:p>
      <w:pPr>
        <w:widowControl/>
        <w:spacing w:line="500" w:lineRule="exact"/>
        <w:ind w:firstLine="480" w:firstLineChars="200"/>
        <w:jc w:val="left"/>
        <w:rPr>
          <w:color w:val="auto"/>
          <w:highlight w:val="none"/>
        </w:rPr>
      </w:pPr>
      <w:r>
        <w:rPr>
          <w:rFonts w:hint="eastAsia" w:ascii="宋体" w:hAnsi="宋体" w:cs="宋体"/>
          <w:color w:val="auto"/>
          <w:kern w:val="0"/>
          <w:sz w:val="24"/>
          <w:highlight w:val="none"/>
          <w:lang w:bidi="ar"/>
        </w:rPr>
        <w:t>二、不为项目有关人员及部门报销应由你方单位或个人支付的费用；</w:t>
      </w:r>
    </w:p>
    <w:p>
      <w:pPr>
        <w:widowControl/>
        <w:spacing w:line="500" w:lineRule="exact"/>
        <w:ind w:firstLine="480" w:firstLineChars="200"/>
        <w:jc w:val="left"/>
        <w:rPr>
          <w:color w:val="auto"/>
          <w:highlight w:val="none"/>
        </w:rPr>
      </w:pPr>
      <w:r>
        <w:rPr>
          <w:rFonts w:hint="eastAsia" w:ascii="宋体" w:hAnsi="宋体" w:cs="宋体"/>
          <w:color w:val="auto"/>
          <w:kern w:val="0"/>
          <w:sz w:val="24"/>
          <w:highlight w:val="none"/>
          <w:lang w:bidi="ar"/>
        </w:rPr>
        <w:t>三、不向项目有关人员及部门提供有可能影响公正执行公务的宴请和健身娱乐等活动；</w:t>
      </w:r>
    </w:p>
    <w:p>
      <w:pPr>
        <w:widowControl/>
        <w:spacing w:line="500" w:lineRule="exact"/>
        <w:ind w:firstLine="480" w:firstLineChars="200"/>
        <w:jc w:val="left"/>
        <w:rPr>
          <w:color w:val="auto"/>
          <w:highlight w:val="none"/>
        </w:rPr>
      </w:pPr>
      <w:r>
        <w:rPr>
          <w:rFonts w:hint="eastAsia" w:ascii="宋体" w:hAnsi="宋体" w:cs="宋体"/>
          <w:color w:val="auto"/>
          <w:kern w:val="0"/>
          <w:sz w:val="24"/>
          <w:highlight w:val="none"/>
          <w:lang w:bidi="ar"/>
        </w:rPr>
        <w:t>四、不为项目有关人员及部门出国（境）、旅游等提供方便；</w:t>
      </w:r>
    </w:p>
    <w:p>
      <w:pPr>
        <w:widowControl/>
        <w:spacing w:line="500" w:lineRule="exact"/>
        <w:ind w:firstLine="480" w:firstLineChars="200"/>
        <w:jc w:val="left"/>
        <w:rPr>
          <w:color w:val="auto"/>
          <w:highlight w:val="none"/>
        </w:rPr>
      </w:pPr>
      <w:r>
        <w:rPr>
          <w:rFonts w:hint="eastAsia" w:ascii="宋体" w:hAnsi="宋体" w:cs="宋体"/>
          <w:color w:val="auto"/>
          <w:kern w:val="0"/>
          <w:sz w:val="24"/>
          <w:highlight w:val="none"/>
          <w:lang w:bidi="ar"/>
        </w:rPr>
        <w:t>五、不为项目有关人员个人装修住房、婚丧嫁娶、配偶子女工作安排等提供好处；</w:t>
      </w:r>
    </w:p>
    <w:p>
      <w:pPr>
        <w:widowControl/>
        <w:spacing w:line="50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六、严格遵守政府采购法、民法典等法律，诚实守信，合法经营，坚决抵制各种违法违纪行为。</w:t>
      </w:r>
    </w:p>
    <w:p>
      <w:pPr>
        <w:widowControl/>
        <w:spacing w:line="500" w:lineRule="exact"/>
        <w:ind w:firstLine="480" w:firstLineChars="200"/>
        <w:jc w:val="left"/>
        <w:rPr>
          <w:color w:val="auto"/>
          <w:highlight w:val="none"/>
        </w:rPr>
      </w:pPr>
      <w:r>
        <w:rPr>
          <w:rFonts w:hint="eastAsia" w:ascii="宋体" w:hAnsi="宋体" w:cs="宋体"/>
          <w:color w:val="auto"/>
          <w:kern w:val="0"/>
          <w:sz w:val="24"/>
          <w:highlight w:val="none"/>
          <w:lang w:bidi="ar"/>
        </w:rPr>
        <w:t>如违反上述承诺，你单位有权立即取消我单位应标、中标或在建项目的资格，有权拒绝我单位在一定时期内进入你单位进行工程建设或其他经营活动，并通报县政府采购办。由此引起的相应损失均由我单位承担。</w:t>
      </w:r>
    </w:p>
    <w:p>
      <w:pPr>
        <w:widowControl/>
        <w:spacing w:line="500" w:lineRule="exact"/>
        <w:jc w:val="left"/>
        <w:rPr>
          <w:rFonts w:hint="eastAsia" w:ascii="宋体" w:hAnsi="宋体" w:cs="宋体"/>
          <w:color w:val="auto"/>
          <w:kern w:val="0"/>
          <w:sz w:val="24"/>
          <w:highlight w:val="none"/>
          <w:lang w:bidi="ar"/>
        </w:rPr>
      </w:pPr>
    </w:p>
    <w:p>
      <w:pPr>
        <w:widowControl/>
        <w:spacing w:line="500" w:lineRule="exact"/>
        <w:jc w:val="left"/>
        <w:rPr>
          <w:color w:val="auto"/>
          <w:highlight w:val="none"/>
        </w:rPr>
      </w:pPr>
      <w:r>
        <w:rPr>
          <w:rFonts w:hint="eastAsia" w:ascii="宋体" w:hAnsi="宋体" w:cs="宋体"/>
          <w:color w:val="auto"/>
          <w:kern w:val="0"/>
          <w:sz w:val="24"/>
          <w:highlight w:val="none"/>
          <w:lang w:bidi="ar"/>
        </w:rPr>
        <w:t>投标人全称（盖电子公章）：</w:t>
      </w:r>
    </w:p>
    <w:p>
      <w:pPr>
        <w:widowControl/>
        <w:spacing w:line="500" w:lineRule="exact"/>
        <w:jc w:val="left"/>
        <w:rPr>
          <w:color w:val="auto"/>
          <w:highlight w:val="none"/>
        </w:rPr>
      </w:pPr>
      <w:r>
        <w:rPr>
          <w:rFonts w:hint="eastAsia" w:ascii="宋体" w:hAnsi="宋体" w:cs="宋体"/>
          <w:color w:val="auto"/>
          <w:kern w:val="0"/>
          <w:sz w:val="24"/>
          <w:highlight w:val="none"/>
          <w:lang w:bidi="ar"/>
        </w:rPr>
        <w:t>法定代表人或授权代表（签字或盖章）：</w:t>
      </w:r>
    </w:p>
    <w:p>
      <w:pPr>
        <w:widowControl/>
        <w:spacing w:line="500" w:lineRule="exact"/>
        <w:jc w:val="left"/>
        <w:rPr>
          <w:rFonts w:hint="eastAsia"/>
          <w:color w:val="auto"/>
          <w:kern w:val="0"/>
          <w:sz w:val="18"/>
          <w:szCs w:val="18"/>
          <w:highlight w:val="none"/>
          <w:lang w:bidi="ar"/>
        </w:rPr>
      </w:pPr>
      <w:r>
        <w:rPr>
          <w:rFonts w:hint="eastAsia" w:ascii="宋体" w:hAnsi="宋体" w:cs="宋体"/>
          <w:color w:val="auto"/>
          <w:kern w:val="0"/>
          <w:sz w:val="24"/>
          <w:highlight w:val="none"/>
          <w:lang w:bidi="ar"/>
        </w:rPr>
        <w:t>日期： 年  月  日</w:t>
      </w:r>
      <w:r>
        <w:rPr>
          <w:rFonts w:hint="eastAsia"/>
          <w:color w:val="auto"/>
          <w:kern w:val="0"/>
          <w:sz w:val="18"/>
          <w:szCs w:val="18"/>
          <w:highlight w:val="none"/>
          <w:lang w:bidi="ar"/>
        </w:rPr>
        <w:t xml:space="preserve"> </w:t>
      </w:r>
    </w:p>
    <w:p>
      <w:pPr>
        <w:pStyle w:val="52"/>
        <w:ind w:firstLine="180"/>
        <w:rPr>
          <w:rFonts w:hint="eastAsia"/>
          <w:color w:val="auto"/>
          <w:sz w:val="18"/>
          <w:highlight w:val="none"/>
          <w:lang w:bidi="ar"/>
        </w:rPr>
      </w:pPr>
    </w:p>
    <w:p>
      <w:pPr>
        <w:rPr>
          <w:rFonts w:hint="eastAsia"/>
          <w:color w:val="auto"/>
          <w:kern w:val="0"/>
          <w:sz w:val="18"/>
          <w:szCs w:val="18"/>
          <w:highlight w:val="none"/>
          <w:lang w:bidi="ar"/>
        </w:rPr>
      </w:pPr>
    </w:p>
    <w:p>
      <w:pPr>
        <w:widowControl/>
        <w:rPr>
          <w:rFonts w:hint="eastAsia" w:ascii="宋体" w:hAnsi="宋体" w:cs="宋体"/>
          <w:b/>
          <w:color w:val="auto"/>
          <w:kern w:val="0"/>
          <w:sz w:val="31"/>
          <w:szCs w:val="31"/>
          <w:highlight w:val="none"/>
          <w:lang w:bidi="ar"/>
        </w:rPr>
      </w:pPr>
    </w:p>
    <w:p>
      <w:pPr>
        <w:widowControl/>
        <w:jc w:val="center"/>
        <w:rPr>
          <w:rFonts w:ascii="宋体" w:hAnsi="宋体" w:cs="宋体"/>
          <w:b/>
          <w:color w:val="auto"/>
          <w:kern w:val="0"/>
          <w:sz w:val="31"/>
          <w:szCs w:val="31"/>
          <w:highlight w:val="none"/>
          <w:lang w:bidi="ar"/>
        </w:rPr>
      </w:pPr>
    </w:p>
    <w:p>
      <w:pPr>
        <w:pStyle w:val="2"/>
        <w:ind w:firstLine="560"/>
        <w:rPr>
          <w:color w:val="auto"/>
          <w:highlight w:val="none"/>
          <w:lang w:bidi="ar"/>
        </w:rPr>
      </w:pPr>
    </w:p>
    <w:p>
      <w:pPr>
        <w:rPr>
          <w:color w:val="auto"/>
          <w:highlight w:val="none"/>
          <w:lang w:bidi="ar"/>
        </w:rPr>
      </w:pPr>
    </w:p>
    <w:p>
      <w:pPr>
        <w:pStyle w:val="2"/>
        <w:ind w:firstLine="560"/>
        <w:rPr>
          <w:rFonts w:hint="eastAsia"/>
          <w:color w:val="auto"/>
          <w:highlight w:val="none"/>
          <w:lang w:bidi="ar"/>
        </w:rPr>
      </w:pPr>
    </w:p>
    <w:p>
      <w:pPr>
        <w:widowControl/>
        <w:jc w:val="center"/>
        <w:rPr>
          <w:rFonts w:hint="eastAsia" w:ascii="宋体" w:hAnsi="宋体" w:cs="宋体"/>
          <w:b/>
          <w:color w:val="auto"/>
          <w:kern w:val="0"/>
          <w:sz w:val="31"/>
          <w:szCs w:val="31"/>
          <w:highlight w:val="none"/>
          <w:lang w:bidi="ar"/>
        </w:rPr>
      </w:pPr>
      <w:r>
        <w:rPr>
          <w:rFonts w:hint="eastAsia" w:ascii="宋体" w:hAnsi="宋体" w:cs="宋体"/>
          <w:b/>
          <w:color w:val="auto"/>
          <w:kern w:val="0"/>
          <w:sz w:val="31"/>
          <w:szCs w:val="31"/>
          <w:highlight w:val="none"/>
          <w:lang w:bidi="ar"/>
        </w:rPr>
        <w:t>商务响应表</w:t>
      </w:r>
    </w:p>
    <w:p>
      <w:pPr>
        <w:pStyle w:val="52"/>
        <w:ind w:firstLine="240"/>
        <w:rPr>
          <w:color w:val="auto"/>
          <w:highlight w:val="none"/>
        </w:rPr>
      </w:pPr>
    </w:p>
    <w:p>
      <w:pPr>
        <w:pStyle w:val="3"/>
        <w:tabs>
          <w:tab w:val="right" w:pos="8847"/>
        </w:tabs>
        <w:spacing w:line="360" w:lineRule="auto"/>
        <w:ind w:firstLine="0"/>
        <w:rPr>
          <w:rFonts w:hint="eastAsia" w:hAnsi="宋体" w:cs="宋体"/>
          <w:color w:val="auto"/>
          <w:sz w:val="24"/>
          <w:szCs w:val="24"/>
          <w:highlight w:val="none"/>
          <w:u w:val="single"/>
        </w:rPr>
      </w:pPr>
      <w:r>
        <w:rPr>
          <w:rFonts w:hint="eastAsia" w:hAnsi="宋体" w:cs="宋体"/>
          <w:color w:val="auto"/>
          <w:sz w:val="24"/>
          <w:szCs w:val="24"/>
          <w:highlight w:val="none"/>
        </w:rPr>
        <w:t>招标项目名称：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招标编号：</w:t>
      </w:r>
      <w:r>
        <w:rPr>
          <w:rFonts w:hint="eastAsia" w:hAnsi="宋体" w:cs="宋体"/>
          <w:color w:val="auto"/>
          <w:sz w:val="24"/>
          <w:szCs w:val="24"/>
          <w:highlight w:val="none"/>
          <w:u w:val="single"/>
        </w:rPr>
        <w:t xml:space="preserve">                 </w:t>
      </w:r>
    </w:p>
    <w:tbl>
      <w:tblPr>
        <w:tblStyle w:val="53"/>
        <w:tblW w:w="0" w:type="auto"/>
        <w:tblInd w:w="-31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04"/>
        <w:gridCol w:w="3046"/>
        <w:gridCol w:w="3272"/>
        <w:gridCol w:w="152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046" w:type="dxa"/>
            <w:tcBorders>
              <w:top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招标文件的商务条款</w:t>
            </w:r>
          </w:p>
        </w:tc>
        <w:tc>
          <w:tcPr>
            <w:tcW w:w="3272" w:type="dxa"/>
            <w:tcBorders>
              <w:top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投标文件的商务条款</w:t>
            </w:r>
          </w:p>
        </w:tc>
        <w:tc>
          <w:tcPr>
            <w:tcW w:w="1523" w:type="dxa"/>
            <w:tcBorders>
              <w:top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046" w:type="dxa"/>
            <w:tcBorders>
              <w:top w:val="single" w:color="auto" w:sz="4" w:space="0"/>
            </w:tcBorders>
            <w:noWrap w:val="0"/>
            <w:tcMar>
              <w:left w:w="0" w:type="dxa"/>
              <w:right w:w="0" w:type="dxa"/>
            </w:tcMar>
            <w:vAlign w:val="center"/>
          </w:tcPr>
          <w:p>
            <w:pPr>
              <w:rPr>
                <w:rFonts w:hint="eastAsia" w:ascii="宋体" w:hAnsi="宋体" w:cs="宋体"/>
                <w:color w:val="auto"/>
                <w:sz w:val="24"/>
                <w:highlight w:val="none"/>
              </w:rPr>
            </w:pPr>
            <w:r>
              <w:rPr>
                <w:rFonts w:hint="eastAsia" w:ascii="宋体" w:hAnsi="宋体" w:cs="宋体"/>
                <w:color w:val="auto"/>
                <w:sz w:val="24"/>
                <w:highlight w:val="none"/>
              </w:rPr>
              <w:t>投标报价及费用（详见招标文件相应条款）</w:t>
            </w:r>
          </w:p>
        </w:tc>
        <w:tc>
          <w:tcPr>
            <w:tcW w:w="3272" w:type="dxa"/>
            <w:tcBorders>
              <w:top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523" w:type="dxa"/>
            <w:tcBorders>
              <w:top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046" w:type="dxa"/>
            <w:noWrap w:val="0"/>
            <w:tcMar>
              <w:left w:w="0" w:type="dxa"/>
              <w:right w:w="0" w:type="dxa"/>
            </w:tcMar>
            <w:vAlign w:val="center"/>
          </w:tcPr>
          <w:p>
            <w:pPr>
              <w:rPr>
                <w:rFonts w:hint="eastAsia" w:ascii="宋体" w:hAnsi="宋体" w:cs="宋体"/>
                <w:color w:val="auto"/>
                <w:sz w:val="24"/>
                <w:highlight w:val="none"/>
              </w:rPr>
            </w:pPr>
            <w:r>
              <w:rPr>
                <w:rFonts w:hint="eastAsia" w:ascii="宋体" w:hAnsi="宋体" w:cs="宋体"/>
                <w:color w:val="auto"/>
                <w:sz w:val="24"/>
                <w:highlight w:val="none"/>
              </w:rPr>
              <w:t>付款方式（详见招标文件相应条款）</w:t>
            </w: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046" w:type="dxa"/>
            <w:noWrap w:val="0"/>
            <w:tcMar>
              <w:left w:w="0" w:type="dxa"/>
              <w:right w:w="0" w:type="dxa"/>
            </w:tcMar>
            <w:vAlign w:val="center"/>
          </w:tcPr>
          <w:p>
            <w:pPr>
              <w:rPr>
                <w:rFonts w:hint="eastAsia" w:ascii="宋体" w:hAnsi="宋体" w:cs="宋体"/>
                <w:color w:val="auto"/>
                <w:sz w:val="24"/>
                <w:highlight w:val="none"/>
              </w:rPr>
            </w:pPr>
            <w:r>
              <w:rPr>
                <w:rFonts w:hint="eastAsia" w:ascii="宋体" w:hAnsi="宋体" w:cs="宋体"/>
                <w:color w:val="auto"/>
                <w:sz w:val="24"/>
                <w:highlight w:val="none"/>
              </w:rPr>
              <w:t>投标有效期（详见招标文件相应条款）</w:t>
            </w: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046" w:type="dxa"/>
            <w:noWrap w:val="0"/>
            <w:tcMar>
              <w:left w:w="0" w:type="dxa"/>
              <w:right w:w="0" w:type="dxa"/>
            </w:tcMar>
            <w:vAlign w:val="center"/>
          </w:tcPr>
          <w:p>
            <w:pPr>
              <w:rPr>
                <w:rFonts w:hint="eastAsia" w:ascii="宋体" w:hAnsi="宋体" w:cs="宋体"/>
                <w:color w:val="auto"/>
                <w:sz w:val="24"/>
                <w:highlight w:val="none"/>
              </w:rPr>
            </w:pPr>
            <w:r>
              <w:rPr>
                <w:rFonts w:hint="eastAsia" w:ascii="宋体" w:hAnsi="宋体" w:cs="宋体"/>
                <w:color w:val="auto"/>
                <w:sz w:val="24"/>
                <w:highlight w:val="none"/>
              </w:rPr>
              <w:t>交货期（详见招标文件相应条款）</w:t>
            </w: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3046" w:type="dxa"/>
            <w:noWrap w:val="0"/>
            <w:tcMar>
              <w:left w:w="0" w:type="dxa"/>
              <w:right w:w="0" w:type="dxa"/>
            </w:tcMar>
            <w:vAlign w:val="center"/>
          </w:tcPr>
          <w:p>
            <w:pPr>
              <w:rPr>
                <w:rFonts w:hint="eastAsia" w:ascii="宋体" w:hAnsi="宋体" w:cs="宋体"/>
                <w:color w:val="auto"/>
                <w:sz w:val="24"/>
                <w:highlight w:val="none"/>
              </w:rPr>
            </w:pP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3046" w:type="dxa"/>
            <w:noWrap w:val="0"/>
            <w:tcMar>
              <w:left w:w="0" w:type="dxa"/>
              <w:right w:w="0" w:type="dxa"/>
            </w:tcMar>
            <w:vAlign w:val="center"/>
          </w:tcPr>
          <w:p>
            <w:pPr>
              <w:rPr>
                <w:rFonts w:hint="eastAsia" w:ascii="宋体" w:hAnsi="宋体" w:cs="宋体"/>
                <w:color w:val="auto"/>
                <w:sz w:val="24"/>
                <w:highlight w:val="none"/>
              </w:rPr>
            </w:pP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3046" w:type="dxa"/>
            <w:noWrap w:val="0"/>
            <w:tcMar>
              <w:left w:w="0" w:type="dxa"/>
              <w:right w:w="0" w:type="dxa"/>
            </w:tcMar>
            <w:vAlign w:val="center"/>
          </w:tcPr>
          <w:p>
            <w:pPr>
              <w:jc w:val="center"/>
              <w:rPr>
                <w:rFonts w:hint="eastAsia" w:ascii="宋体" w:hAnsi="宋体" w:cs="宋体"/>
                <w:color w:val="auto"/>
                <w:sz w:val="24"/>
                <w:highlight w:val="none"/>
              </w:rPr>
            </w:pP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3046" w:type="dxa"/>
            <w:noWrap w:val="0"/>
            <w:tcMar>
              <w:left w:w="0" w:type="dxa"/>
              <w:right w:w="0" w:type="dxa"/>
            </w:tcMar>
            <w:vAlign w:val="center"/>
          </w:tcPr>
          <w:p>
            <w:pPr>
              <w:jc w:val="center"/>
              <w:rPr>
                <w:rFonts w:hint="eastAsia" w:ascii="宋体" w:hAnsi="宋体" w:cs="宋体"/>
                <w:color w:val="auto"/>
                <w:sz w:val="24"/>
                <w:highlight w:val="none"/>
              </w:rPr>
            </w:pP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3046" w:type="dxa"/>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3"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3046" w:type="dxa"/>
            <w:noWrap w:val="0"/>
            <w:tcMar>
              <w:left w:w="0" w:type="dxa"/>
              <w:right w:w="0" w:type="dxa"/>
            </w:tcMar>
            <w:vAlign w:val="center"/>
          </w:tcPr>
          <w:p>
            <w:pPr>
              <w:jc w:val="center"/>
              <w:rPr>
                <w:rFonts w:hint="eastAsia" w:ascii="宋体" w:hAnsi="宋体" w:cs="宋体"/>
                <w:color w:val="auto"/>
                <w:sz w:val="24"/>
                <w:highlight w:val="none"/>
              </w:rPr>
            </w:pP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bl>
    <w:p>
      <w:pPr>
        <w:rPr>
          <w:rFonts w:hint="eastAsia" w:ascii="宋体" w:hAnsi="宋体" w:cs="宋体"/>
          <w:color w:val="auto"/>
          <w:sz w:val="24"/>
          <w:highlight w:val="none"/>
        </w:rPr>
      </w:pPr>
    </w:p>
    <w:p>
      <w:pPr>
        <w:tabs>
          <w:tab w:val="left" w:pos="1905"/>
        </w:tabs>
        <w:spacing w:line="360" w:lineRule="auto"/>
        <w:ind w:right="-11"/>
        <w:jc w:val="left"/>
        <w:rPr>
          <w:rFonts w:hint="eastAsia" w:ascii="宋体" w:hAnsi="宋体" w:cs="宋体"/>
          <w:color w:val="auto"/>
          <w:sz w:val="24"/>
          <w:highlight w:val="none"/>
        </w:rPr>
      </w:pPr>
      <w:r>
        <w:rPr>
          <w:rFonts w:hint="eastAsia" w:ascii="宋体" w:hAnsi="宋体" w:cs="宋体"/>
          <w:color w:val="auto"/>
          <w:sz w:val="24"/>
          <w:highlight w:val="none"/>
        </w:rPr>
        <w:t>不填写本表视为投标人完全响应招标文件的所有商务条款。</w:t>
      </w:r>
    </w:p>
    <w:p>
      <w:pPr>
        <w:widowControl/>
        <w:jc w:val="left"/>
        <w:rPr>
          <w:rFonts w:hint="eastAsia" w:ascii="宋体" w:hAnsi="宋体" w:cs="宋体"/>
          <w:color w:val="auto"/>
          <w:kern w:val="0"/>
          <w:sz w:val="24"/>
          <w:highlight w:val="none"/>
          <w:lang w:bidi="ar"/>
        </w:rPr>
      </w:pPr>
    </w:p>
    <w:p>
      <w:pPr>
        <w:widowControl/>
        <w:spacing w:line="500" w:lineRule="exact"/>
        <w:jc w:val="left"/>
        <w:rPr>
          <w:color w:val="auto"/>
          <w:highlight w:val="none"/>
        </w:rPr>
      </w:pPr>
      <w:r>
        <w:rPr>
          <w:rFonts w:hint="eastAsia" w:ascii="宋体" w:hAnsi="宋体" w:cs="宋体"/>
          <w:color w:val="auto"/>
          <w:kern w:val="0"/>
          <w:sz w:val="24"/>
          <w:highlight w:val="none"/>
          <w:lang w:bidi="ar"/>
        </w:rPr>
        <w:t xml:space="preserve">投标人全称（盖电子公章）： </w:t>
      </w:r>
    </w:p>
    <w:p>
      <w:pPr>
        <w:widowControl/>
        <w:spacing w:line="500" w:lineRule="exact"/>
        <w:jc w:val="left"/>
        <w:rPr>
          <w:color w:val="auto"/>
          <w:highlight w:val="none"/>
        </w:rPr>
      </w:pPr>
      <w:r>
        <w:rPr>
          <w:rFonts w:hint="eastAsia" w:ascii="宋体" w:hAnsi="宋体" w:cs="宋体"/>
          <w:color w:val="auto"/>
          <w:kern w:val="0"/>
          <w:sz w:val="24"/>
          <w:highlight w:val="none"/>
          <w:lang w:bidi="ar"/>
        </w:rPr>
        <w:t xml:space="preserve">法定代表人或授权代表（签字或盖章）： </w:t>
      </w:r>
    </w:p>
    <w:p>
      <w:pPr>
        <w:widowControl/>
        <w:spacing w:line="500" w:lineRule="exact"/>
        <w:jc w:val="left"/>
        <w:rPr>
          <w:color w:val="auto"/>
          <w:highlight w:val="none"/>
        </w:rPr>
      </w:pPr>
      <w:r>
        <w:rPr>
          <w:rFonts w:hint="eastAsia" w:ascii="宋体" w:hAnsi="宋体" w:cs="宋体"/>
          <w:color w:val="auto"/>
          <w:kern w:val="0"/>
          <w:sz w:val="24"/>
          <w:highlight w:val="none"/>
          <w:lang w:bidi="ar"/>
        </w:rPr>
        <w:t>日 期：  年  月  日</w:t>
      </w:r>
    </w:p>
    <w:p>
      <w:pPr>
        <w:snapToGrid w:val="0"/>
        <w:spacing w:line="400" w:lineRule="exact"/>
        <w:rPr>
          <w:rFonts w:hint="eastAsia" w:ascii="宋体" w:hAnsi="宋体" w:cs="宋体"/>
          <w:b/>
          <w:color w:val="auto"/>
          <w:szCs w:val="21"/>
          <w:highlight w:val="none"/>
        </w:rPr>
      </w:pPr>
    </w:p>
    <w:p>
      <w:pPr>
        <w:snapToGrid w:val="0"/>
        <w:spacing w:line="400" w:lineRule="exact"/>
        <w:rPr>
          <w:rFonts w:hint="eastAsia" w:ascii="宋体" w:hAnsi="宋体" w:cs="宋体"/>
          <w:b/>
          <w:color w:val="auto"/>
          <w:szCs w:val="21"/>
          <w:highlight w:val="none"/>
        </w:rPr>
      </w:pPr>
    </w:p>
    <w:p>
      <w:pPr>
        <w:snapToGrid w:val="0"/>
        <w:spacing w:line="400" w:lineRule="exact"/>
        <w:rPr>
          <w:rFonts w:hint="eastAsia" w:ascii="宋体" w:hAnsi="宋体" w:cs="宋体"/>
          <w:b/>
          <w:color w:val="auto"/>
          <w:szCs w:val="21"/>
          <w:highlight w:val="none"/>
        </w:rPr>
      </w:pPr>
    </w:p>
    <w:p>
      <w:pPr>
        <w:widowControl/>
        <w:jc w:val="center"/>
        <w:rPr>
          <w:rFonts w:hint="eastAsia" w:ascii="宋体" w:hAnsi="宋体" w:cs="宋体"/>
          <w:b/>
          <w:color w:val="auto"/>
          <w:kern w:val="0"/>
          <w:sz w:val="31"/>
          <w:szCs w:val="31"/>
          <w:highlight w:val="none"/>
          <w:lang w:bidi="ar"/>
        </w:rPr>
      </w:pPr>
      <w:r>
        <w:rPr>
          <w:rFonts w:hint="eastAsia" w:ascii="宋体" w:hAnsi="宋体" w:cs="宋体"/>
          <w:color w:val="auto"/>
          <w:sz w:val="30"/>
          <w:highlight w:val="none"/>
        </w:rPr>
        <w:br w:type="page"/>
      </w:r>
      <w:r>
        <w:rPr>
          <w:rFonts w:hint="eastAsia" w:ascii="宋体" w:hAnsi="宋体" w:cs="宋体"/>
          <w:color w:val="auto"/>
          <w:sz w:val="30"/>
          <w:highlight w:val="none"/>
        </w:rPr>
        <w:t>拟派项目人员组成表</w:t>
      </w:r>
    </w:p>
    <w:p>
      <w:pPr>
        <w:pStyle w:val="52"/>
        <w:ind w:firstLine="240"/>
        <w:rPr>
          <w:color w:val="auto"/>
          <w:highlight w:val="none"/>
        </w:rPr>
      </w:pPr>
    </w:p>
    <w:p>
      <w:pPr>
        <w:pStyle w:val="3"/>
        <w:tabs>
          <w:tab w:val="right" w:pos="8847"/>
        </w:tabs>
        <w:spacing w:line="360" w:lineRule="auto"/>
        <w:ind w:firstLine="0"/>
        <w:rPr>
          <w:rFonts w:hint="eastAsia" w:hAnsi="宋体" w:cs="宋体"/>
          <w:color w:val="auto"/>
          <w:sz w:val="24"/>
          <w:szCs w:val="24"/>
          <w:highlight w:val="none"/>
          <w:u w:val="single"/>
        </w:rPr>
      </w:pPr>
      <w:r>
        <w:rPr>
          <w:rFonts w:hint="eastAsia" w:hAnsi="宋体" w:cs="宋体"/>
          <w:color w:val="auto"/>
          <w:sz w:val="24"/>
          <w:szCs w:val="24"/>
          <w:highlight w:val="none"/>
        </w:rPr>
        <w:t>招标项目名称：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招标编号：</w:t>
      </w:r>
      <w:r>
        <w:rPr>
          <w:rFonts w:hint="eastAsia" w:hAnsi="宋体" w:cs="宋体"/>
          <w:color w:val="auto"/>
          <w:sz w:val="24"/>
          <w:szCs w:val="24"/>
          <w:highlight w:val="none"/>
          <w:u w:val="single"/>
        </w:rPr>
        <w:t xml:space="preserve">                 </w:t>
      </w:r>
    </w:p>
    <w:tbl>
      <w:tblPr>
        <w:tblStyle w:val="53"/>
        <w:tblW w:w="0" w:type="auto"/>
        <w:tblInd w:w="-31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04"/>
        <w:gridCol w:w="1566"/>
        <w:gridCol w:w="1975"/>
        <w:gridCol w:w="1463"/>
        <w:gridCol w:w="283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566"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姓名</w:t>
            </w:r>
          </w:p>
        </w:tc>
        <w:tc>
          <w:tcPr>
            <w:tcW w:w="1975"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专业技术资格</w:t>
            </w:r>
          </w:p>
        </w:tc>
        <w:tc>
          <w:tcPr>
            <w:tcW w:w="1463"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证书编号</w:t>
            </w:r>
          </w:p>
        </w:tc>
        <w:tc>
          <w:tcPr>
            <w:tcW w:w="2837"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参加本单位工作时间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bottom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566"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975"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463"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2837"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bottom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566"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975"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463"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2837"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bottom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566"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975"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463"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2837"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566" w:type="dxa"/>
            <w:tcBorders>
              <w:top w:val="single" w:color="auto" w:sz="4" w:space="0"/>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975" w:type="dxa"/>
            <w:tcBorders>
              <w:top w:val="single" w:color="auto" w:sz="4" w:space="0"/>
              <w:lef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463" w:type="dxa"/>
            <w:tcBorders>
              <w:top w:val="single" w:color="auto" w:sz="4" w:space="0"/>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2837" w:type="dxa"/>
            <w:tcBorders>
              <w:top w:val="single" w:color="auto" w:sz="4" w:space="0"/>
              <w:lef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566" w:type="dxa"/>
            <w:tcBorders>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975" w:type="dxa"/>
            <w:tcBorders>
              <w:lef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463" w:type="dxa"/>
            <w:tcBorders>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2837" w:type="dxa"/>
            <w:tcBorders>
              <w:lef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r>
    </w:tbl>
    <w:p>
      <w:pPr>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t>注：1、投标人也可根据实际，自行编制。</w:t>
      </w:r>
    </w:p>
    <w:p>
      <w:pPr>
        <w:tabs>
          <w:tab w:val="left" w:pos="1905"/>
        </w:tabs>
        <w:spacing w:line="360" w:lineRule="auto"/>
        <w:ind w:right="-11"/>
        <w:jc w:val="left"/>
        <w:rPr>
          <w:rFonts w:hint="eastAsia" w:ascii="宋体" w:hAnsi="宋体" w:cs="宋体"/>
          <w:color w:val="auto"/>
          <w:sz w:val="24"/>
          <w:highlight w:val="none"/>
        </w:rPr>
      </w:pPr>
    </w:p>
    <w:p>
      <w:pPr>
        <w:widowControl/>
        <w:jc w:val="left"/>
        <w:rPr>
          <w:rFonts w:hint="eastAsia" w:ascii="宋体" w:hAnsi="宋体" w:cs="宋体"/>
          <w:color w:val="auto"/>
          <w:kern w:val="0"/>
          <w:sz w:val="24"/>
          <w:highlight w:val="none"/>
          <w:lang w:bidi="ar"/>
        </w:rPr>
      </w:pPr>
    </w:p>
    <w:p>
      <w:pPr>
        <w:widowControl/>
        <w:spacing w:line="500" w:lineRule="exact"/>
        <w:jc w:val="left"/>
        <w:rPr>
          <w:color w:val="auto"/>
          <w:highlight w:val="none"/>
        </w:rPr>
      </w:pPr>
      <w:r>
        <w:rPr>
          <w:rFonts w:hint="eastAsia" w:ascii="宋体" w:hAnsi="宋体" w:cs="宋体"/>
          <w:color w:val="auto"/>
          <w:kern w:val="0"/>
          <w:sz w:val="24"/>
          <w:highlight w:val="none"/>
          <w:lang w:bidi="ar"/>
        </w:rPr>
        <w:t xml:space="preserve">投标人全称（盖电子公章）： </w:t>
      </w:r>
    </w:p>
    <w:p>
      <w:pPr>
        <w:widowControl/>
        <w:spacing w:line="500" w:lineRule="exact"/>
        <w:jc w:val="left"/>
        <w:rPr>
          <w:color w:val="auto"/>
          <w:highlight w:val="none"/>
        </w:rPr>
      </w:pPr>
      <w:r>
        <w:rPr>
          <w:rFonts w:hint="eastAsia" w:ascii="宋体" w:hAnsi="宋体" w:cs="宋体"/>
          <w:color w:val="auto"/>
          <w:kern w:val="0"/>
          <w:sz w:val="24"/>
          <w:highlight w:val="none"/>
          <w:lang w:bidi="ar"/>
        </w:rPr>
        <w:t xml:space="preserve">法定代表人或授权代表（签字或盖章）： </w:t>
      </w:r>
    </w:p>
    <w:p>
      <w:pPr>
        <w:widowControl/>
        <w:spacing w:line="500" w:lineRule="exact"/>
        <w:jc w:val="left"/>
        <w:rPr>
          <w:color w:val="auto"/>
          <w:highlight w:val="none"/>
        </w:rPr>
      </w:pPr>
      <w:r>
        <w:rPr>
          <w:rFonts w:hint="eastAsia" w:ascii="宋体" w:hAnsi="宋体" w:cs="宋体"/>
          <w:color w:val="auto"/>
          <w:kern w:val="0"/>
          <w:sz w:val="24"/>
          <w:highlight w:val="none"/>
          <w:lang w:bidi="ar"/>
        </w:rPr>
        <w:t>日 期：  年  月  日</w:t>
      </w: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ascii="宋体" w:hAnsi="宋体" w:cs="宋体"/>
          <w:color w:val="auto"/>
          <w:sz w:val="30"/>
          <w:highlight w:val="none"/>
        </w:rPr>
      </w:pPr>
    </w:p>
    <w:p>
      <w:pPr>
        <w:pStyle w:val="2"/>
        <w:ind w:firstLine="560"/>
        <w:rPr>
          <w:rFonts w:hint="eastAsia"/>
          <w:color w:val="auto"/>
          <w:highlight w:val="none"/>
        </w:rPr>
      </w:pPr>
    </w:p>
    <w:p>
      <w:pPr>
        <w:widowControl/>
        <w:jc w:val="center"/>
        <w:rPr>
          <w:rFonts w:hint="eastAsia" w:ascii="宋体" w:hAnsi="宋体" w:cs="宋体"/>
          <w:b/>
          <w:color w:val="auto"/>
          <w:kern w:val="0"/>
          <w:sz w:val="31"/>
          <w:szCs w:val="31"/>
          <w:highlight w:val="none"/>
          <w:lang w:bidi="ar"/>
        </w:rPr>
      </w:pPr>
      <w:r>
        <w:rPr>
          <w:rFonts w:hint="eastAsia" w:ascii="宋体" w:hAnsi="宋体" w:cs="宋体"/>
          <w:color w:val="auto"/>
          <w:sz w:val="30"/>
          <w:highlight w:val="none"/>
        </w:rPr>
        <w:t>设备配置清单表</w:t>
      </w:r>
    </w:p>
    <w:p>
      <w:pPr>
        <w:pStyle w:val="52"/>
        <w:ind w:firstLine="240"/>
        <w:rPr>
          <w:color w:val="auto"/>
          <w:highlight w:val="none"/>
        </w:rPr>
      </w:pPr>
    </w:p>
    <w:p>
      <w:pPr>
        <w:pStyle w:val="3"/>
        <w:tabs>
          <w:tab w:val="right" w:pos="8847"/>
        </w:tabs>
        <w:spacing w:line="360" w:lineRule="auto"/>
        <w:ind w:firstLine="0"/>
        <w:rPr>
          <w:rFonts w:hint="eastAsia" w:hAnsi="宋体" w:cs="宋体"/>
          <w:color w:val="auto"/>
          <w:sz w:val="24"/>
          <w:szCs w:val="24"/>
          <w:highlight w:val="none"/>
          <w:u w:val="single"/>
        </w:rPr>
      </w:pPr>
      <w:r>
        <w:rPr>
          <w:rFonts w:hint="eastAsia" w:hAnsi="宋体" w:cs="宋体"/>
          <w:color w:val="auto"/>
          <w:sz w:val="24"/>
          <w:szCs w:val="24"/>
          <w:highlight w:val="none"/>
        </w:rPr>
        <w:t>招标项目名称：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招标编号：</w:t>
      </w:r>
      <w:r>
        <w:rPr>
          <w:rFonts w:hint="eastAsia" w:hAnsi="宋体" w:cs="宋体"/>
          <w:color w:val="auto"/>
          <w:sz w:val="24"/>
          <w:szCs w:val="24"/>
          <w:highlight w:val="none"/>
          <w:u w:val="single"/>
        </w:rPr>
        <w:t xml:space="preserve">                 </w:t>
      </w:r>
    </w:p>
    <w:tbl>
      <w:tblPr>
        <w:tblStyle w:val="53"/>
        <w:tblW w:w="0" w:type="auto"/>
        <w:tblInd w:w="-31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04"/>
        <w:gridCol w:w="834"/>
        <w:gridCol w:w="1082"/>
        <w:gridCol w:w="1625"/>
        <w:gridCol w:w="1463"/>
        <w:gridCol w:w="1355"/>
        <w:gridCol w:w="148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834"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名称</w:t>
            </w:r>
          </w:p>
        </w:tc>
        <w:tc>
          <w:tcPr>
            <w:tcW w:w="10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品牌</w:t>
            </w:r>
          </w:p>
        </w:tc>
        <w:tc>
          <w:tcPr>
            <w:tcW w:w="1625"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规格型号</w:t>
            </w:r>
          </w:p>
        </w:tc>
        <w:tc>
          <w:tcPr>
            <w:tcW w:w="1463"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单位数量</w:t>
            </w:r>
          </w:p>
        </w:tc>
        <w:tc>
          <w:tcPr>
            <w:tcW w:w="135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性能及指标</w:t>
            </w:r>
          </w:p>
        </w:tc>
        <w:tc>
          <w:tcPr>
            <w:tcW w:w="1482"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bottom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34"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0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625"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463"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35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482"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bottom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834"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0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625"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463"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35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482"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bottom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834"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0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625"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463" w:type="dxa"/>
            <w:tcBorders>
              <w:top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35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c>
          <w:tcPr>
            <w:tcW w:w="1482" w:type="dxa"/>
            <w:tcBorders>
              <w:top w:val="single" w:color="auto" w:sz="4" w:space="0"/>
              <w:left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834" w:type="dxa"/>
            <w:tcBorders>
              <w:top w:val="single" w:color="auto" w:sz="4" w:space="0"/>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082" w:type="dxa"/>
            <w:tcBorders>
              <w:top w:val="single" w:color="auto" w:sz="4" w:space="0"/>
              <w:left w:val="single" w:color="auto" w:sz="4" w:space="0"/>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625" w:type="dxa"/>
            <w:tcBorders>
              <w:top w:val="single" w:color="auto" w:sz="4" w:space="0"/>
              <w:lef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463" w:type="dxa"/>
            <w:tcBorders>
              <w:top w:val="single" w:color="auto" w:sz="4" w:space="0"/>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355" w:type="dxa"/>
            <w:tcBorders>
              <w:top w:val="single" w:color="auto" w:sz="4" w:space="0"/>
              <w:left w:val="single" w:color="auto" w:sz="4" w:space="0"/>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482" w:type="dxa"/>
            <w:tcBorders>
              <w:top w:val="single" w:color="auto" w:sz="4" w:space="0"/>
              <w:lef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834" w:type="dxa"/>
            <w:tcBorders>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082" w:type="dxa"/>
            <w:tcBorders>
              <w:left w:val="single" w:color="auto" w:sz="4" w:space="0"/>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625" w:type="dxa"/>
            <w:tcBorders>
              <w:lef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463" w:type="dxa"/>
            <w:tcBorders>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355" w:type="dxa"/>
            <w:tcBorders>
              <w:left w:val="single" w:color="auto" w:sz="4" w:space="0"/>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482" w:type="dxa"/>
            <w:tcBorders>
              <w:lef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834" w:type="dxa"/>
            <w:tcBorders>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082" w:type="dxa"/>
            <w:tcBorders>
              <w:left w:val="single" w:color="auto" w:sz="4" w:space="0"/>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625" w:type="dxa"/>
            <w:tcBorders>
              <w:lef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463" w:type="dxa"/>
            <w:tcBorders>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355" w:type="dxa"/>
            <w:tcBorders>
              <w:left w:val="single" w:color="auto" w:sz="4" w:space="0"/>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482" w:type="dxa"/>
            <w:tcBorders>
              <w:lef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834" w:type="dxa"/>
            <w:tcBorders>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082" w:type="dxa"/>
            <w:tcBorders>
              <w:left w:val="single" w:color="auto" w:sz="4" w:space="0"/>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625" w:type="dxa"/>
            <w:tcBorders>
              <w:lef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463" w:type="dxa"/>
            <w:tcBorders>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355" w:type="dxa"/>
            <w:tcBorders>
              <w:left w:val="single" w:color="auto" w:sz="4" w:space="0"/>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482" w:type="dxa"/>
            <w:tcBorders>
              <w:lef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834" w:type="dxa"/>
            <w:tcBorders>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082" w:type="dxa"/>
            <w:tcBorders>
              <w:left w:val="single" w:color="auto" w:sz="4" w:space="0"/>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625" w:type="dxa"/>
            <w:tcBorders>
              <w:lef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463" w:type="dxa"/>
            <w:tcBorders>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355" w:type="dxa"/>
            <w:tcBorders>
              <w:left w:val="single" w:color="auto" w:sz="4" w:space="0"/>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482" w:type="dxa"/>
            <w:tcBorders>
              <w:lef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834" w:type="dxa"/>
            <w:tcBorders>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082" w:type="dxa"/>
            <w:tcBorders>
              <w:left w:val="single" w:color="auto" w:sz="4" w:space="0"/>
              <w:righ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625" w:type="dxa"/>
            <w:tcBorders>
              <w:left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1463" w:type="dxa"/>
            <w:tcBorders>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355" w:type="dxa"/>
            <w:tcBorders>
              <w:left w:val="single" w:color="auto" w:sz="4" w:space="0"/>
              <w:righ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482" w:type="dxa"/>
            <w:tcBorders>
              <w:left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r>
    </w:tbl>
    <w:p>
      <w:pPr>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t>注：1、投标人也可根据实际，自行编制。</w:t>
      </w:r>
    </w:p>
    <w:p>
      <w:pPr>
        <w:tabs>
          <w:tab w:val="left" w:pos="1905"/>
        </w:tabs>
        <w:spacing w:line="360" w:lineRule="auto"/>
        <w:ind w:right="-11"/>
        <w:jc w:val="left"/>
        <w:rPr>
          <w:rFonts w:hint="eastAsia" w:ascii="宋体" w:hAnsi="宋体" w:cs="宋体"/>
          <w:color w:val="auto"/>
          <w:sz w:val="24"/>
          <w:highlight w:val="none"/>
        </w:rPr>
      </w:pPr>
    </w:p>
    <w:p>
      <w:pPr>
        <w:widowControl/>
        <w:jc w:val="left"/>
        <w:rPr>
          <w:rFonts w:hint="eastAsia" w:ascii="宋体" w:hAnsi="宋体" w:cs="宋体"/>
          <w:color w:val="auto"/>
          <w:kern w:val="0"/>
          <w:sz w:val="24"/>
          <w:highlight w:val="none"/>
          <w:lang w:bidi="ar"/>
        </w:rPr>
      </w:pPr>
    </w:p>
    <w:p>
      <w:pPr>
        <w:widowControl/>
        <w:spacing w:line="500" w:lineRule="exact"/>
        <w:jc w:val="left"/>
        <w:rPr>
          <w:color w:val="auto"/>
          <w:highlight w:val="none"/>
        </w:rPr>
      </w:pPr>
      <w:r>
        <w:rPr>
          <w:rFonts w:hint="eastAsia" w:ascii="宋体" w:hAnsi="宋体" w:cs="宋体"/>
          <w:color w:val="auto"/>
          <w:kern w:val="0"/>
          <w:sz w:val="24"/>
          <w:highlight w:val="none"/>
          <w:lang w:bidi="ar"/>
        </w:rPr>
        <w:t xml:space="preserve">投标人全称（盖电子公章）： </w:t>
      </w:r>
    </w:p>
    <w:p>
      <w:pPr>
        <w:widowControl/>
        <w:spacing w:line="500" w:lineRule="exact"/>
        <w:jc w:val="left"/>
        <w:rPr>
          <w:color w:val="auto"/>
          <w:highlight w:val="none"/>
        </w:rPr>
      </w:pPr>
      <w:r>
        <w:rPr>
          <w:rFonts w:hint="eastAsia" w:ascii="宋体" w:hAnsi="宋体" w:cs="宋体"/>
          <w:color w:val="auto"/>
          <w:kern w:val="0"/>
          <w:sz w:val="24"/>
          <w:highlight w:val="none"/>
          <w:lang w:bidi="ar"/>
        </w:rPr>
        <w:t xml:space="preserve">法定代表人或授权代表（签字或盖章）： </w:t>
      </w:r>
    </w:p>
    <w:p>
      <w:pPr>
        <w:widowControl/>
        <w:spacing w:line="500" w:lineRule="exact"/>
        <w:jc w:val="left"/>
        <w:rPr>
          <w:color w:val="auto"/>
          <w:highlight w:val="none"/>
        </w:rPr>
      </w:pPr>
      <w:r>
        <w:rPr>
          <w:rFonts w:hint="eastAsia" w:ascii="宋体" w:hAnsi="宋体" w:cs="宋体"/>
          <w:color w:val="auto"/>
          <w:kern w:val="0"/>
          <w:sz w:val="24"/>
          <w:highlight w:val="none"/>
          <w:lang w:bidi="ar"/>
        </w:rPr>
        <w:t>日 期：  年  月  日</w:t>
      </w: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ascii="宋体" w:hAnsi="宋体" w:cs="宋体"/>
          <w:color w:val="auto"/>
          <w:sz w:val="30"/>
          <w:highlight w:val="none"/>
        </w:rPr>
      </w:pPr>
    </w:p>
    <w:p>
      <w:pPr>
        <w:pStyle w:val="2"/>
        <w:ind w:firstLine="560"/>
        <w:rPr>
          <w:rFonts w:hint="eastAsia"/>
          <w:color w:val="auto"/>
          <w:highlight w:val="none"/>
        </w:rPr>
      </w:pPr>
    </w:p>
    <w:p>
      <w:pPr>
        <w:snapToGrid w:val="0"/>
        <w:spacing w:before="120" w:beforeLines="50" w:after="50"/>
        <w:jc w:val="center"/>
        <w:rPr>
          <w:rFonts w:hint="eastAsia" w:ascii="宋体" w:hAnsi="宋体" w:cs="宋体"/>
          <w:color w:val="auto"/>
          <w:sz w:val="30"/>
          <w:highlight w:val="none"/>
        </w:rPr>
      </w:pPr>
    </w:p>
    <w:p>
      <w:pPr>
        <w:widowControl/>
        <w:jc w:val="center"/>
        <w:rPr>
          <w:rFonts w:hint="eastAsia" w:ascii="宋体" w:hAnsi="宋体" w:cs="宋体"/>
          <w:b/>
          <w:color w:val="auto"/>
          <w:kern w:val="0"/>
          <w:sz w:val="31"/>
          <w:szCs w:val="31"/>
          <w:highlight w:val="none"/>
          <w:lang w:bidi="ar"/>
        </w:rPr>
      </w:pPr>
      <w:r>
        <w:rPr>
          <w:rFonts w:hint="eastAsia" w:ascii="宋体" w:hAnsi="宋体" w:cs="宋体"/>
          <w:b/>
          <w:color w:val="auto"/>
          <w:kern w:val="0"/>
          <w:sz w:val="31"/>
          <w:szCs w:val="31"/>
          <w:highlight w:val="none"/>
          <w:lang w:bidi="ar"/>
        </w:rPr>
        <w:t>技术响应表</w:t>
      </w:r>
    </w:p>
    <w:p>
      <w:pPr>
        <w:pStyle w:val="52"/>
        <w:ind w:firstLine="240"/>
        <w:rPr>
          <w:color w:val="auto"/>
          <w:highlight w:val="none"/>
        </w:rPr>
      </w:pPr>
    </w:p>
    <w:p>
      <w:pPr>
        <w:pStyle w:val="3"/>
        <w:tabs>
          <w:tab w:val="right" w:pos="8847"/>
        </w:tabs>
        <w:spacing w:line="360" w:lineRule="auto"/>
        <w:ind w:firstLine="0"/>
        <w:rPr>
          <w:rFonts w:hint="eastAsia" w:hAnsi="宋体" w:cs="宋体"/>
          <w:color w:val="auto"/>
          <w:sz w:val="24"/>
          <w:szCs w:val="24"/>
          <w:highlight w:val="none"/>
          <w:u w:val="single"/>
        </w:rPr>
      </w:pPr>
      <w:r>
        <w:rPr>
          <w:rFonts w:hint="eastAsia" w:hAnsi="宋体" w:cs="宋体"/>
          <w:color w:val="auto"/>
          <w:sz w:val="24"/>
          <w:szCs w:val="24"/>
          <w:highlight w:val="none"/>
        </w:rPr>
        <w:t>招标项目名称：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招标编号：</w:t>
      </w:r>
      <w:r>
        <w:rPr>
          <w:rFonts w:hint="eastAsia" w:hAnsi="宋体" w:cs="宋体"/>
          <w:color w:val="auto"/>
          <w:sz w:val="24"/>
          <w:szCs w:val="24"/>
          <w:highlight w:val="none"/>
          <w:u w:val="single"/>
        </w:rPr>
        <w:t xml:space="preserve">                 </w:t>
      </w:r>
    </w:p>
    <w:tbl>
      <w:tblPr>
        <w:tblStyle w:val="53"/>
        <w:tblW w:w="0" w:type="auto"/>
        <w:tblInd w:w="-31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04"/>
        <w:gridCol w:w="3046"/>
        <w:gridCol w:w="3272"/>
        <w:gridCol w:w="152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046" w:type="dxa"/>
            <w:tcBorders>
              <w:top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招标文件的条款</w:t>
            </w:r>
          </w:p>
        </w:tc>
        <w:tc>
          <w:tcPr>
            <w:tcW w:w="3272" w:type="dxa"/>
            <w:tcBorders>
              <w:top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投标文件的条款</w:t>
            </w:r>
          </w:p>
        </w:tc>
        <w:tc>
          <w:tcPr>
            <w:tcW w:w="1523" w:type="dxa"/>
            <w:tcBorders>
              <w:top w:val="single" w:color="auto" w:sz="4" w:space="0"/>
              <w:bottom w:val="single" w:color="auto" w:sz="4" w:space="0"/>
            </w:tcBorders>
            <w:noWrap w:val="0"/>
            <w:tcMar>
              <w:left w:w="0" w:type="dxa"/>
              <w:right w:w="0" w:type="dxa"/>
            </w:tcMar>
            <w:vAlign w:val="center"/>
          </w:tcPr>
          <w:p>
            <w:pPr>
              <w:pStyle w:val="3"/>
              <w:spacing w:line="0" w:lineRule="atLeast"/>
              <w:ind w:firstLine="0"/>
              <w:jc w:val="center"/>
              <w:rPr>
                <w:rFonts w:hint="eastAsia" w:hAnsi="宋体" w:cs="宋体"/>
                <w:color w:val="auto"/>
                <w:sz w:val="24"/>
                <w:szCs w:val="24"/>
                <w:highlight w:val="none"/>
              </w:rPr>
            </w:pPr>
            <w:r>
              <w:rPr>
                <w:rFonts w:hint="eastAsia" w:hAnsi="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04" w:type="dxa"/>
            <w:tcBorders>
              <w:top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046" w:type="dxa"/>
            <w:tcBorders>
              <w:top w:val="single" w:color="auto" w:sz="4" w:space="0"/>
            </w:tcBorders>
            <w:noWrap w:val="0"/>
            <w:tcMar>
              <w:left w:w="0" w:type="dxa"/>
              <w:right w:w="0" w:type="dxa"/>
            </w:tcMar>
            <w:vAlign w:val="center"/>
          </w:tcPr>
          <w:p>
            <w:pPr>
              <w:rPr>
                <w:rFonts w:hint="eastAsia" w:ascii="宋体" w:hAnsi="宋体" w:cs="宋体"/>
                <w:color w:val="auto"/>
                <w:sz w:val="24"/>
                <w:highlight w:val="none"/>
              </w:rPr>
            </w:pPr>
          </w:p>
        </w:tc>
        <w:tc>
          <w:tcPr>
            <w:tcW w:w="3272" w:type="dxa"/>
            <w:tcBorders>
              <w:top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c>
          <w:tcPr>
            <w:tcW w:w="1523" w:type="dxa"/>
            <w:tcBorders>
              <w:top w:val="single" w:color="auto" w:sz="4" w:space="0"/>
            </w:tcBorders>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046" w:type="dxa"/>
            <w:noWrap w:val="0"/>
            <w:tcMar>
              <w:left w:w="0" w:type="dxa"/>
              <w:right w:w="0" w:type="dxa"/>
            </w:tcMar>
            <w:vAlign w:val="center"/>
          </w:tcPr>
          <w:p>
            <w:pPr>
              <w:rPr>
                <w:rFonts w:hint="eastAsia" w:ascii="宋体" w:hAnsi="宋体" w:cs="宋体"/>
                <w:color w:val="auto"/>
                <w:sz w:val="24"/>
                <w:highlight w:val="none"/>
              </w:rPr>
            </w:pP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046" w:type="dxa"/>
            <w:noWrap w:val="0"/>
            <w:tcMar>
              <w:left w:w="0" w:type="dxa"/>
              <w:right w:w="0" w:type="dxa"/>
            </w:tcMar>
            <w:vAlign w:val="center"/>
          </w:tcPr>
          <w:p>
            <w:pPr>
              <w:rPr>
                <w:rFonts w:hint="eastAsia" w:ascii="宋体" w:hAnsi="宋体" w:cs="宋体"/>
                <w:color w:val="auto"/>
                <w:sz w:val="24"/>
                <w:highlight w:val="none"/>
              </w:rPr>
            </w:pP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046" w:type="dxa"/>
            <w:noWrap w:val="0"/>
            <w:tcMar>
              <w:left w:w="0" w:type="dxa"/>
              <w:right w:w="0" w:type="dxa"/>
            </w:tcMar>
            <w:vAlign w:val="center"/>
          </w:tcPr>
          <w:p>
            <w:pPr>
              <w:rPr>
                <w:rFonts w:hint="eastAsia" w:ascii="宋体" w:hAnsi="宋体" w:cs="宋体"/>
                <w:color w:val="auto"/>
                <w:sz w:val="24"/>
                <w:highlight w:val="none"/>
              </w:rPr>
            </w:pP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3046" w:type="dxa"/>
            <w:noWrap w:val="0"/>
            <w:tcMar>
              <w:left w:w="0" w:type="dxa"/>
              <w:right w:w="0" w:type="dxa"/>
            </w:tcMar>
            <w:vAlign w:val="center"/>
          </w:tcPr>
          <w:p>
            <w:pPr>
              <w:rPr>
                <w:rFonts w:hint="eastAsia" w:ascii="宋体" w:hAnsi="宋体" w:cs="宋体"/>
                <w:color w:val="auto"/>
                <w:sz w:val="24"/>
                <w:highlight w:val="none"/>
              </w:rPr>
            </w:pP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3046" w:type="dxa"/>
            <w:noWrap w:val="0"/>
            <w:tcMar>
              <w:left w:w="0" w:type="dxa"/>
              <w:right w:w="0" w:type="dxa"/>
            </w:tcMar>
            <w:vAlign w:val="center"/>
          </w:tcPr>
          <w:p>
            <w:pPr>
              <w:rPr>
                <w:rFonts w:hint="eastAsia" w:ascii="宋体" w:hAnsi="宋体" w:cs="宋体"/>
                <w:color w:val="auto"/>
                <w:sz w:val="24"/>
                <w:highlight w:val="none"/>
              </w:rPr>
            </w:pP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3046" w:type="dxa"/>
            <w:noWrap w:val="0"/>
            <w:tcMar>
              <w:left w:w="0" w:type="dxa"/>
              <w:right w:w="0" w:type="dxa"/>
            </w:tcMar>
            <w:vAlign w:val="center"/>
          </w:tcPr>
          <w:p>
            <w:pPr>
              <w:jc w:val="center"/>
              <w:rPr>
                <w:rFonts w:hint="eastAsia" w:ascii="宋体" w:hAnsi="宋体" w:cs="宋体"/>
                <w:color w:val="auto"/>
                <w:sz w:val="24"/>
                <w:highlight w:val="none"/>
              </w:rPr>
            </w:pP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3046" w:type="dxa"/>
            <w:noWrap w:val="0"/>
            <w:tcMar>
              <w:left w:w="0" w:type="dxa"/>
              <w:right w:w="0" w:type="dxa"/>
            </w:tcMar>
            <w:vAlign w:val="center"/>
          </w:tcPr>
          <w:p>
            <w:pPr>
              <w:jc w:val="center"/>
              <w:rPr>
                <w:rFonts w:hint="eastAsia" w:ascii="宋体" w:hAnsi="宋体" w:cs="宋体"/>
                <w:color w:val="auto"/>
                <w:sz w:val="24"/>
                <w:highlight w:val="none"/>
              </w:rPr>
            </w:pP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3046" w:type="dxa"/>
            <w:noWrap w:val="0"/>
            <w:tcMar>
              <w:left w:w="0" w:type="dxa"/>
              <w:right w:w="0"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3" w:hRule="atLeast"/>
        </w:trPr>
        <w:tc>
          <w:tcPr>
            <w:tcW w:w="804" w:type="dxa"/>
            <w:noWrap w:val="0"/>
            <w:tcMar>
              <w:left w:w="0" w:type="dxa"/>
              <w:right w:w="0" w:type="dxa"/>
            </w:tcMar>
            <w:vAlign w:val="center"/>
          </w:tcPr>
          <w:p>
            <w:pPr>
              <w:jc w:val="center"/>
              <w:rPr>
                <w:rFonts w:hint="eastAsia" w:ascii="宋体" w:hAnsi="宋体" w:cs="宋体"/>
                <w:color w:val="auto"/>
                <w:sz w:val="24"/>
                <w:highlight w:val="none"/>
              </w:rPr>
            </w:pPr>
          </w:p>
        </w:tc>
        <w:tc>
          <w:tcPr>
            <w:tcW w:w="3046" w:type="dxa"/>
            <w:noWrap w:val="0"/>
            <w:tcMar>
              <w:left w:w="0" w:type="dxa"/>
              <w:right w:w="0" w:type="dxa"/>
            </w:tcMar>
            <w:vAlign w:val="center"/>
          </w:tcPr>
          <w:p>
            <w:pPr>
              <w:jc w:val="center"/>
              <w:rPr>
                <w:rFonts w:hint="eastAsia" w:ascii="宋体" w:hAnsi="宋体" w:cs="宋体"/>
                <w:color w:val="auto"/>
                <w:sz w:val="24"/>
                <w:highlight w:val="none"/>
              </w:rPr>
            </w:pPr>
          </w:p>
        </w:tc>
        <w:tc>
          <w:tcPr>
            <w:tcW w:w="3272" w:type="dxa"/>
            <w:noWrap w:val="0"/>
            <w:tcMar>
              <w:left w:w="0" w:type="dxa"/>
              <w:right w:w="0" w:type="dxa"/>
            </w:tcMar>
            <w:vAlign w:val="center"/>
          </w:tcPr>
          <w:p>
            <w:pPr>
              <w:jc w:val="center"/>
              <w:rPr>
                <w:rFonts w:hint="eastAsia" w:ascii="宋体" w:hAnsi="宋体" w:cs="宋体"/>
                <w:color w:val="auto"/>
                <w:sz w:val="24"/>
                <w:highlight w:val="none"/>
              </w:rPr>
            </w:pPr>
          </w:p>
        </w:tc>
        <w:tc>
          <w:tcPr>
            <w:tcW w:w="1523" w:type="dxa"/>
            <w:noWrap w:val="0"/>
            <w:tcMar>
              <w:left w:w="0" w:type="dxa"/>
              <w:right w:w="0" w:type="dxa"/>
            </w:tcMar>
            <w:vAlign w:val="center"/>
          </w:tcPr>
          <w:p>
            <w:pPr>
              <w:jc w:val="center"/>
              <w:rPr>
                <w:rFonts w:hint="eastAsia" w:ascii="宋体" w:hAnsi="宋体" w:cs="宋体"/>
                <w:color w:val="auto"/>
                <w:sz w:val="24"/>
                <w:highlight w:val="none"/>
              </w:rPr>
            </w:pPr>
          </w:p>
        </w:tc>
      </w:tr>
    </w:tbl>
    <w:p>
      <w:pPr>
        <w:rPr>
          <w:rFonts w:hint="eastAsia" w:ascii="宋体" w:hAnsi="宋体" w:cs="宋体"/>
          <w:color w:val="auto"/>
          <w:sz w:val="24"/>
          <w:highlight w:val="none"/>
        </w:rPr>
      </w:pPr>
    </w:p>
    <w:p>
      <w:pPr>
        <w:tabs>
          <w:tab w:val="left" w:pos="1905"/>
        </w:tabs>
        <w:spacing w:line="360" w:lineRule="auto"/>
        <w:ind w:right="-11"/>
        <w:jc w:val="left"/>
        <w:rPr>
          <w:rFonts w:hint="eastAsia" w:ascii="宋体" w:hAnsi="宋体" w:cs="宋体"/>
          <w:color w:val="auto"/>
          <w:sz w:val="24"/>
          <w:highlight w:val="none"/>
        </w:rPr>
      </w:pPr>
      <w:r>
        <w:rPr>
          <w:rFonts w:hint="eastAsia" w:ascii="宋体" w:hAnsi="宋体" w:cs="宋体"/>
          <w:color w:val="auto"/>
          <w:sz w:val="24"/>
          <w:highlight w:val="none"/>
        </w:rPr>
        <w:t>不填写本表视为投标人完全响应招标文件的所有商务条款。</w:t>
      </w:r>
    </w:p>
    <w:p>
      <w:pPr>
        <w:widowControl/>
        <w:jc w:val="left"/>
        <w:rPr>
          <w:rFonts w:hint="eastAsia" w:ascii="宋体" w:hAnsi="宋体" w:cs="宋体"/>
          <w:color w:val="auto"/>
          <w:kern w:val="0"/>
          <w:sz w:val="24"/>
          <w:highlight w:val="none"/>
          <w:lang w:bidi="ar"/>
        </w:rPr>
      </w:pPr>
    </w:p>
    <w:p>
      <w:pPr>
        <w:widowControl/>
        <w:spacing w:line="500" w:lineRule="exact"/>
        <w:jc w:val="left"/>
        <w:rPr>
          <w:color w:val="auto"/>
          <w:highlight w:val="none"/>
        </w:rPr>
      </w:pPr>
      <w:r>
        <w:rPr>
          <w:rFonts w:hint="eastAsia" w:ascii="宋体" w:hAnsi="宋体" w:cs="宋体"/>
          <w:color w:val="auto"/>
          <w:kern w:val="0"/>
          <w:sz w:val="24"/>
          <w:highlight w:val="none"/>
          <w:lang w:bidi="ar"/>
        </w:rPr>
        <w:t xml:space="preserve">投标人全称（盖电子公章）： </w:t>
      </w:r>
    </w:p>
    <w:p>
      <w:pPr>
        <w:widowControl/>
        <w:spacing w:line="500" w:lineRule="exact"/>
        <w:jc w:val="left"/>
        <w:rPr>
          <w:color w:val="auto"/>
          <w:highlight w:val="none"/>
        </w:rPr>
      </w:pPr>
      <w:r>
        <w:rPr>
          <w:rFonts w:hint="eastAsia" w:ascii="宋体" w:hAnsi="宋体" w:cs="宋体"/>
          <w:color w:val="auto"/>
          <w:kern w:val="0"/>
          <w:sz w:val="24"/>
          <w:highlight w:val="none"/>
          <w:lang w:bidi="ar"/>
        </w:rPr>
        <w:t xml:space="preserve">法定代表人或授权代表（签字或盖章）： </w:t>
      </w:r>
    </w:p>
    <w:p>
      <w:pPr>
        <w:widowControl/>
        <w:spacing w:line="500" w:lineRule="exact"/>
        <w:jc w:val="left"/>
        <w:rPr>
          <w:color w:val="auto"/>
          <w:highlight w:val="none"/>
        </w:rPr>
      </w:pPr>
      <w:r>
        <w:rPr>
          <w:rFonts w:hint="eastAsia" w:ascii="宋体" w:hAnsi="宋体" w:cs="宋体"/>
          <w:color w:val="auto"/>
          <w:kern w:val="0"/>
          <w:sz w:val="24"/>
          <w:highlight w:val="none"/>
          <w:lang w:bidi="ar"/>
        </w:rPr>
        <w:t>日 期：  年  月  日</w:t>
      </w: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snapToGrid w:val="0"/>
        <w:spacing w:before="120" w:beforeLines="50" w:after="50"/>
        <w:jc w:val="center"/>
        <w:rPr>
          <w:rFonts w:hint="eastAsia" w:ascii="宋体" w:hAnsi="宋体" w:cs="宋体"/>
          <w:color w:val="auto"/>
          <w:sz w:val="30"/>
          <w:highlight w:val="none"/>
        </w:rPr>
      </w:pPr>
    </w:p>
    <w:p>
      <w:pPr>
        <w:widowControl/>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3.报价投标文件封面格式</w:t>
      </w:r>
    </w:p>
    <w:p>
      <w:pPr>
        <w:pStyle w:val="52"/>
        <w:ind w:firstLine="0" w:firstLineChars="0"/>
        <w:rPr>
          <w:rFonts w:hint="eastAsia"/>
          <w:color w:val="auto"/>
          <w:highlight w:val="none"/>
        </w:rPr>
      </w:pPr>
    </w:p>
    <w:p>
      <w:pPr>
        <w:widowControl/>
        <w:jc w:val="center"/>
        <w:rPr>
          <w:rFonts w:hint="eastAsia" w:ascii="宋体" w:hAnsi="宋体" w:cs="宋体"/>
          <w:b/>
          <w:color w:val="auto"/>
          <w:kern w:val="0"/>
          <w:sz w:val="36"/>
          <w:szCs w:val="36"/>
          <w:highlight w:val="none"/>
          <w:lang w:bidi="ar"/>
        </w:rPr>
      </w:pPr>
      <w:r>
        <w:rPr>
          <w:rFonts w:hint="eastAsia" w:ascii="宋体" w:hAnsi="宋体" w:cs="宋体"/>
          <w:b/>
          <w:color w:val="auto"/>
          <w:kern w:val="0"/>
          <w:sz w:val="36"/>
          <w:szCs w:val="36"/>
          <w:highlight w:val="none"/>
          <w:lang w:bidi="ar"/>
        </w:rPr>
        <w:t>山明美术院扩建工程弱电智能化设备采购项目</w:t>
      </w:r>
    </w:p>
    <w:p>
      <w:pPr>
        <w:pStyle w:val="148"/>
        <w:rPr>
          <w:rFonts w:hint="eastAsia" w:ascii="宋体" w:hAnsi="宋体"/>
          <w:b/>
          <w:color w:val="auto"/>
          <w:kern w:val="0"/>
          <w:sz w:val="36"/>
          <w:szCs w:val="36"/>
          <w:highlight w:val="none"/>
          <w:lang w:bidi="ar"/>
        </w:rPr>
      </w:pPr>
    </w:p>
    <w:p>
      <w:pPr>
        <w:pStyle w:val="148"/>
        <w:rPr>
          <w:rFonts w:hint="eastAsia" w:ascii="宋体" w:hAnsi="宋体"/>
          <w:b/>
          <w:color w:val="auto"/>
          <w:kern w:val="0"/>
          <w:sz w:val="36"/>
          <w:szCs w:val="36"/>
          <w:highlight w:val="none"/>
          <w:lang w:bidi="ar"/>
        </w:rPr>
      </w:pPr>
    </w:p>
    <w:p>
      <w:pPr>
        <w:widowControl/>
        <w:jc w:val="center"/>
        <w:rPr>
          <w:rFonts w:hint="eastAsia" w:ascii="宋体" w:hAnsi="宋体" w:cs="宋体"/>
          <w:color w:val="auto"/>
          <w:kern w:val="0"/>
          <w:sz w:val="91"/>
          <w:szCs w:val="91"/>
          <w:highlight w:val="none"/>
          <w:lang w:bidi="ar"/>
        </w:rPr>
      </w:pPr>
      <w:r>
        <w:rPr>
          <w:rFonts w:hint="eastAsia" w:ascii="宋体" w:hAnsi="宋体" w:cs="宋体"/>
          <w:color w:val="auto"/>
          <w:kern w:val="0"/>
          <w:sz w:val="91"/>
          <w:szCs w:val="91"/>
          <w:highlight w:val="none"/>
          <w:lang w:bidi="ar"/>
        </w:rPr>
        <w:t>投 标 文 件</w:t>
      </w:r>
    </w:p>
    <w:p>
      <w:pPr>
        <w:pStyle w:val="148"/>
        <w:rPr>
          <w:color w:val="auto"/>
          <w:highlight w:val="none"/>
        </w:rPr>
      </w:pPr>
    </w:p>
    <w:p>
      <w:pPr>
        <w:widowControl/>
        <w:jc w:val="center"/>
        <w:rPr>
          <w:rFonts w:hint="eastAsia" w:ascii="宋体" w:hAnsi="宋体" w:cs="宋体"/>
          <w:b/>
          <w:color w:val="auto"/>
          <w:kern w:val="0"/>
          <w:sz w:val="43"/>
          <w:szCs w:val="43"/>
          <w:highlight w:val="none"/>
          <w:lang w:bidi="ar"/>
        </w:rPr>
      </w:pPr>
    </w:p>
    <w:p>
      <w:pPr>
        <w:widowControl/>
        <w:jc w:val="center"/>
        <w:rPr>
          <w:rFonts w:hint="eastAsia" w:ascii="宋体" w:hAnsi="宋体" w:cs="宋体"/>
          <w:b/>
          <w:color w:val="auto"/>
          <w:kern w:val="0"/>
          <w:sz w:val="43"/>
          <w:szCs w:val="43"/>
          <w:highlight w:val="none"/>
          <w:lang w:bidi="ar"/>
        </w:rPr>
      </w:pPr>
      <w:r>
        <w:rPr>
          <w:rFonts w:hint="eastAsia" w:ascii="宋体" w:hAnsi="宋体" w:cs="宋体"/>
          <w:b/>
          <w:color w:val="auto"/>
          <w:kern w:val="0"/>
          <w:sz w:val="43"/>
          <w:szCs w:val="43"/>
          <w:highlight w:val="none"/>
          <w:lang w:bidi="ar"/>
        </w:rPr>
        <w:t>（报价投标文件）</w:t>
      </w:r>
    </w:p>
    <w:p>
      <w:pPr>
        <w:pStyle w:val="148"/>
        <w:rPr>
          <w:color w:val="auto"/>
          <w:highlight w:val="none"/>
        </w:rPr>
      </w:pPr>
    </w:p>
    <w:p>
      <w:pPr>
        <w:widowControl/>
        <w:ind w:firstLine="2178" w:firstLineChars="700"/>
        <w:jc w:val="left"/>
        <w:rPr>
          <w:rFonts w:hint="eastAsia" w:ascii="宋体" w:hAnsi="宋体" w:cs="宋体"/>
          <w:b/>
          <w:color w:val="auto"/>
          <w:kern w:val="0"/>
          <w:sz w:val="31"/>
          <w:szCs w:val="31"/>
          <w:highlight w:val="none"/>
          <w:lang w:bidi="ar"/>
        </w:rPr>
      </w:pPr>
    </w:p>
    <w:p>
      <w:pPr>
        <w:widowControl/>
        <w:ind w:firstLine="2178" w:firstLineChars="700"/>
        <w:jc w:val="left"/>
        <w:rPr>
          <w:rFonts w:hint="eastAsia" w:ascii="宋体" w:hAnsi="宋体" w:cs="宋体"/>
          <w:b/>
          <w:color w:val="auto"/>
          <w:kern w:val="0"/>
          <w:sz w:val="31"/>
          <w:szCs w:val="31"/>
          <w:highlight w:val="none"/>
          <w:lang w:bidi="ar"/>
        </w:rPr>
      </w:pPr>
      <w:r>
        <w:rPr>
          <w:rFonts w:hint="eastAsia" w:ascii="宋体" w:hAnsi="宋体" w:cs="宋体"/>
          <w:b/>
          <w:color w:val="auto"/>
          <w:kern w:val="0"/>
          <w:sz w:val="31"/>
          <w:szCs w:val="31"/>
          <w:highlight w:val="none"/>
          <w:lang w:bidi="ar"/>
        </w:rPr>
        <w:t xml:space="preserve">项目编号：HZJSCGGK2022003 </w:t>
      </w:r>
    </w:p>
    <w:p>
      <w:pPr>
        <w:pStyle w:val="148"/>
        <w:rPr>
          <w:rFonts w:hint="eastAsia" w:ascii="宋体" w:hAnsi="宋体"/>
          <w:b/>
          <w:color w:val="auto"/>
          <w:kern w:val="0"/>
          <w:sz w:val="31"/>
          <w:szCs w:val="31"/>
          <w:highlight w:val="none"/>
          <w:lang w:bidi="ar"/>
        </w:rPr>
      </w:pPr>
    </w:p>
    <w:p>
      <w:pPr>
        <w:pStyle w:val="148"/>
        <w:rPr>
          <w:rFonts w:hint="eastAsia" w:ascii="宋体" w:hAnsi="宋体"/>
          <w:b/>
          <w:color w:val="auto"/>
          <w:kern w:val="0"/>
          <w:sz w:val="31"/>
          <w:szCs w:val="31"/>
          <w:highlight w:val="none"/>
          <w:lang w:bidi="ar"/>
        </w:rPr>
      </w:pPr>
    </w:p>
    <w:p>
      <w:pPr>
        <w:pStyle w:val="148"/>
        <w:rPr>
          <w:color w:val="auto"/>
          <w:highlight w:val="none"/>
        </w:rPr>
      </w:pPr>
    </w:p>
    <w:p>
      <w:pPr>
        <w:widowControl/>
        <w:spacing w:line="500" w:lineRule="exact"/>
        <w:jc w:val="left"/>
        <w:rPr>
          <w:rFonts w:hint="eastAsia" w:ascii="宋体" w:hAnsi="宋体" w:cs="宋体"/>
          <w:b/>
          <w:color w:val="auto"/>
          <w:kern w:val="0"/>
          <w:sz w:val="31"/>
          <w:szCs w:val="31"/>
          <w:highlight w:val="none"/>
          <w:lang w:bidi="ar"/>
        </w:rPr>
      </w:pPr>
      <w:r>
        <w:rPr>
          <w:rFonts w:hint="eastAsia" w:ascii="宋体" w:hAnsi="宋体" w:cs="宋体"/>
          <w:b/>
          <w:color w:val="auto"/>
          <w:kern w:val="0"/>
          <w:sz w:val="31"/>
          <w:szCs w:val="31"/>
          <w:highlight w:val="none"/>
          <w:lang w:bidi="ar"/>
        </w:rPr>
        <w:t xml:space="preserve">投标人（盖电子公章）： </w:t>
      </w:r>
    </w:p>
    <w:p>
      <w:pPr>
        <w:pStyle w:val="148"/>
        <w:rPr>
          <w:color w:val="auto"/>
          <w:highlight w:val="none"/>
        </w:rPr>
      </w:pPr>
    </w:p>
    <w:p>
      <w:pPr>
        <w:widowControl/>
        <w:spacing w:line="500" w:lineRule="exact"/>
        <w:jc w:val="left"/>
        <w:rPr>
          <w:rFonts w:hint="eastAsia" w:ascii="宋体" w:hAnsi="宋体" w:cs="宋体"/>
          <w:b/>
          <w:color w:val="auto"/>
          <w:kern w:val="0"/>
          <w:sz w:val="31"/>
          <w:szCs w:val="31"/>
          <w:highlight w:val="none"/>
          <w:lang w:bidi="ar"/>
        </w:rPr>
      </w:pPr>
      <w:r>
        <w:rPr>
          <w:rFonts w:hint="eastAsia" w:ascii="宋体" w:hAnsi="宋体" w:cs="宋体"/>
          <w:b/>
          <w:color w:val="auto"/>
          <w:kern w:val="0"/>
          <w:sz w:val="31"/>
          <w:szCs w:val="31"/>
          <w:highlight w:val="none"/>
          <w:lang w:bidi="ar"/>
        </w:rPr>
        <w:t>法定代表人或授权代表(签字或盖章)：</w:t>
      </w:r>
    </w:p>
    <w:p>
      <w:pPr>
        <w:widowControl/>
        <w:spacing w:line="500" w:lineRule="exact"/>
        <w:jc w:val="left"/>
        <w:rPr>
          <w:color w:val="auto"/>
          <w:highlight w:val="none"/>
        </w:rPr>
      </w:pPr>
      <w:r>
        <w:rPr>
          <w:rFonts w:hint="eastAsia" w:ascii="宋体" w:hAnsi="宋体" w:cs="宋体"/>
          <w:b/>
          <w:color w:val="auto"/>
          <w:kern w:val="0"/>
          <w:sz w:val="31"/>
          <w:szCs w:val="31"/>
          <w:highlight w:val="none"/>
          <w:lang w:bidi="ar"/>
        </w:rPr>
        <w:t xml:space="preserve"> </w:t>
      </w:r>
    </w:p>
    <w:p>
      <w:pPr>
        <w:widowControl/>
        <w:spacing w:line="500" w:lineRule="exact"/>
        <w:jc w:val="left"/>
        <w:rPr>
          <w:color w:val="auto"/>
          <w:highlight w:val="none"/>
        </w:rPr>
      </w:pPr>
      <w:r>
        <w:rPr>
          <w:rFonts w:hint="eastAsia" w:ascii="宋体" w:hAnsi="宋体" w:cs="宋体"/>
          <w:b/>
          <w:color w:val="auto"/>
          <w:kern w:val="0"/>
          <w:sz w:val="31"/>
          <w:szCs w:val="31"/>
          <w:highlight w:val="none"/>
          <w:lang w:bidi="ar"/>
        </w:rPr>
        <w:t>时间：   年   月  日</w:t>
      </w:r>
    </w:p>
    <w:p>
      <w:pPr>
        <w:snapToGrid w:val="0"/>
        <w:spacing w:line="400" w:lineRule="exact"/>
        <w:ind w:firstLine="645"/>
        <w:jc w:val="center"/>
        <w:rPr>
          <w:rFonts w:hint="eastAsia" w:ascii="宋体" w:hAnsi="宋体" w:cs="宋体"/>
          <w:bCs/>
          <w:color w:val="auto"/>
          <w:szCs w:val="21"/>
          <w:highlight w:val="none"/>
        </w:rPr>
      </w:pPr>
    </w:p>
    <w:p>
      <w:pPr>
        <w:snapToGrid w:val="0"/>
        <w:spacing w:line="400" w:lineRule="exact"/>
        <w:jc w:val="center"/>
        <w:outlineLvl w:val="1"/>
        <w:rPr>
          <w:rFonts w:hint="eastAsia" w:ascii="宋体" w:hAnsi="宋体" w:cs="宋体"/>
          <w:color w:val="auto"/>
          <w:szCs w:val="21"/>
          <w:highlight w:val="none"/>
        </w:rPr>
      </w:pPr>
    </w:p>
    <w:p>
      <w:pPr>
        <w:snapToGrid w:val="0"/>
        <w:spacing w:line="400" w:lineRule="exact"/>
        <w:jc w:val="center"/>
        <w:outlineLvl w:val="1"/>
        <w:rPr>
          <w:rFonts w:hint="eastAsia" w:ascii="宋体" w:hAnsi="宋体" w:cs="宋体"/>
          <w:color w:val="auto"/>
          <w:szCs w:val="21"/>
          <w:highlight w:val="none"/>
        </w:rPr>
      </w:pPr>
    </w:p>
    <w:p>
      <w:pPr>
        <w:snapToGrid w:val="0"/>
        <w:spacing w:line="400" w:lineRule="exact"/>
        <w:rPr>
          <w:rFonts w:hint="eastAsia" w:ascii="宋体" w:hAnsi="宋体" w:cs="宋体"/>
          <w:b/>
          <w:color w:val="auto"/>
          <w:szCs w:val="21"/>
          <w:highlight w:val="none"/>
        </w:rPr>
      </w:pPr>
    </w:p>
    <w:p>
      <w:pPr>
        <w:snapToGrid w:val="0"/>
        <w:spacing w:line="400" w:lineRule="exact"/>
        <w:rPr>
          <w:rFonts w:hint="eastAsia" w:ascii="宋体" w:hAnsi="宋体" w:cs="宋体"/>
          <w:b/>
          <w:color w:val="auto"/>
          <w:szCs w:val="21"/>
          <w:highlight w:val="none"/>
        </w:rPr>
      </w:pPr>
    </w:p>
    <w:p>
      <w:pPr>
        <w:pStyle w:val="52"/>
        <w:ind w:firstLine="240"/>
        <w:rPr>
          <w:rFonts w:hint="eastAsia"/>
          <w:color w:val="auto"/>
          <w:highlight w:val="none"/>
        </w:rPr>
      </w:pPr>
    </w:p>
    <w:p>
      <w:pPr>
        <w:rPr>
          <w:rFonts w:hint="eastAsia"/>
          <w:color w:val="auto"/>
          <w:highlight w:val="none"/>
        </w:rPr>
      </w:pPr>
    </w:p>
    <w:p>
      <w:pPr>
        <w:pStyle w:val="52"/>
        <w:ind w:firstLine="240"/>
        <w:rPr>
          <w:rFonts w:hint="eastAsia"/>
          <w:color w:val="auto"/>
          <w:highlight w:val="none"/>
        </w:rPr>
      </w:pPr>
    </w:p>
    <w:p>
      <w:pPr>
        <w:snapToGrid w:val="0"/>
        <w:spacing w:line="400" w:lineRule="exact"/>
        <w:jc w:val="center"/>
        <w:rPr>
          <w:rFonts w:hint="eastAsia" w:ascii="宋体" w:hAnsi="宋体" w:cs="宋体"/>
          <w:b/>
          <w:color w:val="auto"/>
          <w:szCs w:val="21"/>
          <w:highlight w:val="none"/>
        </w:rPr>
      </w:pPr>
    </w:p>
    <w:p>
      <w:pPr>
        <w:widowControl/>
        <w:jc w:val="center"/>
        <w:rPr>
          <w:color w:val="auto"/>
          <w:highlight w:val="none"/>
        </w:rPr>
      </w:pPr>
      <w:r>
        <w:rPr>
          <w:rFonts w:hint="eastAsia" w:ascii="宋体" w:hAnsi="宋体" w:cs="宋体"/>
          <w:b/>
          <w:color w:val="auto"/>
          <w:kern w:val="0"/>
          <w:sz w:val="43"/>
          <w:szCs w:val="43"/>
          <w:highlight w:val="none"/>
          <w:lang w:bidi="ar"/>
        </w:rPr>
        <w:t>目 录</w:t>
      </w:r>
    </w:p>
    <w:p>
      <w:pPr>
        <w:widowControl/>
        <w:spacing w:line="500" w:lineRule="exact"/>
        <w:jc w:val="left"/>
        <w:rPr>
          <w:rFonts w:hint="eastAsia" w:ascii="宋体" w:hAnsi="宋体" w:cs="宋体"/>
          <w:color w:val="auto"/>
          <w:kern w:val="0"/>
          <w:sz w:val="24"/>
          <w:highlight w:val="none"/>
          <w:lang w:bidi="ar"/>
        </w:rPr>
      </w:pPr>
    </w:p>
    <w:p>
      <w:pPr>
        <w:widowControl/>
        <w:spacing w:line="500" w:lineRule="exact"/>
        <w:jc w:val="left"/>
        <w:rPr>
          <w:color w:val="auto"/>
          <w:sz w:val="24"/>
          <w:highlight w:val="none"/>
        </w:rPr>
      </w:pPr>
      <w:r>
        <w:rPr>
          <w:rFonts w:hint="eastAsia" w:ascii="宋体" w:hAnsi="宋体" w:cs="宋体"/>
          <w:color w:val="auto"/>
          <w:kern w:val="0"/>
          <w:sz w:val="24"/>
          <w:highlight w:val="none"/>
          <w:lang w:bidi="ar"/>
        </w:rPr>
        <w:t>（1）投标函（格式见附件）；</w:t>
      </w:r>
    </w:p>
    <w:p>
      <w:pPr>
        <w:widowControl/>
        <w:spacing w:line="500" w:lineRule="exact"/>
        <w:jc w:val="left"/>
        <w:rPr>
          <w:color w:val="auto"/>
          <w:sz w:val="24"/>
          <w:highlight w:val="none"/>
        </w:rPr>
      </w:pPr>
      <w:r>
        <w:rPr>
          <w:rFonts w:hint="eastAsia" w:ascii="宋体" w:hAnsi="宋体" w:cs="宋体"/>
          <w:color w:val="auto"/>
          <w:kern w:val="0"/>
          <w:sz w:val="24"/>
          <w:highlight w:val="none"/>
          <w:lang w:bidi="ar"/>
        </w:rPr>
        <w:t>（2）开标一览表（格式见附件）；</w:t>
      </w:r>
    </w:p>
    <w:p>
      <w:pPr>
        <w:widowControl/>
        <w:spacing w:line="500" w:lineRule="exact"/>
        <w:jc w:val="left"/>
        <w:rPr>
          <w:color w:val="auto"/>
          <w:sz w:val="24"/>
          <w:highlight w:val="none"/>
        </w:rPr>
      </w:pPr>
      <w:r>
        <w:rPr>
          <w:rFonts w:hint="eastAsia" w:ascii="宋体" w:hAnsi="宋体" w:cs="宋体"/>
          <w:color w:val="auto"/>
          <w:kern w:val="0"/>
          <w:sz w:val="24"/>
          <w:highlight w:val="none"/>
          <w:lang w:bidi="ar"/>
        </w:rPr>
        <w:t>（3）投标报价明细表（格式见附件）；</w:t>
      </w:r>
    </w:p>
    <w:p>
      <w:pPr>
        <w:widowControl/>
        <w:spacing w:line="500" w:lineRule="exact"/>
        <w:jc w:val="left"/>
        <w:rPr>
          <w:color w:val="auto"/>
          <w:sz w:val="24"/>
          <w:highlight w:val="none"/>
        </w:rPr>
      </w:pPr>
      <w:r>
        <w:rPr>
          <w:rFonts w:hint="eastAsia" w:ascii="宋体" w:hAnsi="宋体" w:cs="宋体"/>
          <w:color w:val="auto"/>
          <w:kern w:val="0"/>
          <w:sz w:val="24"/>
          <w:highlight w:val="none"/>
          <w:lang w:bidi="ar"/>
        </w:rPr>
        <w:t>（4）中小企业产品适用政府采购政策情况表（格式见附件）；</w:t>
      </w:r>
    </w:p>
    <w:p>
      <w:pPr>
        <w:widowControl/>
        <w:spacing w:line="500" w:lineRule="exact"/>
        <w:jc w:val="left"/>
        <w:rPr>
          <w:color w:val="auto"/>
          <w:sz w:val="24"/>
          <w:highlight w:val="none"/>
        </w:rPr>
      </w:pPr>
      <w:r>
        <w:rPr>
          <w:rFonts w:hint="eastAsia" w:ascii="宋体" w:hAnsi="宋体" w:cs="宋体"/>
          <w:color w:val="auto"/>
          <w:kern w:val="0"/>
          <w:sz w:val="24"/>
          <w:highlight w:val="none"/>
          <w:lang w:bidi="ar"/>
        </w:rPr>
        <w:t>（5）投标人认为针对报价需要说明的其他文件及资料。</w:t>
      </w:r>
    </w:p>
    <w:p>
      <w:pPr>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4.报价文件格式</w:t>
      </w:r>
    </w:p>
    <w:p>
      <w:pPr>
        <w:snapToGrid w:val="0"/>
        <w:spacing w:before="50" w:after="50"/>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 </w:t>
      </w:r>
      <w:r>
        <w:rPr>
          <w:rFonts w:hint="eastAsia" w:ascii="宋体" w:hAnsi="宋体" w:cs="宋体"/>
          <w:b/>
          <w:color w:val="auto"/>
          <w:sz w:val="32"/>
          <w:szCs w:val="32"/>
          <w:highlight w:val="none"/>
        </w:rPr>
        <w:t xml:space="preserve"> </w:t>
      </w:r>
      <w:r>
        <w:rPr>
          <w:rFonts w:hint="eastAsia" w:ascii="宋体" w:hAnsi="宋体" w:cs="宋体"/>
          <w:b/>
          <w:color w:val="auto"/>
          <w:sz w:val="30"/>
          <w:highlight w:val="none"/>
        </w:rPr>
        <w:t>投 标 函</w:t>
      </w:r>
    </w:p>
    <w:p>
      <w:pPr>
        <w:pStyle w:val="3"/>
        <w:spacing w:line="360" w:lineRule="exact"/>
        <w:ind w:firstLine="0"/>
        <w:rPr>
          <w:rFonts w:hint="eastAsia"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山明美术院：</w:t>
      </w:r>
    </w:p>
    <w:p>
      <w:pPr>
        <w:pStyle w:val="3"/>
        <w:spacing w:line="440" w:lineRule="exact"/>
        <w:ind w:firstLine="464" w:firstLineChars="200"/>
        <w:rPr>
          <w:rFonts w:hint="eastAsia" w:hAnsi="宋体" w:cs="宋体"/>
          <w:color w:val="auto"/>
          <w:sz w:val="24"/>
          <w:szCs w:val="24"/>
          <w:highlight w:val="none"/>
          <w:u w:val="single"/>
        </w:rPr>
      </w:pPr>
      <w:r>
        <w:rPr>
          <w:rFonts w:hint="eastAsia" w:hAnsi="宋体" w:cs="宋体"/>
          <w:color w:val="auto"/>
          <w:sz w:val="24"/>
          <w:szCs w:val="24"/>
          <w:highlight w:val="none"/>
          <w:u w:val="single"/>
        </w:rPr>
        <w:t xml:space="preserve">              （供应商全称）</w:t>
      </w:r>
      <w:r>
        <w:rPr>
          <w:rFonts w:hint="eastAsia" w:hAnsi="宋体" w:cs="宋体"/>
          <w:color w:val="auto"/>
          <w:sz w:val="24"/>
          <w:szCs w:val="24"/>
          <w:highlight w:val="none"/>
        </w:rPr>
        <w:t xml:space="preserve"> 授权</w:t>
      </w:r>
      <w:r>
        <w:rPr>
          <w:rFonts w:hint="eastAsia" w:hAnsi="宋体" w:cs="宋体"/>
          <w:color w:val="auto"/>
          <w:sz w:val="24"/>
          <w:szCs w:val="24"/>
          <w:highlight w:val="none"/>
          <w:u w:val="single"/>
        </w:rPr>
        <w:t xml:space="preserve"> （全权代表姓名、职务）      </w:t>
      </w:r>
      <w:r>
        <w:rPr>
          <w:rFonts w:hint="eastAsia" w:hAnsi="宋体" w:cs="宋体"/>
          <w:color w:val="auto"/>
          <w:sz w:val="24"/>
          <w:szCs w:val="24"/>
          <w:highlight w:val="none"/>
        </w:rPr>
        <w:t xml:space="preserve">为本公司合法代理人，参加贵方组织的 </w:t>
      </w:r>
      <w:r>
        <w:rPr>
          <w:rFonts w:hint="eastAsia" w:hAnsi="宋体" w:cs="宋体"/>
          <w:color w:val="auto"/>
          <w:sz w:val="24"/>
          <w:szCs w:val="24"/>
          <w:highlight w:val="none"/>
          <w:u w:val="single"/>
        </w:rPr>
        <w:t xml:space="preserve">         （招标编号、招标项目名称）</w:t>
      </w:r>
      <w:r>
        <w:rPr>
          <w:rFonts w:hint="eastAsia" w:hAnsi="宋体" w:cs="宋体"/>
          <w:color w:val="auto"/>
          <w:sz w:val="24"/>
          <w:szCs w:val="24"/>
          <w:highlight w:val="none"/>
        </w:rPr>
        <w:t>招投标活动，代表本公司处理招投标活动中的一切事宜，为对</w:t>
      </w:r>
      <w:r>
        <w:rPr>
          <w:rFonts w:hint="eastAsia" w:hAnsi="宋体" w:cs="宋体"/>
          <w:color w:val="auto"/>
          <w:sz w:val="24"/>
          <w:szCs w:val="24"/>
          <w:highlight w:val="none"/>
          <w:u w:val="single"/>
        </w:rPr>
        <w:t xml:space="preserve">     （产品名称）  </w:t>
      </w:r>
      <w:r>
        <w:rPr>
          <w:rFonts w:hint="eastAsia" w:hAnsi="宋体" w:cs="宋体"/>
          <w:color w:val="auto"/>
          <w:sz w:val="24"/>
          <w:szCs w:val="24"/>
          <w:highlight w:val="none"/>
        </w:rPr>
        <w:t>进行投标，为此：</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1、我方同意在投标人编制和提交投标文件须知规定的开标日期起遵守本投投标文件</w:t>
      </w:r>
    </w:p>
    <w:p>
      <w:pPr>
        <w:widowControl/>
        <w:spacing w:line="44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中的承诺且在投标有效期满之前均具有约束力。</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2、我方承诺已经具备《中华人民共和国政府采购法》中规定的参加政府采购活</w:t>
      </w:r>
    </w:p>
    <w:p>
      <w:pPr>
        <w:widowControl/>
        <w:spacing w:line="44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动的投标人应当具备的条件：</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(1)具有独立承担民事责任的能力； </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(2)遵守国家法律、行政法规，具有良好的信誉和商业道德；</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(3)具有履行合同的能力和良好的履行合同记录；</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(4)良好的资金、财务状况；</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(5)没有违反政府采购法规、政策的记录；</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(6)没有发生重大经济纠纷和走私犯罪记录。</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3、提供编制和提交投标文件须知规定的全部投标文件，包括一份电子加密投标文件</w:t>
      </w:r>
    </w:p>
    <w:p>
      <w:pPr>
        <w:widowControl/>
        <w:spacing w:line="44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（后缀格式为.jmbs），一份备份投标文件文件（后缀格式为.bfbs）。具体内容为：</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(1)资格投标文件、商务技术投标文件、报价投标文件；</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(2)编制和提交投标文件须知要求投标人提交的全部文件；</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(3)按采购文件要求提供和交付的货物和服务的投标报价详见开标一览表；</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(4)保证忠实地执行双方所签订的合同，并承担合同规定的责任和义务；</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(5)保证遵守采购文件中的其他有关规定。</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4、我方完全理解贵方不一定要接受最低价的投标。</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5、我方愿意向贵方提供任何与该项投标有关的数据、情况和技术资料。若贵方</w:t>
      </w:r>
    </w:p>
    <w:p>
      <w:pPr>
        <w:widowControl/>
        <w:spacing w:line="44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需要，我方愿意提供我方作出的一切承诺的有效材料。</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6、我方已详细审核全部采购文件，包括采购文件修改书(如果有)、参考资料及</w:t>
      </w:r>
    </w:p>
    <w:p>
      <w:pPr>
        <w:widowControl/>
        <w:spacing w:line="44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有关附件，确认无误。</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7、我方将严格遵守《中华人民共和国政府采购法》第七十七条规定，投标人有</w:t>
      </w:r>
    </w:p>
    <w:p>
      <w:pPr>
        <w:widowControl/>
        <w:spacing w:line="44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下列情形之一的，处以采购金额5‰以上10‰以下的罚款，列入不良行为记录名单，</w:t>
      </w:r>
    </w:p>
    <w:p>
      <w:pPr>
        <w:widowControl/>
        <w:spacing w:line="44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在一至三年内禁止参加政府采购活动；有违法所得的，并处没收违法所得；情节严</w:t>
      </w:r>
    </w:p>
    <w:p>
      <w:pPr>
        <w:widowControl/>
        <w:spacing w:line="44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重的，由工商行政管理机关吊销营业执照；构成犯罪的，依法追究刑事责任：</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a)提供虚假材料谋取中标、成交的；</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b)采取不正当手段诋毁、排挤其他投标人的；</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c)与采购人、其它投标人或者采购代理机构恶意串通的；</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d)向采购人、采购代理机构行贿或者提供其他不正当利益的；</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e)在招标采购过程中与采购人进行协商谈判的；</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f)拒绝有关部门监督检查或提供虚假情况的。</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投标人有前款第a)至e)项情形之一的，中标无效</w:t>
      </w:r>
    </w:p>
    <w:p>
      <w:pPr>
        <w:snapToGrid w:val="0"/>
        <w:spacing w:line="400" w:lineRule="exact"/>
        <w:rPr>
          <w:rFonts w:hint="eastAsia" w:ascii="宋体" w:hAnsi="宋体" w:cs="宋体"/>
          <w:color w:val="auto"/>
          <w:szCs w:val="21"/>
          <w:highlight w:val="none"/>
        </w:rPr>
      </w:pPr>
    </w:p>
    <w:p>
      <w:pPr>
        <w:snapToGrid w:val="0"/>
        <w:spacing w:line="400" w:lineRule="exact"/>
        <w:rPr>
          <w:rFonts w:hint="eastAsia" w:ascii="宋体" w:hAnsi="宋体" w:cs="宋体"/>
          <w:color w:val="auto"/>
          <w:szCs w:val="21"/>
          <w:highlight w:val="none"/>
        </w:rPr>
      </w:pPr>
    </w:p>
    <w:p>
      <w:pPr>
        <w:widowControl/>
        <w:spacing w:line="440" w:lineRule="exact"/>
        <w:ind w:firstLine="480" w:firstLineChars="200"/>
        <w:jc w:val="left"/>
        <w:rPr>
          <w:color w:val="auto"/>
          <w:highlight w:val="none"/>
        </w:rPr>
      </w:pPr>
      <w:r>
        <w:rPr>
          <w:rFonts w:hint="eastAsia" w:ascii="宋体" w:hAnsi="宋体" w:cs="宋体"/>
          <w:color w:val="auto"/>
          <w:kern w:val="0"/>
          <w:sz w:val="24"/>
          <w:highlight w:val="none"/>
          <w:lang w:bidi="ar"/>
        </w:rPr>
        <w:t xml:space="preserve">法定代表人（签字或盖章）： </w:t>
      </w:r>
    </w:p>
    <w:p>
      <w:pPr>
        <w:widowControl/>
        <w:spacing w:line="440" w:lineRule="exact"/>
        <w:ind w:firstLine="480" w:firstLineChars="200"/>
        <w:jc w:val="left"/>
        <w:rPr>
          <w:color w:val="auto"/>
          <w:highlight w:val="none"/>
        </w:rPr>
      </w:pPr>
      <w:r>
        <w:rPr>
          <w:rFonts w:hint="eastAsia" w:ascii="宋体" w:hAnsi="宋体" w:cs="宋体"/>
          <w:color w:val="auto"/>
          <w:kern w:val="0"/>
          <w:sz w:val="24"/>
          <w:highlight w:val="none"/>
          <w:lang w:bidi="ar"/>
        </w:rPr>
        <w:t xml:space="preserve">授权委托人（签字或盖章）： </w:t>
      </w:r>
    </w:p>
    <w:p>
      <w:pPr>
        <w:widowControl/>
        <w:spacing w:line="440" w:lineRule="exact"/>
        <w:ind w:firstLine="480" w:firstLineChars="200"/>
        <w:jc w:val="left"/>
        <w:rPr>
          <w:color w:val="auto"/>
          <w:highlight w:val="none"/>
        </w:rPr>
      </w:pPr>
      <w:r>
        <w:rPr>
          <w:rFonts w:hint="eastAsia" w:ascii="宋体" w:hAnsi="宋体" w:cs="宋体"/>
          <w:color w:val="auto"/>
          <w:kern w:val="0"/>
          <w:sz w:val="24"/>
          <w:highlight w:val="none"/>
          <w:lang w:bidi="ar"/>
        </w:rPr>
        <w:t xml:space="preserve">投标人（盖电子公章）： </w:t>
      </w:r>
    </w:p>
    <w:p>
      <w:pPr>
        <w:widowControl/>
        <w:spacing w:line="440" w:lineRule="exact"/>
        <w:ind w:firstLine="480" w:firstLineChars="200"/>
        <w:jc w:val="left"/>
        <w:rPr>
          <w:color w:val="auto"/>
          <w:highlight w:val="none"/>
        </w:rPr>
      </w:pPr>
      <w:r>
        <w:rPr>
          <w:rFonts w:hint="eastAsia" w:ascii="宋体" w:hAnsi="宋体" w:cs="宋体"/>
          <w:color w:val="auto"/>
          <w:kern w:val="0"/>
          <w:sz w:val="24"/>
          <w:highlight w:val="none"/>
          <w:lang w:bidi="ar"/>
        </w:rPr>
        <w:t xml:space="preserve">联系人： </w:t>
      </w:r>
    </w:p>
    <w:p>
      <w:pPr>
        <w:widowControl/>
        <w:spacing w:line="440" w:lineRule="exact"/>
        <w:ind w:firstLine="480" w:firstLineChars="200"/>
        <w:jc w:val="left"/>
        <w:rPr>
          <w:color w:val="auto"/>
          <w:highlight w:val="none"/>
        </w:rPr>
      </w:pPr>
      <w:r>
        <w:rPr>
          <w:rFonts w:hint="eastAsia" w:ascii="宋体" w:hAnsi="宋体" w:cs="宋体"/>
          <w:color w:val="auto"/>
          <w:kern w:val="0"/>
          <w:sz w:val="24"/>
          <w:highlight w:val="none"/>
          <w:lang w:bidi="ar"/>
        </w:rPr>
        <w:t xml:space="preserve">联系电话： </w:t>
      </w:r>
    </w:p>
    <w:p>
      <w:pPr>
        <w:widowControl/>
        <w:spacing w:line="440" w:lineRule="exact"/>
        <w:ind w:firstLine="480" w:firstLineChars="200"/>
        <w:jc w:val="left"/>
        <w:rPr>
          <w:color w:val="auto"/>
          <w:highlight w:val="none"/>
        </w:rPr>
      </w:pPr>
      <w:r>
        <w:rPr>
          <w:rFonts w:hint="eastAsia" w:ascii="宋体" w:hAnsi="宋体" w:cs="宋体"/>
          <w:color w:val="auto"/>
          <w:kern w:val="0"/>
          <w:sz w:val="24"/>
          <w:highlight w:val="none"/>
          <w:lang w:bidi="ar"/>
        </w:rPr>
        <w:t xml:space="preserve">联系地址： </w:t>
      </w:r>
    </w:p>
    <w:p>
      <w:pPr>
        <w:widowControl/>
        <w:spacing w:line="440" w:lineRule="exact"/>
        <w:ind w:firstLine="480" w:firstLineChars="200"/>
        <w:jc w:val="left"/>
        <w:rPr>
          <w:color w:val="auto"/>
          <w:highlight w:val="none"/>
        </w:rPr>
      </w:pPr>
      <w:r>
        <w:rPr>
          <w:rFonts w:hint="eastAsia" w:ascii="宋体" w:hAnsi="宋体" w:cs="宋体"/>
          <w:color w:val="auto"/>
          <w:kern w:val="0"/>
          <w:sz w:val="24"/>
          <w:highlight w:val="none"/>
          <w:lang w:bidi="ar"/>
        </w:rPr>
        <w:t xml:space="preserve">邮政编码： </w:t>
      </w:r>
    </w:p>
    <w:p>
      <w:pPr>
        <w:widowControl/>
        <w:spacing w:line="440" w:lineRule="exact"/>
        <w:ind w:firstLine="480" w:firstLineChars="200"/>
        <w:jc w:val="left"/>
        <w:rPr>
          <w:color w:val="auto"/>
          <w:highlight w:val="none"/>
        </w:rPr>
      </w:pPr>
      <w:r>
        <w:rPr>
          <w:rFonts w:hint="eastAsia" w:ascii="宋体" w:hAnsi="宋体" w:cs="宋体"/>
          <w:color w:val="auto"/>
          <w:kern w:val="0"/>
          <w:sz w:val="24"/>
          <w:highlight w:val="none"/>
          <w:lang w:bidi="ar"/>
        </w:rPr>
        <w:t xml:space="preserve">传真号码： </w:t>
      </w:r>
    </w:p>
    <w:p>
      <w:pPr>
        <w:widowControl/>
        <w:spacing w:line="440" w:lineRule="exact"/>
        <w:ind w:firstLine="480" w:firstLineChars="200"/>
        <w:jc w:val="left"/>
        <w:rPr>
          <w:color w:val="auto"/>
          <w:highlight w:val="none"/>
        </w:rPr>
      </w:pPr>
      <w:r>
        <w:rPr>
          <w:rFonts w:hint="eastAsia" w:ascii="宋体" w:hAnsi="宋体" w:cs="宋体"/>
          <w:color w:val="auto"/>
          <w:kern w:val="0"/>
          <w:sz w:val="24"/>
          <w:highlight w:val="none"/>
          <w:lang w:bidi="ar"/>
        </w:rPr>
        <w:t>日 期：    年   月   日</w:t>
      </w: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hint="eastAsia" w:ascii="宋体" w:hAnsi="宋体" w:cs="宋体"/>
          <w:b/>
          <w:color w:val="auto"/>
          <w:sz w:val="30"/>
          <w:highlight w:val="none"/>
        </w:rPr>
      </w:pPr>
      <w:r>
        <w:rPr>
          <w:rFonts w:hint="eastAsia" w:ascii="宋体" w:hAnsi="宋体" w:cs="宋体"/>
          <w:b/>
          <w:color w:val="auto"/>
          <w:sz w:val="30"/>
          <w:highlight w:val="none"/>
        </w:rPr>
        <w:br w:type="page"/>
      </w:r>
      <w:r>
        <w:rPr>
          <w:rFonts w:hint="eastAsia" w:ascii="宋体" w:hAnsi="宋体" w:cs="宋体"/>
          <w:b/>
          <w:color w:val="auto"/>
          <w:sz w:val="30"/>
          <w:highlight w:val="none"/>
        </w:rPr>
        <w:t>投标报价明细表</w:t>
      </w:r>
    </w:p>
    <w:p>
      <w:pPr>
        <w:snapToGrid w:val="0"/>
        <w:spacing w:before="50" w:after="50"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招标编号：                                </w:t>
      </w:r>
    </w:p>
    <w:p>
      <w:pPr>
        <w:snapToGrid w:val="0"/>
        <w:spacing w:before="50" w:after="50"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50" w:after="50" w:line="400" w:lineRule="exact"/>
        <w:ind w:right="-1153" w:rightChars="-549"/>
        <w:rPr>
          <w:rFonts w:hint="eastAsia" w:ascii="宋体" w:hAnsi="宋体" w:cs="宋体"/>
          <w:color w:val="auto"/>
          <w:sz w:val="24"/>
          <w:highlight w:val="none"/>
        </w:rPr>
      </w:pPr>
      <w:r>
        <w:rPr>
          <w:rFonts w:hint="eastAsia" w:ascii="宋体" w:hAnsi="宋体" w:cs="宋体"/>
          <w:color w:val="auto"/>
          <w:sz w:val="24"/>
          <w:highlight w:val="none"/>
        </w:rPr>
        <w:t xml:space="preserve">                                                         金额单位：人民币（元）</w:t>
      </w:r>
    </w:p>
    <w:p>
      <w:pPr>
        <w:pStyle w:val="2"/>
        <w:ind w:left="0" w:leftChars="0" w:firstLine="0" w:firstLineChars="0"/>
        <w:rPr>
          <w:b/>
          <w:bCs/>
          <w:color w:val="auto"/>
          <w:sz w:val="36"/>
          <w:szCs w:val="22"/>
          <w:highlight w:val="none"/>
        </w:rPr>
      </w:pPr>
      <w:r>
        <w:rPr>
          <w:rFonts w:hint="eastAsia"/>
          <w:b/>
          <w:bCs/>
          <w:color w:val="auto"/>
          <w:sz w:val="36"/>
          <w:szCs w:val="22"/>
          <w:highlight w:val="none"/>
        </w:rPr>
        <w:t>一、汇总清单</w:t>
      </w:r>
    </w:p>
    <w:tbl>
      <w:tblPr>
        <w:tblStyle w:val="53"/>
        <w:tblW w:w="9119" w:type="dxa"/>
        <w:tblInd w:w="113" w:type="dxa"/>
        <w:tblLayout w:type="fixed"/>
        <w:tblCellMar>
          <w:top w:w="0" w:type="dxa"/>
          <w:left w:w="108" w:type="dxa"/>
          <w:bottom w:w="0" w:type="dxa"/>
          <w:right w:w="108" w:type="dxa"/>
        </w:tblCellMar>
      </w:tblPr>
      <w:tblGrid>
        <w:gridCol w:w="1240"/>
        <w:gridCol w:w="2602"/>
        <w:gridCol w:w="2427"/>
        <w:gridCol w:w="2850"/>
      </w:tblGrid>
      <w:tr>
        <w:tblPrEx>
          <w:tblCellMar>
            <w:top w:w="0" w:type="dxa"/>
            <w:left w:w="108" w:type="dxa"/>
            <w:bottom w:w="0" w:type="dxa"/>
            <w:right w:w="108" w:type="dxa"/>
          </w:tblCellMar>
        </w:tblPrEx>
        <w:trPr>
          <w:trHeight w:val="487"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系统名称</w:t>
            </w:r>
          </w:p>
        </w:tc>
        <w:tc>
          <w:tcPr>
            <w:tcW w:w="24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配置清单</w:t>
            </w:r>
          </w:p>
        </w:tc>
        <w:tc>
          <w:tcPr>
            <w:tcW w:w="2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金额</w:t>
            </w:r>
          </w:p>
        </w:tc>
      </w:tr>
      <w:tr>
        <w:tblPrEx>
          <w:tblCellMar>
            <w:top w:w="0" w:type="dxa"/>
            <w:left w:w="108" w:type="dxa"/>
            <w:bottom w:w="0" w:type="dxa"/>
            <w:right w:w="108" w:type="dxa"/>
          </w:tblCellMar>
        </w:tblPrEx>
        <w:trPr>
          <w:trHeight w:val="690" w:hRule="atLeast"/>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〈一〉</w:t>
            </w:r>
          </w:p>
        </w:tc>
        <w:tc>
          <w:tcPr>
            <w:tcW w:w="26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计算机网络系统</w:t>
            </w:r>
          </w:p>
        </w:tc>
        <w:tc>
          <w:tcPr>
            <w:tcW w:w="24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tblPrEx>
          <w:tblCellMar>
            <w:top w:w="0" w:type="dxa"/>
            <w:left w:w="108" w:type="dxa"/>
            <w:bottom w:w="0" w:type="dxa"/>
            <w:right w:w="108" w:type="dxa"/>
          </w:tblCellMar>
        </w:tblPrEx>
        <w:trPr>
          <w:trHeight w:val="690" w:hRule="atLeast"/>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〈二〉</w:t>
            </w:r>
          </w:p>
        </w:tc>
        <w:tc>
          <w:tcPr>
            <w:tcW w:w="26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安防监控系统</w:t>
            </w:r>
          </w:p>
        </w:tc>
        <w:tc>
          <w:tcPr>
            <w:tcW w:w="24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tblPrEx>
          <w:tblCellMar>
            <w:top w:w="0" w:type="dxa"/>
            <w:left w:w="108" w:type="dxa"/>
            <w:bottom w:w="0" w:type="dxa"/>
            <w:right w:w="108" w:type="dxa"/>
          </w:tblCellMar>
        </w:tblPrEx>
        <w:trPr>
          <w:trHeight w:val="690" w:hRule="atLeast"/>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〈三〉</w:t>
            </w:r>
          </w:p>
        </w:tc>
        <w:tc>
          <w:tcPr>
            <w:tcW w:w="26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公共广播系统</w:t>
            </w:r>
          </w:p>
        </w:tc>
        <w:tc>
          <w:tcPr>
            <w:tcW w:w="24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tblPrEx>
          <w:tblCellMar>
            <w:top w:w="0" w:type="dxa"/>
            <w:left w:w="108" w:type="dxa"/>
            <w:bottom w:w="0" w:type="dxa"/>
            <w:right w:w="108" w:type="dxa"/>
          </w:tblCellMar>
        </w:tblPrEx>
        <w:trPr>
          <w:trHeight w:val="690" w:hRule="atLeast"/>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〈四〉</w:t>
            </w:r>
          </w:p>
        </w:tc>
        <w:tc>
          <w:tcPr>
            <w:tcW w:w="26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机房建设系统</w:t>
            </w:r>
          </w:p>
        </w:tc>
        <w:tc>
          <w:tcPr>
            <w:tcW w:w="242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tblPrEx>
          <w:tblCellMar>
            <w:top w:w="0" w:type="dxa"/>
            <w:left w:w="108" w:type="dxa"/>
            <w:bottom w:w="0" w:type="dxa"/>
            <w:right w:w="108" w:type="dxa"/>
          </w:tblCellMar>
        </w:tblPrEx>
        <w:trPr>
          <w:trHeight w:val="690"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〈五〉</w:t>
            </w:r>
          </w:p>
        </w:tc>
        <w:tc>
          <w:tcPr>
            <w:tcW w:w="2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信息发布系统</w:t>
            </w:r>
          </w:p>
        </w:tc>
        <w:tc>
          <w:tcPr>
            <w:tcW w:w="24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tblPrEx>
          <w:tblCellMar>
            <w:top w:w="0" w:type="dxa"/>
            <w:left w:w="108" w:type="dxa"/>
            <w:bottom w:w="0" w:type="dxa"/>
            <w:right w:w="108" w:type="dxa"/>
          </w:tblCellMar>
        </w:tblPrEx>
        <w:trPr>
          <w:trHeight w:val="690"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〈六〉</w:t>
            </w:r>
          </w:p>
        </w:tc>
        <w:tc>
          <w:tcPr>
            <w:tcW w:w="2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会议室多媒体系统</w:t>
            </w:r>
          </w:p>
        </w:tc>
        <w:tc>
          <w:tcPr>
            <w:tcW w:w="24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p>
        </w:tc>
      </w:tr>
      <w:tr>
        <w:tblPrEx>
          <w:tblCellMar>
            <w:top w:w="0" w:type="dxa"/>
            <w:left w:w="108" w:type="dxa"/>
            <w:bottom w:w="0" w:type="dxa"/>
            <w:right w:w="108" w:type="dxa"/>
          </w:tblCellMar>
        </w:tblPrEx>
        <w:trPr>
          <w:trHeight w:val="690"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〈七〉</w:t>
            </w:r>
          </w:p>
        </w:tc>
        <w:tc>
          <w:tcPr>
            <w:tcW w:w="2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中庭多媒体系统</w:t>
            </w:r>
          </w:p>
        </w:tc>
        <w:tc>
          <w:tcPr>
            <w:tcW w:w="24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p>
        </w:tc>
      </w:tr>
      <w:tr>
        <w:tblPrEx>
          <w:tblCellMar>
            <w:top w:w="0" w:type="dxa"/>
            <w:left w:w="108" w:type="dxa"/>
            <w:bottom w:w="0" w:type="dxa"/>
            <w:right w:w="108" w:type="dxa"/>
          </w:tblCellMar>
        </w:tblPrEx>
        <w:trPr>
          <w:trHeight w:val="690" w:hRule="atLeast"/>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〈八〉</w:t>
            </w:r>
          </w:p>
        </w:tc>
        <w:tc>
          <w:tcPr>
            <w:tcW w:w="26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智能巡检系统</w:t>
            </w:r>
          </w:p>
        </w:tc>
        <w:tc>
          <w:tcPr>
            <w:tcW w:w="24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详见分项清单</w:t>
            </w:r>
          </w:p>
        </w:tc>
        <w:tc>
          <w:tcPr>
            <w:tcW w:w="2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6"/>
                <w:szCs w:val="26"/>
                <w:highlight w:val="none"/>
              </w:rPr>
            </w:pPr>
          </w:p>
        </w:tc>
      </w:tr>
    </w:tbl>
    <w:p>
      <w:pPr>
        <w:pStyle w:val="2"/>
        <w:ind w:left="0" w:leftChars="0" w:firstLine="0" w:firstLineChars="0"/>
        <w:rPr>
          <w:b/>
          <w:bCs/>
          <w:color w:val="auto"/>
          <w:sz w:val="36"/>
          <w:szCs w:val="22"/>
          <w:highlight w:val="none"/>
        </w:rPr>
      </w:pPr>
      <w:r>
        <w:rPr>
          <w:rFonts w:hint="eastAsia"/>
          <w:b/>
          <w:bCs/>
          <w:color w:val="auto"/>
          <w:sz w:val="36"/>
          <w:szCs w:val="22"/>
          <w:highlight w:val="none"/>
        </w:rPr>
        <w:t>二、分项清单</w:t>
      </w:r>
    </w:p>
    <w:p>
      <w:pPr>
        <w:pStyle w:val="2"/>
        <w:ind w:left="0" w:leftChars="0" w:firstLine="0" w:firstLineChars="0"/>
        <w:rPr>
          <w:rFonts w:hint="eastAsia"/>
          <w:b/>
          <w:bCs/>
          <w:color w:val="auto"/>
          <w:highlight w:val="none"/>
        </w:rPr>
      </w:pPr>
      <w:r>
        <w:rPr>
          <w:rFonts w:hint="eastAsia"/>
          <w:b/>
          <w:bCs/>
          <w:color w:val="auto"/>
          <w:highlight w:val="none"/>
        </w:rPr>
        <w:t>（一）计算机网络系统</w:t>
      </w:r>
    </w:p>
    <w:tbl>
      <w:tblPr>
        <w:tblStyle w:val="53"/>
        <w:tblW w:w="91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218"/>
        <w:gridCol w:w="2072"/>
        <w:gridCol w:w="1295"/>
        <w:gridCol w:w="1255"/>
        <w:gridCol w:w="1118"/>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21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07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1295"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1255"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11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单价</w:t>
            </w:r>
          </w:p>
        </w:tc>
        <w:tc>
          <w:tcPr>
            <w:tcW w:w="158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机房后端设备</w:t>
            </w: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防火墙</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无线控制器</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核心交换机</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24口POE交换机</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光纤模块</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1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楼层无线设备</w:t>
            </w: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放装AP</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20</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消控室、门卫室设备</w:t>
            </w: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24口千兆交换机</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光纤模块</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旧馆网络改造设备</w:t>
            </w: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24口千兆交换机</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光纤模块</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网络语音线材及配件</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机柜</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218" w:type="dxa"/>
            <w:vMerge w:val="restart"/>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光纤线材及配件</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网络+语音跳线及配件</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5</w:t>
            </w:r>
          </w:p>
        </w:tc>
        <w:tc>
          <w:tcPr>
            <w:tcW w:w="1218" w:type="dxa"/>
            <w:vMerge w:val="continue"/>
            <w:shd w:val="clear" w:color="auto" w:fill="auto"/>
            <w:noWrap w:val="0"/>
            <w:vAlign w:val="center"/>
          </w:tcPr>
          <w:p>
            <w:pPr>
              <w:widowControl/>
              <w:jc w:val="center"/>
              <w:rPr>
                <w:rFonts w:ascii="宋体" w:hAnsi="宋体" w:cs="宋体"/>
                <w:color w:val="auto"/>
                <w:kern w:val="0"/>
                <w:sz w:val="20"/>
                <w:szCs w:val="20"/>
                <w:highlight w:val="none"/>
              </w:rPr>
            </w:pPr>
          </w:p>
        </w:tc>
        <w:tc>
          <w:tcPr>
            <w:tcW w:w="207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129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2"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trPr>
        <w:tc>
          <w:tcPr>
            <w:tcW w:w="18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322" w:type="dxa"/>
            <w:gridSpan w:val="5"/>
            <w:tcBorders>
              <w:top w:val="single" w:color="auto" w:sz="4" w:space="0"/>
              <w:left w:val="nil"/>
              <w:bottom w:val="single" w:color="auto" w:sz="4" w:space="0"/>
              <w:right w:val="single" w:color="000000" w:sz="4" w:space="0"/>
            </w:tcBorders>
            <w:noWrap w:val="0"/>
            <w:vAlign w:val="center"/>
          </w:tcPr>
          <w:p>
            <w:pPr>
              <w:widowControl/>
              <w:jc w:val="left"/>
              <w:rPr>
                <w:rFonts w:hint="eastAsia"/>
                <w:b/>
                <w:bCs/>
                <w:color w:val="auto"/>
                <w:kern w:val="0"/>
                <w:sz w:val="24"/>
                <w:highlight w:val="none"/>
              </w:rPr>
            </w:pPr>
          </w:p>
        </w:tc>
      </w:tr>
    </w:tbl>
    <w:p>
      <w:pPr>
        <w:pStyle w:val="2"/>
        <w:ind w:left="0" w:leftChars="0" w:firstLine="0" w:firstLineChars="0"/>
        <w:rPr>
          <w:b/>
          <w:bCs/>
          <w:color w:val="auto"/>
          <w:highlight w:val="none"/>
        </w:rPr>
      </w:pPr>
      <w:r>
        <w:rPr>
          <w:rFonts w:hint="eastAsia"/>
          <w:b/>
          <w:bCs/>
          <w:color w:val="auto"/>
          <w:highlight w:val="none"/>
        </w:rPr>
        <w:t>（二）安防监控系统</w:t>
      </w:r>
    </w:p>
    <w:tbl>
      <w:tblPr>
        <w:tblStyle w:val="53"/>
        <w:tblW w:w="91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18"/>
        <w:gridCol w:w="2126"/>
        <w:gridCol w:w="1241"/>
        <w:gridCol w:w="1255"/>
        <w:gridCol w:w="1118"/>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21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12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1241"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1255"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11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单价</w:t>
            </w:r>
          </w:p>
        </w:tc>
        <w:tc>
          <w:tcPr>
            <w:tcW w:w="1595"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视频监控设备</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电梯专用彩色摄像机</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无线网桥</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对</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星光级半球摄像机</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40</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星光级筒型摄像机</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摄像机支架</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室内180°全景半球摄像机</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人脸抓拍摄像机</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客流统计摄像头</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人脸超脑</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存储服务器</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可视化管理软件</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平台服务器</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24口非网管POE交换机</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12路解码器</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46寸拼接屏</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拼接屏支架</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4路高清解码器</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操作台</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1218" w:type="dxa"/>
            <w:vMerge w:val="restart"/>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门禁设备</w:t>
            </w:r>
          </w:p>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门禁设备</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控制终端</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4</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门禁机A款</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门禁机B款</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1218" w:type="dxa"/>
            <w:vMerge w:val="restart"/>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测温设备</w:t>
            </w:r>
          </w:p>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测温设备</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门禁套件</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18" w:type="dxa"/>
            <w:shd w:val="clear" w:color="000000" w:fill="FFFFFF"/>
            <w:noWrap w:val="0"/>
            <w:vAlign w:val="bottom"/>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bottom"/>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测温摄像头</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三脚架</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控制终端</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r>
              <w:rPr>
                <w:rFonts w:ascii="宋体" w:hAnsi="宋体" w:cs="宋体"/>
                <w:color w:val="auto"/>
                <w:kern w:val="0"/>
                <w:sz w:val="20"/>
                <w:szCs w:val="20"/>
                <w:highlight w:val="none"/>
              </w:rPr>
              <w:t>7</w:t>
            </w:r>
          </w:p>
        </w:tc>
        <w:tc>
          <w:tcPr>
            <w:tcW w:w="12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客流统计设备</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测温显示屏及支架</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1218" w:type="dxa"/>
            <w:vMerge w:val="restart"/>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库房红外报警设备</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16路报警主机</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29</w:t>
            </w:r>
          </w:p>
        </w:tc>
        <w:tc>
          <w:tcPr>
            <w:tcW w:w="1218" w:type="dxa"/>
            <w:vMerge w:val="continue"/>
            <w:shd w:val="clear" w:color="000000" w:fill="FFFFFF"/>
            <w:noWrap w:val="0"/>
            <w:vAlign w:val="center"/>
          </w:tcPr>
          <w:p>
            <w:pPr>
              <w:jc w:val="center"/>
              <w:rPr>
                <w:rFonts w:hint="eastAsia"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单防区模块</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1118" w:type="dxa"/>
            <w:shd w:val="clear" w:color="000000" w:fill="FFFFFF"/>
            <w:noWrap w:val="0"/>
            <w:vAlign w:val="bottom"/>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bottom"/>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1218" w:type="dxa"/>
            <w:vMerge w:val="continue"/>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键盘</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31</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警号、警灯</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1218" w:type="dxa"/>
            <w:vMerge w:val="continue"/>
            <w:shd w:val="clear" w:color="000000" w:fill="FFFFFF"/>
            <w:noWrap w:val="0"/>
            <w:vAlign w:val="center"/>
          </w:tcPr>
          <w:p>
            <w:pPr>
              <w:widowControl/>
              <w:jc w:val="left"/>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壁挂式红外微波双鉴探测器</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33</w:t>
            </w:r>
          </w:p>
        </w:tc>
        <w:tc>
          <w:tcPr>
            <w:tcW w:w="1218" w:type="dxa"/>
            <w:vMerge w:val="restart"/>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视频线缆及配件</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34</w:t>
            </w:r>
          </w:p>
        </w:tc>
        <w:tc>
          <w:tcPr>
            <w:tcW w:w="1218"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电源线缆及配件</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35</w:t>
            </w:r>
          </w:p>
        </w:tc>
        <w:tc>
          <w:tcPr>
            <w:tcW w:w="121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12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1241"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118"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95"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trPr>
        <w:tc>
          <w:tcPr>
            <w:tcW w:w="183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335" w:type="dxa"/>
            <w:gridSpan w:val="5"/>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b/>
                <w:bCs/>
                <w:color w:val="auto"/>
                <w:kern w:val="0"/>
                <w:sz w:val="22"/>
                <w:szCs w:val="22"/>
                <w:highlight w:val="none"/>
              </w:rPr>
            </w:pPr>
          </w:p>
        </w:tc>
      </w:tr>
    </w:tbl>
    <w:p>
      <w:pPr>
        <w:pStyle w:val="2"/>
        <w:ind w:left="0" w:leftChars="0" w:firstLine="0" w:firstLineChars="0"/>
        <w:rPr>
          <w:b/>
          <w:bCs/>
          <w:color w:val="auto"/>
          <w:highlight w:val="none"/>
        </w:rPr>
      </w:pPr>
      <w:r>
        <w:rPr>
          <w:rFonts w:hint="eastAsia"/>
          <w:b/>
          <w:bCs/>
          <w:color w:val="auto"/>
          <w:highlight w:val="none"/>
        </w:rPr>
        <w:t>（三）公共广播系统</w:t>
      </w:r>
    </w:p>
    <w:tbl>
      <w:tblPr>
        <w:tblStyle w:val="53"/>
        <w:tblW w:w="91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360"/>
        <w:gridCol w:w="2100"/>
        <w:gridCol w:w="1125"/>
        <w:gridCol w:w="1268"/>
        <w:gridCol w:w="1119"/>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360"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100"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1125"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126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119"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单价</w:t>
            </w:r>
          </w:p>
        </w:tc>
        <w:tc>
          <w:tcPr>
            <w:tcW w:w="1581"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360"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广播设备</w:t>
            </w: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智能广播控制器</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9" w:type="dxa"/>
            <w:shd w:val="clear" w:color="auto" w:fill="auto"/>
            <w:noWrap/>
            <w:vAlign w:val="center"/>
          </w:tcPr>
          <w:p>
            <w:pPr>
              <w:widowControl/>
              <w:jc w:val="center"/>
              <w:rPr>
                <w:rFonts w:hint="eastAsia" w:ascii="宋体" w:hAnsi="宋体" w:cs="宋体"/>
                <w:color w:val="auto"/>
                <w:kern w:val="0"/>
                <w:sz w:val="20"/>
                <w:szCs w:val="20"/>
                <w:highlight w:val="none"/>
              </w:rPr>
            </w:pPr>
          </w:p>
        </w:tc>
        <w:tc>
          <w:tcPr>
            <w:tcW w:w="1581"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36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智能播放终端</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19" w:type="dxa"/>
            <w:shd w:val="clear" w:color="auto" w:fill="auto"/>
            <w:noWrap/>
            <w:vAlign w:val="center"/>
          </w:tcPr>
          <w:p>
            <w:pPr>
              <w:widowControl/>
              <w:jc w:val="center"/>
              <w:rPr>
                <w:rFonts w:hint="eastAsia" w:ascii="宋体" w:hAnsi="宋体" w:cs="宋体"/>
                <w:color w:val="auto"/>
                <w:kern w:val="0"/>
                <w:sz w:val="20"/>
                <w:szCs w:val="20"/>
                <w:highlight w:val="none"/>
              </w:rPr>
            </w:pPr>
          </w:p>
        </w:tc>
        <w:tc>
          <w:tcPr>
            <w:tcW w:w="1581"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36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前置放大器</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9" w:type="dxa"/>
            <w:shd w:val="clear" w:color="auto" w:fill="auto"/>
            <w:noWrap/>
            <w:vAlign w:val="center"/>
          </w:tcPr>
          <w:p>
            <w:pPr>
              <w:widowControl/>
              <w:jc w:val="center"/>
              <w:rPr>
                <w:rFonts w:hint="eastAsia" w:ascii="宋体" w:hAnsi="宋体" w:cs="宋体"/>
                <w:color w:val="auto"/>
                <w:kern w:val="0"/>
                <w:sz w:val="20"/>
                <w:szCs w:val="20"/>
                <w:highlight w:val="none"/>
              </w:rPr>
            </w:pPr>
          </w:p>
        </w:tc>
        <w:tc>
          <w:tcPr>
            <w:tcW w:w="1581"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36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广播话筒</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9" w:type="dxa"/>
            <w:shd w:val="clear" w:color="auto" w:fill="auto"/>
            <w:noWrap/>
            <w:vAlign w:val="center"/>
          </w:tcPr>
          <w:p>
            <w:pPr>
              <w:widowControl/>
              <w:jc w:val="center"/>
              <w:rPr>
                <w:rFonts w:hint="eastAsia" w:ascii="宋体" w:hAnsi="宋体" w:cs="宋体"/>
                <w:color w:val="auto"/>
                <w:kern w:val="0"/>
                <w:sz w:val="20"/>
                <w:szCs w:val="20"/>
                <w:highlight w:val="none"/>
              </w:rPr>
            </w:pPr>
          </w:p>
        </w:tc>
        <w:tc>
          <w:tcPr>
            <w:tcW w:w="1581"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36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一拖二远距离无线话筒</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9" w:type="dxa"/>
            <w:shd w:val="clear" w:color="auto" w:fill="auto"/>
            <w:noWrap/>
            <w:vAlign w:val="center"/>
          </w:tcPr>
          <w:p>
            <w:pPr>
              <w:widowControl/>
              <w:jc w:val="center"/>
              <w:rPr>
                <w:rFonts w:hint="eastAsia" w:ascii="宋体" w:hAnsi="宋体" w:cs="宋体"/>
                <w:color w:val="auto"/>
                <w:kern w:val="0"/>
                <w:sz w:val="20"/>
                <w:szCs w:val="20"/>
                <w:highlight w:val="none"/>
              </w:rPr>
            </w:pPr>
          </w:p>
        </w:tc>
        <w:tc>
          <w:tcPr>
            <w:tcW w:w="1581"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36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电源时序器</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9" w:type="dxa"/>
            <w:shd w:val="clear" w:color="auto" w:fill="auto"/>
            <w:noWrap/>
            <w:vAlign w:val="center"/>
          </w:tcPr>
          <w:p>
            <w:pPr>
              <w:widowControl/>
              <w:jc w:val="center"/>
              <w:rPr>
                <w:rFonts w:hint="eastAsia" w:ascii="宋体" w:hAnsi="宋体" w:cs="宋体"/>
                <w:color w:val="auto"/>
                <w:kern w:val="0"/>
                <w:sz w:val="20"/>
                <w:szCs w:val="20"/>
                <w:highlight w:val="none"/>
              </w:rPr>
            </w:pPr>
          </w:p>
        </w:tc>
        <w:tc>
          <w:tcPr>
            <w:tcW w:w="1581"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36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机柜</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119" w:type="dxa"/>
            <w:shd w:val="clear" w:color="auto" w:fill="auto"/>
            <w:noWrap/>
            <w:vAlign w:val="center"/>
          </w:tcPr>
          <w:p>
            <w:pPr>
              <w:widowControl/>
              <w:jc w:val="center"/>
              <w:rPr>
                <w:rFonts w:hint="eastAsia" w:ascii="宋体" w:hAnsi="宋体" w:cs="宋体"/>
                <w:color w:val="auto"/>
                <w:kern w:val="0"/>
                <w:sz w:val="20"/>
                <w:szCs w:val="20"/>
                <w:highlight w:val="none"/>
              </w:rPr>
            </w:pPr>
          </w:p>
        </w:tc>
        <w:tc>
          <w:tcPr>
            <w:tcW w:w="1581"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36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100"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控制终端</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auto" w:fill="auto"/>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19" w:type="dxa"/>
            <w:shd w:val="clear" w:color="auto" w:fill="auto"/>
            <w:noWrap/>
            <w:vAlign w:val="center"/>
          </w:tcPr>
          <w:p>
            <w:pPr>
              <w:widowControl/>
              <w:jc w:val="center"/>
              <w:rPr>
                <w:rFonts w:hint="eastAsia" w:ascii="宋体" w:hAnsi="宋体" w:cs="宋体"/>
                <w:color w:val="auto"/>
                <w:kern w:val="0"/>
                <w:sz w:val="20"/>
                <w:szCs w:val="20"/>
                <w:highlight w:val="none"/>
              </w:rPr>
            </w:pPr>
          </w:p>
        </w:tc>
        <w:tc>
          <w:tcPr>
            <w:tcW w:w="1581"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360" w:type="dxa"/>
            <w:vMerge w:val="continue"/>
            <w:shd w:val="clear" w:color="000000" w:fill="FFFFFF"/>
            <w:noWrap w:val="0"/>
            <w:vAlign w:val="center"/>
          </w:tcPr>
          <w:p>
            <w:pPr>
              <w:widowControl/>
              <w:jc w:val="center"/>
              <w:rPr>
                <w:rFonts w:hint="eastAsia" w:ascii="宋体" w:hAnsi="宋体" w:cs="宋体"/>
                <w:strike/>
                <w:color w:val="auto"/>
                <w:kern w:val="0"/>
                <w:sz w:val="20"/>
                <w:szCs w:val="20"/>
                <w:highlight w:val="none"/>
              </w:rPr>
            </w:pPr>
          </w:p>
        </w:tc>
        <w:tc>
          <w:tcPr>
            <w:tcW w:w="210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定压功放500W</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68"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9" w:type="dxa"/>
            <w:shd w:val="clear" w:color="000000" w:fill="FFFFFF"/>
            <w:noWrap/>
            <w:vAlign w:val="center"/>
          </w:tcPr>
          <w:p>
            <w:pPr>
              <w:widowControl/>
              <w:jc w:val="center"/>
              <w:rPr>
                <w:rFonts w:hint="eastAsia" w:ascii="宋体" w:hAnsi="宋体" w:cs="宋体"/>
                <w:color w:val="auto"/>
                <w:kern w:val="0"/>
                <w:sz w:val="20"/>
                <w:szCs w:val="20"/>
                <w:highlight w:val="none"/>
              </w:rPr>
            </w:pPr>
          </w:p>
        </w:tc>
        <w:tc>
          <w:tcPr>
            <w:tcW w:w="1581"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36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210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线材及配件</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119"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1"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360" w:type="dxa"/>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10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119"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81" w:type="dxa"/>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193" w:type="dxa"/>
            <w:gridSpan w:val="5"/>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b/>
                <w:bCs/>
                <w:color w:val="auto"/>
                <w:kern w:val="0"/>
                <w:sz w:val="22"/>
                <w:szCs w:val="22"/>
                <w:highlight w:val="none"/>
              </w:rPr>
            </w:pPr>
          </w:p>
        </w:tc>
      </w:tr>
    </w:tbl>
    <w:p>
      <w:pPr>
        <w:pStyle w:val="2"/>
        <w:ind w:left="0" w:leftChars="0" w:firstLine="0" w:firstLineChars="0"/>
        <w:rPr>
          <w:b/>
          <w:bCs/>
          <w:color w:val="auto"/>
          <w:highlight w:val="none"/>
        </w:rPr>
      </w:pPr>
      <w:r>
        <w:rPr>
          <w:rFonts w:hint="eastAsia"/>
          <w:b/>
          <w:bCs/>
          <w:color w:val="auto"/>
          <w:highlight w:val="none"/>
        </w:rPr>
        <w:t>（四）机房建设系统</w:t>
      </w:r>
    </w:p>
    <w:tbl>
      <w:tblPr>
        <w:tblStyle w:val="53"/>
        <w:tblW w:w="918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440"/>
        <w:gridCol w:w="2020"/>
        <w:gridCol w:w="1125"/>
        <w:gridCol w:w="1268"/>
        <w:gridCol w:w="1119"/>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40"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020"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1125"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126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119"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单价</w:t>
            </w:r>
          </w:p>
        </w:tc>
        <w:tc>
          <w:tcPr>
            <w:tcW w:w="1595"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44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一体化微机房设备</w:t>
            </w: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微型智能机房</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19"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9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440"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不间断电源设备</w:t>
            </w: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UPS主机</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19"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9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44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蓄电池</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节</w:t>
            </w:r>
          </w:p>
        </w:tc>
        <w:tc>
          <w:tcPr>
            <w:tcW w:w="1119"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9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44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电池柜</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组</w:t>
            </w:r>
          </w:p>
        </w:tc>
        <w:tc>
          <w:tcPr>
            <w:tcW w:w="1119"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9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440"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配电柜</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19"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9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440" w:type="dxa"/>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电缆</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119"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9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440" w:type="dxa"/>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0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119"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59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trPr>
        <w:tc>
          <w:tcPr>
            <w:tcW w:w="206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127" w:type="dxa"/>
            <w:gridSpan w:val="5"/>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b/>
                <w:bCs/>
                <w:color w:val="auto"/>
                <w:kern w:val="0"/>
                <w:sz w:val="22"/>
                <w:szCs w:val="22"/>
                <w:highlight w:val="none"/>
              </w:rPr>
            </w:pPr>
          </w:p>
        </w:tc>
      </w:tr>
    </w:tbl>
    <w:p>
      <w:pPr>
        <w:pStyle w:val="2"/>
        <w:ind w:left="0" w:leftChars="0" w:firstLine="0" w:firstLineChars="0"/>
        <w:rPr>
          <w:b/>
          <w:bCs/>
          <w:color w:val="auto"/>
          <w:highlight w:val="none"/>
        </w:rPr>
      </w:pPr>
      <w:r>
        <w:rPr>
          <w:rFonts w:hint="eastAsia"/>
          <w:b/>
          <w:bCs/>
          <w:color w:val="auto"/>
          <w:highlight w:val="none"/>
        </w:rPr>
        <w:t>（五）信息发布系统</w:t>
      </w:r>
    </w:p>
    <w:tbl>
      <w:tblPr>
        <w:tblStyle w:val="53"/>
        <w:tblW w:w="92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18"/>
        <w:gridCol w:w="2242"/>
        <w:gridCol w:w="1125"/>
        <w:gridCol w:w="1268"/>
        <w:gridCol w:w="110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21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242"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1125"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126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105"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单价</w:t>
            </w:r>
          </w:p>
        </w:tc>
        <w:tc>
          <w:tcPr>
            <w:tcW w:w="163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18"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户外信息发布屏</w:t>
            </w: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户外全彩LED广告屏</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4.5</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LED播放软件</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left"/>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播放盒</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left"/>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18" w:type="dxa"/>
            <w:vMerge w:val="continue"/>
            <w:shd w:val="clear" w:color="auto" w:fill="auto"/>
            <w:noWrap w:val="0"/>
            <w:vAlign w:val="center"/>
          </w:tcPr>
          <w:p>
            <w:pPr>
              <w:widowControl/>
              <w:jc w:val="left"/>
              <w:rPr>
                <w:rFonts w:ascii="宋体" w:hAnsi="宋体" w:cs="宋体"/>
                <w:color w:val="auto"/>
                <w:kern w:val="0"/>
                <w:sz w:val="20"/>
                <w:szCs w:val="20"/>
                <w:highlight w:val="none"/>
              </w:rPr>
            </w:pP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扩音设备及线缆</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noWrap w:val="0"/>
            <w:vAlign w:val="center"/>
          </w:tcPr>
          <w:p>
            <w:pPr>
              <w:widowControl/>
              <w:jc w:val="left"/>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18" w:type="dxa"/>
            <w:vMerge w:val="restart"/>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室内信息发布屏</w:t>
            </w: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云屏A款</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18"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云屏B款</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18"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智能交互平板</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218" w:type="dxa"/>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242"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1125"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38" w:type="dxa"/>
            <w:gridSpan w:val="2"/>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376" w:type="dxa"/>
            <w:gridSpan w:val="5"/>
            <w:noWrap w:val="0"/>
            <w:vAlign w:val="center"/>
          </w:tcPr>
          <w:p>
            <w:pPr>
              <w:widowControl/>
              <w:jc w:val="left"/>
              <w:rPr>
                <w:rFonts w:hint="eastAsia" w:ascii="宋体" w:hAnsi="宋体" w:cs="宋体"/>
                <w:b/>
                <w:bCs/>
                <w:color w:val="auto"/>
                <w:kern w:val="0"/>
                <w:sz w:val="20"/>
                <w:szCs w:val="20"/>
                <w:highlight w:val="none"/>
              </w:rPr>
            </w:pPr>
          </w:p>
        </w:tc>
      </w:tr>
    </w:tbl>
    <w:p>
      <w:pPr>
        <w:pStyle w:val="2"/>
        <w:ind w:left="0" w:leftChars="0" w:firstLine="0" w:firstLineChars="0"/>
        <w:rPr>
          <w:rFonts w:hint="eastAsia"/>
          <w:b/>
          <w:bCs/>
          <w:color w:val="auto"/>
          <w:highlight w:val="none"/>
        </w:rPr>
      </w:pPr>
      <w:r>
        <w:rPr>
          <w:rFonts w:hint="eastAsia"/>
          <w:b/>
          <w:bCs/>
          <w:color w:val="auto"/>
          <w:highlight w:val="none"/>
        </w:rPr>
        <w:t>（六）会议室多媒体系统</w:t>
      </w:r>
    </w:p>
    <w:tbl>
      <w:tblPr>
        <w:tblStyle w:val="53"/>
        <w:tblW w:w="92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30"/>
        <w:gridCol w:w="1997"/>
        <w:gridCol w:w="1188"/>
        <w:gridCol w:w="1268"/>
        <w:gridCol w:w="110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330"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1997"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118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1268"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105"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单价</w:t>
            </w:r>
          </w:p>
        </w:tc>
        <w:tc>
          <w:tcPr>
            <w:tcW w:w="163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330" w:type="dxa"/>
            <w:vMerge w:val="restart"/>
            <w:shd w:val="clear" w:color="000000" w:fill="FFFFFF"/>
            <w:noWrap w:val="0"/>
            <w:vAlign w:val="center"/>
          </w:tcPr>
          <w:p>
            <w:pPr>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大屏显示设备</w:t>
            </w: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室内LED全彩显示屏</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11.06</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视频处理器</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屏体配电系统</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结构</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11.06</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工程线缆</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无线传屏</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高清信号分配器</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控制终端</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330" w:type="dxa"/>
            <w:vMerge w:val="restart"/>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录播设备</w:t>
            </w: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会议录播终端</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会议摄像头</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330" w:type="dxa"/>
            <w:vMerge w:val="restart"/>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音响设备</w:t>
            </w: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主扩音柱</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辅助音柱</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主扩音柱功放</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辅助音柱功放</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调音台</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音频处理器</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一拖二手持无线话筒</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一拖二头戴无线话筒</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一拖四鹅颈无线话筒</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时序电源</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330" w:type="dxa"/>
            <w:vMerge w:val="restart"/>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配套设备</w:t>
            </w: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多媒体插座</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133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机柜</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1330" w:type="dxa"/>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线材及配件</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1330" w:type="dxa"/>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1997"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1188" w:type="dxa"/>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105"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34" w:type="dxa"/>
            <w:gridSpan w:val="2"/>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b/>
                <w:bCs/>
                <w:color w:val="auto"/>
                <w:kern w:val="0"/>
                <w:sz w:val="24"/>
                <w:highlight w:val="none"/>
              </w:rPr>
              <w:t>备注说明</w:t>
            </w:r>
          </w:p>
        </w:tc>
        <w:tc>
          <w:tcPr>
            <w:tcW w:w="7194" w:type="dxa"/>
            <w:gridSpan w:val="5"/>
            <w:shd w:val="clear" w:color="000000" w:fill="FFFFFF"/>
            <w:noWrap w:val="0"/>
            <w:vAlign w:val="center"/>
          </w:tcPr>
          <w:p>
            <w:pPr>
              <w:widowControl/>
              <w:rPr>
                <w:rFonts w:hint="eastAsia"/>
                <w:color w:val="auto"/>
                <w:sz w:val="18"/>
                <w:szCs w:val="18"/>
                <w:highlight w:val="none"/>
              </w:rPr>
            </w:pPr>
          </w:p>
        </w:tc>
      </w:tr>
    </w:tbl>
    <w:p>
      <w:pPr>
        <w:pStyle w:val="2"/>
        <w:ind w:left="0" w:leftChars="0" w:firstLine="0" w:firstLineChars="0"/>
        <w:rPr>
          <w:b/>
          <w:bCs/>
          <w:color w:val="auto"/>
          <w:highlight w:val="none"/>
        </w:rPr>
      </w:pPr>
      <w:r>
        <w:rPr>
          <w:rFonts w:hint="eastAsia"/>
          <w:b/>
          <w:bCs/>
          <w:color w:val="auto"/>
          <w:highlight w:val="none"/>
        </w:rPr>
        <w:t>（七）中庭多媒体系统</w:t>
      </w:r>
    </w:p>
    <w:tbl>
      <w:tblPr>
        <w:tblStyle w:val="53"/>
        <w:tblW w:w="92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440"/>
        <w:gridCol w:w="2471"/>
        <w:gridCol w:w="715"/>
        <w:gridCol w:w="1255"/>
        <w:gridCol w:w="1091"/>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40"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471"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715"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1255"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091"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单价</w:t>
            </w:r>
          </w:p>
        </w:tc>
        <w:tc>
          <w:tcPr>
            <w:tcW w:w="1636" w:type="dxa"/>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44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大屏显示设备</w:t>
            </w: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智能交互平板</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台</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440" w:type="dxa"/>
            <w:vMerge w:val="restart"/>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音响设备</w:t>
            </w: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有源全频音箱</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2</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套</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调音台</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台</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手持无线话筒（一拖二）</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w:t>
            </w:r>
          </w:p>
        </w:tc>
        <w:tc>
          <w:tcPr>
            <w:tcW w:w="1255" w:type="dxa"/>
            <w:shd w:val="clear" w:color="000000" w:fill="FFFFFF"/>
            <w:noWrap/>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套</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头戴无线话筒（一拖二）</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w:t>
            </w:r>
          </w:p>
        </w:tc>
        <w:tc>
          <w:tcPr>
            <w:tcW w:w="1255" w:type="dxa"/>
            <w:shd w:val="clear" w:color="000000" w:fill="FFFFFF"/>
            <w:noWrap/>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套</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时序电源</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台</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440" w:type="dxa"/>
            <w:vMerge w:val="restart"/>
            <w:shd w:val="clear" w:color="000000" w:fill="FFFFFF"/>
            <w:noWrap w:val="0"/>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配套设备</w:t>
            </w: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音箱支架</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2</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套</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44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话筒支架</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2</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套</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440" w:type="dxa"/>
            <w:vMerge w:val="continue"/>
            <w:shd w:val="clear" w:color="000000" w:fill="FFFFFF"/>
            <w:noWrap w:val="0"/>
            <w:vAlign w:val="center"/>
          </w:tcPr>
          <w:p>
            <w:pPr>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多媒体插座</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2</w:t>
            </w:r>
          </w:p>
        </w:tc>
        <w:tc>
          <w:tcPr>
            <w:tcW w:w="1255" w:type="dxa"/>
            <w:shd w:val="clear" w:color="000000" w:fill="FFFFFF"/>
            <w:noWrap/>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个</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全频音箱航空箱</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只</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控制机柜航空箱</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只</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线材存储航空箱</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只</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440" w:type="dxa"/>
            <w:vMerge w:val="restart"/>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综合布线</w:t>
            </w: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信号电源组合线</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2</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根</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跳线及接插件</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批</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440" w:type="dxa"/>
            <w:vMerge w:val="continue"/>
            <w:shd w:val="clear" w:color="000000" w:fill="FFFFFF"/>
            <w:noWrap w:val="0"/>
            <w:vAlign w:val="center"/>
          </w:tcPr>
          <w:p>
            <w:pPr>
              <w:widowControl/>
              <w:jc w:val="center"/>
              <w:rPr>
                <w:rFonts w:ascii="宋体" w:hAnsi="宋体" w:cs="宋体"/>
                <w:color w:val="auto"/>
                <w:kern w:val="0"/>
                <w:sz w:val="20"/>
                <w:szCs w:val="20"/>
                <w:highlight w:val="none"/>
              </w:rPr>
            </w:pP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color w:val="auto"/>
                <w:sz w:val="20"/>
                <w:szCs w:val="20"/>
                <w:highlight w:val="none"/>
              </w:rPr>
              <w:t>线材及配件</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color w:val="auto"/>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color w:val="auto"/>
                <w:sz w:val="20"/>
                <w:szCs w:val="20"/>
                <w:highlight w:val="none"/>
              </w:rPr>
              <w:t>批</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6</w:t>
            </w:r>
          </w:p>
        </w:tc>
        <w:tc>
          <w:tcPr>
            <w:tcW w:w="1440" w:type="dxa"/>
            <w:shd w:val="clear" w:color="000000" w:fill="FFFFFF"/>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471" w:type="dxa"/>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715" w:type="dxa"/>
            <w:shd w:val="clear" w:color="auto" w:fill="auto"/>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w:t>
            </w:r>
          </w:p>
        </w:tc>
        <w:tc>
          <w:tcPr>
            <w:tcW w:w="1255" w:type="dxa"/>
            <w:shd w:val="clear" w:color="000000" w:fill="FFFFFF"/>
            <w:noWrap w:val="0"/>
            <w:vAlign w:val="center"/>
          </w:tcPr>
          <w:p>
            <w:pPr>
              <w:widowControl/>
              <w:jc w:val="center"/>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项</w:t>
            </w:r>
          </w:p>
        </w:tc>
        <w:tc>
          <w:tcPr>
            <w:tcW w:w="1091" w:type="dxa"/>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36" w:type="dxa"/>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trPr>
        <w:tc>
          <w:tcPr>
            <w:tcW w:w="206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168" w:type="dxa"/>
            <w:gridSpan w:val="5"/>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b/>
                <w:bCs/>
                <w:color w:val="auto"/>
                <w:kern w:val="0"/>
                <w:sz w:val="20"/>
                <w:szCs w:val="20"/>
                <w:highlight w:val="none"/>
              </w:rPr>
            </w:pPr>
          </w:p>
        </w:tc>
      </w:tr>
    </w:tbl>
    <w:p>
      <w:pPr>
        <w:pStyle w:val="2"/>
        <w:ind w:left="0" w:leftChars="0" w:firstLine="0" w:firstLineChars="0"/>
        <w:rPr>
          <w:rFonts w:hint="eastAsia"/>
          <w:b/>
          <w:bCs/>
          <w:color w:val="auto"/>
          <w:highlight w:val="none"/>
        </w:rPr>
      </w:pPr>
      <w:r>
        <w:rPr>
          <w:rFonts w:hint="eastAsia"/>
          <w:b/>
          <w:bCs/>
          <w:color w:val="auto"/>
          <w:highlight w:val="none"/>
        </w:rPr>
        <w:t>（八）智能巡检系统</w:t>
      </w:r>
    </w:p>
    <w:tbl>
      <w:tblPr>
        <w:tblStyle w:val="53"/>
        <w:tblW w:w="9214" w:type="dxa"/>
        <w:tblInd w:w="113" w:type="dxa"/>
        <w:tblLayout w:type="autofit"/>
        <w:tblCellMar>
          <w:top w:w="0" w:type="dxa"/>
          <w:left w:w="108" w:type="dxa"/>
          <w:bottom w:w="0" w:type="dxa"/>
          <w:right w:w="108" w:type="dxa"/>
        </w:tblCellMar>
      </w:tblPr>
      <w:tblGrid>
        <w:gridCol w:w="620"/>
        <w:gridCol w:w="1440"/>
        <w:gridCol w:w="2188"/>
        <w:gridCol w:w="998"/>
        <w:gridCol w:w="1268"/>
        <w:gridCol w:w="1091"/>
        <w:gridCol w:w="1609"/>
      </w:tblGrid>
      <w:tr>
        <w:tblPrEx>
          <w:tblCellMar>
            <w:top w:w="0" w:type="dxa"/>
            <w:left w:w="108" w:type="dxa"/>
            <w:bottom w:w="0" w:type="dxa"/>
            <w:right w:w="108" w:type="dxa"/>
          </w:tblCellMar>
        </w:tblPrEx>
        <w:trPr>
          <w:trHeight w:val="450"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4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配置说明</w:t>
            </w:r>
          </w:p>
        </w:tc>
        <w:tc>
          <w:tcPr>
            <w:tcW w:w="218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99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12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09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单价</w:t>
            </w:r>
          </w:p>
        </w:tc>
        <w:tc>
          <w:tcPr>
            <w:tcW w:w="160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w:t>
            </w:r>
          </w:p>
        </w:tc>
      </w:tr>
      <w:tr>
        <w:tblPrEx>
          <w:tblCellMar>
            <w:top w:w="0" w:type="dxa"/>
            <w:left w:w="108" w:type="dxa"/>
            <w:bottom w:w="0" w:type="dxa"/>
            <w:right w:w="108" w:type="dxa"/>
          </w:tblCellMar>
        </w:tblPrEx>
        <w:trPr>
          <w:trHeight w:val="450" w:hRule="atLeast"/>
        </w:trPr>
        <w:tc>
          <w:tcPr>
            <w:tcW w:w="6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4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智能巡检设备</w:t>
            </w:r>
          </w:p>
        </w:tc>
        <w:tc>
          <w:tcPr>
            <w:tcW w:w="218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智能巡检管理平台</w:t>
            </w:r>
          </w:p>
        </w:tc>
        <w:tc>
          <w:tcPr>
            <w:tcW w:w="99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109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09"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6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4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0"/>
                <w:szCs w:val="20"/>
                <w:highlight w:val="none"/>
              </w:rPr>
            </w:pPr>
          </w:p>
        </w:tc>
        <w:tc>
          <w:tcPr>
            <w:tcW w:w="218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智能巡检器</w:t>
            </w:r>
          </w:p>
        </w:tc>
        <w:tc>
          <w:tcPr>
            <w:tcW w:w="99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26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109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09"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6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4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系统集成</w:t>
            </w:r>
          </w:p>
        </w:tc>
        <w:tc>
          <w:tcPr>
            <w:tcW w:w="218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安装调试</w:t>
            </w:r>
          </w:p>
        </w:tc>
        <w:tc>
          <w:tcPr>
            <w:tcW w:w="99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6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109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0"/>
                <w:szCs w:val="20"/>
                <w:highlight w:val="none"/>
              </w:rPr>
            </w:pPr>
          </w:p>
        </w:tc>
        <w:tc>
          <w:tcPr>
            <w:tcW w:w="1609"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auto"/>
                <w:kern w:val="0"/>
                <w:sz w:val="20"/>
                <w:szCs w:val="20"/>
                <w:highlight w:val="none"/>
              </w:rPr>
            </w:pPr>
          </w:p>
        </w:tc>
      </w:tr>
      <w:tr>
        <w:tblPrEx>
          <w:tblCellMar>
            <w:top w:w="0" w:type="dxa"/>
            <w:left w:w="108" w:type="dxa"/>
            <w:bottom w:w="0" w:type="dxa"/>
            <w:right w:w="108" w:type="dxa"/>
          </w:tblCellMar>
        </w:tblPrEx>
        <w:trPr>
          <w:trHeight w:val="480" w:hRule="atLeast"/>
        </w:trPr>
        <w:tc>
          <w:tcPr>
            <w:tcW w:w="206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备注说明</w:t>
            </w:r>
          </w:p>
        </w:tc>
        <w:tc>
          <w:tcPr>
            <w:tcW w:w="7154" w:type="dxa"/>
            <w:gridSpan w:val="5"/>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80" w:hRule="atLeast"/>
        </w:trPr>
        <w:tc>
          <w:tcPr>
            <w:tcW w:w="206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投标总价</w:t>
            </w:r>
          </w:p>
        </w:tc>
        <w:tc>
          <w:tcPr>
            <w:tcW w:w="7154" w:type="dxa"/>
            <w:gridSpan w:val="5"/>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大写：</w:t>
            </w:r>
          </w:p>
          <w:p>
            <w:pPr>
              <w:widowControl/>
              <w:jc w:val="left"/>
              <w:rPr>
                <w:rFonts w:hint="eastAsia"/>
                <w:color w:val="auto"/>
                <w:highlight w:val="none"/>
              </w:rPr>
            </w:pPr>
            <w:r>
              <w:rPr>
                <w:rFonts w:hint="eastAsia" w:ascii="宋体" w:hAnsi="宋体" w:cs="宋体"/>
                <w:b/>
                <w:bCs/>
                <w:color w:val="auto"/>
                <w:kern w:val="0"/>
                <w:sz w:val="24"/>
                <w:highlight w:val="none"/>
              </w:rPr>
              <w:t>小写：</w:t>
            </w:r>
          </w:p>
        </w:tc>
      </w:tr>
    </w:tbl>
    <w:p>
      <w:pPr>
        <w:pStyle w:val="28"/>
        <w:snapToGrid w:val="0"/>
        <w:spacing w:before="0" w:beforeLines="0" w:after="0" w:afterLines="0" w:line="440" w:lineRule="exact"/>
        <w:ind w:firstLine="480" w:firstLineChars="200"/>
        <w:jc w:val="left"/>
        <w:rPr>
          <w:rFonts w:hint="eastAsia" w:hAnsi="宋体" w:cs="宋体"/>
          <w:color w:val="auto"/>
          <w:kern w:val="0"/>
          <w:highlight w:val="none"/>
          <w:lang w:bidi="ar"/>
        </w:rPr>
      </w:pPr>
      <w:r>
        <w:rPr>
          <w:rFonts w:hint="eastAsia" w:hAnsi="宋体" w:cs="宋体"/>
          <w:color w:val="auto"/>
          <w:kern w:val="0"/>
          <w:highlight w:val="none"/>
          <w:lang w:bidi="ar"/>
        </w:rPr>
        <w:t>注：投标报价包括货款、标准附件、备品备件、专用工具、配套设施、包装、运输、装卸、货到就位、安装调试费、相关验收费用、管理费、利润、风险费、保险、税金、技术培训、技术指导、服务费、代理费及其他费用等完成招标内容及要求所提供的货物及服务过程中涉及的一切费用。</w:t>
      </w:r>
    </w:p>
    <w:p>
      <w:pPr>
        <w:spacing w:line="440" w:lineRule="exact"/>
        <w:rPr>
          <w:rFonts w:hint="eastAsia" w:ascii="宋体" w:hAnsi="宋体" w:cs="宋体"/>
          <w:color w:val="auto"/>
          <w:kern w:val="0"/>
          <w:sz w:val="24"/>
          <w:highlight w:val="none"/>
          <w:lang w:bidi="ar"/>
        </w:rPr>
      </w:pPr>
    </w:p>
    <w:p>
      <w:pPr>
        <w:widowControl/>
        <w:spacing w:line="440" w:lineRule="exact"/>
        <w:jc w:val="left"/>
        <w:rPr>
          <w:color w:val="auto"/>
          <w:highlight w:val="none"/>
        </w:rPr>
      </w:pPr>
      <w:r>
        <w:rPr>
          <w:rFonts w:hint="eastAsia" w:ascii="宋体" w:hAnsi="宋体" w:cs="宋体"/>
          <w:color w:val="auto"/>
          <w:kern w:val="0"/>
          <w:sz w:val="24"/>
          <w:highlight w:val="none"/>
          <w:lang w:bidi="ar"/>
        </w:rPr>
        <w:t xml:space="preserve">投标人全称（盖电子公章）： </w:t>
      </w:r>
    </w:p>
    <w:p>
      <w:pPr>
        <w:widowControl/>
        <w:spacing w:line="440" w:lineRule="exact"/>
        <w:jc w:val="left"/>
        <w:rPr>
          <w:color w:val="auto"/>
          <w:highlight w:val="none"/>
        </w:rPr>
      </w:pPr>
      <w:r>
        <w:rPr>
          <w:rFonts w:hint="eastAsia" w:ascii="宋体" w:hAnsi="宋体" w:cs="宋体"/>
          <w:color w:val="auto"/>
          <w:kern w:val="0"/>
          <w:sz w:val="24"/>
          <w:highlight w:val="none"/>
          <w:lang w:bidi="ar"/>
        </w:rPr>
        <w:t xml:space="preserve">法定代表人或授权代表（签字或盖章）： </w:t>
      </w:r>
    </w:p>
    <w:p>
      <w:pPr>
        <w:widowControl/>
        <w:spacing w:line="440" w:lineRule="exact"/>
        <w:jc w:val="left"/>
        <w:rPr>
          <w:rFonts w:hint="eastAsia" w:ascii="宋体" w:hAnsi="宋体" w:cs="宋体"/>
          <w:b/>
          <w:color w:val="auto"/>
          <w:szCs w:val="21"/>
          <w:highlight w:val="none"/>
          <w:u w:val="single"/>
        </w:rPr>
      </w:pPr>
      <w:r>
        <w:rPr>
          <w:rFonts w:hint="eastAsia" w:ascii="宋体" w:hAnsi="宋体" w:cs="宋体"/>
          <w:color w:val="auto"/>
          <w:kern w:val="0"/>
          <w:sz w:val="24"/>
          <w:highlight w:val="none"/>
          <w:lang w:bidi="ar"/>
        </w:rPr>
        <w:t>日 期：  年  月  日</w:t>
      </w:r>
    </w:p>
    <w:p>
      <w:pPr>
        <w:snapToGrid w:val="0"/>
        <w:spacing w:line="440" w:lineRule="exact"/>
        <w:jc w:val="left"/>
        <w:rPr>
          <w:rFonts w:hint="eastAsia" w:ascii="宋体" w:hAnsi="宋体" w:cs="宋体"/>
          <w:b/>
          <w:color w:val="auto"/>
          <w:sz w:val="24"/>
          <w:highlight w:val="none"/>
          <w:u w:val="single"/>
        </w:rPr>
      </w:pPr>
      <w:r>
        <w:rPr>
          <w:rFonts w:hint="eastAsia" w:ascii="宋体" w:hAnsi="宋体" w:cs="宋体"/>
          <w:b/>
          <w:color w:val="auto"/>
          <w:sz w:val="24"/>
          <w:highlight w:val="none"/>
          <w:u w:val="single"/>
        </w:rPr>
        <w:t>特别提醒：</w:t>
      </w:r>
    </w:p>
    <w:p>
      <w:pPr>
        <w:snapToGrid w:val="0"/>
        <w:spacing w:line="440" w:lineRule="exact"/>
        <w:ind w:firstLine="482" w:firstLineChars="200"/>
        <w:jc w:val="left"/>
        <w:rPr>
          <w:rFonts w:hint="eastAsia" w:ascii="宋体" w:hAnsi="宋体" w:cs="宋体"/>
          <w:b/>
          <w:color w:val="auto"/>
          <w:sz w:val="24"/>
          <w:highlight w:val="none"/>
          <w:u w:val="single"/>
        </w:rPr>
      </w:pPr>
      <w:r>
        <w:rPr>
          <w:rFonts w:hint="eastAsia" w:ascii="宋体" w:hAnsi="宋体" w:cs="宋体"/>
          <w:b/>
          <w:color w:val="auto"/>
          <w:sz w:val="24"/>
          <w:highlight w:val="none"/>
        </w:rPr>
        <w:t>1、</w:t>
      </w:r>
      <w:r>
        <w:rPr>
          <w:rFonts w:hint="eastAsia" w:ascii="宋体" w:hAnsi="宋体" w:cs="宋体"/>
          <w:b/>
          <w:color w:val="auto"/>
          <w:sz w:val="24"/>
          <w:highlight w:val="none"/>
          <w:u w:val="single"/>
        </w:rPr>
        <w:t>上表中的数量为预估数量，仅作为投标的共同基础，具体以实际产生为准。</w:t>
      </w:r>
    </w:p>
    <w:p>
      <w:pPr>
        <w:snapToGrid w:val="0"/>
        <w:spacing w:line="440" w:lineRule="exact"/>
        <w:ind w:firstLine="482" w:firstLineChars="200"/>
        <w:jc w:val="left"/>
        <w:rPr>
          <w:rFonts w:hint="eastAsia" w:ascii="宋体" w:hAnsi="宋体" w:cs="宋体"/>
          <w:b/>
          <w:color w:val="auto"/>
          <w:sz w:val="24"/>
          <w:highlight w:val="none"/>
          <w:u w:val="single"/>
        </w:rPr>
      </w:pPr>
      <w:r>
        <w:rPr>
          <w:rFonts w:hint="eastAsia" w:ascii="宋体" w:hAnsi="宋体" w:cs="宋体"/>
          <w:b/>
          <w:color w:val="auto"/>
          <w:sz w:val="24"/>
          <w:highlight w:val="none"/>
          <w:u w:val="single"/>
        </w:rPr>
        <w:t>2、投标供应商所提交资料信息应当属实，否则将按政府采购法第七十七条处理。</w:t>
      </w:r>
    </w:p>
    <w:p>
      <w:pPr>
        <w:snapToGrid w:val="0"/>
        <w:spacing w:line="440" w:lineRule="exact"/>
        <w:ind w:firstLine="482" w:firstLineChars="200"/>
        <w:jc w:val="left"/>
        <w:rPr>
          <w:rFonts w:hint="eastAsia" w:ascii="宋体" w:hAnsi="宋体" w:cs="宋体"/>
          <w:b/>
          <w:color w:val="auto"/>
          <w:sz w:val="24"/>
          <w:highlight w:val="none"/>
          <w:u w:val="single"/>
        </w:rPr>
      </w:pPr>
      <w:r>
        <w:rPr>
          <w:rFonts w:hint="eastAsia" w:ascii="宋体" w:hAnsi="宋体" w:cs="宋体"/>
          <w:b/>
          <w:color w:val="auto"/>
          <w:sz w:val="24"/>
          <w:highlight w:val="none"/>
          <w:u w:val="single"/>
        </w:rPr>
        <w:t>3、上表所述“总报价”应与“开标一览表”中的总报价一致，如有矛盾，以“开标一览表”中的为准。</w:t>
      </w:r>
    </w:p>
    <w:p>
      <w:pPr>
        <w:rPr>
          <w:rFonts w:hint="eastAsia" w:ascii="宋体" w:hAnsi="宋体" w:cs="宋体"/>
          <w:color w:val="auto"/>
          <w:sz w:val="24"/>
          <w:highlight w:val="none"/>
        </w:rPr>
      </w:pP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ascii="宋体" w:hAnsi="宋体" w:cs="宋体"/>
          <w:b/>
          <w:color w:val="auto"/>
          <w:sz w:val="30"/>
          <w:highlight w:val="none"/>
        </w:rPr>
      </w:pPr>
    </w:p>
    <w:p>
      <w:pPr>
        <w:pStyle w:val="2"/>
        <w:ind w:firstLine="560"/>
        <w:rPr>
          <w:color w:val="auto"/>
          <w:highlight w:val="none"/>
        </w:rPr>
      </w:pPr>
    </w:p>
    <w:p>
      <w:pPr>
        <w:rPr>
          <w:color w:val="auto"/>
          <w:highlight w:val="none"/>
        </w:rPr>
      </w:pPr>
    </w:p>
    <w:p>
      <w:pPr>
        <w:pStyle w:val="2"/>
        <w:ind w:firstLine="560"/>
        <w:rPr>
          <w:color w:val="auto"/>
          <w:highlight w:val="none"/>
        </w:rPr>
      </w:pPr>
    </w:p>
    <w:p>
      <w:pPr>
        <w:rPr>
          <w:rFonts w:hint="eastAsia"/>
          <w:color w:val="auto"/>
          <w:highlight w:val="none"/>
        </w:rPr>
      </w:pPr>
    </w:p>
    <w:p>
      <w:pPr>
        <w:snapToGrid w:val="0"/>
        <w:spacing w:before="50" w:after="50"/>
        <w:jc w:val="center"/>
        <w:rPr>
          <w:rFonts w:hint="eastAsia" w:ascii="宋体" w:hAnsi="宋体" w:cs="宋体"/>
          <w:b/>
          <w:color w:val="auto"/>
          <w:sz w:val="30"/>
          <w:highlight w:val="none"/>
        </w:rPr>
      </w:pPr>
    </w:p>
    <w:p>
      <w:pPr>
        <w:snapToGrid w:val="0"/>
        <w:spacing w:before="50" w:after="50"/>
        <w:jc w:val="center"/>
        <w:rPr>
          <w:rFonts w:hint="eastAsia" w:ascii="宋体" w:hAnsi="宋体" w:cs="宋体"/>
          <w:b/>
          <w:color w:val="auto"/>
          <w:sz w:val="30"/>
          <w:szCs w:val="20"/>
          <w:highlight w:val="none"/>
        </w:rPr>
      </w:pPr>
      <w:r>
        <w:rPr>
          <w:rFonts w:hint="eastAsia" w:ascii="宋体" w:hAnsi="宋体" w:cs="宋体"/>
          <w:b/>
          <w:color w:val="auto"/>
          <w:sz w:val="30"/>
          <w:highlight w:val="none"/>
        </w:rPr>
        <w:t>开标一览表</w:t>
      </w:r>
    </w:p>
    <w:p>
      <w:pPr>
        <w:snapToGrid w:val="0"/>
        <w:spacing w:before="50" w:after="50"/>
        <w:jc w:val="left"/>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napToGrid w:val="0"/>
        <w:spacing w:before="50" w:after="50"/>
        <w:jc w:val="left"/>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单位：元</w:t>
      </w:r>
    </w:p>
    <w:tbl>
      <w:tblPr>
        <w:tblStyle w:val="53"/>
        <w:tblW w:w="936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446"/>
        <w:gridCol w:w="970"/>
        <w:gridCol w:w="853"/>
        <w:gridCol w:w="2712"/>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left="60" w:right="6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44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left="60" w:right="6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标项内容</w:t>
            </w:r>
          </w:p>
        </w:tc>
        <w:tc>
          <w:tcPr>
            <w:tcW w:w="97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left="60" w:right="60"/>
              <w:rPr>
                <w:rFonts w:hint="eastAsia" w:ascii="宋体" w:hAnsi="宋体" w:cs="宋体"/>
                <w:color w:val="auto"/>
                <w:kern w:val="0"/>
                <w:sz w:val="24"/>
                <w:highlight w:val="none"/>
              </w:rPr>
            </w:pPr>
            <w:r>
              <w:rPr>
                <w:rFonts w:hint="eastAsia" w:ascii="宋体" w:hAnsi="宋体" w:cs="宋体"/>
                <w:color w:val="auto"/>
                <w:kern w:val="0"/>
                <w:sz w:val="24"/>
                <w:highlight w:val="none"/>
              </w:rPr>
              <w:t>数量</w:t>
            </w:r>
          </w:p>
        </w:tc>
        <w:tc>
          <w:tcPr>
            <w:tcW w:w="853"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left="60" w:right="6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单位</w:t>
            </w:r>
          </w:p>
        </w:tc>
        <w:tc>
          <w:tcPr>
            <w:tcW w:w="271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left="60" w:right="6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投标总价（元）</w:t>
            </w:r>
          </w:p>
        </w:tc>
        <w:tc>
          <w:tcPr>
            <w:tcW w:w="139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left="60" w:right="6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山明美术院扩建工程弱电智能化设备采购项目</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320" w:lineRule="exact"/>
              <w:ind w:firstLine="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大写：</w:t>
            </w:r>
            <w:r>
              <w:rPr>
                <w:rFonts w:hint="eastAsia" w:ascii="宋体" w:hAnsi="宋体" w:cs="宋体"/>
                <w:color w:val="auto"/>
                <w:sz w:val="24"/>
                <w:szCs w:val="24"/>
                <w:highlight w:val="none"/>
                <w:u w:val="single"/>
              </w:rPr>
              <w:t xml:space="preserve">  </w:t>
            </w:r>
          </w:p>
          <w:p>
            <w:pPr>
              <w:widowControl/>
              <w:spacing w:line="400" w:lineRule="exact"/>
              <w:ind w:left="60" w:right="60"/>
              <w:rPr>
                <w:rFonts w:hint="eastAsia" w:ascii="宋体" w:hAnsi="宋体" w:cs="宋体"/>
                <w:color w:val="auto"/>
                <w:kern w:val="0"/>
                <w:sz w:val="24"/>
                <w:highlight w:val="none"/>
              </w:rPr>
            </w:pPr>
            <w:r>
              <w:rPr>
                <w:rFonts w:hint="eastAsia" w:ascii="宋体" w:hAnsi="宋体" w:cs="宋体"/>
                <w:color w:val="auto"/>
                <w:sz w:val="24"/>
                <w:highlight w:val="none"/>
              </w:rPr>
              <w:t>（小写）￥</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right="60"/>
              <w:rPr>
                <w:rFonts w:hint="eastAsia" w:ascii="宋体" w:hAnsi="宋体" w:cs="宋体"/>
                <w:color w:val="auto"/>
                <w:kern w:val="0"/>
                <w:sz w:val="24"/>
                <w:highlight w:val="none"/>
              </w:rPr>
            </w:pPr>
          </w:p>
        </w:tc>
      </w:tr>
    </w:tbl>
    <w:p>
      <w:pPr>
        <w:snapToGrid w:val="0"/>
        <w:spacing w:before="50" w:after="50"/>
        <w:rPr>
          <w:rFonts w:hint="eastAsia" w:ascii="宋体" w:hAnsi="宋体" w:cs="宋体"/>
          <w:color w:val="auto"/>
          <w:sz w:val="24"/>
          <w:highlight w:val="none"/>
        </w:rPr>
      </w:pPr>
    </w:p>
    <w:p>
      <w:pPr>
        <w:snapToGrid w:val="0"/>
        <w:spacing w:line="360" w:lineRule="exact"/>
        <w:jc w:val="left"/>
        <w:rPr>
          <w:rFonts w:ascii="宋体" w:hAnsi="宋体"/>
          <w:color w:val="auto"/>
          <w:sz w:val="22"/>
          <w:szCs w:val="22"/>
          <w:highlight w:val="none"/>
        </w:rPr>
      </w:pPr>
      <w:r>
        <w:rPr>
          <w:rFonts w:hint="eastAsia" w:ascii="宋体" w:hAnsi="宋体"/>
          <w:color w:val="auto"/>
          <w:sz w:val="22"/>
          <w:szCs w:val="22"/>
          <w:highlight w:val="none"/>
        </w:rPr>
        <w:t>注</w:t>
      </w:r>
      <w:r>
        <w:rPr>
          <w:rFonts w:ascii="宋体" w:hAnsi="宋体"/>
          <w:color w:val="auto"/>
          <w:sz w:val="22"/>
          <w:szCs w:val="22"/>
          <w:highlight w:val="none"/>
        </w:rPr>
        <w:t xml:space="preserve">: </w:t>
      </w:r>
    </w:p>
    <w:p>
      <w:pPr>
        <w:pStyle w:val="28"/>
        <w:snapToGrid w:val="0"/>
        <w:spacing w:before="0" w:beforeLines="0" w:after="0" w:afterLines="0" w:line="360" w:lineRule="exact"/>
        <w:ind w:firstLine="440" w:firstLineChars="200"/>
        <w:jc w:val="left"/>
        <w:rPr>
          <w:rFonts w:hAnsi="宋体"/>
          <w:color w:val="auto"/>
          <w:sz w:val="22"/>
          <w:szCs w:val="22"/>
          <w:highlight w:val="none"/>
        </w:rPr>
      </w:pPr>
      <w:r>
        <w:rPr>
          <w:rFonts w:hint="eastAsia"/>
          <w:color w:val="auto"/>
          <w:sz w:val="22"/>
          <w:szCs w:val="22"/>
          <w:highlight w:val="none"/>
        </w:rPr>
        <w:t>1、</w:t>
      </w:r>
      <w:r>
        <w:rPr>
          <w:rFonts w:hint="eastAsia" w:hAnsi="宋体" w:cs="宋体"/>
          <w:color w:val="auto"/>
          <w:sz w:val="22"/>
          <w:szCs w:val="22"/>
          <w:highlight w:val="none"/>
        </w:rPr>
        <w:t>投标报价包括货款、标准附件、备品备件、专用工具、配套设施、包装、运输、装卸、货到就位、安装调试费、相关验收费用、管理费、利润、风险费、保险、税金、技术培训、技术指导、服务费、代理费及其他费用等完成招标内容及要求所提供的货物及服务过程中涉及的一切费用</w:t>
      </w:r>
      <w:r>
        <w:rPr>
          <w:color w:val="auto"/>
          <w:sz w:val="22"/>
          <w:szCs w:val="22"/>
          <w:highlight w:val="none"/>
        </w:rPr>
        <w:t>。</w:t>
      </w:r>
    </w:p>
    <w:p>
      <w:pPr>
        <w:snapToGrid w:val="0"/>
        <w:spacing w:line="3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2、以上报价应与“投标设备报价明细表”中的“投标总价”相一致。</w:t>
      </w:r>
    </w:p>
    <w:p>
      <w:pPr>
        <w:pStyle w:val="52"/>
        <w:ind w:firstLine="240"/>
        <w:rPr>
          <w:rFonts w:hint="eastAsia" w:ascii="宋体" w:hAnsi="宋体" w:cs="宋体"/>
          <w:color w:val="auto"/>
          <w:szCs w:val="24"/>
          <w:highlight w:val="none"/>
        </w:rPr>
      </w:pPr>
    </w:p>
    <w:p>
      <w:pPr>
        <w:rPr>
          <w:rFonts w:hint="eastAsia"/>
          <w:color w:val="auto"/>
          <w:highlight w:val="none"/>
        </w:rPr>
      </w:pPr>
    </w:p>
    <w:p>
      <w:pPr>
        <w:widowControl/>
        <w:spacing w:line="400" w:lineRule="exact"/>
        <w:jc w:val="left"/>
        <w:rPr>
          <w:color w:val="auto"/>
          <w:highlight w:val="none"/>
        </w:rPr>
      </w:pPr>
      <w:r>
        <w:rPr>
          <w:rFonts w:hint="eastAsia" w:ascii="宋体" w:hAnsi="宋体" w:cs="宋体"/>
          <w:color w:val="auto"/>
          <w:kern w:val="0"/>
          <w:sz w:val="24"/>
          <w:highlight w:val="none"/>
          <w:lang w:bidi="ar"/>
        </w:rPr>
        <w:t xml:space="preserve">投标人全称（盖电子公章）： </w:t>
      </w:r>
    </w:p>
    <w:p>
      <w:pPr>
        <w:widowControl/>
        <w:spacing w:line="400" w:lineRule="exact"/>
        <w:jc w:val="left"/>
        <w:rPr>
          <w:color w:val="auto"/>
          <w:highlight w:val="none"/>
        </w:rPr>
      </w:pPr>
      <w:r>
        <w:rPr>
          <w:rFonts w:hint="eastAsia" w:ascii="宋体" w:hAnsi="宋体" w:cs="宋体"/>
          <w:color w:val="auto"/>
          <w:kern w:val="0"/>
          <w:sz w:val="24"/>
          <w:highlight w:val="none"/>
          <w:lang w:bidi="ar"/>
        </w:rPr>
        <w:t xml:space="preserve">法定代表人或授权代表（签字或盖章）： </w:t>
      </w:r>
    </w:p>
    <w:p>
      <w:pPr>
        <w:widowControl/>
        <w:spacing w:line="400" w:lineRule="exact"/>
        <w:jc w:val="left"/>
        <w:rPr>
          <w:color w:val="auto"/>
          <w:highlight w:val="none"/>
        </w:rPr>
      </w:pPr>
      <w:r>
        <w:rPr>
          <w:rFonts w:hint="eastAsia" w:ascii="宋体" w:hAnsi="宋体" w:cs="宋体"/>
          <w:color w:val="auto"/>
          <w:kern w:val="0"/>
          <w:sz w:val="24"/>
          <w:highlight w:val="none"/>
          <w:lang w:bidi="ar"/>
        </w:rPr>
        <w:t>日 期：  年  月  日</w:t>
      </w:r>
    </w:p>
    <w:p>
      <w:pPr>
        <w:pStyle w:val="2"/>
        <w:rPr>
          <w:rFonts w:hint="eastAsia" w:ascii="宋体" w:hAnsi="宋体" w:cs="宋体"/>
          <w:color w:val="auto"/>
          <w:sz w:val="21"/>
          <w:szCs w:val="21"/>
          <w:highlight w:val="none"/>
        </w:rPr>
      </w:pPr>
    </w:p>
    <w:p>
      <w:pPr>
        <w:pStyle w:val="2"/>
        <w:ind w:firstLine="560"/>
        <w:rPr>
          <w:rFonts w:hint="eastAsia" w:ascii="宋体" w:hAnsi="宋体" w:cs="宋体"/>
          <w:color w:val="auto"/>
          <w:highlight w:val="none"/>
        </w:rPr>
      </w:pPr>
    </w:p>
    <w:p>
      <w:pPr>
        <w:pStyle w:val="2"/>
        <w:ind w:firstLine="560"/>
        <w:rPr>
          <w:rFonts w:hint="eastAsia" w:ascii="宋体" w:hAnsi="宋体" w:cs="宋体"/>
          <w:color w:val="auto"/>
          <w:highlight w:val="none"/>
        </w:rPr>
      </w:pPr>
    </w:p>
    <w:p>
      <w:pPr>
        <w:pStyle w:val="2"/>
        <w:ind w:firstLine="560"/>
        <w:rPr>
          <w:rFonts w:hint="eastAsia" w:ascii="宋体" w:hAnsi="宋体" w:cs="宋体"/>
          <w:color w:val="auto"/>
          <w:highlight w:val="none"/>
        </w:rPr>
      </w:pPr>
    </w:p>
    <w:p>
      <w:pPr>
        <w:pStyle w:val="2"/>
        <w:ind w:firstLine="560"/>
        <w:rPr>
          <w:rFonts w:hint="eastAsia" w:ascii="宋体" w:hAnsi="宋体" w:cs="宋体"/>
          <w:color w:val="auto"/>
          <w:highlight w:val="none"/>
        </w:rPr>
        <w:sectPr>
          <w:footerReference r:id="rId4" w:type="default"/>
          <w:pgSz w:w="11906" w:h="16838"/>
          <w:pgMar w:top="1758" w:right="1474" w:bottom="1588" w:left="1474" w:header="851" w:footer="992" w:gutter="0"/>
          <w:pgNumType w:start="1"/>
          <w:cols w:space="720" w:num="1"/>
          <w:docGrid w:linePitch="602" w:charSpace="0"/>
        </w:sectPr>
      </w:pPr>
    </w:p>
    <w:p>
      <w:pPr>
        <w:pStyle w:val="2"/>
        <w:spacing w:line="400" w:lineRule="exact"/>
        <w:ind w:left="0" w:leftChars="0"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中小企业产品适用政府采购政策情况表</w:t>
      </w:r>
    </w:p>
    <w:p>
      <w:pPr>
        <w:pStyle w:val="28"/>
        <w:snapToGrid w:val="0"/>
        <w:spacing w:before="120" w:beforeLines="0" w:after="120" w:afterLines="0" w:line="240" w:lineRule="auto"/>
        <w:rPr>
          <w:rFonts w:hint="eastAsia" w:hAnsi="宋体" w:cs="宋体"/>
          <w:b/>
          <w:color w:val="auto"/>
          <w:highlight w:val="none"/>
        </w:rPr>
      </w:pPr>
    </w:p>
    <w:tbl>
      <w:tblPr>
        <w:tblStyle w:val="5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186"/>
        <w:gridCol w:w="1706"/>
        <w:gridCol w:w="1706"/>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restart"/>
            <w:noWrap w:val="0"/>
            <w:vAlign w:val="center"/>
          </w:tcPr>
          <w:p>
            <w:pPr>
              <w:pStyle w:val="28"/>
              <w:snapToGrid w:val="0"/>
              <w:spacing w:before="120" w:beforeLines="0" w:after="120" w:afterLines="0" w:line="240" w:lineRule="auto"/>
              <w:jc w:val="center"/>
              <w:rPr>
                <w:rFonts w:hint="eastAsia" w:hAnsi="宋体" w:cs="宋体"/>
                <w:color w:val="auto"/>
                <w:highlight w:val="none"/>
              </w:rPr>
            </w:pPr>
            <w:r>
              <w:rPr>
                <w:rFonts w:hint="eastAsia" w:hAnsi="宋体" w:cs="宋体"/>
                <w:color w:val="auto"/>
                <w:highlight w:val="none"/>
              </w:rPr>
              <w:t>小企业扶持政策</w:t>
            </w:r>
          </w:p>
        </w:tc>
        <w:tc>
          <w:tcPr>
            <w:tcW w:w="8363" w:type="dxa"/>
            <w:gridSpan w:val="4"/>
            <w:noWrap w:val="0"/>
            <w:vAlign w:val="top"/>
          </w:tcPr>
          <w:p>
            <w:pPr>
              <w:pStyle w:val="28"/>
              <w:snapToGrid w:val="0"/>
              <w:spacing w:before="120" w:beforeLines="0" w:after="120" w:afterLines="0" w:line="240" w:lineRule="auto"/>
              <w:jc w:val="left"/>
              <w:rPr>
                <w:rFonts w:hint="eastAsia" w:hAnsi="宋体" w:cs="宋体"/>
                <w:color w:val="auto"/>
                <w:highlight w:val="none"/>
              </w:rPr>
            </w:pPr>
            <w:r>
              <w:rPr>
                <w:rFonts w:hint="eastAsia" w:hAnsi="宋体" w:cs="宋体"/>
                <w:color w:val="auto"/>
                <w:highlight w:val="none"/>
              </w:rPr>
              <w:t>如属所列情形的，请在括号内打“√”</w:t>
            </w:r>
          </w:p>
          <w:p>
            <w:pPr>
              <w:pStyle w:val="28"/>
              <w:snapToGrid w:val="0"/>
              <w:spacing w:before="120" w:beforeLines="0" w:after="120" w:afterLines="0" w:line="240" w:lineRule="auto"/>
              <w:jc w:val="left"/>
              <w:rPr>
                <w:rFonts w:hint="eastAsia" w:hAnsi="宋体" w:cs="宋体"/>
                <w:color w:val="auto"/>
                <w:highlight w:val="none"/>
              </w:rPr>
            </w:pPr>
            <w:r>
              <w:rPr>
                <w:rFonts w:hint="eastAsia" w:hAnsi="宋体" w:cs="宋体"/>
                <w:color w:val="auto"/>
                <w:highlight w:val="none"/>
              </w:rPr>
              <w:t>（ ）小型、微型企业投标且提供本企业的货物、承担的工程或者服务</w:t>
            </w:r>
          </w:p>
          <w:p>
            <w:pPr>
              <w:pStyle w:val="28"/>
              <w:snapToGrid w:val="0"/>
              <w:spacing w:before="120" w:beforeLines="0" w:after="120" w:afterLines="0" w:line="240" w:lineRule="auto"/>
              <w:jc w:val="left"/>
              <w:rPr>
                <w:rFonts w:hint="eastAsia" w:hAnsi="宋体" w:cs="宋体"/>
                <w:color w:val="auto"/>
                <w:highlight w:val="none"/>
              </w:rPr>
            </w:pPr>
            <w:r>
              <w:rPr>
                <w:rFonts w:hint="eastAsia" w:hAnsi="宋体" w:cs="宋体"/>
                <w:color w:val="auto"/>
                <w:highlight w:val="none"/>
              </w:rPr>
              <w:t>（ ）小型、微型、中型企业投标且提供其它小型、微型企业或中型、大型企业产品的，请填写下表内容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continue"/>
            <w:noWrap w:val="0"/>
            <w:vAlign w:val="top"/>
          </w:tcPr>
          <w:p>
            <w:pPr>
              <w:pStyle w:val="28"/>
              <w:snapToGrid w:val="0"/>
              <w:spacing w:before="120" w:beforeLines="0" w:after="120" w:afterLines="0" w:line="240" w:lineRule="auto"/>
              <w:jc w:val="center"/>
              <w:rPr>
                <w:rFonts w:hint="eastAsia" w:hAnsi="宋体" w:cs="宋体"/>
                <w:color w:val="auto"/>
                <w:highlight w:val="none"/>
              </w:rPr>
            </w:pPr>
          </w:p>
        </w:tc>
        <w:tc>
          <w:tcPr>
            <w:tcW w:w="2186" w:type="dxa"/>
            <w:noWrap w:val="0"/>
            <w:vAlign w:val="center"/>
          </w:tcPr>
          <w:p>
            <w:pPr>
              <w:pStyle w:val="28"/>
              <w:snapToGrid w:val="0"/>
              <w:spacing w:before="120" w:beforeLines="0" w:after="120" w:afterLines="0" w:line="240" w:lineRule="auto"/>
              <w:jc w:val="center"/>
              <w:rPr>
                <w:rFonts w:hint="eastAsia" w:hAnsi="宋体" w:cs="宋体"/>
                <w:color w:val="auto"/>
                <w:highlight w:val="none"/>
              </w:rPr>
            </w:pPr>
            <w:r>
              <w:rPr>
                <w:rFonts w:hint="eastAsia" w:hAnsi="宋体" w:cs="宋体"/>
                <w:color w:val="auto"/>
                <w:highlight w:val="none"/>
              </w:rPr>
              <w:t>产品名称</w:t>
            </w:r>
          </w:p>
          <w:p>
            <w:pPr>
              <w:pStyle w:val="28"/>
              <w:snapToGrid w:val="0"/>
              <w:spacing w:before="120" w:beforeLines="0" w:after="120" w:afterLines="0" w:line="240" w:lineRule="auto"/>
              <w:jc w:val="center"/>
              <w:rPr>
                <w:rFonts w:hint="eastAsia" w:hAnsi="宋体" w:cs="宋体"/>
                <w:color w:val="auto"/>
                <w:highlight w:val="none"/>
              </w:rPr>
            </w:pPr>
            <w:r>
              <w:rPr>
                <w:rFonts w:hint="eastAsia" w:hAnsi="宋体" w:cs="宋体"/>
                <w:color w:val="auto"/>
                <w:highlight w:val="none"/>
              </w:rPr>
              <w:t>（品牌、型号）</w:t>
            </w:r>
          </w:p>
        </w:tc>
        <w:tc>
          <w:tcPr>
            <w:tcW w:w="1706" w:type="dxa"/>
            <w:noWrap w:val="0"/>
            <w:vAlign w:val="center"/>
          </w:tcPr>
          <w:p>
            <w:pPr>
              <w:pStyle w:val="28"/>
              <w:snapToGrid w:val="0"/>
              <w:spacing w:before="120" w:beforeLines="0" w:after="120" w:afterLines="0" w:line="240" w:lineRule="auto"/>
              <w:jc w:val="center"/>
              <w:rPr>
                <w:rFonts w:hint="eastAsia" w:hAnsi="宋体" w:cs="宋体"/>
                <w:color w:val="auto"/>
                <w:highlight w:val="none"/>
              </w:rPr>
            </w:pPr>
            <w:r>
              <w:rPr>
                <w:rFonts w:hint="eastAsia" w:hAnsi="宋体" w:cs="宋体"/>
                <w:color w:val="auto"/>
                <w:highlight w:val="none"/>
              </w:rPr>
              <w:t>制造商</w:t>
            </w:r>
          </w:p>
        </w:tc>
        <w:tc>
          <w:tcPr>
            <w:tcW w:w="1706" w:type="dxa"/>
            <w:noWrap w:val="0"/>
            <w:vAlign w:val="center"/>
          </w:tcPr>
          <w:p>
            <w:pPr>
              <w:pStyle w:val="28"/>
              <w:snapToGrid w:val="0"/>
              <w:spacing w:before="120" w:beforeLines="0" w:after="120" w:afterLines="0" w:line="240" w:lineRule="auto"/>
              <w:jc w:val="center"/>
              <w:rPr>
                <w:rFonts w:hint="eastAsia" w:hAnsi="宋体" w:cs="宋体"/>
                <w:color w:val="auto"/>
                <w:highlight w:val="none"/>
              </w:rPr>
            </w:pPr>
            <w:r>
              <w:rPr>
                <w:rFonts w:hint="eastAsia" w:hAnsi="宋体" w:cs="宋体"/>
                <w:color w:val="auto"/>
                <w:highlight w:val="none"/>
              </w:rPr>
              <w:t>制造商企业</w:t>
            </w:r>
          </w:p>
          <w:p>
            <w:pPr>
              <w:pStyle w:val="28"/>
              <w:snapToGrid w:val="0"/>
              <w:spacing w:before="120" w:beforeLines="0" w:after="120" w:afterLines="0" w:line="240" w:lineRule="auto"/>
              <w:jc w:val="center"/>
              <w:rPr>
                <w:rFonts w:hint="eastAsia" w:hAnsi="宋体" w:cs="宋体"/>
                <w:color w:val="auto"/>
                <w:highlight w:val="none"/>
              </w:rPr>
            </w:pPr>
            <w:r>
              <w:rPr>
                <w:rFonts w:hint="eastAsia" w:hAnsi="宋体" w:cs="宋体"/>
                <w:color w:val="auto"/>
                <w:highlight w:val="none"/>
              </w:rPr>
              <w:t>类型</w:t>
            </w:r>
          </w:p>
        </w:tc>
        <w:tc>
          <w:tcPr>
            <w:tcW w:w="2765" w:type="dxa"/>
            <w:noWrap w:val="0"/>
            <w:vAlign w:val="center"/>
          </w:tcPr>
          <w:p>
            <w:pPr>
              <w:pStyle w:val="28"/>
              <w:snapToGrid w:val="0"/>
              <w:spacing w:before="120" w:beforeLines="0" w:after="120" w:afterLines="0" w:line="240" w:lineRule="auto"/>
              <w:jc w:val="center"/>
              <w:rPr>
                <w:rFonts w:hint="eastAsia" w:hAnsi="宋体" w:cs="宋体"/>
                <w:color w:val="auto"/>
                <w:highlight w:val="none"/>
              </w:rPr>
            </w:pPr>
            <w:r>
              <w:rPr>
                <w:rFonts w:hint="eastAsia" w:hAnsi="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continue"/>
            <w:noWrap w:val="0"/>
            <w:vAlign w:val="top"/>
          </w:tcPr>
          <w:p>
            <w:pPr>
              <w:pStyle w:val="28"/>
              <w:snapToGrid w:val="0"/>
              <w:spacing w:before="120" w:beforeLines="0" w:after="120" w:afterLines="0" w:line="240" w:lineRule="auto"/>
              <w:jc w:val="center"/>
              <w:rPr>
                <w:rFonts w:hint="eastAsia" w:hAnsi="宋体" w:cs="宋体"/>
                <w:color w:val="auto"/>
                <w:highlight w:val="none"/>
              </w:rPr>
            </w:pPr>
          </w:p>
        </w:tc>
        <w:tc>
          <w:tcPr>
            <w:tcW w:w="2186" w:type="dxa"/>
            <w:noWrap w:val="0"/>
            <w:vAlign w:val="top"/>
          </w:tcPr>
          <w:p>
            <w:pPr>
              <w:pStyle w:val="28"/>
              <w:snapToGrid w:val="0"/>
              <w:spacing w:before="120" w:beforeLines="0" w:after="120" w:afterLines="0" w:line="240" w:lineRule="auto"/>
              <w:rPr>
                <w:rFonts w:hint="eastAsia" w:hAnsi="宋体" w:cs="宋体"/>
                <w:color w:val="auto"/>
                <w:highlight w:val="none"/>
              </w:rPr>
            </w:pPr>
          </w:p>
        </w:tc>
        <w:tc>
          <w:tcPr>
            <w:tcW w:w="1706" w:type="dxa"/>
            <w:noWrap w:val="0"/>
            <w:vAlign w:val="top"/>
          </w:tcPr>
          <w:p>
            <w:pPr>
              <w:pStyle w:val="28"/>
              <w:snapToGrid w:val="0"/>
              <w:spacing w:before="120" w:beforeLines="0" w:after="120" w:afterLines="0" w:line="240" w:lineRule="auto"/>
              <w:rPr>
                <w:rFonts w:hint="eastAsia" w:hAnsi="宋体" w:cs="宋体"/>
                <w:color w:val="auto"/>
                <w:highlight w:val="none"/>
              </w:rPr>
            </w:pPr>
          </w:p>
        </w:tc>
        <w:tc>
          <w:tcPr>
            <w:tcW w:w="1706" w:type="dxa"/>
            <w:noWrap w:val="0"/>
            <w:vAlign w:val="top"/>
          </w:tcPr>
          <w:p>
            <w:pPr>
              <w:pStyle w:val="28"/>
              <w:snapToGrid w:val="0"/>
              <w:spacing w:before="120" w:beforeLines="0" w:after="120" w:afterLines="0" w:line="240" w:lineRule="auto"/>
              <w:rPr>
                <w:rFonts w:hint="eastAsia" w:hAnsi="宋体" w:cs="宋体"/>
                <w:color w:val="auto"/>
                <w:highlight w:val="none"/>
              </w:rPr>
            </w:pPr>
          </w:p>
        </w:tc>
        <w:tc>
          <w:tcPr>
            <w:tcW w:w="2765" w:type="dxa"/>
            <w:noWrap w:val="0"/>
            <w:vAlign w:val="top"/>
          </w:tcPr>
          <w:p>
            <w:pPr>
              <w:pStyle w:val="28"/>
              <w:snapToGrid w:val="0"/>
              <w:spacing w:before="120" w:beforeLines="0" w:after="120" w:afterLines="0" w:line="240" w:lineRule="auto"/>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continue"/>
            <w:noWrap w:val="0"/>
            <w:vAlign w:val="top"/>
          </w:tcPr>
          <w:p>
            <w:pPr>
              <w:pStyle w:val="28"/>
              <w:snapToGrid w:val="0"/>
              <w:spacing w:before="120" w:beforeLines="0" w:after="120" w:afterLines="0" w:line="240" w:lineRule="auto"/>
              <w:jc w:val="center"/>
              <w:rPr>
                <w:rFonts w:hint="eastAsia" w:hAnsi="宋体" w:cs="宋体"/>
                <w:color w:val="auto"/>
                <w:highlight w:val="none"/>
              </w:rPr>
            </w:pPr>
          </w:p>
        </w:tc>
        <w:tc>
          <w:tcPr>
            <w:tcW w:w="2186" w:type="dxa"/>
            <w:noWrap w:val="0"/>
            <w:vAlign w:val="top"/>
          </w:tcPr>
          <w:p>
            <w:pPr>
              <w:pStyle w:val="28"/>
              <w:snapToGrid w:val="0"/>
              <w:spacing w:before="120" w:beforeLines="0" w:after="120" w:afterLines="0" w:line="240" w:lineRule="auto"/>
              <w:rPr>
                <w:rFonts w:hint="eastAsia" w:hAnsi="宋体" w:cs="宋体"/>
                <w:color w:val="auto"/>
                <w:highlight w:val="none"/>
              </w:rPr>
            </w:pPr>
          </w:p>
        </w:tc>
        <w:tc>
          <w:tcPr>
            <w:tcW w:w="1706" w:type="dxa"/>
            <w:noWrap w:val="0"/>
            <w:vAlign w:val="top"/>
          </w:tcPr>
          <w:p>
            <w:pPr>
              <w:pStyle w:val="28"/>
              <w:snapToGrid w:val="0"/>
              <w:spacing w:before="120" w:beforeLines="0" w:after="120" w:afterLines="0" w:line="240" w:lineRule="auto"/>
              <w:rPr>
                <w:rFonts w:hint="eastAsia" w:hAnsi="宋体" w:cs="宋体"/>
                <w:color w:val="auto"/>
                <w:highlight w:val="none"/>
              </w:rPr>
            </w:pPr>
          </w:p>
        </w:tc>
        <w:tc>
          <w:tcPr>
            <w:tcW w:w="1706" w:type="dxa"/>
            <w:noWrap w:val="0"/>
            <w:vAlign w:val="top"/>
          </w:tcPr>
          <w:p>
            <w:pPr>
              <w:pStyle w:val="28"/>
              <w:snapToGrid w:val="0"/>
              <w:spacing w:before="120" w:beforeLines="0" w:after="120" w:afterLines="0" w:line="240" w:lineRule="auto"/>
              <w:rPr>
                <w:rFonts w:hint="eastAsia" w:hAnsi="宋体" w:cs="宋体"/>
                <w:color w:val="auto"/>
                <w:highlight w:val="none"/>
              </w:rPr>
            </w:pPr>
          </w:p>
        </w:tc>
        <w:tc>
          <w:tcPr>
            <w:tcW w:w="2765" w:type="dxa"/>
            <w:noWrap w:val="0"/>
            <w:vAlign w:val="top"/>
          </w:tcPr>
          <w:p>
            <w:pPr>
              <w:pStyle w:val="28"/>
              <w:snapToGrid w:val="0"/>
              <w:spacing w:before="120" w:beforeLines="0" w:after="120" w:afterLines="0" w:line="240" w:lineRule="auto"/>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continue"/>
            <w:noWrap w:val="0"/>
            <w:vAlign w:val="top"/>
          </w:tcPr>
          <w:p>
            <w:pPr>
              <w:pStyle w:val="28"/>
              <w:snapToGrid w:val="0"/>
              <w:spacing w:before="120" w:beforeLines="0" w:after="120" w:afterLines="0" w:line="240" w:lineRule="auto"/>
              <w:jc w:val="center"/>
              <w:rPr>
                <w:rFonts w:hint="eastAsia" w:hAnsi="宋体" w:cs="宋体"/>
                <w:color w:val="auto"/>
                <w:highlight w:val="none"/>
              </w:rPr>
            </w:pPr>
          </w:p>
        </w:tc>
        <w:tc>
          <w:tcPr>
            <w:tcW w:w="2186" w:type="dxa"/>
            <w:noWrap w:val="0"/>
            <w:vAlign w:val="top"/>
          </w:tcPr>
          <w:p>
            <w:pPr>
              <w:pStyle w:val="28"/>
              <w:snapToGrid w:val="0"/>
              <w:spacing w:before="120" w:beforeLines="0" w:after="120" w:afterLines="0" w:line="240" w:lineRule="auto"/>
              <w:rPr>
                <w:rFonts w:hint="eastAsia" w:hAnsi="宋体" w:cs="宋体"/>
                <w:color w:val="auto"/>
                <w:highlight w:val="none"/>
              </w:rPr>
            </w:pPr>
          </w:p>
        </w:tc>
        <w:tc>
          <w:tcPr>
            <w:tcW w:w="1706" w:type="dxa"/>
            <w:noWrap w:val="0"/>
            <w:vAlign w:val="top"/>
          </w:tcPr>
          <w:p>
            <w:pPr>
              <w:pStyle w:val="28"/>
              <w:snapToGrid w:val="0"/>
              <w:spacing w:before="120" w:beforeLines="0" w:after="120" w:afterLines="0" w:line="240" w:lineRule="auto"/>
              <w:rPr>
                <w:rFonts w:hint="eastAsia" w:hAnsi="宋体" w:cs="宋体"/>
                <w:color w:val="auto"/>
                <w:highlight w:val="none"/>
              </w:rPr>
            </w:pPr>
          </w:p>
        </w:tc>
        <w:tc>
          <w:tcPr>
            <w:tcW w:w="1706" w:type="dxa"/>
            <w:noWrap w:val="0"/>
            <w:vAlign w:val="top"/>
          </w:tcPr>
          <w:p>
            <w:pPr>
              <w:pStyle w:val="28"/>
              <w:snapToGrid w:val="0"/>
              <w:spacing w:before="120" w:beforeLines="0" w:after="120" w:afterLines="0" w:line="240" w:lineRule="auto"/>
              <w:rPr>
                <w:rFonts w:hint="eastAsia" w:hAnsi="宋体" w:cs="宋体"/>
                <w:color w:val="auto"/>
                <w:highlight w:val="none"/>
              </w:rPr>
            </w:pPr>
          </w:p>
        </w:tc>
        <w:tc>
          <w:tcPr>
            <w:tcW w:w="2765" w:type="dxa"/>
            <w:noWrap w:val="0"/>
            <w:vAlign w:val="top"/>
          </w:tcPr>
          <w:p>
            <w:pPr>
              <w:pStyle w:val="28"/>
              <w:snapToGrid w:val="0"/>
              <w:spacing w:before="120" w:beforeLines="0" w:after="120" w:afterLines="0" w:line="240" w:lineRule="auto"/>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continue"/>
            <w:noWrap w:val="0"/>
            <w:vAlign w:val="top"/>
          </w:tcPr>
          <w:p>
            <w:pPr>
              <w:pStyle w:val="28"/>
              <w:snapToGrid w:val="0"/>
              <w:spacing w:before="120" w:beforeLines="0" w:after="120" w:afterLines="0" w:line="240" w:lineRule="auto"/>
              <w:jc w:val="center"/>
              <w:rPr>
                <w:rFonts w:hint="eastAsia" w:hAnsi="宋体" w:cs="宋体"/>
                <w:color w:val="auto"/>
                <w:highlight w:val="none"/>
              </w:rPr>
            </w:pPr>
          </w:p>
        </w:tc>
        <w:tc>
          <w:tcPr>
            <w:tcW w:w="5598" w:type="dxa"/>
            <w:gridSpan w:val="3"/>
            <w:noWrap w:val="0"/>
            <w:vAlign w:val="top"/>
          </w:tcPr>
          <w:p>
            <w:pPr>
              <w:pStyle w:val="28"/>
              <w:snapToGrid w:val="0"/>
              <w:spacing w:before="120" w:beforeLines="0" w:after="120" w:afterLines="0" w:line="240" w:lineRule="auto"/>
              <w:ind w:left="840"/>
              <w:rPr>
                <w:rFonts w:hint="eastAsia" w:hAnsi="宋体" w:cs="宋体"/>
                <w:color w:val="auto"/>
                <w:highlight w:val="none"/>
              </w:rPr>
            </w:pPr>
            <w:r>
              <w:rPr>
                <w:rFonts w:hint="eastAsia" w:hAnsi="宋体" w:cs="宋体"/>
                <w:color w:val="auto"/>
                <w:highlight w:val="none"/>
              </w:rPr>
              <w:t>小型、微型企业产品金额合计</w:t>
            </w:r>
          </w:p>
        </w:tc>
        <w:tc>
          <w:tcPr>
            <w:tcW w:w="2765" w:type="dxa"/>
            <w:noWrap w:val="0"/>
            <w:vAlign w:val="top"/>
          </w:tcPr>
          <w:p>
            <w:pPr>
              <w:pStyle w:val="28"/>
              <w:snapToGrid w:val="0"/>
              <w:spacing w:before="120" w:beforeLines="0" w:after="120" w:afterLines="0" w:line="240" w:lineRule="auto"/>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continue"/>
            <w:noWrap w:val="0"/>
            <w:vAlign w:val="top"/>
          </w:tcPr>
          <w:p>
            <w:pPr>
              <w:pStyle w:val="28"/>
              <w:snapToGrid w:val="0"/>
              <w:spacing w:before="120" w:beforeLines="0" w:after="120" w:afterLines="0" w:line="240" w:lineRule="auto"/>
              <w:jc w:val="center"/>
              <w:rPr>
                <w:rFonts w:hint="eastAsia" w:hAnsi="宋体" w:cs="宋体"/>
                <w:color w:val="auto"/>
                <w:highlight w:val="none"/>
              </w:rPr>
            </w:pPr>
          </w:p>
        </w:tc>
        <w:tc>
          <w:tcPr>
            <w:tcW w:w="5598" w:type="dxa"/>
            <w:gridSpan w:val="3"/>
            <w:noWrap w:val="0"/>
            <w:vAlign w:val="top"/>
          </w:tcPr>
          <w:p>
            <w:pPr>
              <w:pStyle w:val="28"/>
              <w:snapToGrid w:val="0"/>
              <w:spacing w:before="120" w:beforeLines="0" w:after="120" w:afterLines="0" w:line="240" w:lineRule="auto"/>
              <w:ind w:left="840"/>
              <w:rPr>
                <w:rFonts w:hint="eastAsia" w:hAnsi="宋体" w:cs="宋体"/>
                <w:color w:val="auto"/>
                <w:highlight w:val="none"/>
              </w:rPr>
            </w:pPr>
            <w:r>
              <w:rPr>
                <w:rFonts w:hint="eastAsia" w:hAnsi="宋体" w:cs="宋体"/>
                <w:color w:val="auto"/>
                <w:highlight w:val="none"/>
              </w:rPr>
              <w:t>中型、大型企业产品金额合计</w:t>
            </w:r>
          </w:p>
        </w:tc>
        <w:tc>
          <w:tcPr>
            <w:tcW w:w="2765" w:type="dxa"/>
            <w:noWrap w:val="0"/>
            <w:vAlign w:val="top"/>
          </w:tcPr>
          <w:p>
            <w:pPr>
              <w:pStyle w:val="28"/>
              <w:snapToGrid w:val="0"/>
              <w:spacing w:before="120" w:beforeLines="0" w:after="120" w:afterLines="0" w:line="240" w:lineRule="auto"/>
              <w:rPr>
                <w:rFonts w:hint="eastAsia" w:hAnsi="宋体" w:cs="宋体"/>
                <w:color w:val="auto"/>
                <w:highlight w:val="none"/>
              </w:rPr>
            </w:pPr>
          </w:p>
        </w:tc>
      </w:tr>
    </w:tbl>
    <w:p>
      <w:pPr>
        <w:pStyle w:val="28"/>
        <w:snapToGrid w:val="0"/>
        <w:spacing w:before="120" w:beforeLines="0" w:after="120" w:afterLines="0" w:line="240" w:lineRule="auto"/>
        <w:jc w:val="left"/>
        <w:rPr>
          <w:rFonts w:hint="eastAsia" w:hAnsi="宋体" w:cs="宋体"/>
          <w:color w:val="auto"/>
          <w:highlight w:val="none"/>
        </w:rPr>
      </w:pPr>
      <w:r>
        <w:rPr>
          <w:rFonts w:hint="eastAsia" w:hAnsi="宋体" w:cs="宋体"/>
          <w:color w:val="auto"/>
          <w:highlight w:val="none"/>
        </w:rPr>
        <w:t>填报要求：</w:t>
      </w:r>
    </w:p>
    <w:p>
      <w:pPr>
        <w:pStyle w:val="28"/>
        <w:snapToGrid w:val="0"/>
        <w:spacing w:before="120" w:beforeLines="0" w:after="120" w:afterLines="0" w:line="240" w:lineRule="auto"/>
        <w:jc w:val="left"/>
        <w:rPr>
          <w:rFonts w:hint="eastAsia" w:hAnsi="宋体" w:cs="宋体"/>
          <w:color w:val="auto"/>
          <w:highlight w:val="none"/>
        </w:rPr>
      </w:pPr>
      <w:r>
        <w:rPr>
          <w:rFonts w:hint="eastAsia" w:hAnsi="宋体" w:cs="宋体"/>
          <w:color w:val="auto"/>
          <w:highlight w:val="none"/>
        </w:rPr>
        <w:t>1、本表的产品名称（品牌、型号）、金额与《报价明细表》相对应，否则以报价明细表为准。</w:t>
      </w:r>
    </w:p>
    <w:p>
      <w:pPr>
        <w:pStyle w:val="28"/>
        <w:snapToGrid w:val="0"/>
        <w:spacing w:before="120" w:beforeLines="0" w:after="120" w:afterLines="0" w:line="240" w:lineRule="auto"/>
        <w:jc w:val="left"/>
        <w:rPr>
          <w:rFonts w:hint="eastAsia" w:hAnsi="宋体" w:cs="宋体"/>
          <w:b/>
          <w:color w:val="auto"/>
          <w:highlight w:val="none"/>
          <w:u w:val="single"/>
        </w:rPr>
      </w:pPr>
      <w:r>
        <w:rPr>
          <w:rFonts w:hint="eastAsia" w:hAnsi="宋体" w:cs="宋体"/>
          <w:b/>
          <w:color w:val="auto"/>
          <w:highlight w:val="none"/>
          <w:u w:val="single"/>
        </w:rPr>
        <w:t>2、“制造商企业类型”栏，填写内容为“小型”或“微型”或“中型”或“大型”。</w:t>
      </w:r>
    </w:p>
    <w:p>
      <w:pPr>
        <w:pStyle w:val="28"/>
        <w:snapToGrid w:val="0"/>
        <w:spacing w:before="120" w:beforeLines="0" w:after="120" w:afterLines="0" w:line="240" w:lineRule="auto"/>
        <w:jc w:val="left"/>
        <w:rPr>
          <w:rFonts w:hint="eastAsia" w:hAnsi="宋体" w:cs="宋体"/>
          <w:b/>
          <w:color w:val="auto"/>
          <w:highlight w:val="none"/>
          <w:u w:val="single"/>
        </w:rPr>
      </w:pPr>
      <w:r>
        <w:rPr>
          <w:rFonts w:hint="eastAsia" w:hAnsi="宋体" w:cs="宋体"/>
          <w:b/>
          <w:color w:val="auto"/>
          <w:highlight w:val="none"/>
          <w:u w:val="single"/>
        </w:rPr>
        <w:t>3、小微企业提供的产品中含有中型企业制造的货物的，视同为中型企业。</w:t>
      </w:r>
    </w:p>
    <w:p>
      <w:pPr>
        <w:pStyle w:val="28"/>
        <w:snapToGrid w:val="0"/>
        <w:rPr>
          <w:rFonts w:hint="eastAsia" w:hAnsi="宋体" w:cs="宋体"/>
          <w:b/>
          <w:color w:val="auto"/>
          <w:highlight w:val="none"/>
          <w:u w:val="single"/>
        </w:rPr>
      </w:pPr>
      <w:r>
        <w:rPr>
          <w:rFonts w:hint="eastAsia" w:hAnsi="宋体" w:cs="宋体"/>
          <w:b/>
          <w:color w:val="auto"/>
          <w:highlight w:val="none"/>
          <w:u w:val="single"/>
        </w:rPr>
        <w:t>4、投标企业应对上述内容的真实性负责，经评标委员会和采购人核查通过，一经查实存在弄虚作假行为的，作否决投标处理，同时对其不良行为予以记录，并纳入统一的信用信息平台。</w:t>
      </w:r>
    </w:p>
    <w:p>
      <w:pPr>
        <w:pStyle w:val="2"/>
        <w:spacing w:line="460" w:lineRule="exact"/>
        <w:ind w:firstLine="482"/>
        <w:rPr>
          <w:rFonts w:hint="eastAsia" w:ascii="宋体" w:hAnsi="宋体" w:cs="宋体"/>
          <w:b/>
          <w:color w:val="auto"/>
          <w:sz w:val="24"/>
          <w:szCs w:val="24"/>
          <w:highlight w:val="none"/>
        </w:rPr>
      </w:pPr>
    </w:p>
    <w:p>
      <w:pPr>
        <w:pStyle w:val="2"/>
        <w:spacing w:line="460" w:lineRule="exact"/>
        <w:ind w:firstLine="482"/>
        <w:rPr>
          <w:rFonts w:hint="eastAsia" w:ascii="宋体" w:hAnsi="宋体" w:cs="宋体"/>
          <w:b/>
          <w:color w:val="auto"/>
          <w:sz w:val="24"/>
          <w:szCs w:val="24"/>
          <w:highlight w:val="none"/>
        </w:rPr>
      </w:pPr>
    </w:p>
    <w:p>
      <w:pPr>
        <w:widowControl/>
        <w:spacing w:line="44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投标人全称（盖电子公章）：</w:t>
      </w:r>
    </w:p>
    <w:p>
      <w:pPr>
        <w:widowControl/>
        <w:spacing w:line="440" w:lineRule="exact"/>
        <w:ind w:firstLine="480" w:firstLineChars="200"/>
        <w:jc w:val="left"/>
        <w:rPr>
          <w:rFonts w:hint="eastAsia" w:ascii="宋体" w:hAnsi="宋体" w:cs="宋体"/>
          <w:color w:val="auto"/>
          <w:kern w:val="0"/>
          <w:sz w:val="24"/>
          <w:highlight w:val="none"/>
          <w:lang w:bidi="ar"/>
        </w:rPr>
      </w:pPr>
    </w:p>
    <w:p>
      <w:pPr>
        <w:widowControl/>
        <w:spacing w:line="44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日 期：</w:t>
      </w:r>
    </w:p>
    <w:p>
      <w:pPr>
        <w:pStyle w:val="28"/>
        <w:snapToGrid w:val="0"/>
        <w:spacing w:before="120" w:beforeLines="0" w:after="120" w:afterLines="0" w:line="240" w:lineRule="auto"/>
        <w:ind w:firstLine="6960" w:firstLineChars="2900"/>
        <w:jc w:val="left"/>
        <w:rPr>
          <w:rFonts w:hint="eastAsia" w:hAnsi="宋体" w:cs="宋体"/>
          <w:color w:val="auto"/>
          <w:highlight w:val="none"/>
        </w:rPr>
      </w:pPr>
    </w:p>
    <w:p>
      <w:pPr>
        <w:widowControl/>
        <w:jc w:val="left"/>
        <w:rPr>
          <w:rFonts w:hint="eastAsia" w:ascii="宋体" w:hAnsi="宋体" w:cs="宋体"/>
          <w:color w:val="auto"/>
          <w:kern w:val="0"/>
          <w:sz w:val="24"/>
          <w:highlight w:val="none"/>
          <w:lang w:bidi="ar"/>
        </w:rPr>
      </w:pPr>
    </w:p>
    <w:p>
      <w:pPr>
        <w:widowControl/>
        <w:jc w:val="left"/>
        <w:rPr>
          <w:rFonts w:hint="eastAsia" w:ascii="宋体" w:hAnsi="宋体" w:cs="宋体"/>
          <w:b/>
          <w:color w:val="auto"/>
          <w:kern w:val="0"/>
          <w:sz w:val="28"/>
          <w:szCs w:val="28"/>
          <w:highlight w:val="none"/>
          <w:lang w:bidi="ar"/>
        </w:rPr>
      </w:pPr>
    </w:p>
    <w:p>
      <w:pPr>
        <w:pStyle w:val="5"/>
        <w:spacing w:before="100" w:beforeAutospacing="1" w:after="100" w:afterAutospacing="1"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第七部分 其他</w:t>
      </w:r>
    </w:p>
    <w:p>
      <w:pPr>
        <w:pStyle w:val="118"/>
        <w:widowControl w:val="0"/>
        <w:snapToGrid w:val="0"/>
        <w:spacing w:after="156" w:afterLines="50" w:line="500" w:lineRule="exact"/>
        <w:jc w:val="center"/>
        <w:rPr>
          <w:rFonts w:ascii="方正小标宋简体" w:hAnsi="方正小标宋简体" w:eastAsia="方正小标宋简体" w:cs="方正小标宋简体"/>
          <w:color w:val="auto"/>
          <w:sz w:val="28"/>
          <w:szCs w:val="28"/>
          <w:highlight w:val="none"/>
        </w:rPr>
      </w:pPr>
      <w:r>
        <w:rPr>
          <w:rFonts w:ascii="方正小标宋简体" w:hAnsi="方正小标宋简体" w:eastAsia="方正小标宋简体" w:cs="方正小标宋简体"/>
          <w:color w:val="auto"/>
          <w:sz w:val="28"/>
          <w:szCs w:val="28"/>
          <w:highlight w:val="none"/>
        </w:rPr>
        <w:t>活动现场确认声明书</w:t>
      </w:r>
    </w:p>
    <w:p>
      <w:pPr>
        <w:pStyle w:val="118"/>
        <w:widowControl w:val="0"/>
        <w:snapToGrid w:val="0"/>
        <w:spacing w:line="440" w:lineRule="exact"/>
        <w:jc w:val="both"/>
        <w:rPr>
          <w:rFonts w:ascii="仿宋" w:hAnsi="仿宋"/>
          <w:color w:val="auto"/>
          <w:kern w:val="0"/>
          <w:sz w:val="24"/>
          <w:szCs w:val="24"/>
          <w:highlight w:val="none"/>
          <w:u w:val="single"/>
        </w:rPr>
      </w:pPr>
      <w:r>
        <w:rPr>
          <w:rFonts w:ascii="仿宋" w:hAnsi="仿宋"/>
          <w:color w:val="auto"/>
          <w:kern w:val="0"/>
          <w:sz w:val="24"/>
          <w:szCs w:val="24"/>
          <w:highlight w:val="none"/>
          <w:u w:val="single"/>
        </w:rPr>
        <w:t>山明美术院</w:t>
      </w:r>
      <w:r>
        <w:rPr>
          <w:rFonts w:ascii="仿宋" w:hAnsi="仿宋"/>
          <w:color w:val="auto"/>
          <w:kern w:val="0"/>
          <w:sz w:val="24"/>
          <w:szCs w:val="24"/>
          <w:highlight w:val="none"/>
        </w:rPr>
        <w:t>：</w:t>
      </w:r>
    </w:p>
    <w:p>
      <w:pPr>
        <w:pStyle w:val="118"/>
        <w:widowControl w:val="0"/>
        <w:snapToGrid w:val="0"/>
        <w:spacing w:line="440" w:lineRule="exact"/>
        <w:jc w:val="both"/>
        <w:rPr>
          <w:rFonts w:hint="default" w:ascii="仿宋" w:hAnsi="仿宋"/>
          <w:b/>
          <w:color w:val="auto"/>
          <w:sz w:val="24"/>
          <w:szCs w:val="24"/>
          <w:highlight w:val="none"/>
        </w:rPr>
      </w:pPr>
      <w:r>
        <w:rPr>
          <w:rFonts w:ascii="仿宋" w:hAnsi="仿宋"/>
          <w:color w:val="auto"/>
          <w:kern w:val="0"/>
          <w:sz w:val="24"/>
          <w:szCs w:val="24"/>
          <w:highlight w:val="none"/>
          <w:u w:val="single"/>
        </w:rPr>
        <w:t>杭州市建设工程管理集团有限公司</w:t>
      </w:r>
      <w:r>
        <w:rPr>
          <w:rFonts w:ascii="仿宋" w:hAnsi="仿宋"/>
          <w:color w:val="auto"/>
          <w:kern w:val="0"/>
          <w:sz w:val="24"/>
          <w:szCs w:val="24"/>
          <w:highlight w:val="none"/>
        </w:rPr>
        <w:t>：</w:t>
      </w:r>
    </w:p>
    <w:p>
      <w:pPr>
        <w:numPr>
          <w:ilvl w:val="0"/>
          <w:numId w:val="17"/>
        </w:numPr>
        <w:snapToGrid w:val="0"/>
        <w:spacing w:line="440" w:lineRule="exact"/>
        <w:ind w:firstLine="504" w:firstLineChars="200"/>
        <w:rPr>
          <w:rFonts w:ascii="仿宋" w:hAnsi="仿宋"/>
          <w:color w:val="auto"/>
          <w:spacing w:val="6"/>
          <w:sz w:val="24"/>
          <w:highlight w:val="none"/>
        </w:rPr>
      </w:pPr>
      <w:r>
        <w:rPr>
          <w:rFonts w:ascii="仿宋" w:hAnsi="仿宋"/>
          <w:color w:val="auto"/>
          <w:spacing w:val="6"/>
          <w:sz w:val="24"/>
          <w:highlight w:val="none"/>
        </w:rPr>
        <w:t>本人经由</w:t>
      </w:r>
      <w:r>
        <w:rPr>
          <w:rFonts w:ascii="仿宋" w:hAnsi="仿宋"/>
          <w:color w:val="auto"/>
          <w:spacing w:val="6"/>
          <w:sz w:val="24"/>
          <w:highlight w:val="none"/>
          <w:u w:val="single"/>
        </w:rPr>
        <w:t xml:space="preserve">              </w:t>
      </w:r>
      <w:r>
        <w:rPr>
          <w:rFonts w:hint="eastAsia" w:ascii="仿宋" w:hAnsi="仿宋"/>
          <w:color w:val="auto"/>
          <w:spacing w:val="6"/>
          <w:sz w:val="24"/>
          <w:highlight w:val="none"/>
          <w:u w:val="single"/>
        </w:rPr>
        <w:t xml:space="preserve">       </w:t>
      </w:r>
      <w:r>
        <w:rPr>
          <w:rFonts w:ascii="仿宋" w:hAnsi="仿宋"/>
          <w:color w:val="auto"/>
          <w:spacing w:val="6"/>
          <w:sz w:val="24"/>
          <w:highlight w:val="none"/>
          <w:u w:val="single"/>
        </w:rPr>
        <w:t xml:space="preserve">  （单位）</w:t>
      </w:r>
      <w:r>
        <w:rPr>
          <w:rFonts w:ascii="仿宋" w:hAnsi="仿宋"/>
          <w:color w:val="auto"/>
          <w:spacing w:val="6"/>
          <w:sz w:val="24"/>
          <w:highlight w:val="none"/>
        </w:rPr>
        <w:t>负责人</w:t>
      </w:r>
      <w:r>
        <w:rPr>
          <w:rFonts w:ascii="仿宋" w:hAnsi="仿宋"/>
          <w:color w:val="auto"/>
          <w:spacing w:val="6"/>
          <w:sz w:val="24"/>
          <w:highlight w:val="none"/>
          <w:u w:val="single"/>
        </w:rPr>
        <w:t xml:space="preserve">        （姓名）</w:t>
      </w:r>
      <w:r>
        <w:rPr>
          <w:rFonts w:ascii="仿宋" w:hAnsi="仿宋"/>
          <w:color w:val="auto"/>
          <w:spacing w:val="6"/>
          <w:sz w:val="24"/>
          <w:highlight w:val="none"/>
        </w:rPr>
        <w:t>合法授权参加</w:t>
      </w:r>
      <w:r>
        <w:rPr>
          <w:rFonts w:hint="eastAsia" w:ascii="仿宋" w:hAnsi="仿宋"/>
          <w:color w:val="auto"/>
          <w:spacing w:val="6"/>
          <w:sz w:val="24"/>
          <w:highlight w:val="none"/>
          <w:u w:val="single"/>
        </w:rPr>
        <w:t xml:space="preserve">        </w:t>
      </w:r>
      <w:r>
        <w:rPr>
          <w:rFonts w:ascii="仿宋" w:hAnsi="仿宋"/>
          <w:color w:val="auto"/>
          <w:spacing w:val="6"/>
          <w:sz w:val="24"/>
          <w:highlight w:val="none"/>
        </w:rPr>
        <w:t>（编号：</w:t>
      </w:r>
      <w:r>
        <w:rPr>
          <w:rFonts w:hint="eastAsia" w:ascii="仿宋" w:hAnsi="仿宋"/>
          <w:color w:val="auto"/>
          <w:spacing w:val="6"/>
          <w:sz w:val="24"/>
          <w:highlight w:val="none"/>
          <w:u w:val="single"/>
        </w:rPr>
        <w:t xml:space="preserve">      </w:t>
      </w:r>
      <w:r>
        <w:rPr>
          <w:rFonts w:hint="eastAsia" w:ascii="仿宋" w:hAnsi="仿宋"/>
          <w:color w:val="auto"/>
          <w:spacing w:val="6"/>
          <w:sz w:val="24"/>
          <w:highlight w:val="none"/>
        </w:rPr>
        <w:t>）</w:t>
      </w:r>
      <w:r>
        <w:rPr>
          <w:rFonts w:ascii="仿宋" w:hAnsi="仿宋"/>
          <w:color w:val="auto"/>
          <w:spacing w:val="6"/>
          <w:sz w:val="24"/>
          <w:highlight w:val="none"/>
        </w:rPr>
        <w:t xml:space="preserve">政府采购活动，经与本单位法人代表（负责人）联系确认，现就有关公平竞争事项郑重声明如下： </w:t>
      </w:r>
    </w:p>
    <w:p>
      <w:pPr>
        <w:pStyle w:val="119"/>
        <w:widowControl/>
        <w:numPr>
          <w:ilvl w:val="0"/>
          <w:numId w:val="18"/>
        </w:numPr>
        <w:snapToGrid w:val="0"/>
        <w:spacing w:line="440" w:lineRule="exact"/>
        <w:ind w:firstLine="453" w:firstLineChars="189"/>
        <w:rPr>
          <w:rFonts w:hint="default" w:ascii="仿宋" w:hAnsi="仿宋"/>
          <w:color w:val="auto"/>
          <w:kern w:val="0"/>
          <w:sz w:val="24"/>
          <w:szCs w:val="24"/>
          <w:highlight w:val="none"/>
        </w:rPr>
      </w:pPr>
      <w:r>
        <w:rPr>
          <w:rFonts w:ascii="仿宋" w:hAnsi="仿宋"/>
          <w:color w:val="auto"/>
          <w:kern w:val="0"/>
          <w:sz w:val="24"/>
          <w:szCs w:val="24"/>
          <w:highlight w:val="none"/>
        </w:rPr>
        <w:t xml:space="preserve">本单位与采购人之间 </w:t>
      </w:r>
      <w:r>
        <w:rPr>
          <w:rFonts w:ascii="宋体" w:hAnsi="宋体" w:cs="宋体"/>
          <w:color w:val="auto"/>
          <w:kern w:val="0"/>
          <w:sz w:val="24"/>
          <w:szCs w:val="24"/>
          <w:highlight w:val="none"/>
        </w:rPr>
        <w:t>□</w:t>
      </w:r>
      <w:r>
        <w:rPr>
          <w:rFonts w:ascii="仿宋" w:hAnsi="仿宋"/>
          <w:color w:val="auto"/>
          <w:kern w:val="0"/>
          <w:sz w:val="24"/>
          <w:szCs w:val="24"/>
          <w:highlight w:val="none"/>
        </w:rPr>
        <w:t xml:space="preserve">不存在利害关系 </w:t>
      </w:r>
      <w:r>
        <w:rPr>
          <w:rFonts w:ascii="宋体" w:hAnsi="宋体" w:cs="宋体"/>
          <w:color w:val="auto"/>
          <w:kern w:val="0"/>
          <w:sz w:val="24"/>
          <w:szCs w:val="24"/>
          <w:highlight w:val="none"/>
        </w:rPr>
        <w:t>□</w:t>
      </w:r>
      <w:r>
        <w:rPr>
          <w:rFonts w:ascii="仿宋" w:hAnsi="仿宋"/>
          <w:color w:val="auto"/>
          <w:kern w:val="0"/>
          <w:sz w:val="24"/>
          <w:szCs w:val="24"/>
          <w:highlight w:val="none"/>
        </w:rPr>
        <w:t>存在下列利害关系</w:t>
      </w:r>
      <w:r>
        <w:rPr>
          <w:rFonts w:ascii="仿宋" w:hAnsi="仿宋"/>
          <w:color w:val="auto"/>
          <w:kern w:val="0"/>
          <w:sz w:val="24"/>
          <w:szCs w:val="24"/>
          <w:highlight w:val="none"/>
          <w:u w:val="single"/>
        </w:rPr>
        <w:t xml:space="preserve">           </w:t>
      </w:r>
      <w:r>
        <w:rPr>
          <w:rFonts w:ascii="仿宋" w:hAnsi="仿宋"/>
          <w:color w:val="auto"/>
          <w:kern w:val="0"/>
          <w:sz w:val="24"/>
          <w:szCs w:val="24"/>
          <w:highlight w:val="none"/>
        </w:rPr>
        <w:t>：</w:t>
      </w:r>
    </w:p>
    <w:p>
      <w:pPr>
        <w:pStyle w:val="119"/>
        <w:widowControl/>
        <w:snapToGrid w:val="0"/>
        <w:spacing w:line="440" w:lineRule="exact"/>
        <w:rPr>
          <w:rFonts w:ascii="仿宋" w:hAnsi="仿宋"/>
          <w:color w:val="auto"/>
          <w:kern w:val="0"/>
          <w:sz w:val="24"/>
          <w:szCs w:val="24"/>
          <w:highlight w:val="none"/>
        </w:rPr>
      </w:pPr>
      <w:r>
        <w:rPr>
          <w:rFonts w:ascii="仿宋" w:hAnsi="仿宋"/>
          <w:color w:val="auto"/>
          <w:kern w:val="0"/>
          <w:sz w:val="24"/>
          <w:szCs w:val="24"/>
          <w:highlight w:val="none"/>
        </w:rPr>
        <w:t xml:space="preserve">  A.投资关系    B.行政隶属关系    C.业务指导关系</w:t>
      </w:r>
    </w:p>
    <w:p>
      <w:pPr>
        <w:pStyle w:val="119"/>
        <w:widowControl/>
        <w:snapToGrid w:val="0"/>
        <w:spacing w:line="440" w:lineRule="exact"/>
        <w:rPr>
          <w:rFonts w:hint="default" w:ascii="仿宋" w:hAnsi="仿宋"/>
          <w:color w:val="auto"/>
          <w:kern w:val="0"/>
          <w:sz w:val="24"/>
          <w:szCs w:val="24"/>
          <w:highlight w:val="none"/>
        </w:rPr>
      </w:pPr>
      <w:r>
        <w:rPr>
          <w:rFonts w:ascii="仿宋" w:hAnsi="仿宋"/>
          <w:color w:val="auto"/>
          <w:kern w:val="0"/>
          <w:sz w:val="24"/>
          <w:szCs w:val="24"/>
          <w:highlight w:val="none"/>
        </w:rPr>
        <w:t xml:space="preserve">  D.其他可能</w:t>
      </w:r>
      <w:r>
        <w:rPr>
          <w:rFonts w:ascii="仿宋" w:hAnsi="仿宋"/>
          <w:color w:val="auto"/>
          <w:sz w:val="24"/>
          <w:szCs w:val="24"/>
          <w:highlight w:val="none"/>
        </w:rPr>
        <w:t>影响采购公正的</w:t>
      </w:r>
      <w:r>
        <w:rPr>
          <w:rFonts w:ascii="仿宋" w:hAnsi="仿宋"/>
          <w:color w:val="auto"/>
          <w:kern w:val="0"/>
          <w:sz w:val="24"/>
          <w:szCs w:val="24"/>
          <w:highlight w:val="none"/>
        </w:rPr>
        <w:t>利害关系</w:t>
      </w:r>
      <w:r>
        <w:rPr>
          <w:rFonts w:ascii="仿宋" w:hAnsi="仿宋"/>
          <w:color w:val="auto"/>
          <w:kern w:val="0"/>
          <w:sz w:val="24"/>
          <w:szCs w:val="24"/>
          <w:highlight w:val="none"/>
          <w:u w:val="single"/>
        </w:rPr>
        <w:t xml:space="preserve">（如有，请如实说明）                 </w:t>
      </w:r>
      <w:r>
        <w:rPr>
          <w:rFonts w:ascii="仿宋" w:hAnsi="仿宋"/>
          <w:color w:val="auto"/>
          <w:kern w:val="0"/>
          <w:sz w:val="24"/>
          <w:szCs w:val="24"/>
          <w:highlight w:val="none"/>
        </w:rPr>
        <w:t>。</w:t>
      </w:r>
    </w:p>
    <w:p>
      <w:pPr>
        <w:pStyle w:val="119"/>
        <w:widowControl/>
        <w:snapToGrid w:val="0"/>
        <w:spacing w:line="440" w:lineRule="exact"/>
        <w:rPr>
          <w:rFonts w:ascii="仿宋" w:hAnsi="仿宋"/>
          <w:color w:val="auto"/>
          <w:kern w:val="0"/>
          <w:sz w:val="24"/>
          <w:szCs w:val="24"/>
          <w:highlight w:val="none"/>
        </w:rPr>
      </w:pPr>
      <w:r>
        <w:rPr>
          <w:rFonts w:ascii="仿宋" w:hAnsi="仿宋"/>
          <w:color w:val="auto"/>
          <w:spacing w:val="6"/>
          <w:sz w:val="24"/>
          <w:szCs w:val="24"/>
          <w:highlight w:val="none"/>
        </w:rPr>
        <w:t xml:space="preserve">  二、</w:t>
      </w:r>
      <w:r>
        <w:rPr>
          <w:rFonts w:ascii="仿宋" w:hAnsi="仿宋"/>
          <w:color w:val="auto"/>
          <w:kern w:val="0"/>
          <w:sz w:val="24"/>
          <w:szCs w:val="24"/>
          <w:highlight w:val="none"/>
        </w:rPr>
        <w:t xml:space="preserve">现已清楚知道参加本项目采购活动的其他所有供应商名称，本单位 </w:t>
      </w:r>
      <w:r>
        <w:rPr>
          <w:rFonts w:ascii="宋体" w:hAnsi="宋体" w:cs="宋体"/>
          <w:color w:val="auto"/>
          <w:kern w:val="0"/>
          <w:sz w:val="24"/>
          <w:szCs w:val="24"/>
          <w:highlight w:val="none"/>
        </w:rPr>
        <w:t>□与其他所有供应商之间均</w:t>
      </w:r>
      <w:r>
        <w:rPr>
          <w:rFonts w:ascii="仿宋" w:hAnsi="仿宋"/>
          <w:color w:val="auto"/>
          <w:kern w:val="0"/>
          <w:sz w:val="24"/>
          <w:szCs w:val="24"/>
          <w:highlight w:val="none"/>
        </w:rPr>
        <w:t xml:space="preserve">不存在利害关系 </w:t>
      </w:r>
      <w:r>
        <w:rPr>
          <w:rFonts w:ascii="宋体" w:hAnsi="宋体" w:cs="宋体"/>
          <w:color w:val="auto"/>
          <w:kern w:val="0"/>
          <w:sz w:val="24"/>
          <w:szCs w:val="24"/>
          <w:highlight w:val="none"/>
        </w:rPr>
        <w:t>□与</w:t>
      </w:r>
      <w:r>
        <w:rPr>
          <w:rFonts w:ascii="宋体" w:hAnsi="宋体" w:cs="宋体"/>
          <w:color w:val="auto"/>
          <w:kern w:val="0"/>
          <w:sz w:val="24"/>
          <w:szCs w:val="24"/>
          <w:highlight w:val="none"/>
          <w:u w:val="single"/>
        </w:rPr>
        <w:t xml:space="preserve">           （供应商名称）</w:t>
      </w:r>
      <w:r>
        <w:rPr>
          <w:rFonts w:ascii="宋体" w:hAnsi="宋体" w:cs="宋体"/>
          <w:color w:val="auto"/>
          <w:kern w:val="0"/>
          <w:sz w:val="24"/>
          <w:szCs w:val="24"/>
          <w:highlight w:val="none"/>
        </w:rPr>
        <w:t>之间</w:t>
      </w:r>
      <w:r>
        <w:rPr>
          <w:rFonts w:ascii="仿宋" w:hAnsi="仿宋"/>
          <w:color w:val="auto"/>
          <w:kern w:val="0"/>
          <w:sz w:val="24"/>
          <w:szCs w:val="24"/>
          <w:highlight w:val="none"/>
        </w:rPr>
        <w:t>存在下列利害关系</w:t>
      </w:r>
      <w:r>
        <w:rPr>
          <w:rFonts w:ascii="仿宋" w:hAnsi="仿宋"/>
          <w:color w:val="auto"/>
          <w:kern w:val="0"/>
          <w:sz w:val="24"/>
          <w:szCs w:val="24"/>
          <w:highlight w:val="none"/>
          <w:u w:val="single"/>
        </w:rPr>
        <w:t xml:space="preserve">               </w:t>
      </w:r>
      <w:r>
        <w:rPr>
          <w:rFonts w:ascii="仿宋" w:hAnsi="仿宋"/>
          <w:color w:val="auto"/>
          <w:kern w:val="0"/>
          <w:sz w:val="24"/>
          <w:szCs w:val="24"/>
          <w:highlight w:val="none"/>
        </w:rPr>
        <w:t>：</w:t>
      </w:r>
    </w:p>
    <w:p>
      <w:pPr>
        <w:pStyle w:val="118"/>
        <w:widowControl w:val="0"/>
        <w:snapToGrid w:val="0"/>
        <w:spacing w:line="440" w:lineRule="exact"/>
        <w:jc w:val="both"/>
        <w:rPr>
          <w:rFonts w:ascii="仿宋" w:hAnsi="仿宋"/>
          <w:color w:val="auto"/>
          <w:kern w:val="0"/>
          <w:sz w:val="24"/>
          <w:szCs w:val="24"/>
          <w:highlight w:val="none"/>
        </w:rPr>
      </w:pPr>
      <w:r>
        <w:rPr>
          <w:rFonts w:ascii="仿宋" w:hAnsi="仿宋"/>
          <w:color w:val="auto"/>
          <w:kern w:val="0"/>
          <w:sz w:val="24"/>
          <w:szCs w:val="24"/>
          <w:highlight w:val="none"/>
        </w:rPr>
        <w:t xml:space="preserve">  A.法定代表人或负责人或实际控制人是同一人</w:t>
      </w:r>
    </w:p>
    <w:p>
      <w:pPr>
        <w:pStyle w:val="118"/>
        <w:widowControl w:val="0"/>
        <w:snapToGrid w:val="0"/>
        <w:spacing w:line="440" w:lineRule="exact"/>
        <w:jc w:val="both"/>
        <w:rPr>
          <w:rFonts w:hint="default" w:ascii="仿宋" w:hAnsi="仿宋"/>
          <w:color w:val="auto"/>
          <w:spacing w:val="6"/>
          <w:sz w:val="24"/>
          <w:szCs w:val="24"/>
          <w:highlight w:val="none"/>
        </w:rPr>
      </w:pPr>
      <w:r>
        <w:rPr>
          <w:rFonts w:ascii="仿宋" w:hAnsi="仿宋"/>
          <w:color w:val="auto"/>
          <w:kern w:val="0"/>
          <w:sz w:val="24"/>
          <w:szCs w:val="24"/>
          <w:highlight w:val="none"/>
        </w:rPr>
        <w:t xml:space="preserve">  B.法定代表人或负责人或实际控制人是夫妻关系</w:t>
      </w:r>
    </w:p>
    <w:p>
      <w:pPr>
        <w:pStyle w:val="118"/>
        <w:widowControl w:val="0"/>
        <w:snapToGrid w:val="0"/>
        <w:spacing w:line="440" w:lineRule="exact"/>
        <w:jc w:val="both"/>
        <w:rPr>
          <w:rFonts w:hint="default" w:ascii="仿宋" w:hAnsi="仿宋"/>
          <w:color w:val="auto"/>
          <w:spacing w:val="6"/>
          <w:sz w:val="24"/>
          <w:szCs w:val="24"/>
          <w:highlight w:val="none"/>
        </w:rPr>
      </w:pPr>
      <w:r>
        <w:rPr>
          <w:rFonts w:ascii="仿宋" w:hAnsi="仿宋"/>
          <w:color w:val="auto"/>
          <w:kern w:val="0"/>
          <w:sz w:val="24"/>
          <w:szCs w:val="24"/>
          <w:highlight w:val="none"/>
        </w:rPr>
        <w:t xml:space="preserve">  C.法定代表人或负责人或实际控制人是直系血亲关系</w:t>
      </w:r>
    </w:p>
    <w:p>
      <w:pPr>
        <w:pStyle w:val="118"/>
        <w:widowControl w:val="0"/>
        <w:snapToGrid w:val="0"/>
        <w:spacing w:line="440" w:lineRule="exact"/>
        <w:jc w:val="both"/>
        <w:rPr>
          <w:rFonts w:hint="default" w:ascii="仿宋" w:hAnsi="仿宋"/>
          <w:color w:val="auto"/>
          <w:spacing w:val="6"/>
          <w:sz w:val="24"/>
          <w:szCs w:val="24"/>
          <w:highlight w:val="none"/>
        </w:rPr>
      </w:pPr>
      <w:r>
        <w:rPr>
          <w:rFonts w:ascii="仿宋" w:hAnsi="仿宋"/>
          <w:color w:val="auto"/>
          <w:kern w:val="0"/>
          <w:sz w:val="24"/>
          <w:szCs w:val="24"/>
          <w:highlight w:val="none"/>
        </w:rPr>
        <w:t xml:space="preserve">  D.法定代表人或负责人或实际控制人存在三代以内旁系血亲关系</w:t>
      </w:r>
    </w:p>
    <w:p>
      <w:pPr>
        <w:pStyle w:val="118"/>
        <w:widowControl w:val="0"/>
        <w:snapToGrid w:val="0"/>
        <w:spacing w:line="440" w:lineRule="exact"/>
        <w:jc w:val="both"/>
        <w:rPr>
          <w:rFonts w:ascii="仿宋" w:hAnsi="仿宋"/>
          <w:color w:val="auto"/>
          <w:kern w:val="0"/>
          <w:sz w:val="24"/>
          <w:szCs w:val="24"/>
          <w:highlight w:val="none"/>
        </w:rPr>
      </w:pPr>
      <w:r>
        <w:rPr>
          <w:rFonts w:ascii="仿宋" w:hAnsi="仿宋"/>
          <w:color w:val="auto"/>
          <w:kern w:val="0"/>
          <w:sz w:val="24"/>
          <w:szCs w:val="24"/>
          <w:highlight w:val="none"/>
        </w:rPr>
        <w:t xml:space="preserve">  E.法定代表人或负责人或实际控制人存在近姻亲关系</w:t>
      </w:r>
    </w:p>
    <w:p>
      <w:pPr>
        <w:pStyle w:val="118"/>
        <w:widowControl w:val="0"/>
        <w:snapToGrid w:val="0"/>
        <w:spacing w:line="440" w:lineRule="exact"/>
        <w:jc w:val="both"/>
        <w:rPr>
          <w:rFonts w:ascii="仿宋" w:hAnsi="仿宋"/>
          <w:color w:val="auto"/>
          <w:kern w:val="0"/>
          <w:sz w:val="24"/>
          <w:szCs w:val="24"/>
          <w:highlight w:val="none"/>
        </w:rPr>
      </w:pPr>
      <w:r>
        <w:rPr>
          <w:rFonts w:ascii="仿宋" w:hAnsi="仿宋"/>
          <w:color w:val="auto"/>
          <w:kern w:val="0"/>
          <w:sz w:val="24"/>
          <w:szCs w:val="24"/>
          <w:highlight w:val="none"/>
        </w:rPr>
        <w:t xml:space="preserve">  F.法定代表人或负责人或实际控制人存在股份控制或实际控制关系</w:t>
      </w:r>
    </w:p>
    <w:p>
      <w:pPr>
        <w:pStyle w:val="118"/>
        <w:widowControl w:val="0"/>
        <w:snapToGrid w:val="0"/>
        <w:spacing w:line="440" w:lineRule="exact"/>
        <w:jc w:val="both"/>
        <w:outlineLvl w:val="0"/>
        <w:rPr>
          <w:rFonts w:ascii="仿宋" w:hAnsi="仿宋"/>
          <w:color w:val="auto"/>
          <w:kern w:val="0"/>
          <w:sz w:val="24"/>
          <w:szCs w:val="24"/>
          <w:highlight w:val="none"/>
        </w:rPr>
      </w:pPr>
      <w:r>
        <w:rPr>
          <w:rFonts w:ascii="仿宋" w:hAnsi="仿宋"/>
          <w:color w:val="auto"/>
          <w:kern w:val="0"/>
          <w:sz w:val="24"/>
          <w:szCs w:val="24"/>
          <w:highlight w:val="none"/>
        </w:rPr>
        <w:t xml:space="preserve">  G.存在共同直接或间接投资设立子公司、联营企业和合营企业情况</w:t>
      </w:r>
    </w:p>
    <w:p>
      <w:pPr>
        <w:pStyle w:val="118"/>
        <w:widowControl w:val="0"/>
        <w:snapToGrid w:val="0"/>
        <w:spacing w:line="440" w:lineRule="exact"/>
        <w:jc w:val="both"/>
        <w:rPr>
          <w:rFonts w:ascii="仿宋" w:hAnsi="仿宋"/>
          <w:color w:val="auto"/>
          <w:sz w:val="24"/>
          <w:szCs w:val="24"/>
          <w:highlight w:val="none"/>
        </w:rPr>
      </w:pPr>
      <w:r>
        <w:rPr>
          <w:rFonts w:ascii="仿宋" w:hAnsi="仿宋"/>
          <w:color w:val="auto"/>
          <w:kern w:val="0"/>
          <w:sz w:val="24"/>
          <w:szCs w:val="24"/>
          <w:highlight w:val="none"/>
        </w:rPr>
        <w:t xml:space="preserve">  H.存在分级代理或代销关系、同一生产制造商关系、</w:t>
      </w:r>
      <w:r>
        <w:rPr>
          <w:rFonts w:ascii="仿宋" w:hAnsi="仿宋"/>
          <w:color w:val="auto"/>
          <w:sz w:val="24"/>
          <w:szCs w:val="24"/>
          <w:highlight w:val="none"/>
        </w:rPr>
        <w:t>管理关系、重要业务（占主营业务收入50%以上）或重要财务往来关系（如融资）等其他实质性控制关系</w:t>
      </w:r>
    </w:p>
    <w:p>
      <w:pPr>
        <w:pStyle w:val="118"/>
        <w:widowControl w:val="0"/>
        <w:snapToGrid w:val="0"/>
        <w:spacing w:line="440" w:lineRule="exact"/>
        <w:jc w:val="both"/>
        <w:rPr>
          <w:rFonts w:hint="default" w:ascii="仿宋" w:hAnsi="仿宋"/>
          <w:color w:val="auto"/>
          <w:spacing w:val="6"/>
          <w:sz w:val="24"/>
          <w:szCs w:val="24"/>
          <w:highlight w:val="none"/>
        </w:rPr>
      </w:pPr>
      <w:r>
        <w:rPr>
          <w:rFonts w:ascii="仿宋" w:hAnsi="仿宋"/>
          <w:color w:val="auto"/>
          <w:sz w:val="24"/>
          <w:szCs w:val="24"/>
          <w:highlight w:val="none"/>
        </w:rPr>
        <w:t xml:space="preserve">  I</w:t>
      </w:r>
      <w:r>
        <w:rPr>
          <w:rFonts w:ascii="仿宋" w:hAnsi="仿宋"/>
          <w:color w:val="auto"/>
          <w:kern w:val="0"/>
          <w:sz w:val="24"/>
          <w:szCs w:val="24"/>
          <w:highlight w:val="none"/>
        </w:rPr>
        <w:t>.</w:t>
      </w:r>
      <w:r>
        <w:rPr>
          <w:rFonts w:ascii="仿宋" w:hAnsi="仿宋"/>
          <w:color w:val="auto"/>
          <w:sz w:val="24"/>
          <w:szCs w:val="24"/>
          <w:highlight w:val="none"/>
        </w:rPr>
        <w:t>其他利害关系情况</w:t>
      </w:r>
      <w:r>
        <w:rPr>
          <w:rFonts w:ascii="仿宋" w:hAnsi="仿宋"/>
          <w:color w:val="auto"/>
          <w:sz w:val="24"/>
          <w:szCs w:val="24"/>
          <w:highlight w:val="none"/>
          <w:u w:val="single"/>
        </w:rPr>
        <w:t xml:space="preserve">                              </w:t>
      </w:r>
      <w:r>
        <w:rPr>
          <w:rFonts w:ascii="仿宋" w:hAnsi="仿宋"/>
          <w:color w:val="auto"/>
          <w:kern w:val="0"/>
          <w:sz w:val="24"/>
          <w:szCs w:val="24"/>
          <w:highlight w:val="none"/>
        </w:rPr>
        <w:t>。</w:t>
      </w:r>
    </w:p>
    <w:p>
      <w:pPr>
        <w:pStyle w:val="119"/>
        <w:widowControl/>
        <w:numPr>
          <w:ilvl w:val="0"/>
          <w:numId w:val="19"/>
        </w:numPr>
        <w:snapToGrid w:val="0"/>
        <w:spacing w:line="440" w:lineRule="exact"/>
        <w:ind w:firstLine="453" w:firstLineChars="189"/>
        <w:rPr>
          <w:rFonts w:ascii="仿宋" w:hAnsi="仿宋"/>
          <w:color w:val="auto"/>
          <w:kern w:val="0"/>
          <w:sz w:val="24"/>
          <w:szCs w:val="24"/>
          <w:highlight w:val="none"/>
        </w:rPr>
      </w:pPr>
      <w:r>
        <w:rPr>
          <w:rFonts w:ascii="仿宋" w:hAnsi="仿宋"/>
          <w:color w:val="auto"/>
          <w:sz w:val="24"/>
          <w:szCs w:val="24"/>
          <w:highlight w:val="none"/>
        </w:rPr>
        <w:t>现已清楚知道并</w:t>
      </w:r>
      <w:r>
        <w:rPr>
          <w:rFonts w:ascii="仿宋" w:hAnsi="仿宋"/>
          <w:color w:val="auto"/>
          <w:kern w:val="0"/>
          <w:sz w:val="24"/>
          <w:szCs w:val="24"/>
          <w:highlight w:val="none"/>
        </w:rPr>
        <w:t>严格遵守政府采购法律法规和现场纪律。</w:t>
      </w:r>
    </w:p>
    <w:p>
      <w:pPr>
        <w:pStyle w:val="119"/>
        <w:widowControl/>
        <w:numPr>
          <w:ilvl w:val="0"/>
          <w:numId w:val="19"/>
        </w:numPr>
        <w:snapToGrid w:val="0"/>
        <w:spacing w:line="440" w:lineRule="exact"/>
        <w:ind w:firstLine="453" w:firstLineChars="189"/>
        <w:rPr>
          <w:rFonts w:hint="default" w:ascii="仿宋" w:hAnsi="仿宋"/>
          <w:color w:val="auto"/>
          <w:kern w:val="0"/>
          <w:sz w:val="24"/>
          <w:szCs w:val="24"/>
          <w:highlight w:val="none"/>
        </w:rPr>
      </w:pPr>
      <w:r>
        <w:rPr>
          <w:rFonts w:ascii="仿宋" w:hAnsi="仿宋"/>
          <w:color w:val="auto"/>
          <w:kern w:val="0"/>
          <w:sz w:val="24"/>
          <w:szCs w:val="24"/>
          <w:highlight w:val="none"/>
        </w:rPr>
        <w:t>我发现</w:t>
      </w:r>
      <w:r>
        <w:rPr>
          <w:rFonts w:ascii="仿宋" w:hAnsi="仿宋"/>
          <w:color w:val="auto"/>
          <w:kern w:val="0"/>
          <w:sz w:val="24"/>
          <w:szCs w:val="24"/>
          <w:highlight w:val="none"/>
          <w:u w:val="single"/>
        </w:rPr>
        <w:t xml:space="preserve">                    </w:t>
      </w:r>
      <w:r>
        <w:rPr>
          <w:rFonts w:ascii="仿宋" w:hAnsi="仿宋"/>
          <w:color w:val="auto"/>
          <w:kern w:val="0"/>
          <w:sz w:val="24"/>
          <w:szCs w:val="24"/>
          <w:highlight w:val="none"/>
        </w:rPr>
        <w:t>供应商之间存在或可能存在上述第二条第</w:t>
      </w:r>
      <w:r>
        <w:rPr>
          <w:rFonts w:ascii="仿宋" w:hAnsi="仿宋"/>
          <w:color w:val="auto"/>
          <w:kern w:val="0"/>
          <w:sz w:val="24"/>
          <w:szCs w:val="24"/>
          <w:highlight w:val="none"/>
          <w:u w:val="single"/>
        </w:rPr>
        <w:t xml:space="preserve">      </w:t>
      </w:r>
      <w:r>
        <w:rPr>
          <w:rFonts w:hint="default" w:ascii="仿宋" w:hAnsi="仿宋"/>
          <w:color w:val="auto"/>
          <w:kern w:val="0"/>
          <w:sz w:val="24"/>
          <w:szCs w:val="24"/>
          <w:highlight w:val="none"/>
          <w:u w:val="single"/>
        </w:rPr>
        <w:t xml:space="preserve">  </w:t>
      </w:r>
      <w:r>
        <w:rPr>
          <w:rFonts w:ascii="仿宋" w:hAnsi="仿宋"/>
          <w:color w:val="auto"/>
          <w:kern w:val="0"/>
          <w:sz w:val="24"/>
          <w:szCs w:val="24"/>
          <w:highlight w:val="none"/>
        </w:rPr>
        <w:t>项利害关系。</w:t>
      </w:r>
    </w:p>
    <w:p>
      <w:pPr>
        <w:pStyle w:val="118"/>
        <w:widowControl w:val="0"/>
        <w:snapToGrid w:val="0"/>
        <w:spacing w:line="500" w:lineRule="exact"/>
        <w:ind w:firstLine="480" w:firstLineChars="200"/>
        <w:jc w:val="both"/>
        <w:rPr>
          <w:rFonts w:hint="default" w:ascii="仿宋" w:hAnsi="仿宋"/>
          <w:color w:val="auto"/>
          <w:sz w:val="24"/>
          <w:szCs w:val="24"/>
          <w:highlight w:val="none"/>
        </w:rPr>
      </w:pPr>
      <w:r>
        <w:rPr>
          <w:rFonts w:ascii="仿宋" w:hAnsi="仿宋"/>
          <w:color w:val="auto"/>
          <w:sz w:val="24"/>
          <w:szCs w:val="24"/>
          <w:highlight w:val="none"/>
        </w:rPr>
        <w:t xml:space="preserve">                                （供应商代表签名）</w:t>
      </w:r>
    </w:p>
    <w:p>
      <w:pPr>
        <w:pStyle w:val="2"/>
        <w:spacing w:line="540" w:lineRule="exact"/>
        <w:ind w:firstLine="470" w:firstLineChars="196"/>
        <w:jc w:val="left"/>
        <w:rPr>
          <w:rFonts w:ascii="仿宋" w:hAnsi="仿宋"/>
          <w:color w:val="auto"/>
          <w:sz w:val="24"/>
          <w:szCs w:val="24"/>
          <w:highlight w:val="none"/>
        </w:rPr>
      </w:pPr>
      <w:r>
        <w:rPr>
          <w:rFonts w:ascii="仿宋" w:hAnsi="仿宋"/>
          <w:color w:val="auto"/>
          <w:sz w:val="24"/>
          <w:szCs w:val="24"/>
          <w:highlight w:val="none"/>
        </w:rPr>
        <w:t xml:space="preserve">                                                      年  月  日</w:t>
      </w:r>
    </w:p>
    <w:p>
      <w:pPr>
        <w:widowControl/>
        <w:spacing w:before="100" w:beforeAutospacing="1" w:after="100" w:afterAutospacing="1" w:line="300" w:lineRule="atLeast"/>
        <w:jc w:val="left"/>
        <w:rPr>
          <w:rFonts w:hint="eastAsia" w:ascii="宋体" w:hAnsi="宋体" w:cs="宋体"/>
          <w:color w:val="auto"/>
          <w:kern w:val="0"/>
          <w:sz w:val="28"/>
          <w:szCs w:val="28"/>
          <w:highlight w:val="none"/>
        </w:rPr>
      </w:pPr>
      <w:r>
        <w:rPr>
          <w:rFonts w:hint="eastAsia" w:ascii="宋体" w:hAnsi="宋体" w:cs="宋体"/>
          <w:b/>
          <w:bCs/>
          <w:color w:val="auto"/>
          <w:kern w:val="0"/>
          <w:sz w:val="28"/>
          <w:szCs w:val="28"/>
          <w:highlight w:val="none"/>
        </w:rPr>
        <w:t>招标代理服务收费标准</w:t>
      </w:r>
      <w:r>
        <w:rPr>
          <w:rFonts w:hint="eastAsia" w:ascii="宋体" w:hAnsi="宋体" w:cs="宋体"/>
          <w:color w:val="auto"/>
          <w:kern w:val="0"/>
          <w:sz w:val="28"/>
          <w:szCs w:val="28"/>
          <w:highlight w:val="none"/>
        </w:rPr>
        <w:t xml:space="preserve">( </w:t>
      </w:r>
      <w:r>
        <w:rPr>
          <w:rFonts w:hint="eastAsia" w:ascii="宋体" w:hAnsi="宋体" w:cs="宋体"/>
          <w:b/>
          <w:bCs/>
          <w:color w:val="auto"/>
          <w:kern w:val="0"/>
          <w:sz w:val="28"/>
          <w:szCs w:val="28"/>
          <w:highlight w:val="none"/>
        </w:rPr>
        <w:t>费 率)</w:t>
      </w:r>
      <w:r>
        <w:rPr>
          <w:rFonts w:hint="eastAsia" w:ascii="宋体" w:hAnsi="宋体" w:cs="宋体"/>
          <w:color w:val="auto"/>
          <w:kern w:val="0"/>
          <w:sz w:val="28"/>
          <w:szCs w:val="28"/>
          <w:highlight w:val="none"/>
        </w:rPr>
        <w:t xml:space="preserve"> </w:t>
      </w:r>
    </w:p>
    <w:tbl>
      <w:tblPr>
        <w:tblStyle w:val="5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hint="eastAsia" w:ascii="宋体" w:hAnsi="宋体" w:cs="宋体"/>
                <w:b/>
                <w:bCs/>
                <w:color w:val="auto"/>
                <w:kern w:val="0"/>
                <w:sz w:val="20"/>
                <w:highlight w:val="none"/>
              </w:rPr>
            </w:pPr>
            <w:r>
              <w:rPr>
                <w:rFonts w:hint="eastAsia" w:ascii="宋体" w:hAnsi="宋体" w:cs="宋体"/>
                <w:color w:val="auto"/>
                <w:kern w:val="0"/>
                <w:sz w:val="20"/>
                <w:szCs w:val="20"/>
                <w:highlight w:val="none"/>
              </w:rPr>
              <w:t xml:space="preserve">              </w:t>
            </w:r>
            <w:r>
              <w:rPr>
                <w:rFonts w:hint="eastAsia" w:ascii="宋体" w:hAnsi="宋体" w:cs="宋体"/>
                <w:b/>
                <w:bCs/>
                <w:color w:val="auto"/>
                <w:kern w:val="0"/>
                <w:sz w:val="20"/>
                <w:highlight w:val="none"/>
              </w:rPr>
              <w:t xml:space="preserve">服务类型     </w:t>
            </w:r>
          </w:p>
          <w:p>
            <w:pPr>
              <w:widowControl/>
              <w:spacing w:before="100" w:beforeAutospacing="1" w:after="100" w:afterAutospacing="1" w:line="300" w:lineRule="atLeast"/>
              <w:rPr>
                <w:rFonts w:hint="eastAsia" w:ascii="宋体" w:hAnsi="宋体" w:cs="宋体"/>
                <w:color w:val="auto"/>
                <w:kern w:val="0"/>
                <w:sz w:val="24"/>
                <w:highlight w:val="none"/>
              </w:rPr>
            </w:pPr>
            <w:r>
              <w:rPr>
                <w:rFonts w:hint="eastAsia" w:ascii="宋体" w:hAnsi="宋体" w:cs="宋体"/>
                <w:b/>
                <w:bCs/>
                <w:color w:val="auto"/>
                <w:kern w:val="0"/>
                <w:sz w:val="20"/>
                <w:highlight w:val="none"/>
              </w:rPr>
              <w:t>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highlight w:val="none"/>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hint="eastAsia" w:ascii="宋体" w:hAnsi="宋体" w:cs="宋体"/>
                <w:b/>
                <w:color w:val="auto"/>
                <w:kern w:val="0"/>
                <w:sz w:val="24"/>
                <w:highlight w:val="none"/>
              </w:rPr>
            </w:pPr>
            <w:r>
              <w:rPr>
                <w:rFonts w:hint="eastAsia" w:ascii="宋体" w:hAnsi="宋体" w:cs="宋体"/>
                <w:b/>
                <w:bCs/>
                <w:color w:val="auto"/>
                <w:kern w:val="0"/>
                <w:sz w:val="20"/>
                <w:highlight w:val="none"/>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hint="eastAsia" w:ascii="宋体" w:hAnsi="宋体" w:cs="宋体"/>
                <w:color w:val="auto"/>
                <w:kern w:val="0"/>
                <w:sz w:val="24"/>
                <w:highlight w:val="none"/>
              </w:rPr>
            </w:pPr>
            <w:r>
              <w:rPr>
                <w:rFonts w:hint="eastAsia" w:ascii="宋体" w:hAnsi="宋体" w:cs="宋体"/>
                <w:b/>
                <w:bCs/>
                <w:color w:val="auto"/>
                <w:kern w:val="0"/>
                <w:sz w:val="20"/>
                <w:highlight w:val="none"/>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1.5％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1.5％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1.1％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0.8％</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0.8％</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0.45％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1000—5000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0.25％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5000—10000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0.25％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0.05％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0.01％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0.01％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0.01％</w:t>
            </w:r>
          </w:p>
        </w:tc>
      </w:tr>
    </w:tbl>
    <w:p>
      <w:pPr>
        <w:widowControl/>
        <w:spacing w:line="432" w:lineRule="auto"/>
        <w:jc w:val="left"/>
        <w:rPr>
          <w:rFonts w:hint="eastAsia" w:ascii="宋体" w:hAnsi="宋体" w:cs="宋体"/>
          <w:color w:val="auto"/>
          <w:kern w:val="0"/>
          <w:sz w:val="20"/>
          <w:szCs w:val="20"/>
          <w:highlight w:val="none"/>
        </w:rPr>
      </w:pPr>
    </w:p>
    <w:p>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注：</w:t>
      </w:r>
    </w:p>
    <w:p>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招标代理服务收费按差额定率累进法计算。例如：某工程招标代理业务中标金额为6000万元，计算招标代理服务费额如下：</w:t>
      </w:r>
    </w:p>
    <w:p>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100万元×1.0％＝1万元</w:t>
      </w:r>
    </w:p>
    <w:p>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（500－100）万元×0.7％＝2.8万元</w:t>
      </w:r>
    </w:p>
    <w:p>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（1000－500）万元×0.55％＝2.75万元</w:t>
      </w:r>
    </w:p>
    <w:p>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（5000－1000）万元×0.35％＝14万元</w:t>
      </w:r>
    </w:p>
    <w:p>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（6000－5000）万元×0.2％＝2万元</w:t>
      </w:r>
    </w:p>
    <w:p>
      <w:pPr>
        <w:widowControl/>
        <w:spacing w:line="432" w:lineRule="auto"/>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    合计收费＝1＋2.8＋2.75＋14＋2＝22.55(万元)</w:t>
      </w:r>
    </w:p>
    <w:p>
      <w:pPr>
        <w:snapToGrid w:val="0"/>
        <w:spacing w:before="50" w:after="50" w:line="440" w:lineRule="exact"/>
        <w:ind w:left="-3" w:leftChars="-72" w:right="-817" w:rightChars="-389" w:hanging="148" w:hangingChars="62"/>
        <w:rPr>
          <w:rFonts w:hint="eastAsia" w:ascii="宋体" w:hAnsi="宋体" w:cs="宋体"/>
          <w:color w:val="auto"/>
          <w:sz w:val="24"/>
          <w:highlight w:val="none"/>
        </w:rPr>
      </w:pPr>
    </w:p>
    <w:p>
      <w:pPr>
        <w:adjustRightInd w:val="0"/>
        <w:spacing w:line="360" w:lineRule="auto"/>
        <w:jc w:val="left"/>
        <w:rPr>
          <w:rFonts w:hint="eastAsia" w:ascii="宋体" w:hAnsi="宋体" w:cs="宋体"/>
          <w:b/>
          <w:color w:val="auto"/>
          <w:spacing w:val="6"/>
          <w:sz w:val="24"/>
          <w:highlight w:val="none"/>
        </w:rPr>
      </w:pPr>
      <w:r>
        <w:rPr>
          <w:rFonts w:hint="eastAsia" w:ascii="宋体" w:hAnsi="宋体" w:cs="宋体"/>
          <w:color w:val="auto"/>
          <w:highlight w:val="none"/>
        </w:rPr>
        <w:br w:type="page"/>
      </w:r>
      <w:r>
        <w:rPr>
          <w:rFonts w:hint="eastAsia" w:ascii="宋体" w:hAnsi="宋体" w:cs="宋体"/>
          <w:b/>
          <w:color w:val="auto"/>
          <w:spacing w:val="6"/>
          <w:sz w:val="24"/>
          <w:highlight w:val="none"/>
        </w:rPr>
        <w:t>附件：质疑函范本及制作说明</w:t>
      </w:r>
    </w:p>
    <w:p>
      <w:pPr>
        <w:adjustRightInd w:val="0"/>
        <w:spacing w:line="360" w:lineRule="auto"/>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质疑函范本</w:t>
      </w:r>
    </w:p>
    <w:p>
      <w:pPr>
        <w:adjustRightInd w:val="0"/>
        <w:snapToGrid w:val="0"/>
        <w:spacing w:before="312"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adjustRightInd w:val="0"/>
        <w:spacing w:line="360" w:lineRule="auto"/>
        <w:jc w:val="center"/>
        <w:rPr>
          <w:rFonts w:hint="eastAsia" w:ascii="宋体" w:hAnsi="宋体" w:cs="宋体"/>
          <w:b/>
          <w:bCs/>
          <w:color w:val="auto"/>
          <w:sz w:val="24"/>
          <w:highlight w:val="none"/>
        </w:rPr>
      </w:pPr>
    </w:p>
    <w:p>
      <w:pPr>
        <w:adjustRightInd w:val="0"/>
        <w:spacing w:line="360" w:lineRule="auto"/>
        <w:rPr>
          <w:rFonts w:hint="eastAsia" w:ascii="宋体" w:hAnsi="宋体" w:cs="宋体"/>
          <w:b/>
          <w:color w:val="auto"/>
          <w:sz w:val="24"/>
          <w:highlight w:val="none"/>
        </w:rPr>
      </w:pPr>
    </w:p>
    <w:p>
      <w:pPr>
        <w:adjustRightInd w:val="0"/>
        <w:spacing w:line="360" w:lineRule="auto"/>
        <w:rPr>
          <w:rFonts w:hint="eastAsia" w:ascii="宋体" w:hAnsi="宋体" w:cs="宋体"/>
          <w:b/>
          <w:color w:val="auto"/>
          <w:sz w:val="24"/>
          <w:highlight w:val="none"/>
        </w:rPr>
      </w:pPr>
    </w:p>
    <w:p>
      <w:pPr>
        <w:adjustRightIn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质疑函制作说明：</w:t>
      </w:r>
    </w:p>
    <w:p>
      <w:pPr>
        <w:widowControl/>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adjustRightInd w:val="0"/>
        <w:spacing w:line="360" w:lineRule="auto"/>
        <w:ind w:firstLine="480" w:firstLineChars="200"/>
        <w:jc w:val="left"/>
        <w:rPr>
          <w:rFonts w:hint="eastAsia" w:ascii="宋体" w:hAnsi="宋体" w:cs="宋体"/>
          <w:color w:val="auto"/>
          <w:sz w:val="24"/>
          <w:highlight w:val="none"/>
        </w:rPr>
      </w:pPr>
    </w:p>
    <w:p>
      <w:pPr>
        <w:adjustRightInd w:val="0"/>
        <w:spacing w:line="360" w:lineRule="auto"/>
        <w:jc w:val="left"/>
        <w:rPr>
          <w:rFonts w:hint="eastAsia" w:ascii="宋体" w:hAnsi="宋体" w:cs="宋体"/>
          <w:b/>
          <w:color w:val="auto"/>
          <w:spacing w:val="6"/>
          <w:sz w:val="24"/>
          <w:highlight w:val="none"/>
        </w:rPr>
      </w:pPr>
    </w:p>
    <w:p>
      <w:pPr>
        <w:adjustRightInd w:val="0"/>
        <w:spacing w:line="360" w:lineRule="auto"/>
        <w:jc w:val="left"/>
        <w:rPr>
          <w:rFonts w:hint="eastAsia" w:ascii="宋体" w:hAnsi="宋体" w:cs="宋体"/>
          <w:b/>
          <w:color w:val="auto"/>
          <w:spacing w:val="6"/>
          <w:sz w:val="24"/>
          <w:highlight w:val="none"/>
        </w:rPr>
      </w:pPr>
    </w:p>
    <w:p>
      <w:pPr>
        <w:pStyle w:val="2"/>
        <w:ind w:firstLine="506"/>
        <w:rPr>
          <w:rFonts w:hint="eastAsia" w:ascii="宋体" w:hAnsi="宋体" w:cs="宋体"/>
          <w:b/>
          <w:color w:val="auto"/>
          <w:spacing w:val="6"/>
          <w:sz w:val="24"/>
          <w:highlight w:val="none"/>
        </w:rPr>
      </w:pPr>
    </w:p>
    <w:p>
      <w:pPr>
        <w:pStyle w:val="52"/>
        <w:ind w:firstLine="253"/>
        <w:rPr>
          <w:rFonts w:hint="eastAsia" w:ascii="宋体" w:hAnsi="宋体" w:cs="宋体"/>
          <w:b/>
          <w:color w:val="auto"/>
          <w:spacing w:val="6"/>
          <w:highlight w:val="none"/>
        </w:rPr>
      </w:pPr>
    </w:p>
    <w:p>
      <w:pPr>
        <w:rPr>
          <w:rFonts w:hint="eastAsia" w:ascii="宋体" w:hAnsi="宋体" w:cs="宋体"/>
          <w:b/>
          <w:color w:val="auto"/>
          <w:spacing w:val="6"/>
          <w:sz w:val="24"/>
          <w:highlight w:val="none"/>
        </w:rPr>
      </w:pPr>
    </w:p>
    <w:p>
      <w:pPr>
        <w:pStyle w:val="2"/>
        <w:ind w:firstLine="506"/>
        <w:rPr>
          <w:rFonts w:hint="eastAsia" w:ascii="宋体" w:hAnsi="宋体" w:cs="宋体"/>
          <w:b/>
          <w:color w:val="auto"/>
          <w:spacing w:val="6"/>
          <w:sz w:val="24"/>
          <w:highlight w:val="none"/>
        </w:rPr>
      </w:pPr>
    </w:p>
    <w:p>
      <w:pPr>
        <w:pStyle w:val="52"/>
        <w:ind w:firstLine="253"/>
        <w:rPr>
          <w:rFonts w:hint="eastAsia" w:ascii="宋体" w:hAnsi="宋体" w:cs="宋体"/>
          <w:b/>
          <w:color w:val="auto"/>
          <w:spacing w:val="6"/>
          <w:highlight w:val="none"/>
        </w:rPr>
      </w:pPr>
    </w:p>
    <w:p>
      <w:pPr>
        <w:rPr>
          <w:rFonts w:hint="eastAsia" w:ascii="宋体" w:hAnsi="宋体" w:cs="宋体"/>
          <w:b/>
          <w:color w:val="auto"/>
          <w:spacing w:val="6"/>
          <w:sz w:val="24"/>
          <w:highlight w:val="none"/>
        </w:rPr>
      </w:pPr>
    </w:p>
    <w:p>
      <w:pPr>
        <w:pStyle w:val="2"/>
        <w:ind w:firstLine="506"/>
        <w:rPr>
          <w:rFonts w:hint="eastAsia" w:ascii="宋体" w:hAnsi="宋体" w:cs="宋体"/>
          <w:b/>
          <w:color w:val="auto"/>
          <w:spacing w:val="6"/>
          <w:sz w:val="24"/>
          <w:highlight w:val="none"/>
        </w:rPr>
      </w:pPr>
    </w:p>
    <w:p>
      <w:pPr>
        <w:pStyle w:val="52"/>
        <w:ind w:firstLine="253"/>
        <w:rPr>
          <w:rFonts w:hint="eastAsia" w:ascii="宋体" w:hAnsi="宋体" w:cs="宋体"/>
          <w:b/>
          <w:color w:val="auto"/>
          <w:spacing w:val="6"/>
          <w:highlight w:val="none"/>
        </w:rPr>
      </w:pPr>
    </w:p>
    <w:p>
      <w:pPr>
        <w:rPr>
          <w:rFonts w:hint="eastAsia" w:ascii="宋体" w:hAnsi="宋体" w:cs="宋体"/>
          <w:b/>
          <w:color w:val="auto"/>
          <w:spacing w:val="6"/>
          <w:sz w:val="24"/>
          <w:highlight w:val="none"/>
        </w:rPr>
      </w:pPr>
    </w:p>
    <w:p>
      <w:pPr>
        <w:pStyle w:val="2"/>
        <w:ind w:firstLine="506"/>
        <w:rPr>
          <w:rFonts w:hint="eastAsia" w:ascii="宋体" w:hAnsi="宋体" w:cs="宋体"/>
          <w:b/>
          <w:color w:val="auto"/>
          <w:spacing w:val="6"/>
          <w:sz w:val="24"/>
          <w:highlight w:val="none"/>
        </w:rPr>
      </w:pPr>
    </w:p>
    <w:p>
      <w:pPr>
        <w:pStyle w:val="52"/>
        <w:ind w:firstLine="253"/>
        <w:rPr>
          <w:rFonts w:hint="eastAsia" w:ascii="宋体" w:hAnsi="宋体" w:cs="宋体"/>
          <w:b/>
          <w:color w:val="auto"/>
          <w:spacing w:val="6"/>
          <w:highlight w:val="none"/>
        </w:rPr>
      </w:pPr>
    </w:p>
    <w:p>
      <w:pPr>
        <w:rPr>
          <w:rFonts w:hint="eastAsia" w:ascii="宋体" w:hAnsi="宋体" w:cs="宋体"/>
          <w:b/>
          <w:color w:val="auto"/>
          <w:spacing w:val="6"/>
          <w:sz w:val="24"/>
          <w:highlight w:val="none"/>
        </w:rPr>
      </w:pPr>
    </w:p>
    <w:p>
      <w:pPr>
        <w:pStyle w:val="2"/>
        <w:ind w:firstLine="506"/>
        <w:rPr>
          <w:rFonts w:hint="eastAsia" w:ascii="宋体" w:hAnsi="宋体" w:cs="宋体"/>
          <w:b/>
          <w:color w:val="auto"/>
          <w:spacing w:val="6"/>
          <w:sz w:val="24"/>
          <w:highlight w:val="none"/>
        </w:rPr>
      </w:pPr>
    </w:p>
    <w:p>
      <w:pPr>
        <w:pStyle w:val="52"/>
        <w:ind w:firstLine="253"/>
        <w:rPr>
          <w:rFonts w:hint="eastAsia" w:ascii="宋体" w:hAnsi="宋体" w:cs="宋体"/>
          <w:b/>
          <w:color w:val="auto"/>
          <w:spacing w:val="6"/>
          <w:highlight w:val="none"/>
        </w:rPr>
      </w:pPr>
    </w:p>
    <w:p>
      <w:pPr>
        <w:rPr>
          <w:rFonts w:hint="eastAsia" w:ascii="宋体" w:hAnsi="宋体" w:cs="宋体"/>
          <w:b/>
          <w:color w:val="auto"/>
          <w:spacing w:val="6"/>
          <w:sz w:val="24"/>
          <w:highlight w:val="none"/>
        </w:rPr>
      </w:pPr>
    </w:p>
    <w:p>
      <w:pPr>
        <w:pStyle w:val="2"/>
        <w:ind w:firstLine="506"/>
        <w:rPr>
          <w:rFonts w:hint="eastAsia" w:ascii="宋体" w:hAnsi="宋体" w:cs="宋体"/>
          <w:b/>
          <w:color w:val="auto"/>
          <w:spacing w:val="6"/>
          <w:sz w:val="24"/>
          <w:highlight w:val="none"/>
        </w:rPr>
      </w:pPr>
    </w:p>
    <w:p>
      <w:pPr>
        <w:pStyle w:val="52"/>
        <w:ind w:firstLine="253"/>
        <w:rPr>
          <w:rFonts w:hint="eastAsia" w:ascii="宋体" w:hAnsi="宋体" w:cs="宋体"/>
          <w:b/>
          <w:color w:val="auto"/>
          <w:spacing w:val="6"/>
          <w:highlight w:val="none"/>
        </w:rPr>
      </w:pPr>
    </w:p>
    <w:p>
      <w:pPr>
        <w:rPr>
          <w:rFonts w:hint="eastAsia"/>
          <w:color w:val="auto"/>
          <w:highlight w:val="none"/>
        </w:rPr>
      </w:pPr>
    </w:p>
    <w:p>
      <w:pPr>
        <w:adjustRightInd w:val="0"/>
        <w:spacing w:line="360" w:lineRule="auto"/>
        <w:jc w:val="left"/>
        <w:rPr>
          <w:rFonts w:hint="eastAsia" w:ascii="宋体" w:hAnsi="宋体" w:cs="宋体"/>
          <w:b/>
          <w:color w:val="auto"/>
          <w:spacing w:val="6"/>
          <w:sz w:val="24"/>
          <w:highlight w:val="none"/>
        </w:rPr>
      </w:pPr>
      <w:r>
        <w:rPr>
          <w:rFonts w:hint="eastAsia" w:ascii="宋体" w:hAnsi="宋体" w:cs="宋体"/>
          <w:b/>
          <w:color w:val="auto"/>
          <w:spacing w:val="6"/>
          <w:sz w:val="24"/>
          <w:highlight w:val="none"/>
        </w:rPr>
        <w:t>附件：投诉书范本及制作说明</w:t>
      </w:r>
    </w:p>
    <w:p>
      <w:pPr>
        <w:adjustRightInd w:val="0"/>
        <w:spacing w:line="360" w:lineRule="auto"/>
        <w:jc w:val="center"/>
        <w:rPr>
          <w:rFonts w:hint="eastAsia" w:ascii="宋体" w:hAnsi="宋体" w:cs="宋体"/>
          <w:b/>
          <w:color w:val="auto"/>
          <w:sz w:val="24"/>
          <w:highlight w:val="none"/>
        </w:rPr>
      </w:pPr>
    </w:p>
    <w:p>
      <w:pPr>
        <w:adjustRightInd w:val="0"/>
        <w:spacing w:line="360" w:lineRule="auto"/>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投诉书范本</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pPr>
        <w:adjustRightIn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adjustRightIn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adjustRightIn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adjustRightIn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adjustRightIn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pPr>
        <w:adjustRightIn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adjustRightIn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adjustRightIn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adjustRightIn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pPr>
        <w:adjustRightIn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adjustRightIn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pPr>
        <w:adjustRightInd w:val="0"/>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adjustRightIn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pPr>
        <w:adjustRightIn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pPr>
        <w:adjustRightIn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adjustRightIn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adjustRightInd w:val="0"/>
        <w:spacing w:line="360" w:lineRule="auto"/>
        <w:rPr>
          <w:rFonts w:hint="eastAsia" w:ascii="宋体" w:hAnsi="宋体" w:cs="宋体"/>
          <w:b/>
          <w:color w:val="auto"/>
          <w:sz w:val="24"/>
          <w:highlight w:val="none"/>
        </w:rPr>
      </w:pPr>
    </w:p>
    <w:p>
      <w:pPr>
        <w:adjustRightInd w:val="0"/>
        <w:spacing w:line="360" w:lineRule="auto"/>
        <w:rPr>
          <w:rFonts w:hint="eastAsia" w:ascii="宋体" w:hAnsi="宋体" w:cs="宋体"/>
          <w:b/>
          <w:color w:val="auto"/>
          <w:sz w:val="24"/>
          <w:highlight w:val="none"/>
        </w:rPr>
      </w:pPr>
    </w:p>
    <w:p>
      <w:pPr>
        <w:adjustRightIn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投诉书制作说明：</w:t>
      </w:r>
    </w:p>
    <w:p>
      <w:pPr>
        <w:widowControl/>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adjustRightInd w:val="0"/>
        <w:rPr>
          <w:rFonts w:hint="eastAsia" w:ascii="宋体" w:hAnsi="宋体" w:cs="宋体"/>
          <w:b/>
          <w:color w:val="auto"/>
          <w:spacing w:val="6"/>
          <w:sz w:val="24"/>
          <w:highlight w:val="none"/>
        </w:rPr>
      </w:pPr>
    </w:p>
    <w:p>
      <w:pPr>
        <w:autoSpaceDE w:val="0"/>
        <w:autoSpaceDN w:val="0"/>
        <w:adjustRightInd w:val="0"/>
        <w:rPr>
          <w:rFonts w:hint="eastAsia" w:ascii="宋体" w:hAnsi="宋体" w:cs="宋体"/>
          <w:b/>
          <w:bCs/>
          <w:color w:val="auto"/>
          <w:sz w:val="24"/>
          <w:highlight w:val="none"/>
        </w:rPr>
      </w:pPr>
      <w:r>
        <w:rPr>
          <w:rFonts w:hint="eastAsia" w:ascii="宋体" w:hAnsi="宋体" w:cs="宋体"/>
          <w:b/>
          <w:color w:val="auto"/>
          <w:spacing w:val="6"/>
          <w:sz w:val="24"/>
          <w:highlight w:val="none"/>
        </w:rPr>
        <w:t>附件：</w:t>
      </w:r>
      <w:r>
        <w:rPr>
          <w:rFonts w:hint="eastAsia" w:ascii="宋体" w:hAnsi="宋体" w:cs="宋体"/>
          <w:b/>
          <w:bCs/>
          <w:color w:val="auto"/>
          <w:sz w:val="24"/>
          <w:highlight w:val="none"/>
        </w:rPr>
        <w:t>业务专用章使用说明函</w:t>
      </w:r>
    </w:p>
    <w:p>
      <w:pPr>
        <w:adjustRightInd w:val="0"/>
        <w:spacing w:line="360" w:lineRule="auto"/>
        <w:rPr>
          <w:rFonts w:hint="eastAsia" w:ascii="宋体" w:hAnsi="宋体" w:cs="宋体"/>
          <w:color w:val="auto"/>
          <w:sz w:val="24"/>
          <w:highlight w:val="none"/>
          <w:u w:val="single"/>
        </w:rPr>
      </w:pP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pPr>
        <w:adjustRightInd w:val="0"/>
        <w:spacing w:line="360" w:lineRule="auto"/>
        <w:ind w:firstLine="494"/>
        <w:rPr>
          <w:rFonts w:hint="eastAsia" w:ascii="宋体" w:hAnsi="宋体" w:cs="宋体"/>
          <w:color w:val="auto"/>
          <w:sz w:val="24"/>
          <w:highlight w:val="none"/>
        </w:rPr>
      </w:pPr>
    </w:p>
    <w:p>
      <w:pPr>
        <w:adjustRightInd w:val="0"/>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pPr>
        <w:adjustRightInd w:val="0"/>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adjustRightInd w:val="0"/>
        <w:rPr>
          <w:rFonts w:hint="eastAsia" w:ascii="宋体" w:hAnsi="宋体" w:cs="宋体"/>
          <w:color w:val="auto"/>
          <w:sz w:val="24"/>
          <w:highlight w:val="none"/>
        </w:rPr>
      </w:pPr>
      <w:r>
        <w:rPr>
          <w:rFonts w:hint="eastAsia" w:ascii="宋体" w:hAnsi="宋体" w:cs="宋体"/>
          <w:b/>
          <w:bCs/>
          <w:color w:val="auto"/>
          <w:sz w:val="24"/>
          <w:highlight w:val="none"/>
        </w:rPr>
        <w:t>附：</w:t>
      </w:r>
    </w:p>
    <w:p>
      <w:pPr>
        <w:adjustRightInd w:val="0"/>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1507490"/>
                <wp:effectExtent l="4445" t="4445" r="15240" b="12065"/>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18.7pt;width:212.95pt;z-index:-251657216;mso-width-relative:page;mso-height-relative:page;" fillcolor="#FFFFFF" filled="t" stroked="t" coordsize="21600,21600" o:gfxdata="UEsDBAoAAAAAAIdO4kAAAAAAAAAAAAAAAAAEAAAAZHJzL1BLAwQUAAAACACHTuJANThInNoAAAAK AQAADwAAAGRycy9kb3ducmV2LnhtbE2PzU7DMBCE70i8g7VI3KidlDY0ZFMJEBdUpSKgnt3YJBbx 2ordH94ecyrH0YxmvqnWZzuyo56CcYSQzQQwTZ1ThnqEz4/XuwdgIUpScnSkEX50gHV9fVXJUrkT vetjG3uWSiiUEmGI0Zech27QVoaZ85qS9+UmK2OSU8/VJE+p3I48F2LJrTSUFgbp9fOgu+/2YBF2 nkS2aXxs2rd8u3namt1LYxBvbzLxCCzqc7yE4Q8/oUOdmPbuQCqwEeG+KBJ6RFgsM2ApsBLzAtge IV/NF8Driv+/UP8CUEsDBBQAAAAIAIdO4kA1AmiSNAIAAI0EAAAOAAAAZHJzL2Uyb0RvYy54bWyt VMFu2zAMvQ/YPwi6L469JF2NOEWRosOAbi3W7QMUWY6FSaJGKXG6rx8tO1na7dDDfBBEkXp6fCS9 vDpYw/YKgwZX8Xwy5Uw5CbV224p//3b77gNnIQpXCwNOVfxJBX61evtm2flSFdCCqRUyAnGh7HzF 2xh9mWVBtsqKMAGvHDkbQCsimbjNahQdoVuTFdPpIusAa48gVQh0ejM4+YiIrwGEptFS3YDcWeXi gIrKiEgphVb7wFeJbdMoGe+bJqjITMUp05hWeoT2m37NVktRblH4VsuRgngNhRc5WaEdPXqCuhFR sB3qv6CslggBmjiRYLMhkaQIZZFPX2jz2AqvUi4kdfAn0cP/g5Vf9g/IdF3xGWdOWCr4VxJNuK1R LL/o9el8KCns0T9gn2HwdyB/BOZg3VKYukaErlWiJlZ5H589u9Abga6yTfcZaoIXuwhJqkODtgck EdghVeTpVBF1iEzSYXExnc0Wc84k+Ypi/n6Rz9Mbojxe9xjiRwWW9ZuKI7FP8GJ/F2JPR5THkEQf jK5vtTHJwO1mbZDtBbXHbfpG9HAeZhzrKn45L+YJ+ZkvnENM0/cvCKsjTY3RltI4DzKu56FSp458 j4oNysfD5jAWYQP1EwmJMHQxzTBtWsBfnHXUwRUPP3cCFWfmk6NiXOazWd/yyZjNLwoy8NyzOfcI Jwmq4pGzYbuOw5jsPOptSy/lKXkH11TARidpe6oDq7Hs1KVJ8XGi+jE4t1PUn7/I6jd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CnBAAAW0NvbnRl bnRfVHlwZXNdLnhtbFBLAQIUAAoAAAAAAIdO4kAAAAAAAAAAAAAAAAAGAAAAAAAAAAAAEAAAAIkD AABfcmVscy9QSwECFAAUAAAACACHTuJAihRmPNEAAACUAQAACwAAAAAAAAABACAAAACtAwAAX3Jl bHMvLnJlbHNQSwECFAAKAAAAAACHTuJAAAAAAAAAAAAAAAAABAAAAAAAAAAAABAAAAAAAAAAZHJz L1BLAQIUABQAAAAIAIdO4kA1OEic2gAAAAoBAAAPAAAAAAAAAAEAIAAAACIAAABkcnMvZG93bnJl di54bWxQSwECFAAUAAAACACHTuJANQJokjQCAACNBAAADgAAAAAAAAABACAAAAApAQAAZHJzL2Uy b0RvYy54bWxQSwUGAAAAAAYABgBZAQAAzwUAAAAA ">
                <v:fill on="t" focussize="0,0"/>
                <v:stroke color="#000000" miterlimit="2" joinstyle="miter"/>
                <v:imagedata o:title=""/>
                <o:lock v:ext="edit" aspectratio="f"/>
                <v:textbox>
                  <w:txbxContent>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1487805"/>
                <wp:effectExtent l="4445" t="4445" r="14605" b="1270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17.15pt;width:208.5pt;z-index:-251656192;mso-width-relative:page;mso-height-relative:page;" fillcolor="#FFFFFF" filled="t" stroked="t" coordsize="21600,21600" o:gfxdata="UEsDBAoAAAAAAIdO4kAAAAAAAAAAAAAAAAAEAAAAZHJzL1BLAwQUAAAACACHTuJAzvTqdNkAAAAK AQAADwAAAGRycy9kb3ducmV2LnhtbE2Py2rDMBBF94X+g5hCd4lkY0zjWg60pZsSHOqUrBVLsUWs kbCUR/++01W7m2EOd86t1zc3sYuZo/UoIVsKYAZ7ry0OEr5274snYDEp1GryaCR8mwjr5v6uVpX2 V/w0ly4NjEIwVkrCmFKoOI/9aJyKSx8M0u3oZ6cSrfPA9ayuFO4mngtRcqcs0odRBfM6mv7UnZ2E fUCRbdqQ2u4j325etnb/1lopHx8y8QwsmVv6g+FXn9ShIaeDP6OObJKwyIqCUAmlKIERUIichoOE fFWsgDc1/1+h+QFQSwMEFAAAAAgAh07iQCNVQkA0AgAAjQQAAA4AAABkcnMvZTJvRG9jLnhtbK1U wW7bMAy9D9g/CLqvjr04XY04RZGiw4BuLdbtAxRZjoVJokYpcbqvHy27Wdrt0MN8EESRenp8JL28 PFjD9gqDBlfz/GzGmXISGu22Nf/+7ebdB85CFK4RBpyq+aMK/HL19s2y95UqoAPTKGQE4kLV+5p3 Mfoqy4LslBXhDLxy5GwBrYhk4jZrUPSEbk1WzGaLrAdsPIJUIdDp9ejkEyK+BhDaVkt1DXJnlYsj KiojIqUUOu0DXyW2batkvGvboCIzNadMY1rpEdpvhjVbLUW1ReE7LScK4jUUXuRkhXb06BHqWkTB dqj/grJaIgRo45kEm42JJEUoi3z2QpuHTniVciGpgz+KHv4frPyyv0emm5qXnDlhqeBfSTThtkax fDHo0/tQUdiDv8chw+BvQf4IzMG6ozB1hQh9p0RDrPIhPnt2YTACXWWb/jM0BC92EZJUhxbtAEgi sEOqyOOxIuoQmaTDYjE/vyipWJJ8RVG+X+RlekNUT9c9hvhRgWXDpuZI7BO82N+GONAR1VNIog9G NzfamGTgdrM2yPaC2uMmfRN6OA0zjvU1vyiLMiE/84VTiFn6/gVhdaSpMdpSGqdBxg08VOrUie+T YqPy8bA5TEXYQPNIQiKMXUwzTJsO8BdnPXVwzcPPnUDFmfnkqBgX+Xw+tHwy5uV5QQaeejanHuEk QdU8cjZu13Eck51Hve3opTwl7+CKCtjqJO1AdWQ1lZ26NCk+TdQwBqd2ivrzF1n9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KYEAABbQ29udGVu dF9UeXBlc10ueG1sUEsBAhQACgAAAAAAh07iQAAAAAAAAAAAAAAAAAYAAAAAAAAAAAAQAAAAiAMA AF9yZWxzL1BLAQIUABQAAAAIAIdO4kCKFGY80QAAAJQBAAALAAAAAAAAAAEAIAAAAKwDAABfcmVs cy8ucmVsc1BLAQIUAAoAAAAAAIdO4kAAAAAAAAAAAAAAAAAEAAAAAAAAAAAAEAAAAAAAAABkcnMv UEsBAhQAFAAAAAgAh07iQM706nTZAAAACgEAAA8AAAAAAAAAAQAgAAAAIgAAAGRycy9kb3ducmV2 LnhtbFBLAQIUABQAAAAIAIdO4kAjVUJANAIAAI0EAAAOAAAAAAAAAAEAIAAAACgBAABkcnMvZTJv RG9jLnhtbFBLBQYAAAAABgAGAFkBAADOBQAAAAA= ">
                <v:fill on="t" focussize="0,0"/>
                <v:stroke color="#000000" miterlimit="2" joinstyle="miter"/>
                <v:imagedata o:title=""/>
                <o:lock v:ext="edit" aspectratio="f"/>
                <v:textbox>
                  <w:txbxContent>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adjustRightInd w:val="0"/>
        <w:jc w:val="center"/>
        <w:rPr>
          <w:rFonts w:hint="eastAsia" w:ascii="宋体" w:hAnsi="宋体" w:cs="宋体"/>
          <w:b/>
          <w:color w:val="auto"/>
          <w:spacing w:val="6"/>
          <w:sz w:val="24"/>
          <w:highlight w:val="none"/>
        </w:rPr>
      </w:pPr>
    </w:p>
    <w:p>
      <w:pPr>
        <w:autoSpaceDE w:val="0"/>
        <w:autoSpaceDN w:val="0"/>
        <w:adjustRightInd w:val="0"/>
        <w:jc w:val="center"/>
        <w:rPr>
          <w:rFonts w:hint="eastAsia" w:ascii="宋体" w:hAnsi="宋体" w:cs="宋体"/>
          <w:b/>
          <w:color w:val="auto"/>
          <w:spacing w:val="6"/>
          <w:sz w:val="24"/>
          <w:highlight w:val="none"/>
        </w:rPr>
      </w:pPr>
    </w:p>
    <w:p>
      <w:pPr>
        <w:rPr>
          <w:rFonts w:hint="eastAsia"/>
          <w:color w:val="auto"/>
          <w:highlight w:val="none"/>
        </w:rPr>
      </w:pPr>
    </w:p>
    <w:p>
      <w:pPr>
        <w:rPr>
          <w:rFonts w:hint="eastAsia" w:ascii="宋体" w:hAnsi="宋体" w:cs="宋体"/>
          <w:color w:val="auto"/>
          <w:highlight w:val="none"/>
        </w:rPr>
      </w:pPr>
    </w:p>
    <w:p>
      <w:pPr>
        <w:pStyle w:val="52"/>
        <w:ind w:firstLine="240"/>
        <w:rPr>
          <w:rFonts w:hint="eastAsia"/>
          <w:color w:val="auto"/>
          <w:highlight w:val="none"/>
        </w:rPr>
      </w:pPr>
    </w:p>
    <w:sectPr>
      <w:headerReference r:id="rId5" w:type="default"/>
      <w:footerReference r:id="rId6" w:type="default"/>
      <w:pgSz w:w="11906" w:h="16838"/>
      <w:pgMar w:top="1440"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1" w:usb1="080E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E0002EFF" w:usb1="C000785B"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24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pPr>
      <w:pStyle w:val="3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720" w:firstLine="180" w:firstLineChars="10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rPr>
                              <w:rStyle w:val="57"/>
                              <w:rFonts w:hint="eastAsia" w:ascii="宋体" w:hAnsi="宋体" w:eastAsia="宋体"/>
                              <w:sz w:val="21"/>
                              <w:szCs w:val="21"/>
                            </w:rPr>
                          </w:pPr>
                          <w:r>
                            <w:rPr>
                              <w:rStyle w:val="57"/>
                              <w:rFonts w:hint="eastAsia" w:ascii="宋体" w:hAnsi="宋体" w:eastAsia="宋体"/>
                              <w:sz w:val="28"/>
                              <w:szCs w:val="28"/>
                            </w:rPr>
                            <w:t xml:space="preserve"> </w:t>
                          </w:r>
                          <w:r>
                            <w:rPr>
                              <w:rFonts w:ascii="宋体" w:hAnsi="宋体" w:eastAsia="宋体"/>
                              <w:sz w:val="21"/>
                              <w:szCs w:val="21"/>
                            </w:rPr>
                            <w:fldChar w:fldCharType="begin"/>
                          </w:r>
                          <w:r>
                            <w:rPr>
                              <w:rStyle w:val="57"/>
                              <w:rFonts w:ascii="宋体" w:hAnsi="宋体" w:eastAsia="宋体"/>
                              <w:sz w:val="21"/>
                              <w:szCs w:val="21"/>
                            </w:rPr>
                            <w:instrText xml:space="preserve">PAGE  </w:instrText>
                          </w:r>
                          <w:r>
                            <w:rPr>
                              <w:rFonts w:ascii="宋体" w:hAnsi="宋体" w:eastAsia="宋体"/>
                              <w:sz w:val="21"/>
                              <w:szCs w:val="21"/>
                            </w:rPr>
                            <w:fldChar w:fldCharType="separate"/>
                          </w:r>
                          <w:r>
                            <w:rPr>
                              <w:rStyle w:val="57"/>
                              <w:rFonts w:ascii="宋体" w:hAnsi="宋体" w:eastAsia="宋体"/>
                              <w:sz w:val="21"/>
                              <w:szCs w:val="21"/>
                              <w:lang/>
                            </w:rPr>
                            <w:t>54</w:t>
                          </w:r>
                          <w:r>
                            <w:rPr>
                              <w:rFonts w:ascii="宋体" w:hAnsi="宋体" w:eastAsia="宋体"/>
                              <w:sz w:val="21"/>
                              <w:szCs w:val="21"/>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20L4sgBAACZAwAADgAAAGRycy9lMm9Eb2MueG1srVNLbtswEN0X6B0I 7msqXhSGYDloYCQoEKQF0h6ApkiLAH/g0JZ8gfYGXXXTfc/lc3RISU6abrLohhrODN/MezNaXw/W kKOMoL1r6NWiokQ64Vvt9g39+uX23YoSSNy13HgnG3qSQK83b9+s+1DLpe+8aWUkCOKg7kNDu5RC zRiITloOCx+kw6Dy0fKE17hnbeQ9olvDllX1nvU+tiF6IQHQux2DdEKMrwH0Smkht14crHRpRI3S 8ISUoNMB6KZ0q5QU6ZNSIBMxDUWmqZxYBO1dPtlmzet95KHTYmqBv6aFF5ws1w6LXqC2PHFyiPof KKtF9OBVWghv2UikKIIsrqoX2jx2PMjCBaWGcBEd/h+seDh+jkS3uAmUOG5x4Ocf388/f59/fSPL LE8foMasx4B5abjxQ06d/IDOzHpQ0eYv8iEYR3FPF3HlkIjIj1bL1arCkMDYfEEc9vQ8REh30luS jYZGnF4RlR/vIY2pc0qu5vytNgb9vDbuLwdiZg/LvY89ZisNu2FqfOfbE/LpcfANdbjnlJiPDnXN OzIbcTZ2s3EIUe+7skS5HoQPh4RNlN5yhRF2KowTK+ym7cor8fxesp7+qM0f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dtC+LIAQAAmQMAAA4AAAAAAAAAAQAgAAAAHgEAAGRycy9lMm9Eb2Mu eG1sUEsFBgAAAAAGAAYAWQEAAFgFAAAAAA== ">
              <v:fill on="f" focussize="0,0"/>
              <v:stroke on="f"/>
              <v:imagedata o:title=""/>
              <o:lock v:ext="edit" aspectratio="f"/>
              <v:textbox inset="0mm,0mm,0mm,0mm" style="mso-fit-shape-to-text:t;">
                <w:txbxContent>
                  <w:p>
                    <w:pPr>
                      <w:pStyle w:val="36"/>
                      <w:rPr>
                        <w:rStyle w:val="57"/>
                        <w:rFonts w:hint="eastAsia" w:ascii="宋体" w:hAnsi="宋体" w:eastAsia="宋体"/>
                        <w:sz w:val="21"/>
                        <w:szCs w:val="21"/>
                      </w:rPr>
                    </w:pPr>
                    <w:r>
                      <w:rPr>
                        <w:rStyle w:val="57"/>
                        <w:rFonts w:hint="eastAsia" w:ascii="宋体" w:hAnsi="宋体" w:eastAsia="宋体"/>
                        <w:sz w:val="28"/>
                        <w:szCs w:val="28"/>
                      </w:rPr>
                      <w:t xml:space="preserve"> </w:t>
                    </w:r>
                    <w:r>
                      <w:rPr>
                        <w:rFonts w:ascii="宋体" w:hAnsi="宋体" w:eastAsia="宋体"/>
                        <w:sz w:val="21"/>
                        <w:szCs w:val="21"/>
                      </w:rPr>
                      <w:fldChar w:fldCharType="begin"/>
                    </w:r>
                    <w:r>
                      <w:rPr>
                        <w:rStyle w:val="57"/>
                        <w:rFonts w:ascii="宋体" w:hAnsi="宋体" w:eastAsia="宋体"/>
                        <w:sz w:val="21"/>
                        <w:szCs w:val="21"/>
                      </w:rPr>
                      <w:instrText xml:space="preserve">PAGE  </w:instrText>
                    </w:r>
                    <w:r>
                      <w:rPr>
                        <w:rFonts w:ascii="宋体" w:hAnsi="宋体" w:eastAsia="宋体"/>
                        <w:sz w:val="21"/>
                        <w:szCs w:val="21"/>
                      </w:rPr>
                      <w:fldChar w:fldCharType="separate"/>
                    </w:r>
                    <w:r>
                      <w:rPr>
                        <w:rStyle w:val="57"/>
                        <w:rFonts w:ascii="宋体" w:hAnsi="宋体" w:eastAsia="宋体"/>
                        <w:sz w:val="21"/>
                        <w:szCs w:val="21"/>
                        <w:lang/>
                      </w:rPr>
                      <w:t>54</w:t>
                    </w:r>
                    <w:r>
                      <w:rPr>
                        <w:rFonts w:ascii="宋体" w:hAnsi="宋体" w:eastAsia="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24935"/>
    <w:multiLevelType w:val="singleLevel"/>
    <w:tmpl w:val="96524935"/>
    <w:lvl w:ilvl="0" w:tentative="0">
      <w:start w:val="1"/>
      <w:numFmt w:val="decimal"/>
      <w:suff w:val="space"/>
      <w:lvlText w:val="%1."/>
      <w:lvlJc w:val="left"/>
    </w:lvl>
  </w:abstractNum>
  <w:abstractNum w:abstractNumId="1">
    <w:nsid w:val="CC21E6C4"/>
    <w:multiLevelType w:val="singleLevel"/>
    <w:tmpl w:val="CC21E6C4"/>
    <w:lvl w:ilvl="0" w:tentative="0">
      <w:start w:val="1"/>
      <w:numFmt w:val="chineseCounting"/>
      <w:suff w:val="nothing"/>
      <w:lvlText w:val="%1、"/>
      <w:lvlJc w:val="left"/>
      <w:rPr>
        <w:rFonts w:hint="eastAsia"/>
      </w:rPr>
    </w:lvl>
  </w:abstractNum>
  <w:abstractNum w:abstractNumId="2">
    <w:nsid w:val="00000010"/>
    <w:multiLevelType w:val="multilevel"/>
    <w:tmpl w:val="00000010"/>
    <w:lvl w:ilvl="0" w:tentative="0">
      <w:start w:val="1"/>
      <w:numFmt w:val="chineseCountingThousand"/>
      <w:lvlText w:val="第%1章 "/>
      <w:lvlJc w:val="left"/>
      <w:pPr>
        <w:tabs>
          <w:tab w:val="left" w:pos="420"/>
        </w:tabs>
        <w:ind w:left="420" w:hanging="420"/>
      </w:pPr>
      <w:rPr>
        <w:rFonts w:hint="eastAsia"/>
      </w:rPr>
    </w:lvl>
    <w:lvl w:ilvl="1" w:tentative="0">
      <w:start w:val="1"/>
      <w:numFmt w:val="chineseCountingThousand"/>
      <w:lvlText w:val="第%2节"/>
      <w:lvlJc w:val="left"/>
      <w:pPr>
        <w:tabs>
          <w:tab w:val="left" w:pos="2315"/>
        </w:tabs>
        <w:ind w:left="2315" w:hanging="575"/>
      </w:pPr>
      <w:rPr>
        <w:rFonts w:hint="eastAsia"/>
      </w:rPr>
    </w:lvl>
    <w:lvl w:ilvl="2" w:tentative="0">
      <w:start w:val="1"/>
      <w:numFmt w:val="chineseCounting"/>
      <w:lvlText w:val="%3、"/>
      <w:lvlJc w:val="left"/>
      <w:pPr>
        <w:tabs>
          <w:tab w:val="left" w:pos="1020"/>
        </w:tabs>
        <w:ind w:left="1020" w:hanging="720"/>
      </w:pPr>
      <w:rPr>
        <w:rFonts w:hint="eastAsia" w:ascii="宋体" w:hAnsi="宋体" w:eastAsia="宋体"/>
      </w:rPr>
    </w:lvl>
    <w:lvl w:ilvl="3" w:tentative="0">
      <w:start w:val="1"/>
      <w:numFmt w:val="decimal"/>
      <w:lvlText w:val="%4"/>
      <w:lvlJc w:val="left"/>
      <w:pPr>
        <w:tabs>
          <w:tab w:val="left" w:pos="2604"/>
        </w:tabs>
        <w:ind w:left="2604" w:hanging="864"/>
      </w:pPr>
      <w:rPr>
        <w:rFonts w:hint="eastAsia" w:ascii="宋体" w:hAnsi="宋体" w:eastAsia="宋体"/>
      </w:rPr>
    </w:lvl>
    <w:lvl w:ilvl="4" w:tentative="0">
      <w:start w:val="1"/>
      <w:numFmt w:val="decimal"/>
      <w:pStyle w:val="267"/>
      <w:lvlText w:val="%3.%4.%5"/>
      <w:lvlJc w:val="left"/>
      <w:pPr>
        <w:tabs>
          <w:tab w:val="left" w:pos="1008"/>
        </w:tabs>
        <w:ind w:left="1008" w:hanging="1008"/>
      </w:pPr>
      <w:rPr>
        <w:rFonts w:hint="eastAsia"/>
      </w:rPr>
    </w:lvl>
    <w:lvl w:ilvl="5" w:tentative="0">
      <w:start w:val="1"/>
      <w:numFmt w:val="decimal"/>
      <w:pStyle w:val="10"/>
      <w:lvlText w:val="%1.%2.%3.%4.%5.%6."/>
      <w:lvlJc w:val="left"/>
      <w:pPr>
        <w:tabs>
          <w:tab w:val="left" w:pos="1151"/>
        </w:tabs>
        <w:ind w:left="1151" w:hanging="1151"/>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3"/>
        </w:tabs>
        <w:ind w:left="1583" w:hanging="1583"/>
      </w:pPr>
      <w:rPr>
        <w:rFonts w:hint="eastAsia"/>
      </w:rPr>
    </w:lvl>
  </w:abstractNum>
  <w:abstractNum w:abstractNumId="3">
    <w:nsid w:val="0463679A"/>
    <w:multiLevelType w:val="multilevel"/>
    <w:tmpl w:val="046367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7AE4C38"/>
    <w:multiLevelType w:val="multilevel"/>
    <w:tmpl w:val="07AE4C3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CE119D"/>
    <w:multiLevelType w:val="multilevel"/>
    <w:tmpl w:val="21CE119D"/>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D1F49E1"/>
    <w:multiLevelType w:val="multilevel"/>
    <w:tmpl w:val="2D1F49E1"/>
    <w:lvl w:ilvl="0" w:tentative="0">
      <w:start w:val="10"/>
      <w:numFmt w:val="decimal"/>
      <w:lvlText w:val="(%1)"/>
      <w:lvlJc w:val="left"/>
      <w:pPr>
        <w:tabs>
          <w:tab w:val="left" w:pos="1440"/>
        </w:tabs>
        <w:ind w:left="1440" w:hanging="360"/>
      </w:pPr>
      <w:rPr>
        <w:rFonts w:hint="eastAsia"/>
      </w:rPr>
    </w:lvl>
    <w:lvl w:ilvl="1" w:tentative="0">
      <w:start w:val="1"/>
      <w:numFmt w:val="lowerLetter"/>
      <w:pStyle w:val="276"/>
      <w:lvlText w:val="%2)"/>
      <w:lvlJc w:val="left"/>
      <w:pPr>
        <w:tabs>
          <w:tab w:val="left" w:pos="840"/>
        </w:tabs>
        <w:ind w:left="840" w:hanging="420"/>
      </w:pPr>
    </w:lvl>
    <w:lvl w:ilvl="2" w:tentative="0">
      <w:start w:val="1"/>
      <w:numFmt w:val="lowerRoman"/>
      <w:pStyle w:val="34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E3D1088"/>
    <w:multiLevelType w:val="multilevel"/>
    <w:tmpl w:val="2E3D10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122268A"/>
    <w:multiLevelType w:val="multilevel"/>
    <w:tmpl w:val="3122268A"/>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2063B84"/>
    <w:multiLevelType w:val="singleLevel"/>
    <w:tmpl w:val="32063B84"/>
    <w:lvl w:ilvl="0" w:tentative="0">
      <w:start w:val="1"/>
      <w:numFmt w:val="decimal"/>
      <w:pStyle w:val="29"/>
      <w:lvlText w:val="%1."/>
      <w:lvlJc w:val="left"/>
      <w:pPr>
        <w:tabs>
          <w:tab w:val="left" w:pos="360"/>
        </w:tabs>
        <w:ind w:left="0" w:firstLine="0"/>
      </w:pPr>
      <w:rPr>
        <w:rFonts w:hint="eastAsia"/>
      </w:rPr>
    </w:lvl>
  </w:abstractNum>
  <w:abstractNum w:abstractNumId="10">
    <w:nsid w:val="423F268C"/>
    <w:multiLevelType w:val="multilevel"/>
    <w:tmpl w:val="423F268C"/>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7A82C09"/>
    <w:multiLevelType w:val="multilevel"/>
    <w:tmpl w:val="47A82C09"/>
    <w:lvl w:ilvl="0" w:tentative="0">
      <w:start w:val="1"/>
      <w:numFmt w:val="decimal"/>
      <w:pStyle w:val="309"/>
      <w:lvlText w:val="%1、"/>
      <w:lvlJc w:val="left"/>
      <w:pPr>
        <w:ind w:left="980" w:hanging="36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567E2564"/>
    <w:multiLevelType w:val="singleLevel"/>
    <w:tmpl w:val="567E2564"/>
    <w:lvl w:ilvl="0" w:tentative="0">
      <w:start w:val="1"/>
      <w:numFmt w:val="chineseCounting"/>
      <w:suff w:val="nothing"/>
      <w:lvlText w:val="%1、"/>
      <w:lvlJc w:val="left"/>
    </w:lvl>
  </w:abstractNum>
  <w:abstractNum w:abstractNumId="15">
    <w:nsid w:val="5D91536E"/>
    <w:multiLevelType w:val="multilevel"/>
    <w:tmpl w:val="5D9153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1D1399"/>
    <w:multiLevelType w:val="singleLevel"/>
    <w:tmpl w:val="5F1D1399"/>
    <w:lvl w:ilvl="0" w:tentative="0">
      <w:start w:val="2"/>
      <w:numFmt w:val="decimal"/>
      <w:pStyle w:val="349"/>
      <w:lvlText w:val="第%1章"/>
      <w:lvlJc w:val="left"/>
      <w:pPr>
        <w:tabs>
          <w:tab w:val="left" w:pos="3690"/>
        </w:tabs>
        <w:ind w:left="3690" w:hanging="1200"/>
      </w:pPr>
      <w:rPr>
        <w:rFonts w:hint="default"/>
      </w:rPr>
    </w:lvl>
  </w:abstractNum>
  <w:abstractNum w:abstractNumId="17">
    <w:nsid w:val="76C47FED"/>
    <w:multiLevelType w:val="multilevel"/>
    <w:tmpl w:val="76C47FED"/>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D85B77"/>
    <w:multiLevelType w:val="multilevel"/>
    <w:tmpl w:val="7BD85B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6"/>
  </w:num>
  <w:num w:numId="4">
    <w:abstractNumId w:val="11"/>
  </w:num>
  <w:num w:numId="5">
    <w:abstractNumId w:val="16"/>
  </w:num>
  <w:num w:numId="6">
    <w:abstractNumId w:val="1"/>
  </w:num>
  <w:num w:numId="7">
    <w:abstractNumId w:val="4"/>
  </w:num>
  <w:num w:numId="8">
    <w:abstractNumId w:val="10"/>
  </w:num>
  <w:num w:numId="9">
    <w:abstractNumId w:val="17"/>
  </w:num>
  <w:num w:numId="10">
    <w:abstractNumId w:val="7"/>
  </w:num>
  <w:num w:numId="11">
    <w:abstractNumId w:val="3"/>
  </w:num>
  <w:num w:numId="12">
    <w:abstractNumId w:val="5"/>
  </w:num>
  <w:num w:numId="13">
    <w:abstractNumId w:val="15"/>
  </w:num>
  <w:num w:numId="14">
    <w:abstractNumId w:val="18"/>
  </w:num>
  <w:num w:numId="15">
    <w:abstractNumId w:val="8"/>
  </w:num>
  <w:num w:numId="16">
    <w:abstractNumId w:val="0"/>
  </w:num>
  <w:num w:numId="17">
    <w:abstractNumId w:val="14"/>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MmRlMjFiYTQ4YzE3ZjA2OGY0NjU1YTExY2QxNzMifQ=="/>
  </w:docVars>
  <w:rsids>
    <w:rsidRoot w:val="00DE310C"/>
    <w:rsid w:val="00001A05"/>
    <w:rsid w:val="00012EAA"/>
    <w:rsid w:val="00015A65"/>
    <w:rsid w:val="00021771"/>
    <w:rsid w:val="00022CB9"/>
    <w:rsid w:val="00023379"/>
    <w:rsid w:val="00024306"/>
    <w:rsid w:val="0004486D"/>
    <w:rsid w:val="00050A37"/>
    <w:rsid w:val="00056E26"/>
    <w:rsid w:val="000A1ECF"/>
    <w:rsid w:val="000A3589"/>
    <w:rsid w:val="000B42B9"/>
    <w:rsid w:val="000C0155"/>
    <w:rsid w:val="000D57D1"/>
    <w:rsid w:val="000D600C"/>
    <w:rsid w:val="000F1174"/>
    <w:rsid w:val="000F32C7"/>
    <w:rsid w:val="000F77DB"/>
    <w:rsid w:val="00100BA2"/>
    <w:rsid w:val="0010254C"/>
    <w:rsid w:val="00106637"/>
    <w:rsid w:val="00113BE0"/>
    <w:rsid w:val="00115588"/>
    <w:rsid w:val="00115DF4"/>
    <w:rsid w:val="00117C8C"/>
    <w:rsid w:val="001200D3"/>
    <w:rsid w:val="00124265"/>
    <w:rsid w:val="0013626C"/>
    <w:rsid w:val="00140332"/>
    <w:rsid w:val="001471B1"/>
    <w:rsid w:val="001549B7"/>
    <w:rsid w:val="00181CAD"/>
    <w:rsid w:val="001843AA"/>
    <w:rsid w:val="00193C97"/>
    <w:rsid w:val="001A33C0"/>
    <w:rsid w:val="001B468B"/>
    <w:rsid w:val="001B71A1"/>
    <w:rsid w:val="001B7698"/>
    <w:rsid w:val="001C4EE6"/>
    <w:rsid w:val="001C6061"/>
    <w:rsid w:val="001E0B01"/>
    <w:rsid w:val="002078B3"/>
    <w:rsid w:val="00211023"/>
    <w:rsid w:val="002147DD"/>
    <w:rsid w:val="0022121A"/>
    <w:rsid w:val="002378FD"/>
    <w:rsid w:val="00244B79"/>
    <w:rsid w:val="00260C12"/>
    <w:rsid w:val="00261937"/>
    <w:rsid w:val="0026638F"/>
    <w:rsid w:val="002663E3"/>
    <w:rsid w:val="002663E9"/>
    <w:rsid w:val="00267E0C"/>
    <w:rsid w:val="00273525"/>
    <w:rsid w:val="00291BAD"/>
    <w:rsid w:val="002A0B96"/>
    <w:rsid w:val="002A3CAE"/>
    <w:rsid w:val="002B1C26"/>
    <w:rsid w:val="002B54D8"/>
    <w:rsid w:val="002E1C14"/>
    <w:rsid w:val="002F416F"/>
    <w:rsid w:val="00303CBB"/>
    <w:rsid w:val="00305C88"/>
    <w:rsid w:val="00311F56"/>
    <w:rsid w:val="00333C70"/>
    <w:rsid w:val="00337531"/>
    <w:rsid w:val="00337984"/>
    <w:rsid w:val="00340684"/>
    <w:rsid w:val="00345F6B"/>
    <w:rsid w:val="003517CD"/>
    <w:rsid w:val="00356E9B"/>
    <w:rsid w:val="003A662D"/>
    <w:rsid w:val="003A6CBC"/>
    <w:rsid w:val="003C00BF"/>
    <w:rsid w:val="003C6FAB"/>
    <w:rsid w:val="003E535A"/>
    <w:rsid w:val="003E61A1"/>
    <w:rsid w:val="003E6880"/>
    <w:rsid w:val="003F179D"/>
    <w:rsid w:val="003F5403"/>
    <w:rsid w:val="003F6733"/>
    <w:rsid w:val="003F7789"/>
    <w:rsid w:val="00413410"/>
    <w:rsid w:val="00422DC7"/>
    <w:rsid w:val="004656D1"/>
    <w:rsid w:val="004661BD"/>
    <w:rsid w:val="00467363"/>
    <w:rsid w:val="0047294E"/>
    <w:rsid w:val="004758BB"/>
    <w:rsid w:val="0048063F"/>
    <w:rsid w:val="00481772"/>
    <w:rsid w:val="00492718"/>
    <w:rsid w:val="004B31B9"/>
    <w:rsid w:val="004C1730"/>
    <w:rsid w:val="004C1A06"/>
    <w:rsid w:val="004C6A2F"/>
    <w:rsid w:val="004C7D9F"/>
    <w:rsid w:val="004D5BF9"/>
    <w:rsid w:val="00507813"/>
    <w:rsid w:val="00514B43"/>
    <w:rsid w:val="00526801"/>
    <w:rsid w:val="00537779"/>
    <w:rsid w:val="00543C49"/>
    <w:rsid w:val="00560161"/>
    <w:rsid w:val="00562C39"/>
    <w:rsid w:val="005643B1"/>
    <w:rsid w:val="00564AFC"/>
    <w:rsid w:val="00575841"/>
    <w:rsid w:val="00581DFF"/>
    <w:rsid w:val="0058366B"/>
    <w:rsid w:val="00593E92"/>
    <w:rsid w:val="0059571C"/>
    <w:rsid w:val="005B37BA"/>
    <w:rsid w:val="005D0A9A"/>
    <w:rsid w:val="005D0FFC"/>
    <w:rsid w:val="005D761C"/>
    <w:rsid w:val="005E785D"/>
    <w:rsid w:val="005F5493"/>
    <w:rsid w:val="005F7A25"/>
    <w:rsid w:val="00607C93"/>
    <w:rsid w:val="006165B6"/>
    <w:rsid w:val="00651F0B"/>
    <w:rsid w:val="00657AB5"/>
    <w:rsid w:val="00673B16"/>
    <w:rsid w:val="00677C16"/>
    <w:rsid w:val="006917FF"/>
    <w:rsid w:val="00693D51"/>
    <w:rsid w:val="00697725"/>
    <w:rsid w:val="006A2171"/>
    <w:rsid w:val="006A2353"/>
    <w:rsid w:val="006A7F06"/>
    <w:rsid w:val="006B4965"/>
    <w:rsid w:val="006B5584"/>
    <w:rsid w:val="006D060A"/>
    <w:rsid w:val="006D1BA2"/>
    <w:rsid w:val="006D4AE0"/>
    <w:rsid w:val="006D7990"/>
    <w:rsid w:val="006D7AC2"/>
    <w:rsid w:val="006E1FA4"/>
    <w:rsid w:val="006E2499"/>
    <w:rsid w:val="007053A2"/>
    <w:rsid w:val="00714137"/>
    <w:rsid w:val="007179D3"/>
    <w:rsid w:val="00724EBA"/>
    <w:rsid w:val="00734E17"/>
    <w:rsid w:val="00750AAB"/>
    <w:rsid w:val="007602E9"/>
    <w:rsid w:val="0076196A"/>
    <w:rsid w:val="007639D2"/>
    <w:rsid w:val="00765F3C"/>
    <w:rsid w:val="007764E3"/>
    <w:rsid w:val="007A2884"/>
    <w:rsid w:val="007A4F81"/>
    <w:rsid w:val="007A6FA2"/>
    <w:rsid w:val="007B00F0"/>
    <w:rsid w:val="007B50D3"/>
    <w:rsid w:val="007C7D2D"/>
    <w:rsid w:val="007D134A"/>
    <w:rsid w:val="007D795F"/>
    <w:rsid w:val="007E59FC"/>
    <w:rsid w:val="007F6756"/>
    <w:rsid w:val="008033FC"/>
    <w:rsid w:val="00804974"/>
    <w:rsid w:val="00806BA0"/>
    <w:rsid w:val="008114FD"/>
    <w:rsid w:val="00820A73"/>
    <w:rsid w:val="00826107"/>
    <w:rsid w:val="00827455"/>
    <w:rsid w:val="008367C4"/>
    <w:rsid w:val="00841595"/>
    <w:rsid w:val="0084302E"/>
    <w:rsid w:val="008606FE"/>
    <w:rsid w:val="00881BA1"/>
    <w:rsid w:val="0088362B"/>
    <w:rsid w:val="0088388E"/>
    <w:rsid w:val="00892A25"/>
    <w:rsid w:val="008B1810"/>
    <w:rsid w:val="008B240F"/>
    <w:rsid w:val="008B4282"/>
    <w:rsid w:val="008D3472"/>
    <w:rsid w:val="008E4556"/>
    <w:rsid w:val="00915838"/>
    <w:rsid w:val="00916091"/>
    <w:rsid w:val="009306E8"/>
    <w:rsid w:val="00941546"/>
    <w:rsid w:val="00943211"/>
    <w:rsid w:val="00945E3C"/>
    <w:rsid w:val="0098141A"/>
    <w:rsid w:val="009822DA"/>
    <w:rsid w:val="009A5350"/>
    <w:rsid w:val="009D3881"/>
    <w:rsid w:val="009D58EE"/>
    <w:rsid w:val="009E4116"/>
    <w:rsid w:val="009F43EA"/>
    <w:rsid w:val="00A0107E"/>
    <w:rsid w:val="00A023B2"/>
    <w:rsid w:val="00A06E02"/>
    <w:rsid w:val="00A26BEC"/>
    <w:rsid w:val="00A27B88"/>
    <w:rsid w:val="00A324B5"/>
    <w:rsid w:val="00A328CE"/>
    <w:rsid w:val="00A37DD7"/>
    <w:rsid w:val="00A44FC4"/>
    <w:rsid w:val="00A6289E"/>
    <w:rsid w:val="00A80D65"/>
    <w:rsid w:val="00A80D7D"/>
    <w:rsid w:val="00A8301A"/>
    <w:rsid w:val="00A8465D"/>
    <w:rsid w:val="00A9330E"/>
    <w:rsid w:val="00AA1CD4"/>
    <w:rsid w:val="00AA5A76"/>
    <w:rsid w:val="00AB5DBB"/>
    <w:rsid w:val="00AB72F7"/>
    <w:rsid w:val="00AC1EA1"/>
    <w:rsid w:val="00AD58A3"/>
    <w:rsid w:val="00AD7E75"/>
    <w:rsid w:val="00AE254C"/>
    <w:rsid w:val="00AE5D03"/>
    <w:rsid w:val="00B007C3"/>
    <w:rsid w:val="00B23B27"/>
    <w:rsid w:val="00B30AD6"/>
    <w:rsid w:val="00B4128A"/>
    <w:rsid w:val="00B44ED1"/>
    <w:rsid w:val="00B45141"/>
    <w:rsid w:val="00B62719"/>
    <w:rsid w:val="00B63097"/>
    <w:rsid w:val="00B810C6"/>
    <w:rsid w:val="00BA6759"/>
    <w:rsid w:val="00BB05D4"/>
    <w:rsid w:val="00BD25E9"/>
    <w:rsid w:val="00BD546B"/>
    <w:rsid w:val="00BD6257"/>
    <w:rsid w:val="00BD69C9"/>
    <w:rsid w:val="00BE035A"/>
    <w:rsid w:val="00C00778"/>
    <w:rsid w:val="00C11C77"/>
    <w:rsid w:val="00C137CC"/>
    <w:rsid w:val="00C202DF"/>
    <w:rsid w:val="00C267D8"/>
    <w:rsid w:val="00C4068D"/>
    <w:rsid w:val="00C503F4"/>
    <w:rsid w:val="00C54BFF"/>
    <w:rsid w:val="00C56AB3"/>
    <w:rsid w:val="00C641E0"/>
    <w:rsid w:val="00C70BC0"/>
    <w:rsid w:val="00C83D0D"/>
    <w:rsid w:val="00CA05B6"/>
    <w:rsid w:val="00CA1C1A"/>
    <w:rsid w:val="00CA6013"/>
    <w:rsid w:val="00CB1195"/>
    <w:rsid w:val="00CB46FA"/>
    <w:rsid w:val="00CC4B3F"/>
    <w:rsid w:val="00CD7BE6"/>
    <w:rsid w:val="00CF3A55"/>
    <w:rsid w:val="00CF696B"/>
    <w:rsid w:val="00D14FE1"/>
    <w:rsid w:val="00D16D71"/>
    <w:rsid w:val="00D2728E"/>
    <w:rsid w:val="00D40693"/>
    <w:rsid w:val="00D52BCE"/>
    <w:rsid w:val="00D73282"/>
    <w:rsid w:val="00D75249"/>
    <w:rsid w:val="00D76692"/>
    <w:rsid w:val="00D80F72"/>
    <w:rsid w:val="00D91F9A"/>
    <w:rsid w:val="00DA21D6"/>
    <w:rsid w:val="00DB410C"/>
    <w:rsid w:val="00DB7785"/>
    <w:rsid w:val="00DC0CA4"/>
    <w:rsid w:val="00DC1057"/>
    <w:rsid w:val="00DC363A"/>
    <w:rsid w:val="00DC36D9"/>
    <w:rsid w:val="00DC544C"/>
    <w:rsid w:val="00DD22B4"/>
    <w:rsid w:val="00DD6E44"/>
    <w:rsid w:val="00DE1726"/>
    <w:rsid w:val="00DE310C"/>
    <w:rsid w:val="00DF1028"/>
    <w:rsid w:val="00DF2942"/>
    <w:rsid w:val="00DF3343"/>
    <w:rsid w:val="00DF364D"/>
    <w:rsid w:val="00DF66CD"/>
    <w:rsid w:val="00E10827"/>
    <w:rsid w:val="00E117BF"/>
    <w:rsid w:val="00E15D13"/>
    <w:rsid w:val="00E22526"/>
    <w:rsid w:val="00E317D8"/>
    <w:rsid w:val="00E552FE"/>
    <w:rsid w:val="00E718C2"/>
    <w:rsid w:val="00E92268"/>
    <w:rsid w:val="00EA2C33"/>
    <w:rsid w:val="00EA6787"/>
    <w:rsid w:val="00EB6093"/>
    <w:rsid w:val="00EC6089"/>
    <w:rsid w:val="00ED376E"/>
    <w:rsid w:val="00EE0699"/>
    <w:rsid w:val="00EE4EFB"/>
    <w:rsid w:val="00EE6649"/>
    <w:rsid w:val="00EE6B94"/>
    <w:rsid w:val="00EF4BC3"/>
    <w:rsid w:val="00F05882"/>
    <w:rsid w:val="00F06066"/>
    <w:rsid w:val="00F076D2"/>
    <w:rsid w:val="00F142F9"/>
    <w:rsid w:val="00F14948"/>
    <w:rsid w:val="00F233B9"/>
    <w:rsid w:val="00F2342B"/>
    <w:rsid w:val="00F24760"/>
    <w:rsid w:val="00F45830"/>
    <w:rsid w:val="00F645C9"/>
    <w:rsid w:val="00F81955"/>
    <w:rsid w:val="00F85FB4"/>
    <w:rsid w:val="00F86BFE"/>
    <w:rsid w:val="00F91345"/>
    <w:rsid w:val="00FA2F6C"/>
    <w:rsid w:val="00FA34DC"/>
    <w:rsid w:val="00FD2D8E"/>
    <w:rsid w:val="00FD2F40"/>
    <w:rsid w:val="00FD5DE9"/>
    <w:rsid w:val="00FD607B"/>
    <w:rsid w:val="00FE024D"/>
    <w:rsid w:val="00FE11E0"/>
    <w:rsid w:val="00FE7DF0"/>
    <w:rsid w:val="00FF7C6D"/>
    <w:rsid w:val="014E0B48"/>
    <w:rsid w:val="016E5F99"/>
    <w:rsid w:val="017A648B"/>
    <w:rsid w:val="01B71103"/>
    <w:rsid w:val="025727E1"/>
    <w:rsid w:val="028F06C1"/>
    <w:rsid w:val="02A96F54"/>
    <w:rsid w:val="02CE7200"/>
    <w:rsid w:val="02CF3B45"/>
    <w:rsid w:val="02D9527E"/>
    <w:rsid w:val="03511F14"/>
    <w:rsid w:val="0364438F"/>
    <w:rsid w:val="03660724"/>
    <w:rsid w:val="03A03D81"/>
    <w:rsid w:val="03B75CDC"/>
    <w:rsid w:val="03DD365F"/>
    <w:rsid w:val="03EE7A0A"/>
    <w:rsid w:val="040B12BD"/>
    <w:rsid w:val="04453AB1"/>
    <w:rsid w:val="04B86DCC"/>
    <w:rsid w:val="06EC1072"/>
    <w:rsid w:val="07216D8C"/>
    <w:rsid w:val="07400D3E"/>
    <w:rsid w:val="07522614"/>
    <w:rsid w:val="07951FED"/>
    <w:rsid w:val="07A64AE1"/>
    <w:rsid w:val="07BE467A"/>
    <w:rsid w:val="07FB6ED8"/>
    <w:rsid w:val="080E3DD5"/>
    <w:rsid w:val="082D71E5"/>
    <w:rsid w:val="08353110"/>
    <w:rsid w:val="087E6752"/>
    <w:rsid w:val="09263CE3"/>
    <w:rsid w:val="09264C23"/>
    <w:rsid w:val="093D6379"/>
    <w:rsid w:val="09974B5A"/>
    <w:rsid w:val="09AC306C"/>
    <w:rsid w:val="09BE7E49"/>
    <w:rsid w:val="09F42D71"/>
    <w:rsid w:val="0A3F7755"/>
    <w:rsid w:val="0A434865"/>
    <w:rsid w:val="0A684825"/>
    <w:rsid w:val="0AA82012"/>
    <w:rsid w:val="0AAC2C0F"/>
    <w:rsid w:val="0B0A26E0"/>
    <w:rsid w:val="0B0B6EBB"/>
    <w:rsid w:val="0B722FBD"/>
    <w:rsid w:val="0B8E10EA"/>
    <w:rsid w:val="0BC40A35"/>
    <w:rsid w:val="0C022779"/>
    <w:rsid w:val="0C032C93"/>
    <w:rsid w:val="0C2C484E"/>
    <w:rsid w:val="0CBD10F3"/>
    <w:rsid w:val="0CE86D96"/>
    <w:rsid w:val="0D1A010B"/>
    <w:rsid w:val="0D3161E5"/>
    <w:rsid w:val="0D4A7695"/>
    <w:rsid w:val="0D811CD2"/>
    <w:rsid w:val="0DBB17A6"/>
    <w:rsid w:val="0DC1553D"/>
    <w:rsid w:val="0DC268B7"/>
    <w:rsid w:val="0DD900C0"/>
    <w:rsid w:val="0E0F5CCC"/>
    <w:rsid w:val="0E280597"/>
    <w:rsid w:val="0F5C2C09"/>
    <w:rsid w:val="0F6244E4"/>
    <w:rsid w:val="0F9527E0"/>
    <w:rsid w:val="102845E9"/>
    <w:rsid w:val="103866A6"/>
    <w:rsid w:val="104C4DC9"/>
    <w:rsid w:val="10CF5F65"/>
    <w:rsid w:val="10CF7488"/>
    <w:rsid w:val="10E84580"/>
    <w:rsid w:val="10FA0761"/>
    <w:rsid w:val="115E63D4"/>
    <w:rsid w:val="120151A9"/>
    <w:rsid w:val="125664A3"/>
    <w:rsid w:val="12985115"/>
    <w:rsid w:val="129D4699"/>
    <w:rsid w:val="12E47534"/>
    <w:rsid w:val="137C4171"/>
    <w:rsid w:val="138C2C9D"/>
    <w:rsid w:val="138C4E69"/>
    <w:rsid w:val="13DC481D"/>
    <w:rsid w:val="13FD6DDD"/>
    <w:rsid w:val="13FF20DE"/>
    <w:rsid w:val="14364E7F"/>
    <w:rsid w:val="151229F9"/>
    <w:rsid w:val="157803A5"/>
    <w:rsid w:val="1609798B"/>
    <w:rsid w:val="161064DE"/>
    <w:rsid w:val="1620560F"/>
    <w:rsid w:val="16262902"/>
    <w:rsid w:val="16CA3719"/>
    <w:rsid w:val="175C5452"/>
    <w:rsid w:val="176D052B"/>
    <w:rsid w:val="177B0D14"/>
    <w:rsid w:val="189051B1"/>
    <w:rsid w:val="18D674CC"/>
    <w:rsid w:val="18EE5C20"/>
    <w:rsid w:val="19052A19"/>
    <w:rsid w:val="193F18FA"/>
    <w:rsid w:val="194339A0"/>
    <w:rsid w:val="197D295E"/>
    <w:rsid w:val="198C3EE7"/>
    <w:rsid w:val="19DE6620"/>
    <w:rsid w:val="19F3743B"/>
    <w:rsid w:val="1A10505E"/>
    <w:rsid w:val="1A15782B"/>
    <w:rsid w:val="1A176F4F"/>
    <w:rsid w:val="1A583F5E"/>
    <w:rsid w:val="1A6136B9"/>
    <w:rsid w:val="1AF26D42"/>
    <w:rsid w:val="1B0042B8"/>
    <w:rsid w:val="1B13413C"/>
    <w:rsid w:val="1B6E65B3"/>
    <w:rsid w:val="1B8A6DDF"/>
    <w:rsid w:val="1BBC3E3D"/>
    <w:rsid w:val="1BD815BE"/>
    <w:rsid w:val="1BFB7CD3"/>
    <w:rsid w:val="1C4716A4"/>
    <w:rsid w:val="1CC215A1"/>
    <w:rsid w:val="1CD77B27"/>
    <w:rsid w:val="1D1440F0"/>
    <w:rsid w:val="1D8A03C5"/>
    <w:rsid w:val="1D8A5B88"/>
    <w:rsid w:val="1DA56975"/>
    <w:rsid w:val="1E7B2F21"/>
    <w:rsid w:val="1EA14245"/>
    <w:rsid w:val="1F1F100E"/>
    <w:rsid w:val="1F2F25E3"/>
    <w:rsid w:val="1F4B2256"/>
    <w:rsid w:val="1F6142CD"/>
    <w:rsid w:val="1FD32C49"/>
    <w:rsid w:val="20194AB6"/>
    <w:rsid w:val="20623FC6"/>
    <w:rsid w:val="209F05E3"/>
    <w:rsid w:val="211F759C"/>
    <w:rsid w:val="21702672"/>
    <w:rsid w:val="21784E57"/>
    <w:rsid w:val="21B303CB"/>
    <w:rsid w:val="225E1CE3"/>
    <w:rsid w:val="226F155A"/>
    <w:rsid w:val="22A86068"/>
    <w:rsid w:val="22EB16E2"/>
    <w:rsid w:val="22F74764"/>
    <w:rsid w:val="2312043A"/>
    <w:rsid w:val="231B292F"/>
    <w:rsid w:val="23283E11"/>
    <w:rsid w:val="2333407F"/>
    <w:rsid w:val="233C68E8"/>
    <w:rsid w:val="237159EE"/>
    <w:rsid w:val="238F7C93"/>
    <w:rsid w:val="24591575"/>
    <w:rsid w:val="25096CDF"/>
    <w:rsid w:val="251770FC"/>
    <w:rsid w:val="252D1FD1"/>
    <w:rsid w:val="253A41A3"/>
    <w:rsid w:val="25CB4E3D"/>
    <w:rsid w:val="25EC246A"/>
    <w:rsid w:val="26093577"/>
    <w:rsid w:val="261E6AAD"/>
    <w:rsid w:val="263F13AB"/>
    <w:rsid w:val="264F12DE"/>
    <w:rsid w:val="26C35989"/>
    <w:rsid w:val="26DE5253"/>
    <w:rsid w:val="27216A4D"/>
    <w:rsid w:val="273B4BEE"/>
    <w:rsid w:val="27575F75"/>
    <w:rsid w:val="278775C5"/>
    <w:rsid w:val="279E3E2B"/>
    <w:rsid w:val="27A64863"/>
    <w:rsid w:val="27CF03E4"/>
    <w:rsid w:val="27EB2F3D"/>
    <w:rsid w:val="28737700"/>
    <w:rsid w:val="28C60DF5"/>
    <w:rsid w:val="28C77F09"/>
    <w:rsid w:val="29147037"/>
    <w:rsid w:val="29E83D8F"/>
    <w:rsid w:val="2A1C73BE"/>
    <w:rsid w:val="2A365DA8"/>
    <w:rsid w:val="2A507D90"/>
    <w:rsid w:val="2A846548"/>
    <w:rsid w:val="2AE22230"/>
    <w:rsid w:val="2B4B60FB"/>
    <w:rsid w:val="2B984F45"/>
    <w:rsid w:val="2BA76FD8"/>
    <w:rsid w:val="2D41674C"/>
    <w:rsid w:val="2D7C0142"/>
    <w:rsid w:val="2DA4106E"/>
    <w:rsid w:val="2E381263"/>
    <w:rsid w:val="2E6719D2"/>
    <w:rsid w:val="2ED77D87"/>
    <w:rsid w:val="2F175CCA"/>
    <w:rsid w:val="2F5434CB"/>
    <w:rsid w:val="2FF77B69"/>
    <w:rsid w:val="2FFA4747"/>
    <w:rsid w:val="300250D2"/>
    <w:rsid w:val="308378D8"/>
    <w:rsid w:val="30A05D72"/>
    <w:rsid w:val="30AA2659"/>
    <w:rsid w:val="30E43FEA"/>
    <w:rsid w:val="318C5CD7"/>
    <w:rsid w:val="32213F17"/>
    <w:rsid w:val="3252231D"/>
    <w:rsid w:val="32577404"/>
    <w:rsid w:val="32825122"/>
    <w:rsid w:val="328E721A"/>
    <w:rsid w:val="329B3A16"/>
    <w:rsid w:val="32B1662E"/>
    <w:rsid w:val="32D912FC"/>
    <w:rsid w:val="330F2DAA"/>
    <w:rsid w:val="33BA0E14"/>
    <w:rsid w:val="33CA2E03"/>
    <w:rsid w:val="33EF33DC"/>
    <w:rsid w:val="33F12D5C"/>
    <w:rsid w:val="33FD713D"/>
    <w:rsid w:val="34801598"/>
    <w:rsid w:val="34902933"/>
    <w:rsid w:val="34B76A00"/>
    <w:rsid w:val="34DF0BDE"/>
    <w:rsid w:val="35290216"/>
    <w:rsid w:val="35826037"/>
    <w:rsid w:val="35E30509"/>
    <w:rsid w:val="35F2150E"/>
    <w:rsid w:val="36144F46"/>
    <w:rsid w:val="364440DA"/>
    <w:rsid w:val="36587CA5"/>
    <w:rsid w:val="36C91572"/>
    <w:rsid w:val="373319D8"/>
    <w:rsid w:val="3741782D"/>
    <w:rsid w:val="376D39F9"/>
    <w:rsid w:val="381B3503"/>
    <w:rsid w:val="382A1CAB"/>
    <w:rsid w:val="38506D8F"/>
    <w:rsid w:val="385409BD"/>
    <w:rsid w:val="3865421F"/>
    <w:rsid w:val="38772403"/>
    <w:rsid w:val="39A9663D"/>
    <w:rsid w:val="39CE57F4"/>
    <w:rsid w:val="39F76757"/>
    <w:rsid w:val="3AD47500"/>
    <w:rsid w:val="3B8C5043"/>
    <w:rsid w:val="3BC67ECC"/>
    <w:rsid w:val="3C147ED7"/>
    <w:rsid w:val="3C1E4032"/>
    <w:rsid w:val="3C263F3D"/>
    <w:rsid w:val="3C3B402F"/>
    <w:rsid w:val="3CB141C7"/>
    <w:rsid w:val="3CB6209A"/>
    <w:rsid w:val="3D2F6234"/>
    <w:rsid w:val="3D584789"/>
    <w:rsid w:val="3DA70CE1"/>
    <w:rsid w:val="3DE62B35"/>
    <w:rsid w:val="3DF91E7F"/>
    <w:rsid w:val="3DFA1A02"/>
    <w:rsid w:val="3E706BEB"/>
    <w:rsid w:val="3EB72A40"/>
    <w:rsid w:val="3F3079FA"/>
    <w:rsid w:val="3F3B31CA"/>
    <w:rsid w:val="3F4F6017"/>
    <w:rsid w:val="3F517E02"/>
    <w:rsid w:val="3FBE01E4"/>
    <w:rsid w:val="40167A70"/>
    <w:rsid w:val="40202543"/>
    <w:rsid w:val="40757867"/>
    <w:rsid w:val="408C1872"/>
    <w:rsid w:val="40DB4E75"/>
    <w:rsid w:val="40F14751"/>
    <w:rsid w:val="410727E6"/>
    <w:rsid w:val="4125043B"/>
    <w:rsid w:val="412B5EA9"/>
    <w:rsid w:val="412E6E7D"/>
    <w:rsid w:val="416F6BB2"/>
    <w:rsid w:val="42DD6BE5"/>
    <w:rsid w:val="4413072B"/>
    <w:rsid w:val="442A15AB"/>
    <w:rsid w:val="44682E47"/>
    <w:rsid w:val="449D6E18"/>
    <w:rsid w:val="44A97280"/>
    <w:rsid w:val="44FA1A52"/>
    <w:rsid w:val="453C76F1"/>
    <w:rsid w:val="45643A54"/>
    <w:rsid w:val="45BD7C75"/>
    <w:rsid w:val="463A102A"/>
    <w:rsid w:val="465A42BC"/>
    <w:rsid w:val="46673A9B"/>
    <w:rsid w:val="46A90803"/>
    <w:rsid w:val="473C1532"/>
    <w:rsid w:val="475E5EF2"/>
    <w:rsid w:val="476164D2"/>
    <w:rsid w:val="47EB25EB"/>
    <w:rsid w:val="484A7C25"/>
    <w:rsid w:val="488C4A9B"/>
    <w:rsid w:val="48CC36A0"/>
    <w:rsid w:val="493E26A6"/>
    <w:rsid w:val="4967748D"/>
    <w:rsid w:val="49A96241"/>
    <w:rsid w:val="4A136229"/>
    <w:rsid w:val="4A9F6A8D"/>
    <w:rsid w:val="4AB767B4"/>
    <w:rsid w:val="4ABB62B3"/>
    <w:rsid w:val="4AF76E89"/>
    <w:rsid w:val="4B3F2B00"/>
    <w:rsid w:val="4C0C425E"/>
    <w:rsid w:val="4C467279"/>
    <w:rsid w:val="4C6027DC"/>
    <w:rsid w:val="4C9D04A2"/>
    <w:rsid w:val="4CA16953"/>
    <w:rsid w:val="4CF57A0F"/>
    <w:rsid w:val="4CFA7DB4"/>
    <w:rsid w:val="4D48050D"/>
    <w:rsid w:val="4D621778"/>
    <w:rsid w:val="4D815324"/>
    <w:rsid w:val="4DBC7720"/>
    <w:rsid w:val="4E477499"/>
    <w:rsid w:val="4E87696B"/>
    <w:rsid w:val="4EEB65F7"/>
    <w:rsid w:val="4F234D99"/>
    <w:rsid w:val="4F4834FE"/>
    <w:rsid w:val="4F4B0591"/>
    <w:rsid w:val="4F8D487E"/>
    <w:rsid w:val="4F913140"/>
    <w:rsid w:val="4FB66F5F"/>
    <w:rsid w:val="4FEA7FEA"/>
    <w:rsid w:val="501F50C1"/>
    <w:rsid w:val="50313FF6"/>
    <w:rsid w:val="50671A31"/>
    <w:rsid w:val="50947905"/>
    <w:rsid w:val="50B73702"/>
    <w:rsid w:val="50D765CB"/>
    <w:rsid w:val="50E6420A"/>
    <w:rsid w:val="50F81E74"/>
    <w:rsid w:val="519E7677"/>
    <w:rsid w:val="524B6C58"/>
    <w:rsid w:val="528B5848"/>
    <w:rsid w:val="52B36347"/>
    <w:rsid w:val="52C44D2F"/>
    <w:rsid w:val="52D65EFB"/>
    <w:rsid w:val="531E23BC"/>
    <w:rsid w:val="5330377F"/>
    <w:rsid w:val="533A6CC5"/>
    <w:rsid w:val="5343172A"/>
    <w:rsid w:val="53F77ED5"/>
    <w:rsid w:val="53FD3792"/>
    <w:rsid w:val="54077E7E"/>
    <w:rsid w:val="545A6AC7"/>
    <w:rsid w:val="54701A89"/>
    <w:rsid w:val="548824F7"/>
    <w:rsid w:val="54B4725C"/>
    <w:rsid w:val="54B80163"/>
    <w:rsid w:val="55DB74CC"/>
    <w:rsid w:val="55E65D7D"/>
    <w:rsid w:val="5648567E"/>
    <w:rsid w:val="565F569E"/>
    <w:rsid w:val="56A86D0C"/>
    <w:rsid w:val="56EC6091"/>
    <w:rsid w:val="56EE428E"/>
    <w:rsid w:val="56F03126"/>
    <w:rsid w:val="571D387C"/>
    <w:rsid w:val="5731181D"/>
    <w:rsid w:val="576B41CF"/>
    <w:rsid w:val="5800455F"/>
    <w:rsid w:val="584E226B"/>
    <w:rsid w:val="5886408E"/>
    <w:rsid w:val="58AF7B68"/>
    <w:rsid w:val="5918493B"/>
    <w:rsid w:val="591F1B74"/>
    <w:rsid w:val="596400A5"/>
    <w:rsid w:val="59A20582"/>
    <w:rsid w:val="5A0016C6"/>
    <w:rsid w:val="5A890B2E"/>
    <w:rsid w:val="5AB76257"/>
    <w:rsid w:val="5AE910F3"/>
    <w:rsid w:val="5B1E3ED4"/>
    <w:rsid w:val="5B6B76FD"/>
    <w:rsid w:val="5BE92BB5"/>
    <w:rsid w:val="5BFD5F8D"/>
    <w:rsid w:val="5C474772"/>
    <w:rsid w:val="5C925774"/>
    <w:rsid w:val="5CB16869"/>
    <w:rsid w:val="5CC623C9"/>
    <w:rsid w:val="5CE80A78"/>
    <w:rsid w:val="5D1B788A"/>
    <w:rsid w:val="5D5F34D4"/>
    <w:rsid w:val="5D674B57"/>
    <w:rsid w:val="5D7B1F4D"/>
    <w:rsid w:val="5E342737"/>
    <w:rsid w:val="5E606627"/>
    <w:rsid w:val="5E8C3C60"/>
    <w:rsid w:val="5E932B60"/>
    <w:rsid w:val="5EED4A41"/>
    <w:rsid w:val="5F22636E"/>
    <w:rsid w:val="5FB16BC5"/>
    <w:rsid w:val="603E0A15"/>
    <w:rsid w:val="60445714"/>
    <w:rsid w:val="60787331"/>
    <w:rsid w:val="60982250"/>
    <w:rsid w:val="60C37E4F"/>
    <w:rsid w:val="60F005B7"/>
    <w:rsid w:val="615A4525"/>
    <w:rsid w:val="615D00CC"/>
    <w:rsid w:val="61961B31"/>
    <w:rsid w:val="61A65164"/>
    <w:rsid w:val="61B14255"/>
    <w:rsid w:val="61CD5484"/>
    <w:rsid w:val="61E4225D"/>
    <w:rsid w:val="622A2D1E"/>
    <w:rsid w:val="62441771"/>
    <w:rsid w:val="62C61D7C"/>
    <w:rsid w:val="635B7DD7"/>
    <w:rsid w:val="63D37DA0"/>
    <w:rsid w:val="64015D05"/>
    <w:rsid w:val="64526B13"/>
    <w:rsid w:val="647B19CE"/>
    <w:rsid w:val="64C24152"/>
    <w:rsid w:val="64F94093"/>
    <w:rsid w:val="65171759"/>
    <w:rsid w:val="652F6935"/>
    <w:rsid w:val="66DA6246"/>
    <w:rsid w:val="675A6C33"/>
    <w:rsid w:val="67B4145B"/>
    <w:rsid w:val="67F25B4F"/>
    <w:rsid w:val="68323BEA"/>
    <w:rsid w:val="684D6D3A"/>
    <w:rsid w:val="68731210"/>
    <w:rsid w:val="68E8065E"/>
    <w:rsid w:val="69695383"/>
    <w:rsid w:val="697162DC"/>
    <w:rsid w:val="69851922"/>
    <w:rsid w:val="69A1204E"/>
    <w:rsid w:val="6A0D1779"/>
    <w:rsid w:val="6A264056"/>
    <w:rsid w:val="6A6B1B24"/>
    <w:rsid w:val="6AA8108B"/>
    <w:rsid w:val="6AAD2015"/>
    <w:rsid w:val="6AE4057D"/>
    <w:rsid w:val="6B0434ED"/>
    <w:rsid w:val="6B346F2B"/>
    <w:rsid w:val="6B9C5DCC"/>
    <w:rsid w:val="6C4E4A0A"/>
    <w:rsid w:val="6CB4464C"/>
    <w:rsid w:val="6CF32D93"/>
    <w:rsid w:val="6D5553BB"/>
    <w:rsid w:val="6E0F771C"/>
    <w:rsid w:val="6E355BA0"/>
    <w:rsid w:val="6E5B7465"/>
    <w:rsid w:val="6E646606"/>
    <w:rsid w:val="6E764279"/>
    <w:rsid w:val="6EC27E40"/>
    <w:rsid w:val="6ECF3A23"/>
    <w:rsid w:val="6ED204C4"/>
    <w:rsid w:val="6F395F05"/>
    <w:rsid w:val="6F5066C0"/>
    <w:rsid w:val="6F624884"/>
    <w:rsid w:val="6F7E7CD6"/>
    <w:rsid w:val="6FC03076"/>
    <w:rsid w:val="70457789"/>
    <w:rsid w:val="709E55D7"/>
    <w:rsid w:val="70A706E3"/>
    <w:rsid w:val="71143D13"/>
    <w:rsid w:val="71F43B98"/>
    <w:rsid w:val="71FB6E75"/>
    <w:rsid w:val="7203222B"/>
    <w:rsid w:val="721B0732"/>
    <w:rsid w:val="721B72C2"/>
    <w:rsid w:val="72356867"/>
    <w:rsid w:val="72371CC5"/>
    <w:rsid w:val="72632F3A"/>
    <w:rsid w:val="72A16BC4"/>
    <w:rsid w:val="72C77331"/>
    <w:rsid w:val="72E32A52"/>
    <w:rsid w:val="731969EA"/>
    <w:rsid w:val="733C70C6"/>
    <w:rsid w:val="73D86D86"/>
    <w:rsid w:val="74535C68"/>
    <w:rsid w:val="74544B59"/>
    <w:rsid w:val="74BE1880"/>
    <w:rsid w:val="74CC2E53"/>
    <w:rsid w:val="751E26D6"/>
    <w:rsid w:val="754D1E49"/>
    <w:rsid w:val="75E37678"/>
    <w:rsid w:val="760600BE"/>
    <w:rsid w:val="76087F58"/>
    <w:rsid w:val="76C23622"/>
    <w:rsid w:val="773119E9"/>
    <w:rsid w:val="77333109"/>
    <w:rsid w:val="778C63AF"/>
    <w:rsid w:val="779B69C9"/>
    <w:rsid w:val="77CC7198"/>
    <w:rsid w:val="77D42C9C"/>
    <w:rsid w:val="780E3D0E"/>
    <w:rsid w:val="78413DC1"/>
    <w:rsid w:val="79112E3C"/>
    <w:rsid w:val="79297BC3"/>
    <w:rsid w:val="79313372"/>
    <w:rsid w:val="79810F77"/>
    <w:rsid w:val="798E6DF9"/>
    <w:rsid w:val="79BF6FD7"/>
    <w:rsid w:val="79E77122"/>
    <w:rsid w:val="7A5A6643"/>
    <w:rsid w:val="7A5C1635"/>
    <w:rsid w:val="7A9935C9"/>
    <w:rsid w:val="7B053E49"/>
    <w:rsid w:val="7B741A6B"/>
    <w:rsid w:val="7B8521C3"/>
    <w:rsid w:val="7BA6686E"/>
    <w:rsid w:val="7BF233A5"/>
    <w:rsid w:val="7C0422F8"/>
    <w:rsid w:val="7C5564C7"/>
    <w:rsid w:val="7CAF6CB0"/>
    <w:rsid w:val="7CC73E1A"/>
    <w:rsid w:val="7D0D5AB6"/>
    <w:rsid w:val="7D2D41A5"/>
    <w:rsid w:val="7D2E4879"/>
    <w:rsid w:val="7D5E15E7"/>
    <w:rsid w:val="7DF36764"/>
    <w:rsid w:val="7E1830D4"/>
    <w:rsid w:val="7E445E45"/>
    <w:rsid w:val="7E8C556E"/>
    <w:rsid w:val="7E9C2270"/>
    <w:rsid w:val="7EA465E4"/>
    <w:rsid w:val="7ED71317"/>
    <w:rsid w:val="7EEE085F"/>
    <w:rsid w:val="7EEF7424"/>
    <w:rsid w:val="7F403F3D"/>
    <w:rsid w:val="7F425A56"/>
    <w:rsid w:val="7FB969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7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74"/>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75"/>
    <w:qFormat/>
    <w:uiPriority w:val="9"/>
    <w:pPr>
      <w:keepNext/>
      <w:keepLines/>
      <w:spacing w:before="260" w:after="260" w:line="416" w:lineRule="auto"/>
      <w:outlineLvl w:val="2"/>
    </w:pPr>
    <w:rPr>
      <w:b/>
      <w:bCs/>
      <w:sz w:val="32"/>
      <w:szCs w:val="32"/>
    </w:rPr>
  </w:style>
  <w:style w:type="paragraph" w:styleId="8">
    <w:name w:val="heading 4"/>
    <w:basedOn w:val="1"/>
    <w:next w:val="1"/>
    <w:link w:val="76"/>
    <w:qFormat/>
    <w:uiPriority w:val="0"/>
    <w:pPr>
      <w:spacing w:before="160" w:after="160" w:line="600" w:lineRule="exact"/>
      <w:jc w:val="left"/>
      <w:outlineLvl w:val="3"/>
    </w:pPr>
    <w:rPr>
      <w:rFonts w:ascii="宋体" w:hAnsi="宋体"/>
      <w:bCs/>
      <w:color w:val="000000"/>
      <w:spacing w:val="10"/>
      <w:kern w:val="24"/>
      <w:sz w:val="24"/>
      <w:lang w:val="en-US" w:eastAsia="zh-CN"/>
    </w:rPr>
  </w:style>
  <w:style w:type="paragraph" w:styleId="9">
    <w:name w:val="heading 5"/>
    <w:basedOn w:val="1"/>
    <w:next w:val="4"/>
    <w:link w:val="77"/>
    <w:qFormat/>
    <w:uiPriority w:val="0"/>
    <w:pPr>
      <w:keepNext/>
      <w:keepLines/>
      <w:tabs>
        <w:tab w:val="left" w:pos="1008"/>
      </w:tabs>
      <w:adjustRightInd w:val="0"/>
      <w:spacing w:before="280" w:after="290" w:line="376" w:lineRule="atLeast"/>
      <w:ind w:left="1008" w:hanging="1008"/>
      <w:textAlignment w:val="baseline"/>
      <w:outlineLvl w:val="4"/>
    </w:pPr>
    <w:rPr>
      <w:rFonts w:eastAsia="黑体"/>
      <w:b/>
      <w:kern w:val="0"/>
      <w:sz w:val="28"/>
      <w:szCs w:val="20"/>
    </w:rPr>
  </w:style>
  <w:style w:type="paragraph" w:styleId="10">
    <w:name w:val="heading 6"/>
    <w:basedOn w:val="1"/>
    <w:next w:val="4"/>
    <w:link w:val="78"/>
    <w:qFormat/>
    <w:uiPriority w:val="0"/>
    <w:pPr>
      <w:keepNext/>
      <w:keepLines/>
      <w:numPr>
        <w:ilvl w:val="5"/>
        <w:numId w:val="1"/>
      </w:numPr>
      <w:tabs>
        <w:tab w:val="left" w:pos="1152"/>
        <w:tab w:val="clear" w:pos="1151"/>
      </w:tabs>
      <w:spacing w:before="240" w:after="64" w:line="320" w:lineRule="auto"/>
      <w:jc w:val="left"/>
      <w:outlineLvl w:val="5"/>
    </w:pPr>
    <w:rPr>
      <w:rFonts w:ascii="Arial" w:hAnsi="Arial" w:eastAsia="黑体"/>
      <w:b/>
      <w:bCs/>
      <w:spacing w:val="6"/>
      <w:sz w:val="24"/>
    </w:rPr>
  </w:style>
  <w:style w:type="paragraph" w:styleId="11">
    <w:name w:val="heading 7"/>
    <w:basedOn w:val="1"/>
    <w:next w:val="4"/>
    <w:link w:val="79"/>
    <w:qFormat/>
    <w:uiPriority w:val="0"/>
    <w:pPr>
      <w:keepNext/>
      <w:keepLines/>
      <w:numPr>
        <w:ilvl w:val="6"/>
        <w:numId w:val="1"/>
      </w:numPr>
      <w:spacing w:before="240" w:after="64" w:line="320" w:lineRule="auto"/>
      <w:jc w:val="left"/>
      <w:outlineLvl w:val="6"/>
    </w:pPr>
    <w:rPr>
      <w:b/>
      <w:bCs/>
      <w:spacing w:val="6"/>
      <w:sz w:val="24"/>
    </w:rPr>
  </w:style>
  <w:style w:type="paragraph" w:styleId="12">
    <w:name w:val="heading 8"/>
    <w:basedOn w:val="1"/>
    <w:next w:val="4"/>
    <w:link w:val="80"/>
    <w:qFormat/>
    <w:uiPriority w:val="0"/>
    <w:pPr>
      <w:keepNext/>
      <w:keepLines/>
      <w:numPr>
        <w:ilvl w:val="7"/>
        <w:numId w:val="1"/>
      </w:numPr>
      <w:spacing w:before="240" w:after="64" w:line="320" w:lineRule="auto"/>
      <w:jc w:val="left"/>
      <w:outlineLvl w:val="7"/>
    </w:pPr>
    <w:rPr>
      <w:rFonts w:ascii="Arial" w:hAnsi="Arial" w:eastAsia="黑体"/>
      <w:spacing w:val="6"/>
      <w:sz w:val="24"/>
    </w:rPr>
  </w:style>
  <w:style w:type="paragraph" w:styleId="13">
    <w:name w:val="heading 9"/>
    <w:basedOn w:val="1"/>
    <w:next w:val="4"/>
    <w:link w:val="81"/>
    <w:qFormat/>
    <w:uiPriority w:val="0"/>
    <w:pPr>
      <w:keepNext/>
      <w:keepLines/>
      <w:numPr>
        <w:ilvl w:val="8"/>
        <w:numId w:val="1"/>
      </w:numPr>
      <w:tabs>
        <w:tab w:val="left" w:pos="1584"/>
        <w:tab w:val="clear" w:pos="1583"/>
      </w:tabs>
      <w:spacing w:before="240" w:after="64" w:line="320" w:lineRule="auto"/>
      <w:jc w:val="left"/>
      <w:outlineLvl w:val="8"/>
    </w:pPr>
    <w:rPr>
      <w:rFonts w:ascii="Arial" w:hAnsi="Arial" w:eastAsia="黑体"/>
      <w:spacing w:val="6"/>
      <w:sz w:val="24"/>
    </w:rPr>
  </w:style>
  <w:style w:type="character" w:default="1" w:styleId="55">
    <w:name w:val="Default Paragraph Font"/>
    <w:semiHidden/>
    <w:uiPriority w:val="0"/>
  </w:style>
  <w:style w:type="table" w:default="1" w:styleId="53">
    <w:name w:val="Normal Table"/>
    <w:semiHidden/>
    <w:uiPriority w:val="0"/>
    <w:tblPr>
      <w:tblStyle w:val="53"/>
      <w:tblCellMar>
        <w:top w:w="0" w:type="dxa"/>
        <w:left w:w="108" w:type="dxa"/>
        <w:bottom w:w="0" w:type="dxa"/>
        <w:right w:w="108" w:type="dxa"/>
      </w:tblCellMar>
    </w:tblPr>
  </w:style>
  <w:style w:type="paragraph" w:styleId="2">
    <w:name w:val="Body Text First Indent 2"/>
    <w:basedOn w:val="3"/>
    <w:next w:val="1"/>
    <w:link w:val="72"/>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styleId="3">
    <w:name w:val="Body Text Indent"/>
    <w:basedOn w:val="1"/>
    <w:next w:val="4"/>
    <w:link w:val="70"/>
    <w:uiPriority w:val="0"/>
    <w:pPr>
      <w:spacing w:line="200" w:lineRule="exact"/>
      <w:ind w:firstLine="301"/>
    </w:pPr>
    <w:rPr>
      <w:rFonts w:ascii="宋体" w:hAnsi="Courier New"/>
      <w:spacing w:val="-4"/>
      <w:sz w:val="18"/>
      <w:szCs w:val="20"/>
    </w:rPr>
  </w:style>
  <w:style w:type="paragraph" w:styleId="4">
    <w:name w:val="Normal Indent"/>
    <w:basedOn w:val="1"/>
    <w:next w:val="3"/>
    <w:link w:val="71"/>
    <w:uiPriority w:val="0"/>
    <w:pPr>
      <w:ind w:firstLine="420"/>
    </w:pPr>
    <w:rPr>
      <w:szCs w:val="20"/>
    </w:rPr>
  </w:style>
  <w:style w:type="paragraph" w:styleId="14">
    <w:name w:val="toc 7"/>
    <w:basedOn w:val="1"/>
    <w:next w:val="1"/>
    <w:unhideWhenUsed/>
    <w:uiPriority w:val="39"/>
    <w:pPr>
      <w:ind w:left="2520" w:leftChars="1200"/>
    </w:pPr>
    <w:rPr>
      <w:rFonts w:ascii="Calibri" w:hAnsi="Calibri"/>
      <w:szCs w:val="22"/>
    </w:rPr>
  </w:style>
  <w:style w:type="paragraph" w:styleId="15">
    <w:name w:val="index 8"/>
    <w:basedOn w:val="1"/>
    <w:next w:val="1"/>
    <w:semiHidden/>
    <w:qFormat/>
    <w:uiPriority w:val="0"/>
    <w:pPr>
      <w:ind w:left="1400" w:leftChars="1400"/>
    </w:pPr>
  </w:style>
  <w:style w:type="paragraph" w:styleId="16">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82"/>
    <w:uiPriority w:val="0"/>
    <w:rPr>
      <w:rFonts w:ascii="宋体"/>
      <w:sz w:val="18"/>
      <w:szCs w:val="18"/>
    </w:rPr>
  </w:style>
  <w:style w:type="paragraph" w:styleId="19">
    <w:name w:val="annotation text"/>
    <w:basedOn w:val="1"/>
    <w:link w:val="83"/>
    <w:qFormat/>
    <w:uiPriority w:val="0"/>
    <w:pPr>
      <w:jc w:val="left"/>
    </w:pPr>
  </w:style>
  <w:style w:type="paragraph" w:styleId="20">
    <w:name w:val="Body Text 3"/>
    <w:basedOn w:val="1"/>
    <w:link w:val="84"/>
    <w:uiPriority w:val="0"/>
    <w:pPr>
      <w:snapToGrid w:val="0"/>
      <w:spacing w:before="50" w:after="50"/>
    </w:pPr>
  </w:style>
  <w:style w:type="paragraph" w:styleId="21">
    <w:name w:val="Body Text"/>
    <w:basedOn w:val="1"/>
    <w:next w:val="1"/>
    <w:link w:val="85"/>
    <w:uiPriority w:val="99"/>
    <w:pPr>
      <w:spacing w:after="120"/>
    </w:pPr>
    <w:rPr>
      <w:sz w:val="28"/>
    </w:rPr>
  </w:style>
  <w:style w:type="paragraph" w:styleId="22">
    <w:name w:val="List Number 3"/>
    <w:basedOn w:val="1"/>
    <w:uiPriority w:val="0"/>
    <w:pPr>
      <w:tabs>
        <w:tab w:val="left" w:pos="900"/>
      </w:tabs>
      <w:ind w:left="900" w:hanging="720"/>
    </w:pPr>
  </w:style>
  <w:style w:type="paragraph" w:styleId="23">
    <w:name w:val="List 2"/>
    <w:basedOn w:val="1"/>
    <w:uiPriority w:val="0"/>
    <w:pPr>
      <w:ind w:left="100" w:leftChars="200" w:hanging="200" w:hangingChars="200"/>
    </w:pPr>
    <w:rPr>
      <w:sz w:val="28"/>
    </w:rPr>
  </w:style>
  <w:style w:type="paragraph" w:styleId="24">
    <w:name w:val="Block Text"/>
    <w:basedOn w:val="1"/>
    <w:uiPriority w:val="0"/>
    <w:pPr>
      <w:adjustRightInd w:val="0"/>
      <w:snapToGrid w:val="0"/>
      <w:spacing w:line="300" w:lineRule="auto"/>
      <w:ind w:left="958" w:rightChars="-120"/>
      <w:jc w:val="left"/>
    </w:pPr>
    <w:rPr>
      <w:rFonts w:hint="eastAsia" w:ascii="宋体" w:hAnsi="宋体"/>
      <w:sz w:val="28"/>
      <w:szCs w:val="20"/>
    </w:rPr>
  </w:style>
  <w:style w:type="paragraph" w:styleId="25">
    <w:name w:val="List Bullet 2"/>
    <w:basedOn w:val="1"/>
    <w:uiPriority w:val="0"/>
    <w:pPr>
      <w:autoSpaceDE w:val="0"/>
      <w:autoSpaceDN w:val="0"/>
      <w:adjustRightInd w:val="0"/>
      <w:ind w:left="420"/>
      <w:jc w:val="left"/>
    </w:pPr>
    <w:rPr>
      <w:rFonts w:ascii="宋体" w:hAnsi="宋体"/>
      <w:color w:val="000000"/>
      <w:kern w:val="0"/>
      <w:sz w:val="24"/>
      <w:szCs w:val="20"/>
    </w:rPr>
  </w:style>
  <w:style w:type="paragraph" w:styleId="26">
    <w:name w:val="toc 5"/>
    <w:basedOn w:val="1"/>
    <w:next w:val="1"/>
    <w:unhideWhenUsed/>
    <w:uiPriority w:val="39"/>
    <w:pPr>
      <w:ind w:left="1680" w:leftChars="800"/>
    </w:pPr>
    <w:rPr>
      <w:rFonts w:ascii="Calibri" w:hAnsi="Calibri"/>
      <w:szCs w:val="22"/>
    </w:rPr>
  </w:style>
  <w:style w:type="paragraph" w:styleId="27">
    <w:name w:val="toc 3"/>
    <w:basedOn w:val="1"/>
    <w:next w:val="1"/>
    <w:uiPriority w:val="39"/>
    <w:pPr>
      <w:ind w:left="840" w:leftChars="400"/>
    </w:pPr>
  </w:style>
  <w:style w:type="paragraph" w:styleId="28">
    <w:name w:val="Plain Text"/>
    <w:basedOn w:val="1"/>
    <w:next w:val="1"/>
    <w:link w:val="86"/>
    <w:uiPriority w:val="0"/>
    <w:pPr>
      <w:tabs>
        <w:tab w:val="left" w:pos="900"/>
      </w:tabs>
      <w:spacing w:before="156" w:beforeLines="50" w:after="156" w:afterLines="50" w:line="400" w:lineRule="exact"/>
    </w:pPr>
    <w:rPr>
      <w:rFonts w:ascii="宋体" w:hAnsi="Courier New"/>
      <w:sz w:val="24"/>
    </w:rPr>
  </w:style>
  <w:style w:type="paragraph" w:styleId="29">
    <w:name w:val="List Bullet 5"/>
    <w:basedOn w:val="1"/>
    <w:uiPriority w:val="0"/>
    <w:pPr>
      <w:numPr>
        <w:ilvl w:val="0"/>
        <w:numId w:val="2"/>
      </w:numPr>
      <w:tabs>
        <w:tab w:val="left" w:pos="2040"/>
        <w:tab w:val="clear" w:pos="360"/>
      </w:tabs>
      <w:ind w:left="2040" w:hanging="360"/>
    </w:pPr>
    <w:rPr>
      <w:sz w:val="24"/>
      <w:szCs w:val="20"/>
    </w:rPr>
  </w:style>
  <w:style w:type="paragraph" w:styleId="30">
    <w:name w:val="toc 8"/>
    <w:basedOn w:val="1"/>
    <w:next w:val="1"/>
    <w:unhideWhenUsed/>
    <w:uiPriority w:val="39"/>
    <w:pPr>
      <w:ind w:left="2940" w:leftChars="1400"/>
    </w:pPr>
    <w:rPr>
      <w:rFonts w:ascii="Calibri" w:hAnsi="Calibri"/>
      <w:szCs w:val="22"/>
    </w:rPr>
  </w:style>
  <w:style w:type="paragraph" w:styleId="31">
    <w:name w:val="Date"/>
    <w:basedOn w:val="1"/>
    <w:next w:val="1"/>
    <w:link w:val="87"/>
    <w:uiPriority w:val="0"/>
    <w:pPr>
      <w:ind w:leftChars="2500"/>
    </w:pPr>
    <w:rPr>
      <w:rFonts w:eastAsia="楷体_GB2312"/>
      <w:sz w:val="32"/>
      <w:szCs w:val="20"/>
    </w:rPr>
  </w:style>
  <w:style w:type="paragraph" w:styleId="32">
    <w:name w:val="Body Text Indent 2"/>
    <w:basedOn w:val="1"/>
    <w:next w:val="33"/>
    <w:link w:val="88"/>
    <w:uiPriority w:val="0"/>
    <w:pPr>
      <w:snapToGrid w:val="0"/>
      <w:ind w:firstLine="542" w:firstLineChars="225"/>
    </w:pPr>
    <w:rPr>
      <w:rFonts w:ascii="仿宋_GB2312" w:hAnsi="宋体" w:cs="Arial"/>
      <w:b/>
      <w:bCs/>
      <w:color w:val="000000"/>
      <w:sz w:val="24"/>
    </w:rPr>
  </w:style>
  <w:style w:type="paragraph" w:styleId="33">
    <w:name w:val="toc 1"/>
    <w:basedOn w:val="1"/>
    <w:next w:val="1"/>
    <w:uiPriority w:val="39"/>
    <w:rPr>
      <w:rFonts w:ascii="Times New Roman" w:hAnsi="Times New Roman"/>
      <w:szCs w:val="24"/>
    </w:rPr>
  </w:style>
  <w:style w:type="paragraph" w:styleId="34">
    <w:name w:val="endnote text"/>
    <w:basedOn w:val="1"/>
    <w:link w:val="89"/>
    <w:uiPriority w:val="0"/>
    <w:pPr>
      <w:snapToGrid w:val="0"/>
      <w:jc w:val="left"/>
    </w:pPr>
  </w:style>
  <w:style w:type="paragraph" w:styleId="35">
    <w:name w:val="Balloon Text"/>
    <w:basedOn w:val="1"/>
    <w:link w:val="90"/>
    <w:uiPriority w:val="99"/>
    <w:rPr>
      <w:sz w:val="18"/>
      <w:szCs w:val="18"/>
    </w:rPr>
  </w:style>
  <w:style w:type="paragraph" w:styleId="36">
    <w:name w:val="footer"/>
    <w:basedOn w:val="1"/>
    <w:link w:val="91"/>
    <w:qFormat/>
    <w:uiPriority w:val="99"/>
    <w:pPr>
      <w:tabs>
        <w:tab w:val="center" w:pos="4153"/>
        <w:tab w:val="right" w:pos="8306"/>
      </w:tabs>
      <w:snapToGrid w:val="0"/>
      <w:jc w:val="left"/>
    </w:pPr>
    <w:rPr>
      <w:rFonts w:eastAsia="黑体"/>
      <w:snapToGrid w:val="0"/>
      <w:kern w:val="0"/>
      <w:sz w:val="18"/>
      <w:szCs w:val="18"/>
    </w:rPr>
  </w:style>
  <w:style w:type="paragraph" w:styleId="37">
    <w:name w:val="header"/>
    <w:basedOn w:val="1"/>
    <w:next w:val="32"/>
    <w:link w:val="92"/>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8">
    <w:name w:val="toc 4"/>
    <w:basedOn w:val="1"/>
    <w:next w:val="1"/>
    <w:unhideWhenUsed/>
    <w:qFormat/>
    <w:uiPriority w:val="39"/>
    <w:pPr>
      <w:ind w:left="1260" w:leftChars="600"/>
    </w:pPr>
    <w:rPr>
      <w:rFonts w:ascii="Calibri" w:hAnsi="Calibri"/>
      <w:szCs w:val="22"/>
    </w:rPr>
  </w:style>
  <w:style w:type="paragraph" w:styleId="39">
    <w:name w:val="List"/>
    <w:basedOn w:val="1"/>
    <w:uiPriority w:val="0"/>
    <w:pPr>
      <w:ind w:left="200" w:hanging="200" w:hangingChars="200"/>
    </w:pPr>
    <w:rPr>
      <w:sz w:val="28"/>
    </w:rPr>
  </w:style>
  <w:style w:type="paragraph" w:styleId="40">
    <w:name w:val="footnote text"/>
    <w:basedOn w:val="1"/>
    <w:link w:val="93"/>
    <w:uiPriority w:val="0"/>
    <w:pPr>
      <w:snapToGrid w:val="0"/>
      <w:jc w:val="left"/>
    </w:pPr>
    <w:rPr>
      <w:sz w:val="18"/>
      <w:szCs w:val="18"/>
    </w:rPr>
  </w:style>
  <w:style w:type="paragraph" w:styleId="41">
    <w:name w:val="toc 6"/>
    <w:basedOn w:val="1"/>
    <w:next w:val="1"/>
    <w:unhideWhenUsed/>
    <w:uiPriority w:val="39"/>
    <w:pPr>
      <w:ind w:left="2100" w:leftChars="1000"/>
    </w:pPr>
    <w:rPr>
      <w:rFonts w:ascii="Calibri" w:hAnsi="Calibri"/>
      <w:szCs w:val="22"/>
    </w:rPr>
  </w:style>
  <w:style w:type="paragraph" w:styleId="42">
    <w:name w:val="List 5"/>
    <w:basedOn w:val="1"/>
    <w:uiPriority w:val="0"/>
    <w:pPr>
      <w:ind w:left="100" w:leftChars="800" w:hanging="200" w:hangingChars="200"/>
    </w:pPr>
    <w:rPr>
      <w:szCs w:val="20"/>
    </w:rPr>
  </w:style>
  <w:style w:type="paragraph" w:styleId="43">
    <w:name w:val="Body Text Indent 3"/>
    <w:basedOn w:val="1"/>
    <w:link w:val="94"/>
    <w:uiPriority w:val="0"/>
    <w:pPr>
      <w:snapToGrid w:val="0"/>
      <w:ind w:firstLine="480" w:firstLineChars="200"/>
      <w:jc w:val="left"/>
    </w:pPr>
    <w:rPr>
      <w:rFonts w:ascii="仿宋_GB2312" w:hAnsi="宋体" w:eastAsia="仿宋_GB2312"/>
      <w:color w:val="000000"/>
      <w:sz w:val="24"/>
    </w:rPr>
  </w:style>
  <w:style w:type="paragraph" w:styleId="44">
    <w:name w:val="toc 2"/>
    <w:basedOn w:val="1"/>
    <w:next w:val="1"/>
    <w:uiPriority w:val="39"/>
    <w:pPr>
      <w:ind w:left="420" w:leftChars="200"/>
    </w:pPr>
  </w:style>
  <w:style w:type="paragraph" w:styleId="45">
    <w:name w:val="toc 9"/>
    <w:basedOn w:val="1"/>
    <w:next w:val="1"/>
    <w:unhideWhenUsed/>
    <w:uiPriority w:val="39"/>
    <w:pPr>
      <w:ind w:left="3360" w:leftChars="1600"/>
    </w:pPr>
    <w:rPr>
      <w:rFonts w:ascii="Calibri" w:hAnsi="Calibri"/>
      <w:szCs w:val="22"/>
    </w:rPr>
  </w:style>
  <w:style w:type="paragraph" w:styleId="46">
    <w:name w:val="Body Text 2"/>
    <w:basedOn w:val="1"/>
    <w:link w:val="95"/>
    <w:uiPriority w:val="0"/>
    <w:pPr>
      <w:widowControl/>
      <w:snapToGrid w:val="0"/>
      <w:spacing w:before="50" w:after="156" w:afterLines="50" w:line="400" w:lineRule="exact"/>
      <w:jc w:val="left"/>
    </w:pPr>
    <w:rPr>
      <w:rFonts w:ascii="宋体" w:hAnsi="宋体"/>
      <w:color w:val="000000"/>
      <w:sz w:val="24"/>
    </w:rPr>
  </w:style>
  <w:style w:type="paragraph" w:styleId="47">
    <w:name w:val="HTML Preformatted"/>
    <w:basedOn w:val="1"/>
    <w:link w:val="9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8">
    <w:name w:val="Normal (Web)"/>
    <w:basedOn w:val="1"/>
    <w:uiPriority w:val="0"/>
    <w:pPr>
      <w:widowControl/>
      <w:spacing w:before="100" w:beforeAutospacing="1" w:after="100" w:afterAutospacing="1"/>
      <w:jc w:val="left"/>
    </w:pPr>
    <w:rPr>
      <w:rFonts w:hint="eastAsia" w:ascii="宋体" w:hAnsi="宋体"/>
      <w:kern w:val="0"/>
      <w:sz w:val="24"/>
    </w:rPr>
  </w:style>
  <w:style w:type="paragraph" w:styleId="49">
    <w:name w:val="index 1"/>
    <w:basedOn w:val="1"/>
    <w:next w:val="1"/>
    <w:uiPriority w:val="99"/>
  </w:style>
  <w:style w:type="paragraph" w:styleId="50">
    <w:name w:val="Title"/>
    <w:basedOn w:val="1"/>
    <w:next w:val="1"/>
    <w:link w:val="97"/>
    <w:qFormat/>
    <w:uiPriority w:val="0"/>
    <w:pPr>
      <w:spacing w:before="240" w:after="60"/>
      <w:jc w:val="center"/>
      <w:outlineLvl w:val="0"/>
    </w:pPr>
    <w:rPr>
      <w:rFonts w:ascii="Arial" w:hAnsi="Arial" w:cs="Arial"/>
      <w:b/>
      <w:bCs/>
      <w:sz w:val="32"/>
      <w:szCs w:val="32"/>
    </w:rPr>
  </w:style>
  <w:style w:type="paragraph" w:styleId="51">
    <w:name w:val="annotation subject"/>
    <w:basedOn w:val="19"/>
    <w:next w:val="19"/>
    <w:link w:val="98"/>
    <w:qFormat/>
    <w:uiPriority w:val="0"/>
    <w:pPr>
      <w:widowControl/>
      <w:spacing w:after="156" w:afterLines="50"/>
    </w:pPr>
    <w:rPr>
      <w:b/>
      <w:bCs/>
      <w:kern w:val="0"/>
      <w:sz w:val="24"/>
      <w:szCs w:val="20"/>
    </w:rPr>
  </w:style>
  <w:style w:type="paragraph" w:styleId="52">
    <w:name w:val="Body Text First Indent"/>
    <w:basedOn w:val="21"/>
    <w:next w:val="1"/>
    <w:link w:val="99"/>
    <w:qFormat/>
    <w:uiPriority w:val="99"/>
    <w:pPr>
      <w:widowControl/>
      <w:spacing w:before="120"/>
      <w:ind w:firstLine="100" w:firstLineChars="100"/>
    </w:pPr>
    <w:rPr>
      <w:snapToGrid w:val="0"/>
      <w:color w:val="000000"/>
      <w:kern w:val="0"/>
      <w:sz w:val="24"/>
      <w:szCs w:val="18"/>
    </w:rPr>
  </w:style>
  <w:style w:type="table" w:styleId="54">
    <w:name w:val="Table Grid"/>
    <w:basedOn w:val="53"/>
    <w:unhideWhenUsed/>
    <w:qFormat/>
    <w:uiPriority w:val="59"/>
    <w:pPr>
      <w:widowControl w:val="0"/>
      <w:jc w:val="both"/>
    </w:pPr>
    <w:tblPr>
      <w:tblStyle w:val="5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bCs/>
    </w:rPr>
  </w:style>
  <w:style w:type="character" w:styleId="57">
    <w:name w:val="page number"/>
    <w:uiPriority w:val="0"/>
  </w:style>
  <w:style w:type="character" w:styleId="58">
    <w:name w:val="FollowedHyperlink"/>
    <w:uiPriority w:val="99"/>
    <w:rPr>
      <w:color w:val="0063C8"/>
      <w:u w:val="none"/>
    </w:rPr>
  </w:style>
  <w:style w:type="character" w:styleId="59">
    <w:name w:val="Emphasis"/>
    <w:qFormat/>
    <w:uiPriority w:val="20"/>
  </w:style>
  <w:style w:type="character" w:styleId="60">
    <w:name w:val="HTML Definition"/>
    <w:uiPriority w:val="0"/>
  </w:style>
  <w:style w:type="character" w:styleId="61">
    <w:name w:val="HTML Typewriter"/>
    <w:uiPriority w:val="0"/>
    <w:rPr>
      <w:rFonts w:ascii="monospace" w:hAnsi="monospace" w:eastAsia="monospace" w:cs="monospace"/>
      <w:sz w:val="20"/>
    </w:rPr>
  </w:style>
  <w:style w:type="character" w:styleId="62">
    <w:name w:val="HTML Acronym"/>
    <w:uiPriority w:val="0"/>
  </w:style>
  <w:style w:type="character" w:styleId="63">
    <w:name w:val="HTML Variable"/>
    <w:uiPriority w:val="0"/>
  </w:style>
  <w:style w:type="character" w:styleId="64">
    <w:name w:val="Hyperlink"/>
    <w:uiPriority w:val="99"/>
    <w:rPr>
      <w:color w:val="0063C8"/>
      <w:u w:val="none"/>
    </w:rPr>
  </w:style>
  <w:style w:type="character" w:styleId="65">
    <w:name w:val="HTML Code"/>
    <w:uiPriority w:val="0"/>
    <w:rPr>
      <w:rFonts w:ascii="Courier New" w:hAnsi="Courier New"/>
      <w:sz w:val="20"/>
      <w:shd w:val="clear" w:color="auto" w:fill="F2F2F2"/>
    </w:rPr>
  </w:style>
  <w:style w:type="character" w:styleId="66">
    <w:name w:val="annotation reference"/>
    <w:unhideWhenUsed/>
    <w:uiPriority w:val="0"/>
    <w:rPr>
      <w:kern w:val="2"/>
      <w:sz w:val="21"/>
      <w:szCs w:val="21"/>
    </w:rPr>
  </w:style>
  <w:style w:type="character" w:styleId="67">
    <w:name w:val="HTML Cite"/>
    <w:uiPriority w:val="0"/>
  </w:style>
  <w:style w:type="character" w:styleId="68">
    <w:name w:val="HTML Keyboard"/>
    <w:uiPriority w:val="0"/>
    <w:rPr>
      <w:rFonts w:hint="default" w:ascii="monospace" w:hAnsi="monospace" w:eastAsia="monospace" w:cs="monospace"/>
      <w:sz w:val="20"/>
    </w:rPr>
  </w:style>
  <w:style w:type="character" w:styleId="69">
    <w:name w:val="HTML Sample"/>
    <w:uiPriority w:val="0"/>
    <w:rPr>
      <w:rFonts w:hint="default" w:ascii="monospace" w:hAnsi="monospace" w:eastAsia="monospace" w:cs="monospace"/>
    </w:rPr>
  </w:style>
  <w:style w:type="character" w:customStyle="1" w:styleId="70">
    <w:name w:val="正文文本缩进 字符"/>
    <w:link w:val="3"/>
    <w:uiPriority w:val="0"/>
    <w:rPr>
      <w:rFonts w:ascii="宋体" w:hAnsi="Courier New"/>
      <w:spacing w:val="-4"/>
      <w:kern w:val="2"/>
      <w:sz w:val="18"/>
    </w:rPr>
  </w:style>
  <w:style w:type="character" w:customStyle="1" w:styleId="71">
    <w:name w:val="正文缩进 字符"/>
    <w:link w:val="4"/>
    <w:uiPriority w:val="0"/>
    <w:rPr>
      <w:kern w:val="2"/>
      <w:sz w:val="21"/>
    </w:rPr>
  </w:style>
  <w:style w:type="character" w:customStyle="1" w:styleId="72">
    <w:name w:val="正文文本首行缩进 2 字符"/>
    <w:link w:val="2"/>
    <w:uiPriority w:val="0"/>
    <w:rPr>
      <w:sz w:val="28"/>
    </w:rPr>
  </w:style>
  <w:style w:type="character" w:customStyle="1" w:styleId="73">
    <w:name w:val="标题 1 字符"/>
    <w:link w:val="5"/>
    <w:uiPriority w:val="0"/>
    <w:rPr>
      <w:b/>
      <w:bCs/>
      <w:kern w:val="44"/>
      <w:sz w:val="44"/>
      <w:szCs w:val="44"/>
    </w:rPr>
  </w:style>
  <w:style w:type="character" w:customStyle="1" w:styleId="74">
    <w:name w:val="标题 2 字符"/>
    <w:link w:val="6"/>
    <w:qFormat/>
    <w:uiPriority w:val="0"/>
    <w:rPr>
      <w:rFonts w:cs="Times New Roman"/>
      <w:b/>
      <w:bCs/>
      <w:sz w:val="32"/>
      <w:szCs w:val="32"/>
    </w:rPr>
  </w:style>
  <w:style w:type="character" w:customStyle="1" w:styleId="75">
    <w:name w:val="标题 3 字符"/>
    <w:link w:val="7"/>
    <w:uiPriority w:val="9"/>
    <w:rPr>
      <w:b/>
      <w:bCs/>
      <w:kern w:val="2"/>
      <w:sz w:val="32"/>
      <w:szCs w:val="32"/>
    </w:rPr>
  </w:style>
  <w:style w:type="character" w:customStyle="1" w:styleId="76">
    <w:name w:val="标题 4 字符"/>
    <w:link w:val="8"/>
    <w:uiPriority w:val="0"/>
    <w:rPr>
      <w:rFonts w:ascii="宋体" w:hAnsi="宋体"/>
      <w:bCs/>
      <w:color w:val="000000"/>
      <w:spacing w:val="10"/>
      <w:kern w:val="24"/>
      <w:sz w:val="24"/>
      <w:szCs w:val="24"/>
    </w:rPr>
  </w:style>
  <w:style w:type="character" w:customStyle="1" w:styleId="77">
    <w:name w:val="标题 5 字符"/>
    <w:link w:val="9"/>
    <w:uiPriority w:val="0"/>
    <w:rPr>
      <w:rFonts w:eastAsia="黑体"/>
      <w:b/>
      <w:sz w:val="28"/>
    </w:rPr>
  </w:style>
  <w:style w:type="character" w:customStyle="1" w:styleId="78">
    <w:name w:val="标题 6 字符"/>
    <w:link w:val="10"/>
    <w:uiPriority w:val="0"/>
    <w:rPr>
      <w:rFonts w:ascii="Arial" w:hAnsi="Arial" w:eastAsia="黑体"/>
      <w:b/>
      <w:bCs/>
      <w:spacing w:val="6"/>
      <w:kern w:val="2"/>
      <w:sz w:val="24"/>
      <w:szCs w:val="24"/>
    </w:rPr>
  </w:style>
  <w:style w:type="character" w:customStyle="1" w:styleId="79">
    <w:name w:val="标题 7 字符"/>
    <w:link w:val="11"/>
    <w:uiPriority w:val="0"/>
    <w:rPr>
      <w:b/>
      <w:bCs/>
      <w:spacing w:val="6"/>
      <w:kern w:val="2"/>
      <w:sz w:val="24"/>
      <w:szCs w:val="24"/>
    </w:rPr>
  </w:style>
  <w:style w:type="character" w:customStyle="1" w:styleId="80">
    <w:name w:val="标题 8 字符"/>
    <w:link w:val="12"/>
    <w:uiPriority w:val="0"/>
    <w:rPr>
      <w:rFonts w:ascii="Arial" w:hAnsi="Arial" w:eastAsia="黑体"/>
      <w:spacing w:val="6"/>
      <w:kern w:val="2"/>
      <w:sz w:val="24"/>
      <w:szCs w:val="24"/>
    </w:rPr>
  </w:style>
  <w:style w:type="character" w:customStyle="1" w:styleId="81">
    <w:name w:val="标题 9 字符"/>
    <w:link w:val="13"/>
    <w:uiPriority w:val="0"/>
    <w:rPr>
      <w:rFonts w:ascii="Arial" w:hAnsi="Arial" w:eastAsia="黑体"/>
      <w:spacing w:val="6"/>
      <w:kern w:val="2"/>
      <w:sz w:val="24"/>
      <w:szCs w:val="24"/>
    </w:rPr>
  </w:style>
  <w:style w:type="character" w:customStyle="1" w:styleId="82">
    <w:name w:val="文档结构图 字符"/>
    <w:link w:val="18"/>
    <w:uiPriority w:val="0"/>
    <w:rPr>
      <w:rFonts w:ascii="宋体"/>
      <w:kern w:val="2"/>
      <w:sz w:val="18"/>
      <w:szCs w:val="18"/>
    </w:rPr>
  </w:style>
  <w:style w:type="character" w:customStyle="1" w:styleId="83">
    <w:name w:val="批注文字 字符"/>
    <w:link w:val="19"/>
    <w:uiPriority w:val="0"/>
    <w:rPr>
      <w:kern w:val="2"/>
      <w:sz w:val="21"/>
      <w:szCs w:val="24"/>
    </w:rPr>
  </w:style>
  <w:style w:type="character" w:customStyle="1" w:styleId="84">
    <w:name w:val="正文文本 3 字符"/>
    <w:link w:val="20"/>
    <w:uiPriority w:val="0"/>
    <w:rPr>
      <w:kern w:val="2"/>
      <w:sz w:val="21"/>
      <w:szCs w:val="24"/>
    </w:rPr>
  </w:style>
  <w:style w:type="character" w:customStyle="1" w:styleId="85">
    <w:name w:val="正文文本 字符"/>
    <w:link w:val="21"/>
    <w:uiPriority w:val="99"/>
    <w:rPr>
      <w:kern w:val="2"/>
      <w:sz w:val="28"/>
      <w:szCs w:val="24"/>
    </w:rPr>
  </w:style>
  <w:style w:type="character" w:customStyle="1" w:styleId="86">
    <w:name w:val="纯文本 字符"/>
    <w:link w:val="28"/>
    <w:locked/>
    <w:uiPriority w:val="0"/>
    <w:rPr>
      <w:rFonts w:ascii="宋体" w:hAnsi="Courier New" w:eastAsia="宋体"/>
      <w:kern w:val="2"/>
      <w:sz w:val="24"/>
      <w:szCs w:val="24"/>
      <w:lang w:val="en-US" w:eastAsia="zh-CN" w:bidi="ar-SA"/>
    </w:rPr>
  </w:style>
  <w:style w:type="character" w:customStyle="1" w:styleId="87">
    <w:name w:val="日期 字符"/>
    <w:link w:val="31"/>
    <w:uiPriority w:val="0"/>
    <w:rPr>
      <w:rFonts w:eastAsia="楷体_GB2312"/>
      <w:kern w:val="2"/>
      <w:sz w:val="32"/>
    </w:rPr>
  </w:style>
  <w:style w:type="character" w:customStyle="1" w:styleId="88">
    <w:name w:val="正文文本缩进 2 字符"/>
    <w:link w:val="32"/>
    <w:uiPriority w:val="0"/>
    <w:rPr>
      <w:rFonts w:ascii="仿宋_GB2312" w:hAnsi="宋体" w:cs="Arial"/>
      <w:b/>
      <w:bCs/>
      <w:color w:val="000000"/>
      <w:kern w:val="2"/>
      <w:sz w:val="24"/>
      <w:szCs w:val="24"/>
    </w:rPr>
  </w:style>
  <w:style w:type="character" w:customStyle="1" w:styleId="89">
    <w:name w:val="尾注文本 字符"/>
    <w:link w:val="34"/>
    <w:uiPriority w:val="0"/>
    <w:rPr>
      <w:kern w:val="2"/>
      <w:sz w:val="21"/>
      <w:szCs w:val="24"/>
    </w:rPr>
  </w:style>
  <w:style w:type="character" w:customStyle="1" w:styleId="90">
    <w:name w:val="批注框文本 字符"/>
    <w:link w:val="35"/>
    <w:uiPriority w:val="99"/>
    <w:rPr>
      <w:kern w:val="2"/>
      <w:sz w:val="18"/>
      <w:szCs w:val="18"/>
    </w:rPr>
  </w:style>
  <w:style w:type="character" w:customStyle="1" w:styleId="91">
    <w:name w:val="页脚 字符"/>
    <w:link w:val="36"/>
    <w:uiPriority w:val="99"/>
    <w:rPr>
      <w:rFonts w:eastAsia="黑体"/>
      <w:snapToGrid/>
      <w:sz w:val="18"/>
      <w:szCs w:val="18"/>
    </w:rPr>
  </w:style>
  <w:style w:type="character" w:customStyle="1" w:styleId="92">
    <w:name w:val="页眉 字符"/>
    <w:link w:val="37"/>
    <w:uiPriority w:val="99"/>
    <w:rPr>
      <w:rFonts w:eastAsia="仿宋_GB2312"/>
      <w:kern w:val="2"/>
      <w:sz w:val="18"/>
    </w:rPr>
  </w:style>
  <w:style w:type="character" w:customStyle="1" w:styleId="93">
    <w:name w:val="脚注文本 字符"/>
    <w:link w:val="40"/>
    <w:uiPriority w:val="0"/>
    <w:rPr>
      <w:kern w:val="2"/>
      <w:sz w:val="18"/>
      <w:szCs w:val="18"/>
    </w:rPr>
  </w:style>
  <w:style w:type="character" w:customStyle="1" w:styleId="94">
    <w:name w:val="正文文本缩进 3 字符"/>
    <w:link w:val="43"/>
    <w:uiPriority w:val="0"/>
    <w:rPr>
      <w:rFonts w:ascii="仿宋_GB2312" w:hAnsi="宋体" w:eastAsia="仿宋_GB2312"/>
      <w:color w:val="000000"/>
      <w:kern w:val="2"/>
      <w:sz w:val="24"/>
      <w:szCs w:val="24"/>
    </w:rPr>
  </w:style>
  <w:style w:type="character" w:customStyle="1" w:styleId="95">
    <w:name w:val="正文文本 2 字符"/>
    <w:link w:val="46"/>
    <w:uiPriority w:val="0"/>
    <w:rPr>
      <w:rFonts w:ascii="宋体" w:hAnsi="宋体"/>
      <w:color w:val="000000"/>
      <w:kern w:val="2"/>
      <w:sz w:val="24"/>
      <w:szCs w:val="24"/>
    </w:rPr>
  </w:style>
  <w:style w:type="character" w:customStyle="1" w:styleId="96">
    <w:name w:val="HTML 预设格式 字符"/>
    <w:link w:val="47"/>
    <w:uiPriority w:val="0"/>
    <w:rPr>
      <w:rFonts w:ascii="宋体" w:hAnsi="宋体" w:cs="宋体"/>
      <w:sz w:val="24"/>
      <w:szCs w:val="24"/>
    </w:rPr>
  </w:style>
  <w:style w:type="character" w:customStyle="1" w:styleId="97">
    <w:name w:val="标题 字符"/>
    <w:link w:val="50"/>
    <w:uiPriority w:val="0"/>
    <w:rPr>
      <w:rFonts w:ascii="Arial" w:hAnsi="Arial" w:cs="Arial"/>
      <w:b/>
      <w:bCs/>
      <w:kern w:val="2"/>
      <w:sz w:val="32"/>
      <w:szCs w:val="32"/>
    </w:rPr>
  </w:style>
  <w:style w:type="character" w:customStyle="1" w:styleId="98">
    <w:name w:val="批注主题 字符"/>
    <w:link w:val="51"/>
    <w:uiPriority w:val="0"/>
    <w:rPr>
      <w:b/>
      <w:bCs/>
      <w:sz w:val="24"/>
    </w:rPr>
  </w:style>
  <w:style w:type="character" w:customStyle="1" w:styleId="99">
    <w:name w:val="正文首行缩进 Char1"/>
    <w:link w:val="52"/>
    <w:uiPriority w:val="0"/>
    <w:rPr>
      <w:snapToGrid/>
      <w:color w:val="000000"/>
      <w:kern w:val="2"/>
      <w:sz w:val="24"/>
      <w:szCs w:val="18"/>
    </w:rPr>
  </w:style>
  <w:style w:type="paragraph" w:customStyle="1" w:styleId="10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character" w:customStyle="1" w:styleId="101">
    <w:name w:val=" Char Char"/>
    <w:locked/>
    <w:uiPriority w:val="0"/>
    <w:rPr>
      <w:rFonts w:ascii="宋体" w:hAnsi="Courier New" w:eastAsia="宋体"/>
      <w:kern w:val="2"/>
      <w:sz w:val="24"/>
      <w:szCs w:val="24"/>
      <w:lang w:val="en-US" w:eastAsia="zh-CN" w:bidi="ar-SA"/>
    </w:rPr>
  </w:style>
  <w:style w:type="character" w:customStyle="1" w:styleId="102">
    <w:name w:val="font61"/>
    <w:uiPriority w:val="0"/>
    <w:rPr>
      <w:rFonts w:hint="eastAsia" w:ascii="黑体" w:hAnsi="宋体" w:eastAsia="黑体" w:cs="黑体"/>
      <w:color w:val="000000"/>
      <w:sz w:val="18"/>
      <w:szCs w:val="18"/>
      <w:u w:val="none"/>
    </w:rPr>
  </w:style>
  <w:style w:type="character" w:customStyle="1" w:styleId="103">
    <w:name w:val="ca-41"/>
    <w:uiPriority w:val="0"/>
    <w:rPr>
      <w:rFonts w:hint="default" w:ascii="Times New Roman" w:hAnsi="Times New Roman" w:cs="Times New Roman"/>
      <w:sz w:val="21"/>
      <w:szCs w:val="21"/>
    </w:rPr>
  </w:style>
  <w:style w:type="character" w:customStyle="1" w:styleId="104">
    <w:name w:val="hover37"/>
    <w:uiPriority w:val="0"/>
    <w:rPr>
      <w:color w:val="3EAF0E"/>
    </w:rPr>
  </w:style>
  <w:style w:type="character" w:customStyle="1" w:styleId="105">
    <w:name w:val="ca-81"/>
    <w:uiPriority w:val="0"/>
    <w:rPr>
      <w:rFonts w:hint="eastAsia" w:ascii="仿宋体" w:eastAsia="仿宋体"/>
      <w:i/>
      <w:iCs/>
      <w:sz w:val="21"/>
      <w:szCs w:val="21"/>
    </w:rPr>
  </w:style>
  <w:style w:type="character" w:customStyle="1" w:styleId="106">
    <w:name w:val="font21"/>
    <w:qFormat/>
    <w:uiPriority w:val="0"/>
    <w:rPr>
      <w:rFonts w:hint="eastAsia" w:ascii="宋体" w:hAnsi="宋体" w:eastAsia="宋体" w:cs="宋体"/>
      <w:color w:val="000000"/>
      <w:sz w:val="18"/>
      <w:szCs w:val="18"/>
      <w:u w:val="none"/>
    </w:rPr>
  </w:style>
  <w:style w:type="character" w:customStyle="1" w:styleId="107">
    <w:name w:val="font11"/>
    <w:uiPriority w:val="0"/>
    <w:rPr>
      <w:rFonts w:ascii="Wingdings 2" w:hAnsi="Wingdings 2" w:eastAsia="Wingdings 2" w:cs="Wingdings 2"/>
      <w:color w:val="000000"/>
      <w:sz w:val="18"/>
      <w:szCs w:val="18"/>
      <w:u w:val="none"/>
    </w:rPr>
  </w:style>
  <w:style w:type="character" w:customStyle="1" w:styleId="108">
    <w:name w:val="ca-21"/>
    <w:uiPriority w:val="0"/>
    <w:rPr>
      <w:rFonts w:hint="eastAsia" w:ascii="仿宋体" w:eastAsia="仿宋体"/>
      <w:sz w:val="21"/>
      <w:szCs w:val="21"/>
    </w:rPr>
  </w:style>
  <w:style w:type="character" w:customStyle="1" w:styleId="109">
    <w:name w:val="highlight1"/>
    <w:qFormat/>
    <w:uiPriority w:val="0"/>
    <w:rPr>
      <w:sz w:val="22"/>
      <w:szCs w:val="22"/>
    </w:rPr>
  </w:style>
  <w:style w:type="character" w:customStyle="1" w:styleId="110">
    <w:name w:val="htd0"/>
    <w:qFormat/>
    <w:uiPriority w:val="0"/>
  </w:style>
  <w:style w:type="character" w:customStyle="1" w:styleId="111">
    <w:name w:val=" Char Char3"/>
    <w:qFormat/>
    <w:locked/>
    <w:uiPriority w:val="0"/>
    <w:rPr>
      <w:rFonts w:ascii="Cambria" w:hAnsi="Cambria" w:eastAsia="宋体"/>
      <w:b/>
      <w:bCs/>
      <w:kern w:val="2"/>
      <w:sz w:val="32"/>
      <w:szCs w:val="32"/>
      <w:lang w:val="en-US" w:eastAsia="zh-CN" w:bidi="ar-SA"/>
    </w:rPr>
  </w:style>
  <w:style w:type="character" w:customStyle="1" w:styleId="112">
    <w:name w:val="标题 2 Char"/>
    <w:locked/>
    <w:uiPriority w:val="0"/>
    <w:rPr>
      <w:rFonts w:ascii="Arial" w:hAnsi="Arial" w:eastAsia="黑体"/>
      <w:b/>
      <w:bCs/>
      <w:kern w:val="2"/>
      <w:sz w:val="32"/>
      <w:szCs w:val="32"/>
      <w:lang w:val="en-US" w:eastAsia="zh-CN" w:bidi="ar-SA"/>
    </w:rPr>
  </w:style>
  <w:style w:type="character" w:customStyle="1" w:styleId="113">
    <w:name w:val="font31"/>
    <w:qFormat/>
    <w:uiPriority w:val="0"/>
    <w:rPr>
      <w:rFonts w:hint="eastAsia" w:ascii="宋体" w:hAnsi="宋体" w:eastAsia="宋体" w:cs="宋体"/>
      <w:b/>
      <w:color w:val="000000"/>
      <w:sz w:val="24"/>
      <w:szCs w:val="24"/>
      <w:u w:val="none"/>
    </w:rPr>
  </w:style>
  <w:style w:type="character" w:customStyle="1" w:styleId="114">
    <w:name w:val="px14"/>
    <w:qFormat/>
    <w:uiPriority w:val="0"/>
  </w:style>
  <w:style w:type="character" w:customStyle="1" w:styleId="115">
    <w:name w:val="font41"/>
    <w:qFormat/>
    <w:uiPriority w:val="0"/>
    <w:rPr>
      <w:rFonts w:hint="default" w:ascii="Times New Roman" w:hAnsi="Times New Roman" w:cs="Times New Roman"/>
      <w:b/>
      <w:color w:val="000000"/>
      <w:sz w:val="24"/>
      <w:szCs w:val="24"/>
      <w:u w:val="none"/>
    </w:rPr>
  </w:style>
  <w:style w:type="character" w:customStyle="1" w:styleId="116">
    <w:name w:val="ca-51"/>
    <w:uiPriority w:val="0"/>
    <w:rPr>
      <w:rFonts w:hint="eastAsia" w:ascii="宋体" w:hAnsi="宋体" w:eastAsia="宋体"/>
      <w:color w:val="000000"/>
      <w:sz w:val="24"/>
      <w:szCs w:val="24"/>
    </w:rPr>
  </w:style>
  <w:style w:type="paragraph" w:customStyle="1" w:styleId="117">
    <w:name w:val="表格表头"/>
    <w:basedOn w:val="1"/>
    <w:qFormat/>
    <w:uiPriority w:val="0"/>
    <w:pPr>
      <w:widowControl w:val="0"/>
      <w:spacing w:line="360" w:lineRule="auto"/>
      <w:jc w:val="center"/>
    </w:pPr>
    <w:rPr>
      <w:rFonts w:ascii="Calibri" w:hAnsi="Calibri"/>
      <w:b/>
      <w:kern w:val="2"/>
      <w:sz w:val="24"/>
    </w:rPr>
  </w:style>
  <w:style w:type="paragraph" w:customStyle="1" w:styleId="118">
    <w:name w:val="Plain Text"/>
    <w:basedOn w:val="119"/>
    <w:uiPriority w:val="0"/>
    <w:pPr>
      <w:widowControl/>
      <w:jc w:val="left"/>
    </w:pPr>
    <w:rPr>
      <w:rFonts w:hint="eastAsia" w:ascii="宋体" w:hAnsi="Courier New"/>
    </w:rPr>
  </w:style>
  <w:style w:type="paragraph" w:customStyle="1" w:styleId="119">
    <w:name w:val="Normal"/>
    <w:uiPriority w:val="0"/>
    <w:pPr>
      <w:widowControl w:val="0"/>
      <w:jc w:val="both"/>
    </w:pPr>
    <w:rPr>
      <w:rFonts w:hint="eastAsia" w:ascii="Calibri" w:hAnsi="Calibri"/>
      <w:kern w:val="2"/>
      <w:sz w:val="21"/>
      <w:lang w:val="en-US" w:eastAsia="zh-CN" w:bidi="ar-SA"/>
    </w:rPr>
  </w:style>
  <w:style w:type="paragraph" w:customStyle="1" w:styleId="120">
    <w:name w:val="正文段"/>
    <w:basedOn w:val="1"/>
    <w:uiPriority w:val="0"/>
    <w:pPr>
      <w:widowControl/>
      <w:snapToGrid w:val="0"/>
      <w:spacing w:after="156" w:afterLines="50"/>
      <w:ind w:firstLine="200" w:firstLineChars="200"/>
    </w:pPr>
    <w:rPr>
      <w:kern w:val="0"/>
      <w:sz w:val="24"/>
      <w:szCs w:val="20"/>
    </w:rPr>
  </w:style>
  <w:style w:type="paragraph" w:customStyle="1" w:styleId="121">
    <w:name w:val="标书正文"/>
    <w:basedOn w:val="1"/>
    <w:qFormat/>
    <w:uiPriority w:val="0"/>
    <w:pPr>
      <w:widowControl/>
      <w:spacing w:line="360" w:lineRule="auto"/>
      <w:ind w:firstLine="480" w:firstLineChars="200"/>
      <w:jc w:val="left"/>
    </w:pPr>
    <w:rPr>
      <w:rFonts w:eastAsia="楷体_GB2312"/>
      <w:sz w:val="24"/>
    </w:rPr>
  </w:style>
  <w:style w:type="paragraph" w:customStyle="1" w:styleId="122">
    <w:name w:val="GP正文(首行缩进)"/>
    <w:basedOn w:val="1"/>
    <w:qFormat/>
    <w:uiPriority w:val="0"/>
    <w:pPr>
      <w:spacing w:line="360" w:lineRule="auto"/>
      <w:ind w:firstLine="480" w:firstLineChars="200"/>
      <w:jc w:val="left"/>
    </w:pPr>
    <w:rPr>
      <w:rFonts w:hAnsi="宋体" w:eastAsia="微软雅黑"/>
      <w:kern w:val="0"/>
      <w:sz w:val="24"/>
    </w:rPr>
  </w:style>
  <w:style w:type="paragraph" w:customStyle="1" w:styleId="123">
    <w:name w:val="默认段落字体 Para Char Char Char Char Char Char Char Char Char1 Char Char Char Char"/>
    <w:basedOn w:val="1"/>
    <w:uiPriority w:val="0"/>
    <w:rPr>
      <w:rFonts w:ascii="Tahoma" w:hAnsi="Tahoma"/>
      <w:sz w:val="24"/>
      <w:szCs w:val="20"/>
    </w:rPr>
  </w:style>
  <w:style w:type="paragraph" w:customStyle="1" w:styleId="124">
    <w:name w:val="样式 正文首行缩进 + 首行缩进:  2 字符1 Char Char"/>
    <w:basedOn w:val="1"/>
    <w:next w:val="1"/>
    <w:uiPriority w:val="0"/>
    <w:pPr>
      <w:adjustRightInd w:val="0"/>
      <w:spacing w:line="400" w:lineRule="exact"/>
      <w:ind w:firstLine="480" w:firstLineChars="200"/>
    </w:pPr>
    <w:rPr>
      <w:rFonts w:eastAsia="仿宋_GB2312"/>
      <w:sz w:val="24"/>
      <w:szCs w:val="22"/>
    </w:rPr>
  </w:style>
  <w:style w:type="paragraph" w:customStyle="1" w:styleId="125">
    <w:name w:val="-正文 Char"/>
    <w:basedOn w:val="1"/>
    <w:uiPriority w:val="0"/>
    <w:pPr>
      <w:widowControl/>
      <w:overflowPunct w:val="0"/>
      <w:autoSpaceDE w:val="0"/>
      <w:autoSpaceDN w:val="0"/>
      <w:adjustRightInd w:val="0"/>
      <w:spacing w:line="360" w:lineRule="auto"/>
      <w:ind w:firstLine="200" w:firstLineChars="200"/>
    </w:pPr>
    <w:rPr>
      <w:rFonts w:ascii="Arial" w:hAnsi="Arial"/>
      <w:kern w:val="0"/>
      <w:sz w:val="24"/>
    </w:rPr>
  </w:style>
  <w:style w:type="paragraph" w:customStyle="1" w:styleId="126">
    <w:name w:val="Figure Description"/>
    <w:next w:val="1"/>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2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128">
    <w:name w:val="Table Paragraph"/>
    <w:basedOn w:val="1"/>
    <w:qFormat/>
    <w:uiPriority w:val="0"/>
    <w:rPr>
      <w:rFonts w:ascii="宋体" w:hAnsi="宋体" w:eastAsia="宋体" w:cs="宋体"/>
      <w:lang w:val="zh-CN" w:eastAsia="zh-CN" w:bidi="zh-CN"/>
    </w:rPr>
  </w:style>
  <w:style w:type="paragraph" w:customStyle="1" w:styleId="129">
    <w:name w:val="List Paragraph"/>
    <w:basedOn w:val="1"/>
    <w:qFormat/>
    <w:uiPriority w:val="0"/>
    <w:pPr>
      <w:widowControl/>
      <w:ind w:firstLine="420" w:firstLineChars="200"/>
      <w:jc w:val="left"/>
    </w:pPr>
    <w:rPr>
      <w:kern w:val="0"/>
    </w:rPr>
  </w:style>
  <w:style w:type="paragraph" w:customStyle="1" w:styleId="13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Figure"/>
    <w:basedOn w:val="132"/>
    <w:next w:val="126"/>
    <w:qFormat/>
    <w:uiPriority w:val="0"/>
    <w:pPr>
      <w:keepNext/>
      <w:widowControl/>
      <w:snapToGrid w:val="0"/>
      <w:spacing w:before="80" w:after="80" w:line="300" w:lineRule="auto"/>
      <w:ind w:left="1134" w:firstLine="200" w:firstLineChars="200"/>
      <w:jc w:val="center"/>
    </w:pPr>
    <w:rPr>
      <w:rFonts w:ascii="Arial" w:hAnsi="Arial" w:cs="Arial"/>
      <w:kern w:val="0"/>
      <w:szCs w:val="21"/>
    </w:rPr>
  </w:style>
  <w:style w:type="paragraph" w:styleId="132">
    <w:name w:val="No Spacing"/>
    <w:link w:val="133"/>
    <w:qFormat/>
    <w:uiPriority w:val="1"/>
    <w:pPr>
      <w:widowControl w:val="0"/>
      <w:jc w:val="both"/>
    </w:pPr>
    <w:rPr>
      <w:kern w:val="2"/>
      <w:sz w:val="21"/>
      <w:szCs w:val="24"/>
      <w:lang w:val="en-US" w:eastAsia="zh-CN" w:bidi="ar-SA"/>
    </w:rPr>
  </w:style>
  <w:style w:type="character" w:customStyle="1" w:styleId="133">
    <w:name w:val="无间隔 字符"/>
    <w:link w:val="132"/>
    <w:uiPriority w:val="1"/>
    <w:rPr>
      <w:kern w:val="2"/>
      <w:sz w:val="21"/>
      <w:szCs w:val="24"/>
    </w:rPr>
  </w:style>
  <w:style w:type="paragraph" w:customStyle="1" w:styleId="134">
    <w:name w:val="插图图标"/>
    <w:basedOn w:val="1"/>
    <w:qFormat/>
    <w:uiPriority w:val="0"/>
    <w:pPr>
      <w:widowControl w:val="0"/>
      <w:spacing w:line="360" w:lineRule="auto"/>
      <w:jc w:val="center"/>
    </w:pPr>
    <w:rPr>
      <w:rFonts w:ascii="Calibri" w:hAnsi="Calibri"/>
      <w:b/>
      <w:kern w:val="2"/>
      <w:sz w:val="24"/>
    </w:rPr>
  </w:style>
  <w:style w:type="paragraph" w:customStyle="1" w:styleId="135">
    <w:name w:val="pa-2"/>
    <w:basedOn w:val="1"/>
    <w:uiPriority w:val="0"/>
    <w:pPr>
      <w:widowControl/>
      <w:spacing w:line="240" w:lineRule="atLeast"/>
    </w:pPr>
    <w:rPr>
      <w:rFonts w:ascii="宋体" w:hAnsi="宋体" w:cs="宋体"/>
      <w:kern w:val="0"/>
      <w:sz w:val="24"/>
    </w:rPr>
  </w:style>
  <w:style w:type="paragraph" w:customStyle="1" w:styleId="136">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37">
    <w:name w:val="Char"/>
    <w:basedOn w:val="1"/>
    <w:uiPriority w:val="0"/>
    <w:rPr>
      <w:rFonts w:ascii="仿宋_GB2312" w:eastAsia="仿宋_GB2312"/>
      <w:b/>
      <w:sz w:val="32"/>
      <w:szCs w:val="32"/>
    </w:rPr>
  </w:style>
  <w:style w:type="paragraph" w:customStyle="1" w:styleId="138">
    <w:name w:val="_Style 49"/>
    <w:basedOn w:val="1"/>
    <w:next w:val="28"/>
    <w:qFormat/>
    <w:uiPriority w:val="0"/>
    <w:rPr>
      <w:rFonts w:ascii="宋体" w:hAnsi="Courier New"/>
      <w:kern w:val="0"/>
      <w:sz w:val="24"/>
    </w:rPr>
  </w:style>
  <w:style w:type="paragraph" w:customStyle="1" w:styleId="139">
    <w:name w:val="DAS正文"/>
    <w:basedOn w:val="1"/>
    <w:qFormat/>
    <w:uiPriority w:val="0"/>
    <w:pPr>
      <w:spacing w:line="360" w:lineRule="auto"/>
      <w:ind w:right="181" w:firstLine="480" w:firstLineChars="200"/>
    </w:pPr>
    <w:rPr>
      <w:rFonts w:ascii="Verdana" w:hAnsi="Verdana"/>
      <w:sz w:val="24"/>
    </w:rPr>
  </w:style>
  <w:style w:type="paragraph" w:customStyle="1" w:styleId="140">
    <w:name w:val="正文首缩两字"/>
    <w:basedOn w:val="1"/>
    <w:qFormat/>
    <w:uiPriority w:val="0"/>
    <w:pPr>
      <w:spacing w:line="360" w:lineRule="auto"/>
      <w:ind w:firstLine="200" w:firstLineChars="200"/>
    </w:pPr>
    <w:rPr>
      <w:rFonts w:ascii="Verdana" w:hAnsi="Verdana"/>
      <w:kern w:val="0"/>
      <w:sz w:val="24"/>
      <w:szCs w:val="24"/>
    </w:rPr>
  </w:style>
  <w:style w:type="paragraph" w:customStyle="1" w:styleId="141">
    <w:name w:val="正文样式"/>
    <w:basedOn w:val="1"/>
    <w:uiPriority w:val="0"/>
    <w:pPr>
      <w:widowControl w:val="0"/>
      <w:spacing w:line="360" w:lineRule="auto"/>
      <w:ind w:firstLine="560" w:firstLineChars="200"/>
      <w:jc w:val="both"/>
    </w:pPr>
    <w:rPr>
      <w:rFonts w:eastAsia="仿宋_GB2312"/>
      <w:kern w:val="2"/>
      <w:sz w:val="28"/>
      <w:szCs w:val="24"/>
    </w:rPr>
  </w:style>
  <w:style w:type="paragraph" w:customStyle="1" w:styleId="142">
    <w:name w:val="Char Char Char Char Char Char Char"/>
    <w:basedOn w:val="1"/>
    <w:qFormat/>
    <w:uiPriority w:val="0"/>
    <w:pPr>
      <w:widowControl w:val="0"/>
      <w:jc w:val="both"/>
    </w:pPr>
    <w:rPr>
      <w:rFonts w:ascii="仿宋_GB2312" w:hAnsi="Calibri" w:eastAsia="仿宋_GB2312"/>
      <w:b/>
      <w:kern w:val="2"/>
      <w:sz w:val="32"/>
      <w:szCs w:val="32"/>
    </w:rPr>
  </w:style>
  <w:style w:type="paragraph" w:customStyle="1" w:styleId="143">
    <w:name w:val="表格标题"/>
    <w:basedOn w:val="1"/>
    <w:link w:val="144"/>
    <w:qFormat/>
    <w:uiPriority w:val="1"/>
    <w:pPr>
      <w:adjustRightInd w:val="0"/>
      <w:snapToGrid w:val="0"/>
      <w:spacing w:line="360" w:lineRule="auto"/>
      <w:ind w:firstLine="480" w:firstLineChars="200"/>
    </w:pPr>
    <w:rPr>
      <w:kern w:val="0"/>
      <w:sz w:val="24"/>
      <w:szCs w:val="20"/>
    </w:rPr>
  </w:style>
  <w:style w:type="character" w:customStyle="1" w:styleId="144">
    <w:name w:val="表格标题 Char"/>
    <w:link w:val="143"/>
    <w:uiPriority w:val="1"/>
    <w:rPr>
      <w:sz w:val="24"/>
    </w:rPr>
  </w:style>
  <w:style w:type="paragraph" w:customStyle="1" w:styleId="145">
    <w:name w:val="Body Text Indent1"/>
    <w:basedOn w:val="1"/>
    <w:next w:val="1"/>
    <w:qFormat/>
    <w:uiPriority w:val="0"/>
    <w:pPr>
      <w:spacing w:after="120" w:afterLines="0"/>
      <w:ind w:left="420" w:leftChars="200"/>
    </w:pPr>
  </w:style>
  <w:style w:type="paragraph" w:customStyle="1" w:styleId="146">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147">
    <w:name w:val=" Char"/>
    <w:basedOn w:val="1"/>
    <w:uiPriority w:val="0"/>
    <w:rPr>
      <w:rFonts w:ascii="仿宋_GB2312" w:eastAsia="仿宋_GB2312"/>
      <w:b/>
      <w:sz w:val="32"/>
      <w:szCs w:val="32"/>
    </w:rPr>
  </w:style>
  <w:style w:type="paragraph" w:customStyle="1" w:styleId="148">
    <w:name w:val="Body Text First Indent 21"/>
    <w:basedOn w:val="145"/>
    <w:qFormat/>
    <w:uiPriority w:val="0"/>
    <w:pPr>
      <w:spacing w:after="120" w:afterLines="0" w:line="240" w:lineRule="auto"/>
      <w:ind w:left="420" w:leftChars="200" w:firstLine="420"/>
    </w:pPr>
    <w:rPr>
      <w:rFonts w:cs="宋体"/>
    </w:rPr>
  </w:style>
  <w:style w:type="paragraph" w:customStyle="1" w:styleId="149">
    <w:name w:val="Default"/>
    <w:unhideWhenUsed/>
    <w:qFormat/>
    <w:uiPriority w:val="0"/>
    <w:pPr>
      <w:widowControl w:val="0"/>
      <w:autoSpaceDE w:val="0"/>
      <w:autoSpaceDN w:val="0"/>
      <w:adjustRightInd w:val="0"/>
    </w:pPr>
    <w:rPr>
      <w:rFonts w:hint="eastAsia" w:ascii="宋体" w:hAnsi="宋体"/>
      <w:color w:val="000000"/>
      <w:sz w:val="24"/>
      <w:szCs w:val="22"/>
      <w:lang w:val="en-US" w:eastAsia="zh-CN" w:bidi="ar-SA"/>
    </w:rPr>
  </w:style>
  <w:style w:type="paragraph" w:customStyle="1" w:styleId="150">
    <w:name w:val="表标题"/>
    <w:basedOn w:val="1"/>
    <w:qFormat/>
    <w:uiPriority w:val="0"/>
    <w:pPr>
      <w:spacing w:before="25" w:beforeLines="25" w:after="25" w:afterLines="25"/>
      <w:ind w:firstLine="0" w:firstLineChars="0"/>
      <w:jc w:val="center"/>
    </w:pPr>
    <w:rPr>
      <w:b/>
      <w:sz w:val="24"/>
    </w:rPr>
  </w:style>
  <w:style w:type="paragraph" w:customStyle="1" w:styleId="151">
    <w:name w:val="图"/>
    <w:basedOn w:val="1"/>
    <w:qFormat/>
    <w:uiPriority w:val="0"/>
    <w:pPr>
      <w:ind w:firstLine="0" w:firstLineChars="0"/>
      <w:jc w:val="center"/>
    </w:pPr>
    <w:rPr>
      <w:b/>
      <w:sz w:val="24"/>
    </w:rPr>
  </w:style>
  <w:style w:type="paragraph" w:customStyle="1" w:styleId="152">
    <w:name w:val="表内容"/>
    <w:basedOn w:val="1"/>
    <w:qFormat/>
    <w:uiPriority w:val="0"/>
    <w:pPr>
      <w:ind w:firstLine="0" w:firstLineChars="0"/>
      <w:jc w:val="center"/>
    </w:pPr>
    <w:rPr>
      <w:bCs/>
      <w:color w:val="000000"/>
      <w:sz w:val="22"/>
    </w:rPr>
  </w:style>
  <w:style w:type="character" w:customStyle="1" w:styleId="153">
    <w:name w:val="font111"/>
    <w:qFormat/>
    <w:uiPriority w:val="0"/>
    <w:rPr>
      <w:rFonts w:hint="eastAsia" w:ascii="宋体" w:hAnsi="宋体" w:eastAsia="宋体" w:cs="宋体"/>
      <w:color w:val="000000"/>
      <w:sz w:val="22"/>
      <w:szCs w:val="22"/>
      <w:u w:val="none"/>
    </w:rPr>
  </w:style>
  <w:style w:type="character" w:customStyle="1" w:styleId="154">
    <w:name w:val="font122"/>
    <w:qFormat/>
    <w:uiPriority w:val="0"/>
    <w:rPr>
      <w:rFonts w:hint="eastAsia" w:ascii="宋体" w:hAnsi="宋体" w:eastAsia="宋体" w:cs="宋体"/>
      <w:color w:val="000000"/>
      <w:sz w:val="24"/>
      <w:szCs w:val="24"/>
      <w:u w:val="none"/>
    </w:rPr>
  </w:style>
  <w:style w:type="character" w:customStyle="1" w:styleId="155">
    <w:name w:val="NormalCharacter"/>
    <w:semiHidden/>
    <w:qFormat/>
    <w:uiPriority w:val="0"/>
  </w:style>
  <w:style w:type="paragraph" w:customStyle="1" w:styleId="156">
    <w:name w:val="列表段落1"/>
    <w:basedOn w:val="1"/>
    <w:qFormat/>
    <w:uiPriority w:val="0"/>
    <w:pPr>
      <w:widowControl/>
      <w:ind w:firstLine="420" w:firstLineChars="200"/>
      <w:jc w:val="left"/>
    </w:pPr>
    <w:rPr>
      <w:kern w:val="0"/>
    </w:rPr>
  </w:style>
  <w:style w:type="paragraph" w:customStyle="1" w:styleId="157">
    <w:name w:val="自动更正"/>
    <w:qFormat/>
    <w:uiPriority w:val="0"/>
    <w:pPr>
      <w:widowControl w:val="0"/>
      <w:jc w:val="both"/>
    </w:pPr>
    <w:rPr>
      <w:kern w:val="2"/>
      <w:sz w:val="21"/>
      <w:szCs w:val="24"/>
      <w:lang w:val="en-US" w:eastAsia="zh-CN" w:bidi="ar-SA"/>
    </w:rPr>
  </w:style>
  <w:style w:type="character" w:customStyle="1" w:styleId="158">
    <w:name w:val="font01"/>
    <w:qFormat/>
    <w:uiPriority w:val="0"/>
    <w:rPr>
      <w:rFonts w:hint="eastAsia" w:ascii="宋体" w:hAnsi="宋体" w:eastAsia="宋体" w:cs="宋体"/>
      <w:color w:val="000000"/>
      <w:sz w:val="22"/>
      <w:szCs w:val="22"/>
      <w:u w:val="none"/>
    </w:rPr>
  </w:style>
  <w:style w:type="paragraph" w:customStyle="1" w:styleId="159">
    <w:name w:val="co正文样式"/>
    <w:basedOn w:val="1"/>
    <w:link w:val="160"/>
    <w:qFormat/>
    <w:uiPriority w:val="0"/>
    <w:pPr>
      <w:adjustRightInd w:val="0"/>
      <w:snapToGrid w:val="0"/>
      <w:spacing w:line="360" w:lineRule="auto"/>
      <w:ind w:firstLine="560"/>
      <w:jc w:val="left"/>
    </w:pPr>
    <w:rPr>
      <w:rFonts w:ascii="宋体" w:hAnsi="宋体"/>
      <w:sz w:val="28"/>
      <w:szCs w:val="28"/>
    </w:rPr>
  </w:style>
  <w:style w:type="character" w:customStyle="1" w:styleId="160">
    <w:name w:val="co正文样式 Char"/>
    <w:link w:val="159"/>
    <w:uiPriority w:val="0"/>
    <w:rPr>
      <w:rFonts w:ascii="宋体" w:hAnsi="宋体"/>
      <w:kern w:val="2"/>
      <w:sz w:val="28"/>
      <w:szCs w:val="28"/>
    </w:rPr>
  </w:style>
  <w:style w:type="paragraph" w:customStyle="1" w:styleId="161">
    <w:name w:val="_Style 11"/>
    <w:basedOn w:val="1"/>
    <w:next w:val="129"/>
    <w:qFormat/>
    <w:uiPriority w:val="34"/>
    <w:pPr>
      <w:ind w:firstLine="420" w:firstLineChars="200"/>
    </w:pPr>
    <w:rPr>
      <w:rFonts w:ascii="Calibri" w:hAnsi="Calibri"/>
    </w:rPr>
  </w:style>
  <w:style w:type="paragraph" w:customStyle="1" w:styleId="162">
    <w:name w:val="List Paragraph1"/>
    <w:basedOn w:val="1"/>
    <w:qFormat/>
    <w:uiPriority w:val="99"/>
    <w:pPr>
      <w:ind w:firstLine="420" w:firstLineChars="200"/>
    </w:pPr>
  </w:style>
  <w:style w:type="character" w:customStyle="1" w:styleId="163">
    <w:name w:val="Body Text Indent 3 Char"/>
    <w:locked/>
    <w:uiPriority w:val="0"/>
    <w:rPr>
      <w:kern w:val="2"/>
      <w:sz w:val="16"/>
    </w:rPr>
  </w:style>
  <w:style w:type="character" w:customStyle="1" w:styleId="164">
    <w:name w:val="a Char"/>
    <w:link w:val="165"/>
    <w:uiPriority w:val="0"/>
    <w:rPr>
      <w:rFonts w:ascii="宋体" w:hAnsi="宋体" w:eastAsia="仿宋_GB2312"/>
      <w:sz w:val="24"/>
    </w:rPr>
  </w:style>
  <w:style w:type="paragraph" w:customStyle="1" w:styleId="165">
    <w:name w:val="a"/>
    <w:basedOn w:val="1"/>
    <w:link w:val="164"/>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66">
    <w:name w:val=" Char Char19"/>
    <w:uiPriority w:val="0"/>
    <w:rPr>
      <w:rFonts w:ascii="宋体"/>
      <w:kern w:val="21"/>
      <w:sz w:val="21"/>
    </w:rPr>
  </w:style>
  <w:style w:type="character" w:customStyle="1" w:styleId="167">
    <w:name w:val="尾注文本 Char1"/>
    <w:semiHidden/>
    <w:uiPriority w:val="99"/>
    <w:rPr>
      <w:rFonts w:ascii="Times New Roman" w:hAnsi="Times New Roman" w:eastAsia="宋体" w:cs="Times New Roman"/>
      <w:szCs w:val="24"/>
    </w:rPr>
  </w:style>
  <w:style w:type="character" w:customStyle="1" w:styleId="168">
    <w:name w:val="正文文本缩进 字符1"/>
    <w:semiHidden/>
    <w:uiPriority w:val="99"/>
  </w:style>
  <w:style w:type="character" w:customStyle="1" w:styleId="169">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正文不缩进 Char1,特点 Char Char1,水上软件 Char1,正文缩进 Char Char1,标题四 Char,正文双线 Char"/>
    <w:uiPriority w:val="0"/>
    <w:rPr>
      <w:rFonts w:eastAsia="宋体"/>
      <w:spacing w:val="14"/>
      <w:kern w:val="24"/>
      <w:sz w:val="24"/>
      <w:lang w:val="en-US" w:eastAsia="zh-CN" w:bidi="ar-SA"/>
    </w:rPr>
  </w:style>
  <w:style w:type="character" w:customStyle="1" w:styleId="170">
    <w:name w:val="正文首行缩进 Char2"/>
    <w:semiHidden/>
    <w:uiPriority w:val="99"/>
  </w:style>
  <w:style w:type="character" w:customStyle="1" w:styleId="171">
    <w:name w:val="标题4 Char"/>
    <w:aliases w:val="表正文 Char,正文非缩进 Char,四号 Char,。 Char,特点 Char1,段1 Char,ALT+Z Char,缩进 Char,正文编号 Char,上海中望标准正文（首行缩进两字） Char,上海中望标准超级链接 Char,正文缩进（首行缩进两字） Char,上海中望标准超级链接 Char Char Char Char,正文不缩进 Char,特点 Char Char,水上软件 Char,正文缩进 Char Char,正文缩进 Char1 Char Char"/>
    <w:uiPriority w:val="0"/>
    <w:rPr>
      <w:rFonts w:ascii="Cambria" w:hAnsi="Cambria" w:eastAsia="宋体"/>
      <w:b/>
      <w:bCs/>
      <w:color w:val="000000"/>
      <w:kern w:val="2"/>
      <w:sz w:val="21"/>
      <w:szCs w:val="21"/>
      <w:lang w:val="en-US" w:eastAsia="zh-CN" w:bidi="ar-SA"/>
    </w:rPr>
  </w:style>
  <w:style w:type="character" w:customStyle="1" w:styleId="172">
    <w:name w:val="表头 Char Char"/>
    <w:link w:val="173"/>
    <w:uiPriority w:val="0"/>
    <w:rPr>
      <w:rFonts w:eastAsia="黑体"/>
      <w:kern w:val="2"/>
      <w:sz w:val="21"/>
      <w:szCs w:val="18"/>
    </w:rPr>
  </w:style>
  <w:style w:type="paragraph" w:customStyle="1" w:styleId="173">
    <w:name w:val="表头"/>
    <w:basedOn w:val="1"/>
    <w:link w:val="172"/>
    <w:uiPriority w:val="0"/>
    <w:pPr>
      <w:adjustRightInd w:val="0"/>
      <w:snapToGrid w:val="0"/>
      <w:spacing w:line="440" w:lineRule="atLeast"/>
      <w:ind w:firstLine="420" w:firstLineChars="200"/>
    </w:pPr>
    <w:rPr>
      <w:rFonts w:eastAsia="黑体"/>
      <w:szCs w:val="18"/>
    </w:rPr>
  </w:style>
  <w:style w:type="character" w:customStyle="1" w:styleId="174">
    <w:name w:val=" Char Char18"/>
    <w:uiPriority w:val="0"/>
    <w:rPr>
      <w:rFonts w:ascii="宋体"/>
      <w:kern w:val="2"/>
      <w:sz w:val="21"/>
    </w:rPr>
  </w:style>
  <w:style w:type="character" w:customStyle="1" w:styleId="175">
    <w:name w:val=" Char Char14"/>
    <w:uiPriority w:val="0"/>
    <w:rPr>
      <w:rFonts w:ascii="宋体"/>
      <w:kern w:val="21"/>
      <w:sz w:val="21"/>
    </w:rPr>
  </w:style>
  <w:style w:type="character" w:customStyle="1" w:styleId="176">
    <w:name w:val="批注框文本 Char1"/>
    <w:semiHidden/>
    <w:uiPriority w:val="99"/>
    <w:rPr>
      <w:rFonts w:ascii="Times New Roman" w:hAnsi="Times New Roman" w:eastAsia="宋体" w:cs="Times New Roman"/>
      <w:sz w:val="18"/>
      <w:szCs w:val="18"/>
    </w:rPr>
  </w:style>
  <w:style w:type="character" w:customStyle="1" w:styleId="177">
    <w:name w:val="style32"/>
    <w:basedOn w:val="55"/>
    <w:uiPriority w:val="0"/>
  </w:style>
  <w:style w:type="character" w:customStyle="1" w:styleId="178">
    <w:name w:val="unnamed41"/>
    <w:uiPriority w:val="0"/>
    <w:rPr>
      <w:sz w:val="18"/>
      <w:szCs w:val="18"/>
    </w:rPr>
  </w:style>
  <w:style w:type="character" w:customStyle="1" w:styleId="179">
    <w:name w:val="正文文本缩进 Char1"/>
    <w:semiHidden/>
    <w:uiPriority w:val="99"/>
    <w:rPr>
      <w:rFonts w:ascii="Times New Roman" w:hAnsi="Times New Roman" w:eastAsia="宋体" w:cs="Times New Roman"/>
      <w:szCs w:val="24"/>
    </w:rPr>
  </w:style>
  <w:style w:type="character" w:customStyle="1" w:styleId="180">
    <w:name w:val="h Char"/>
    <w:aliases w:val="Ò³Ã¼ Char,En-tête 1.1 Char,En-tête 1.11 Char,rh Char,RH Char,ho Char,header odd Char,Header bold Char Char"/>
    <w:uiPriority w:val="0"/>
    <w:rPr>
      <w:kern w:val="2"/>
      <w:sz w:val="18"/>
      <w:szCs w:val="18"/>
    </w:rPr>
  </w:style>
  <w:style w:type="character" w:customStyle="1" w:styleId="181">
    <w:name w:val=" Char Char16"/>
    <w:uiPriority w:val="0"/>
    <w:rPr>
      <w:rFonts w:ascii="宋体"/>
      <w:kern w:val="2"/>
      <w:sz w:val="21"/>
    </w:rPr>
  </w:style>
  <w:style w:type="character" w:customStyle="1" w:styleId="182">
    <w:name w:val="标题4-dyf Char"/>
    <w:link w:val="183"/>
    <w:uiPriority w:val="0"/>
    <w:rPr>
      <w:rFonts w:ascii="Cambria" w:hAnsi="Cambria"/>
      <w:b/>
      <w:bCs/>
      <w:color w:val="000000"/>
      <w:spacing w:val="10"/>
      <w:kern w:val="2"/>
      <w:sz w:val="21"/>
      <w:szCs w:val="21"/>
    </w:rPr>
  </w:style>
  <w:style w:type="paragraph" w:customStyle="1" w:styleId="183">
    <w:name w:val="标题4-dyf"/>
    <w:basedOn w:val="8"/>
    <w:link w:val="182"/>
    <w:qFormat/>
    <w:uiPriority w:val="0"/>
    <w:pPr>
      <w:tabs>
        <w:tab w:val="left" w:pos="851"/>
      </w:tabs>
      <w:spacing w:before="280" w:after="290" w:line="376" w:lineRule="atLeast"/>
      <w:ind w:left="851" w:hanging="851"/>
      <w:jc w:val="both"/>
    </w:pPr>
    <w:rPr>
      <w:rFonts w:ascii="Cambria" w:hAnsi="Cambria"/>
      <w:b/>
      <w:kern w:val="2"/>
      <w:sz w:val="21"/>
      <w:szCs w:val="21"/>
    </w:rPr>
  </w:style>
  <w:style w:type="character" w:customStyle="1" w:styleId="184">
    <w:name w:val="Comment Subject Char"/>
    <w:locked/>
    <w:uiPriority w:val="0"/>
    <w:rPr>
      <w:rFonts w:ascii="宋体" w:hAnsi="宋体" w:eastAsia="宋体"/>
      <w:b/>
      <w:kern w:val="2"/>
      <w:sz w:val="24"/>
      <w:lang w:val="en-US" w:eastAsia="zh-CN"/>
    </w:rPr>
  </w:style>
  <w:style w:type="character" w:customStyle="1" w:styleId="185">
    <w:name w:val="正文文本 3 字符1"/>
    <w:semiHidden/>
    <w:uiPriority w:val="99"/>
    <w:rPr>
      <w:sz w:val="16"/>
      <w:szCs w:val="16"/>
    </w:rPr>
  </w:style>
  <w:style w:type="character" w:customStyle="1" w:styleId="186">
    <w:name w:val="脚注文本 字符1"/>
    <w:semiHidden/>
    <w:uiPriority w:val="99"/>
    <w:rPr>
      <w:sz w:val="18"/>
      <w:szCs w:val="18"/>
    </w:rPr>
  </w:style>
  <w:style w:type="character" w:customStyle="1" w:styleId="187">
    <w:name w:val="style6"/>
    <w:uiPriority w:val="0"/>
    <w:rPr>
      <w:rFonts w:cs="Times New Roman"/>
    </w:rPr>
  </w:style>
  <w:style w:type="character" w:customStyle="1" w:styleId="188">
    <w:name w:val="f101"/>
    <w:uiPriority w:val="0"/>
    <w:rPr>
      <w:sz w:val="21"/>
      <w:szCs w:val="21"/>
    </w:rPr>
  </w:style>
  <w:style w:type="character" w:customStyle="1" w:styleId="189">
    <w:name w:val="正文文本缩进 3 字符1"/>
    <w:semiHidden/>
    <w:uiPriority w:val="99"/>
    <w:rPr>
      <w:sz w:val="16"/>
      <w:szCs w:val="16"/>
    </w:rPr>
  </w:style>
  <w:style w:type="character" w:customStyle="1" w:styleId="190">
    <w:name w:val="标题 1 Char Char Char Char Char Char Char Char Char Char Char Char Char Char Char Char Char Char Char Char1"/>
    <w:aliases w:val="标题 1 Char Char Char Char Char Char Char Char Char Char Char Char Char Char Char Char Char Char Char Char Char Char"/>
    <w:uiPriority w:val="0"/>
    <w:rPr>
      <w:b/>
      <w:bCs/>
      <w:kern w:val="44"/>
      <w:sz w:val="44"/>
      <w:szCs w:val="44"/>
    </w:rPr>
  </w:style>
  <w:style w:type="character" w:customStyle="1" w:styleId="191">
    <w:name w:val="Char Char18"/>
    <w:uiPriority w:val="0"/>
    <w:rPr>
      <w:rFonts w:ascii="Arial" w:hAnsi="Arial" w:eastAsia="黑体"/>
      <w:sz w:val="28"/>
      <w:szCs w:val="24"/>
      <w:lang w:val="en-US" w:eastAsia="zh-CN" w:bidi="ar-SA"/>
    </w:rPr>
  </w:style>
  <w:style w:type="character" w:customStyle="1" w:styleId="192">
    <w:name w:val="Body Text Indent Char"/>
    <w:locked/>
    <w:uiPriority w:val="0"/>
    <w:rPr>
      <w:rFonts w:ascii="仿宋_GB2312" w:eastAsia="仿宋_GB2312"/>
      <w:kern w:val="2"/>
      <w:sz w:val="24"/>
      <w:lang w:val="en-US" w:eastAsia="zh-CN"/>
    </w:rPr>
  </w:style>
  <w:style w:type="character" w:customStyle="1" w:styleId="193">
    <w:name w:val="Balloon Text Char"/>
    <w:locked/>
    <w:uiPriority w:val="0"/>
    <w:rPr>
      <w:rFonts w:ascii="宋体" w:hAnsi="宋体" w:eastAsia="宋体"/>
      <w:kern w:val="2"/>
      <w:sz w:val="18"/>
      <w:lang w:val="en-US" w:eastAsia="zh-CN"/>
    </w:rPr>
  </w:style>
  <w:style w:type="character" w:customStyle="1" w:styleId="194">
    <w:name w:val="文档结构图 Char1"/>
    <w:semiHidden/>
    <w:uiPriority w:val="99"/>
    <w:rPr>
      <w:rFonts w:ascii="Microsoft YaHei UI" w:hAnsi="Times New Roman" w:eastAsia="Microsoft YaHei UI" w:cs="Times New Roman"/>
      <w:sz w:val="18"/>
      <w:szCs w:val="18"/>
    </w:rPr>
  </w:style>
  <w:style w:type="character" w:customStyle="1" w:styleId="195">
    <w:name w:val="Date Char"/>
    <w:locked/>
    <w:uiPriority w:val="0"/>
    <w:rPr>
      <w:rFonts w:ascii="宋体" w:hAnsi="宋体" w:eastAsia="宋体"/>
      <w:kern w:val="2"/>
      <w:sz w:val="24"/>
      <w:lang w:val="en-US" w:eastAsia="zh-CN"/>
    </w:rPr>
  </w:style>
  <w:style w:type="character" w:customStyle="1" w:styleId="196">
    <w:name w:val="批注文字 Char1"/>
    <w:semiHidden/>
    <w:uiPriority w:val="99"/>
    <w:rPr>
      <w:rFonts w:ascii="Times New Roman" w:hAnsi="Times New Roman" w:eastAsia="宋体" w:cs="Times New Roman"/>
      <w:szCs w:val="24"/>
    </w:rPr>
  </w:style>
  <w:style w:type="character" w:customStyle="1" w:styleId="197">
    <w:name w:val="报告正文 Char"/>
    <w:link w:val="198"/>
    <w:uiPriority w:val="0"/>
    <w:rPr>
      <w:sz w:val="28"/>
      <w:lang w:bidi="he-IL"/>
    </w:rPr>
  </w:style>
  <w:style w:type="paragraph" w:customStyle="1" w:styleId="198">
    <w:name w:val="报告正文"/>
    <w:basedOn w:val="52"/>
    <w:link w:val="197"/>
    <w:qFormat/>
    <w:uiPriority w:val="0"/>
    <w:pPr>
      <w:adjustRightInd w:val="0"/>
      <w:spacing w:before="0" w:after="0" w:line="360" w:lineRule="auto"/>
      <w:ind w:firstLine="200" w:firstLineChars="200"/>
      <w:textAlignment w:val="baseline"/>
    </w:pPr>
    <w:rPr>
      <w:snapToGrid/>
      <w:color w:val="auto"/>
      <w:sz w:val="28"/>
      <w:szCs w:val="20"/>
      <w:lang w:bidi="he-IL"/>
    </w:rPr>
  </w:style>
  <w:style w:type="character" w:customStyle="1" w:styleId="199">
    <w:name w:val="批注主题 字符1"/>
    <w:semiHidden/>
    <w:uiPriority w:val="99"/>
    <w:rPr>
      <w:b/>
      <w:bCs/>
    </w:rPr>
  </w:style>
  <w:style w:type="character" w:customStyle="1" w:styleId="200">
    <w:name w:val="批注框文本 字符1"/>
    <w:semiHidden/>
    <w:uiPriority w:val="99"/>
    <w:rPr>
      <w:sz w:val="18"/>
      <w:szCs w:val="18"/>
    </w:rPr>
  </w:style>
  <w:style w:type="character" w:customStyle="1" w:styleId="201">
    <w:name w:val="b11_01b Char"/>
    <w:link w:val="202"/>
    <w:uiPriority w:val="0"/>
    <w:rPr>
      <w:rFonts w:ascii="Verdana" w:hAnsi="Verdana"/>
      <w:b/>
      <w:bCs/>
      <w:color w:val="4A82CA"/>
      <w:sz w:val="17"/>
      <w:szCs w:val="17"/>
    </w:rPr>
  </w:style>
  <w:style w:type="paragraph" w:customStyle="1" w:styleId="202">
    <w:name w:val="b11_01b"/>
    <w:basedOn w:val="1"/>
    <w:next w:val="1"/>
    <w:link w:val="201"/>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03">
    <w:name w:val="Comment Text Char"/>
    <w:locked/>
    <w:uiPriority w:val="0"/>
    <w:rPr>
      <w:rFonts w:ascii="宋体" w:hAnsi="宋体" w:eastAsia="宋体"/>
      <w:kern w:val="2"/>
      <w:sz w:val="24"/>
      <w:lang w:val="en-US" w:eastAsia="zh-CN"/>
    </w:rPr>
  </w:style>
  <w:style w:type="character" w:customStyle="1" w:styleId="204">
    <w:name w:val="正文首行缩进 2 字符1"/>
    <w:semiHidden/>
    <w:uiPriority w:val="99"/>
  </w:style>
  <w:style w:type="character" w:customStyle="1" w:styleId="205">
    <w:name w:val="Header Char"/>
    <w:locked/>
    <w:uiPriority w:val="0"/>
    <w:rPr>
      <w:kern w:val="2"/>
      <w:sz w:val="18"/>
    </w:rPr>
  </w:style>
  <w:style w:type="character" w:customStyle="1" w:styleId="206">
    <w:name w:val="apple-style-span"/>
    <w:basedOn w:val="55"/>
    <w:uiPriority w:val="0"/>
  </w:style>
  <w:style w:type="character" w:customStyle="1" w:styleId="207">
    <w:name w:val="正文文本缩进 3 Char1"/>
    <w:semiHidden/>
    <w:uiPriority w:val="99"/>
    <w:rPr>
      <w:rFonts w:ascii="Times New Roman" w:hAnsi="Times New Roman" w:eastAsia="宋体" w:cs="Times New Roman"/>
      <w:sz w:val="16"/>
      <w:szCs w:val="16"/>
    </w:rPr>
  </w:style>
  <w:style w:type="character" w:customStyle="1" w:styleId="208">
    <w:name w:val="标题 Char1"/>
    <w:uiPriority w:val="10"/>
    <w:rPr>
      <w:rFonts w:ascii="Calibri Light" w:hAnsi="Calibri Light" w:eastAsia="宋体" w:cs="Times New Roman"/>
      <w:b/>
      <w:bCs/>
      <w:sz w:val="32"/>
      <w:szCs w:val="32"/>
    </w:rPr>
  </w:style>
  <w:style w:type="character" w:customStyle="1" w:styleId="209">
    <w:name w:val="正文首行缩进 字符1"/>
    <w:semiHidden/>
    <w:uiPriority w:val="99"/>
  </w:style>
  <w:style w:type="character" w:customStyle="1" w:styleId="210">
    <w:name w:val="HTML 预设格式 Char1"/>
    <w:semiHidden/>
    <w:uiPriority w:val="99"/>
    <w:rPr>
      <w:rFonts w:ascii="Courier New" w:hAnsi="Courier New" w:eastAsia="宋体" w:cs="Courier New"/>
      <w:sz w:val="20"/>
      <w:szCs w:val="20"/>
    </w:rPr>
  </w:style>
  <w:style w:type="character" w:customStyle="1" w:styleId="211">
    <w:name w:val="批注框文本 字符2"/>
    <w:semiHidden/>
    <w:uiPriority w:val="99"/>
    <w:rPr>
      <w:rFonts w:ascii="Times New Roman" w:hAnsi="Times New Roman" w:eastAsia="宋体" w:cs="Times New Roman"/>
      <w:sz w:val="18"/>
      <w:szCs w:val="18"/>
    </w:rPr>
  </w:style>
  <w:style w:type="character" w:customStyle="1" w:styleId="212">
    <w:name w:val="style371"/>
    <w:uiPriority w:val="0"/>
    <w:rPr>
      <w:spacing w:val="0"/>
      <w:sz w:val="18"/>
      <w:szCs w:val="18"/>
    </w:rPr>
  </w:style>
  <w:style w:type="character" w:customStyle="1" w:styleId="213">
    <w:name w:val="font51"/>
    <w:uiPriority w:val="0"/>
    <w:rPr>
      <w:rFonts w:hint="eastAsia" w:ascii="宋体" w:hAnsi="宋体" w:eastAsia="宋体" w:cs="宋体"/>
      <w:color w:val="000000"/>
      <w:kern w:val="2"/>
      <w:sz w:val="20"/>
      <w:szCs w:val="20"/>
      <w:u w:val="none"/>
    </w:rPr>
  </w:style>
  <w:style w:type="character" w:customStyle="1" w:styleId="214">
    <w:name w:val="脚注文本 Char1"/>
    <w:semiHidden/>
    <w:uiPriority w:val="99"/>
    <w:rPr>
      <w:rFonts w:ascii="Times New Roman" w:hAnsi="Times New Roman" w:eastAsia="宋体" w:cs="Times New Roman"/>
      <w:sz w:val="18"/>
      <w:szCs w:val="18"/>
    </w:rPr>
  </w:style>
  <w:style w:type="character" w:customStyle="1" w:styleId="215">
    <w:name w:val="style31"/>
    <w:uiPriority w:val="0"/>
    <w:rPr>
      <w:sz w:val="21"/>
      <w:szCs w:val="21"/>
    </w:rPr>
  </w:style>
  <w:style w:type="character" w:customStyle="1" w:styleId="216">
    <w:name w:val=" Char Char17"/>
    <w:uiPriority w:val="0"/>
    <w:rPr>
      <w:rFonts w:ascii="宋体"/>
      <w:kern w:val="2"/>
      <w:sz w:val="21"/>
    </w:rPr>
  </w:style>
  <w:style w:type="character" w:customStyle="1" w:styleId="217">
    <w:name w:val="日期 字符1"/>
    <w:semiHidden/>
    <w:uiPriority w:val="99"/>
  </w:style>
  <w:style w:type="character" w:customStyle="1" w:styleId="218">
    <w:name w:val="正表文 Char Char"/>
    <w:link w:val="219"/>
    <w:uiPriority w:val="0"/>
  </w:style>
  <w:style w:type="paragraph" w:customStyle="1" w:styleId="219">
    <w:name w:val="正表文"/>
    <w:basedOn w:val="1"/>
    <w:link w:val="218"/>
    <w:uiPriority w:val="0"/>
    <w:pPr>
      <w:spacing w:line="0" w:lineRule="atLeast"/>
      <w:jc w:val="center"/>
    </w:pPr>
    <w:rPr>
      <w:kern w:val="0"/>
      <w:sz w:val="20"/>
      <w:szCs w:val="20"/>
    </w:rPr>
  </w:style>
  <w:style w:type="character" w:customStyle="1" w:styleId="220">
    <w:name w:val="font81"/>
    <w:uiPriority w:val="0"/>
    <w:rPr>
      <w:rFonts w:hint="eastAsia" w:ascii="宋体" w:hAnsi="宋体" w:eastAsia="宋体" w:cs="宋体"/>
      <w:i/>
      <w:color w:val="000000"/>
      <w:kern w:val="2"/>
      <w:sz w:val="18"/>
      <w:szCs w:val="18"/>
      <w:u w:val="none"/>
      <w:vertAlign w:val="subscript"/>
    </w:rPr>
  </w:style>
  <w:style w:type="character" w:customStyle="1" w:styleId="221">
    <w:name w:val="正文文本 3 Char1"/>
    <w:semiHidden/>
    <w:uiPriority w:val="99"/>
    <w:rPr>
      <w:rFonts w:ascii="Times New Roman" w:hAnsi="Times New Roman" w:eastAsia="宋体" w:cs="Times New Roman"/>
      <w:sz w:val="16"/>
      <w:szCs w:val="16"/>
    </w:rPr>
  </w:style>
  <w:style w:type="character" w:customStyle="1" w:styleId="222">
    <w:name w:val="正文文本缩进 2 字符1"/>
    <w:semiHidden/>
    <w:uiPriority w:val="99"/>
  </w:style>
  <w:style w:type="character" w:customStyle="1" w:styleId="223">
    <w:name w:val="批注文字 字符1"/>
    <w:semiHidden/>
    <w:uiPriority w:val="99"/>
  </w:style>
  <w:style w:type="character" w:customStyle="1" w:styleId="224">
    <w:name w:val="尾注文本 字符1"/>
    <w:semiHidden/>
    <w:uiPriority w:val="99"/>
  </w:style>
  <w:style w:type="character" w:customStyle="1" w:styleId="225">
    <w:name w:val=" Char Char15"/>
    <w:uiPriority w:val="0"/>
    <w:rPr>
      <w:rFonts w:ascii="宋体"/>
      <w:kern w:val="21"/>
      <w:sz w:val="21"/>
    </w:rPr>
  </w:style>
  <w:style w:type="character" w:customStyle="1" w:styleId="226">
    <w:name w:val=" Char Char9"/>
    <w:uiPriority w:val="0"/>
    <w:rPr>
      <w:color w:val="0000FF"/>
      <w:kern w:val="2"/>
      <w:sz w:val="21"/>
      <w:szCs w:val="21"/>
    </w:rPr>
  </w:style>
  <w:style w:type="character" w:customStyle="1" w:styleId="227">
    <w:name w:val="正文文本首行缩进 字符"/>
    <w:uiPriority w:val="99"/>
    <w:rPr>
      <w:snapToGrid w:val="0"/>
      <w:color w:val="000000"/>
      <w:sz w:val="24"/>
      <w:szCs w:val="18"/>
    </w:rPr>
  </w:style>
  <w:style w:type="character" w:customStyle="1" w:styleId="228">
    <w:name w:val="Body Text Indent 2 Char"/>
    <w:locked/>
    <w:uiPriority w:val="0"/>
    <w:rPr>
      <w:rFonts w:eastAsia="宋体"/>
      <w:kern w:val="2"/>
      <w:sz w:val="24"/>
      <w:lang w:val="en-US" w:eastAsia="zh-CN"/>
    </w:rPr>
  </w:style>
  <w:style w:type="character" w:customStyle="1" w:styleId="229">
    <w:name w:val="标题 字符1"/>
    <w:uiPriority w:val="10"/>
    <w:rPr>
      <w:rFonts w:ascii="等线 Light" w:hAnsi="等线 Light" w:eastAsia="等线 Light" w:cs="Times New Roman"/>
      <w:b/>
      <w:bCs/>
      <w:sz w:val="32"/>
      <w:szCs w:val="32"/>
    </w:rPr>
  </w:style>
  <w:style w:type="character" w:customStyle="1" w:styleId="230">
    <w:name w:val="批注主题 Char1"/>
    <w:semiHidden/>
    <w:uiPriority w:val="99"/>
    <w:rPr>
      <w:rFonts w:ascii="Times New Roman" w:hAnsi="Times New Roman" w:eastAsia="宋体" w:cs="Times New Roman"/>
      <w:b/>
      <w:bCs/>
      <w:szCs w:val="24"/>
    </w:rPr>
  </w:style>
  <w:style w:type="character" w:customStyle="1" w:styleId="231">
    <w:name w:val="正文文本缩进 2 Char1"/>
    <w:semiHidden/>
    <w:uiPriority w:val="99"/>
    <w:rPr>
      <w:rFonts w:ascii="Times New Roman" w:hAnsi="Times New Roman" w:eastAsia="宋体" w:cs="Times New Roman"/>
      <w:szCs w:val="24"/>
    </w:rPr>
  </w:style>
  <w:style w:type="character" w:customStyle="1" w:styleId="232">
    <w:name w:val="font101"/>
    <w:uiPriority w:val="0"/>
    <w:rPr>
      <w:rFonts w:hint="eastAsia" w:ascii="宋体" w:hAnsi="宋体" w:eastAsia="宋体" w:cs="宋体"/>
      <w:color w:val="000000"/>
      <w:kern w:val="2"/>
      <w:sz w:val="18"/>
      <w:szCs w:val="18"/>
      <w:u w:val="none"/>
      <w:vertAlign w:val="superscript"/>
    </w:rPr>
  </w:style>
  <w:style w:type="character" w:customStyle="1" w:styleId="233">
    <w:name w:val="正文文本 字符1"/>
    <w:semiHidden/>
    <w:uiPriority w:val="99"/>
  </w:style>
  <w:style w:type="character" w:customStyle="1" w:styleId="234">
    <w:name w:val="111111 Char"/>
    <w:link w:val="235"/>
    <w:uiPriority w:val="0"/>
    <w:rPr>
      <w:rFonts w:ascii="宋体" w:hAnsi="宋体" w:eastAsia="黑体"/>
      <w:b/>
      <w:bCs/>
      <w:kern w:val="2"/>
      <w:sz w:val="21"/>
      <w:szCs w:val="21"/>
    </w:rPr>
  </w:style>
  <w:style w:type="paragraph" w:customStyle="1" w:styleId="235">
    <w:name w:val="111111"/>
    <w:basedOn w:val="1"/>
    <w:link w:val="234"/>
    <w:uiPriority w:val="0"/>
    <w:pPr>
      <w:spacing w:before="120" w:after="120"/>
      <w:jc w:val="center"/>
    </w:pPr>
    <w:rPr>
      <w:rFonts w:ascii="宋体" w:hAnsi="宋体" w:eastAsia="黑体"/>
      <w:b/>
      <w:bCs/>
      <w:szCs w:val="21"/>
    </w:rPr>
  </w:style>
  <w:style w:type="character" w:customStyle="1" w:styleId="236">
    <w:name w:val="正文文本 Char1"/>
    <w:semiHidden/>
    <w:uiPriority w:val="99"/>
    <w:rPr>
      <w:rFonts w:ascii="Times New Roman" w:hAnsi="Times New Roman" w:eastAsia="宋体" w:cs="Times New Roman"/>
      <w:szCs w:val="24"/>
    </w:rPr>
  </w:style>
  <w:style w:type="character" w:customStyle="1" w:styleId="237">
    <w:name w:val="纯文本 Char1"/>
    <w:semiHidden/>
    <w:uiPriority w:val="99"/>
    <w:rPr>
      <w:rFonts w:ascii="宋体" w:hAnsi="Courier New" w:eastAsia="宋体" w:cs="Courier New"/>
      <w:szCs w:val="21"/>
    </w:rPr>
  </w:style>
  <w:style w:type="character" w:customStyle="1" w:styleId="238">
    <w:name w:val=" Char Char13"/>
    <w:uiPriority w:val="0"/>
    <w:rPr>
      <w:rFonts w:ascii="Calibri" w:hAnsi="Calibri"/>
      <w:kern w:val="2"/>
      <w:sz w:val="21"/>
      <w:szCs w:val="24"/>
    </w:rPr>
  </w:style>
  <w:style w:type="character" w:customStyle="1" w:styleId="239">
    <w:name w:val="t-lan"/>
    <w:basedOn w:val="55"/>
    <w:uiPriority w:val="0"/>
  </w:style>
  <w:style w:type="character" w:customStyle="1" w:styleId="240">
    <w:name w:val=" Char Char8"/>
    <w:uiPriority w:val="0"/>
    <w:rPr>
      <w:rFonts w:ascii="宋体" w:hAnsi="Courier New"/>
      <w:kern w:val="2"/>
      <w:sz w:val="21"/>
      <w:szCs w:val="21"/>
    </w:rPr>
  </w:style>
  <w:style w:type="character" w:customStyle="1" w:styleId="241">
    <w:name w:val="日期 Char1"/>
    <w:semiHidden/>
    <w:uiPriority w:val="99"/>
    <w:rPr>
      <w:rFonts w:ascii="Times New Roman" w:hAnsi="Times New Roman" w:eastAsia="宋体" w:cs="Times New Roman"/>
      <w:szCs w:val="24"/>
    </w:rPr>
  </w:style>
  <w:style w:type="character" w:customStyle="1" w:styleId="242">
    <w:name w:val="文档结构图 字符1"/>
    <w:semiHidden/>
    <w:uiPriority w:val="99"/>
    <w:rPr>
      <w:rFonts w:ascii="Microsoft YaHei UI" w:eastAsia="Microsoft YaHei UI"/>
      <w:sz w:val="18"/>
      <w:szCs w:val="18"/>
    </w:rPr>
  </w:style>
  <w:style w:type="character" w:customStyle="1" w:styleId="243">
    <w:name w:val="c11"/>
    <w:uiPriority w:val="0"/>
    <w:rPr>
      <w:rFonts w:hint="default" w:ascii="Arial" w:hAnsi="Arial" w:cs="Arial"/>
      <w:color w:val="000000"/>
      <w:sz w:val="18"/>
      <w:szCs w:val="18"/>
      <w:u w:val="none"/>
    </w:rPr>
  </w:style>
  <w:style w:type="character" w:customStyle="1" w:styleId="244">
    <w:name w:val="纯文本 字符1"/>
    <w:semiHidden/>
    <w:uiPriority w:val="99"/>
    <w:rPr>
      <w:rFonts w:ascii="等线" w:hAnsi="Courier New" w:cs="Courier New"/>
    </w:rPr>
  </w:style>
  <w:style w:type="character" w:customStyle="1" w:styleId="245">
    <w:name w:val="apple-converted-space"/>
    <w:basedOn w:val="55"/>
    <w:uiPriority w:val="0"/>
  </w:style>
  <w:style w:type="character" w:customStyle="1" w:styleId="246">
    <w:name w:val="Document Map Char"/>
    <w:locked/>
    <w:uiPriority w:val="0"/>
    <w:rPr>
      <w:rFonts w:eastAsia="宋体"/>
      <w:kern w:val="2"/>
      <w:sz w:val="24"/>
      <w:lang w:val="en-US" w:eastAsia="zh-CN"/>
    </w:rPr>
  </w:style>
  <w:style w:type="character" w:customStyle="1" w:styleId="247">
    <w:name w:val="Plain Text Char"/>
    <w:locked/>
    <w:uiPriority w:val="0"/>
    <w:rPr>
      <w:rFonts w:ascii="宋体" w:hAnsi="Courier New" w:eastAsia="宋体"/>
      <w:kern w:val="2"/>
      <w:sz w:val="21"/>
      <w:lang w:val="en-US" w:eastAsia="zh-CN"/>
    </w:rPr>
  </w:style>
  <w:style w:type="character" w:customStyle="1" w:styleId="248">
    <w:name w:val="HTML 预设格式 字符1"/>
    <w:semiHidden/>
    <w:uiPriority w:val="99"/>
    <w:rPr>
      <w:rFonts w:ascii="Courier New" w:hAnsi="Courier New" w:cs="Courier New"/>
      <w:sz w:val="20"/>
      <w:szCs w:val="20"/>
    </w:rPr>
  </w:style>
  <w:style w:type="character" w:customStyle="1" w:styleId="249">
    <w:name w:val="Footer Char"/>
    <w:locked/>
    <w:uiPriority w:val="0"/>
    <w:rPr>
      <w:rFonts w:eastAsia="宋体"/>
      <w:kern w:val="2"/>
      <w:sz w:val="18"/>
      <w:lang w:val="en-US" w:eastAsia="zh-CN"/>
    </w:rPr>
  </w:style>
  <w:style w:type="character" w:customStyle="1" w:styleId="250">
    <w:name w:val="nr2"/>
    <w:uiPriority w:val="0"/>
    <w:rPr>
      <w:rFonts w:hint="default" w:ascii="ˎ̥" w:hAnsi="ˎ̥"/>
      <w:color w:val="666666"/>
      <w:sz w:val="14"/>
      <w:szCs w:val="14"/>
      <w:u w:val="none"/>
    </w:rPr>
  </w:style>
  <w:style w:type="character" w:customStyle="1" w:styleId="251">
    <w:name w:val="font1"/>
    <w:uiPriority w:val="0"/>
  </w:style>
  <w:style w:type="character" w:customStyle="1" w:styleId="252">
    <w:name w:val="正文文本 2 字符1"/>
    <w:semiHidden/>
    <w:uiPriority w:val="99"/>
  </w:style>
  <w:style w:type="character" w:customStyle="1" w:styleId="253">
    <w:name w:val="fo Char"/>
    <w:aliases w:val="footer odd Char,odd Char,footer Final Char,Footer-Even Char,Footer1 Char,FtrF Char Char"/>
    <w:uiPriority w:val="0"/>
    <w:rPr>
      <w:kern w:val="2"/>
      <w:sz w:val="18"/>
      <w:szCs w:val="18"/>
    </w:rPr>
  </w:style>
  <w:style w:type="paragraph" w:customStyle="1" w:styleId="254">
    <w:name w:val="标准小四"/>
    <w:basedOn w:val="1"/>
    <w:uiPriority w:val="0"/>
    <w:pPr>
      <w:spacing w:line="360" w:lineRule="auto"/>
      <w:ind w:firstLine="480" w:firstLineChars="200"/>
    </w:pPr>
    <w:rPr>
      <w:rFonts w:ascii="Arial" w:hAnsi="Arial"/>
      <w:sz w:val="24"/>
      <w:szCs w:val="21"/>
    </w:rPr>
  </w:style>
  <w:style w:type="paragraph" w:customStyle="1" w:styleId="255">
    <w:name w:val=" Char Char Char Char"/>
    <w:basedOn w:val="1"/>
    <w:uiPriority w:val="0"/>
    <w:pPr>
      <w:tabs>
        <w:tab w:val="left" w:pos="432"/>
      </w:tabs>
      <w:spacing w:before="156" w:beforeLines="50" w:after="156" w:afterLines="50"/>
      <w:ind w:left="432" w:hanging="432"/>
    </w:pPr>
    <w:rPr>
      <w:sz w:val="18"/>
      <w:szCs w:val="18"/>
    </w:rPr>
  </w:style>
  <w:style w:type="character" w:customStyle="1" w:styleId="256">
    <w:name w:val="HTML 预设格式 字符2"/>
    <w:uiPriority w:val="0"/>
    <w:rPr>
      <w:rFonts w:ascii="Courier New" w:hAnsi="Courier New" w:cs="Courier New"/>
      <w:kern w:val="2"/>
    </w:rPr>
  </w:style>
  <w:style w:type="paragraph" w:customStyle="1" w:styleId="257">
    <w:name w:val="普通(Web)1"/>
    <w:basedOn w:val="1"/>
    <w:next w:val="48"/>
    <w:uiPriority w:val="0"/>
    <w:pPr>
      <w:widowControl/>
      <w:spacing w:before="100" w:beforeAutospacing="1" w:after="100" w:afterAutospacing="1"/>
      <w:jc w:val="left"/>
    </w:pPr>
    <w:rPr>
      <w:rFonts w:ascii="宋体" w:hAnsi="宋体"/>
      <w:color w:val="000000"/>
      <w:kern w:val="0"/>
      <w:sz w:val="24"/>
    </w:rPr>
  </w:style>
  <w:style w:type="paragraph" w:customStyle="1" w:styleId="258">
    <w:name w:val="Char Char Char Char"/>
    <w:basedOn w:val="6"/>
    <w:uiPriority w:val="0"/>
    <w:pPr>
      <w:keepLines w:val="0"/>
      <w:widowControl/>
      <w:tabs>
        <w:tab w:val="left" w:pos="360"/>
      </w:tabs>
      <w:spacing w:before="240" w:after="160" w:line="240" w:lineRule="auto"/>
      <w:jc w:val="center"/>
    </w:pPr>
    <w:rPr>
      <w:rFonts w:ascii="Verdana" w:hAnsi="Verdana" w:eastAsia="宋体" w:cs="Arial"/>
      <w:b w:val="0"/>
      <w:iCs/>
      <w:color w:val="0000FF"/>
      <w:sz w:val="36"/>
      <w:szCs w:val="20"/>
      <w:bdr w:val="single" w:color="auto" w:sz="4" w:space="0"/>
      <w:shd w:val="pct10" w:color="auto" w:fill="FFFFFF"/>
      <w:lang w:eastAsia="en-US"/>
    </w:rPr>
  </w:style>
  <w:style w:type="paragraph" w:customStyle="1" w:styleId="259">
    <w:name w:val="正文2"/>
    <w:basedOn w:val="1"/>
    <w:uiPriority w:val="0"/>
    <w:pPr>
      <w:spacing w:before="156" w:line="360" w:lineRule="auto"/>
      <w:ind w:firstLine="510" w:firstLineChars="200"/>
    </w:pPr>
    <w:rPr>
      <w:sz w:val="24"/>
      <w:szCs w:val="20"/>
    </w:rPr>
  </w:style>
  <w:style w:type="paragraph" w:customStyle="1" w:styleId="260">
    <w:name w:val=" 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261">
    <w:name w:val="尾注文本 字符2"/>
    <w:uiPriority w:val="0"/>
    <w:rPr>
      <w:kern w:val="2"/>
      <w:sz w:val="21"/>
      <w:szCs w:val="24"/>
    </w:rPr>
  </w:style>
  <w:style w:type="paragraph" w:customStyle="1" w:styleId="262">
    <w:name w:val="样式"/>
    <w:basedOn w:val="1"/>
    <w:uiPriority w:val="0"/>
    <w:pPr>
      <w:autoSpaceDE w:val="0"/>
      <w:autoSpaceDN w:val="0"/>
      <w:snapToGrid w:val="0"/>
      <w:spacing w:before="120" w:after="120" w:line="360" w:lineRule="auto"/>
    </w:pPr>
    <w:rPr>
      <w:rFonts w:ascii="宋体"/>
      <w:sz w:val="24"/>
      <w:szCs w:val="20"/>
    </w:rPr>
  </w:style>
  <w:style w:type="paragraph" w:customStyle="1" w:styleId="263">
    <w:name w:val="p18"/>
    <w:basedOn w:val="1"/>
    <w:uiPriority w:val="0"/>
    <w:pPr>
      <w:widowControl/>
      <w:spacing w:line="440" w:lineRule="atLeast"/>
    </w:pPr>
    <w:rPr>
      <w:spacing w:val="-4"/>
      <w:kern w:val="0"/>
      <w:sz w:val="24"/>
    </w:rPr>
  </w:style>
  <w:style w:type="paragraph" w:customStyle="1" w:styleId="264">
    <w:name w:val=" Char Char Char Char Char Char Char"/>
    <w:basedOn w:val="1"/>
    <w:uiPriority w:val="0"/>
    <w:pPr>
      <w:tabs>
        <w:tab w:val="left" w:pos="432"/>
      </w:tabs>
      <w:ind w:left="432" w:hanging="432"/>
    </w:pPr>
    <w:rPr>
      <w:rFonts w:ascii="Tahoma" w:hAnsi="Tahoma"/>
      <w:sz w:val="24"/>
      <w:szCs w:val="20"/>
    </w:rPr>
  </w:style>
  <w:style w:type="paragraph" w:customStyle="1" w:styleId="265">
    <w:name w:val="正文段落正式格式"/>
    <w:basedOn w:val="1"/>
    <w:qFormat/>
    <w:uiPriority w:val="0"/>
    <w:pPr>
      <w:spacing w:line="360" w:lineRule="auto"/>
      <w:ind w:firstLine="480"/>
      <w:jc w:val="left"/>
    </w:pPr>
    <w:rPr>
      <w:rFonts w:cs="宋体"/>
      <w:color w:val="000000"/>
      <w:kern w:val="0"/>
      <w:sz w:val="24"/>
      <w:szCs w:val="20"/>
    </w:rPr>
  </w:style>
  <w:style w:type="paragraph" w:customStyle="1" w:styleId="266">
    <w:name w:val="Date1"/>
    <w:basedOn w:val="1"/>
    <w:next w:val="1"/>
    <w:qFormat/>
    <w:uiPriority w:val="0"/>
    <w:pPr>
      <w:adjustRightInd w:val="0"/>
      <w:spacing w:line="360" w:lineRule="atLeast"/>
    </w:pPr>
    <w:rPr>
      <w:sz w:val="28"/>
      <w:szCs w:val="20"/>
    </w:rPr>
  </w:style>
  <w:style w:type="paragraph" w:customStyle="1" w:styleId="267">
    <w:name w:val="1"/>
    <w:basedOn w:val="1"/>
    <w:uiPriority w:val="0"/>
    <w:pPr>
      <w:numPr>
        <w:ilvl w:val="4"/>
        <w:numId w:val="1"/>
      </w:numPr>
    </w:pPr>
  </w:style>
  <w:style w:type="paragraph" w:customStyle="1" w:styleId="268">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9">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0">
    <w:name w:val="我的标题-2"/>
    <w:basedOn w:val="1"/>
    <w:qFormat/>
    <w:uiPriority w:val="0"/>
    <w:pPr>
      <w:spacing w:before="120" w:after="120"/>
      <w:ind w:left="576" w:right="210" w:hanging="576"/>
      <w:outlineLvl w:val="1"/>
    </w:pPr>
    <w:rPr>
      <w:rFonts w:ascii="仿宋_GB2312" w:eastAsia="仿宋_GB2312"/>
      <w:b/>
      <w:sz w:val="32"/>
    </w:rPr>
  </w:style>
  <w:style w:type="paragraph" w:customStyle="1" w:styleId="271">
    <w:name w:val="正文－5"/>
    <w:uiPriority w:val="0"/>
    <w:pPr>
      <w:widowControl w:val="0"/>
      <w:tabs>
        <w:tab w:val="left" w:pos="360"/>
        <w:tab w:val="left" w:pos="1200"/>
      </w:tabs>
      <w:spacing w:line="320" w:lineRule="exact"/>
      <w:jc w:val="both"/>
    </w:pPr>
    <w:rPr>
      <w:rFonts w:ascii="宋体" w:hAnsi="宋体"/>
      <w:kern w:val="2"/>
      <w:sz w:val="24"/>
      <w:szCs w:val="24"/>
      <w:lang w:val="en-US" w:eastAsia="zh-CN" w:bidi="ar-SA"/>
    </w:rPr>
  </w:style>
  <w:style w:type="paragraph" w:customStyle="1" w:styleId="272">
    <w:name w:val="标题 3_0"/>
    <w:basedOn w:val="273"/>
    <w:next w:val="274"/>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customStyle="1" w:styleId="273">
    <w:name w:val="正文_2"/>
    <w:qFormat/>
    <w:uiPriority w:val="0"/>
    <w:pPr>
      <w:widowControl w:val="0"/>
      <w:jc w:val="both"/>
    </w:pPr>
    <w:rPr>
      <w:kern w:val="2"/>
      <w:sz w:val="21"/>
      <w:szCs w:val="24"/>
      <w:lang w:val="en-US" w:eastAsia="zh-CN" w:bidi="ar-SA"/>
    </w:rPr>
  </w:style>
  <w:style w:type="paragraph" w:customStyle="1" w:styleId="274">
    <w:name w:val="正文缩进_0"/>
    <w:basedOn w:val="273"/>
    <w:unhideWhenUsed/>
    <w:qFormat/>
    <w:uiPriority w:val="0"/>
    <w:pPr>
      <w:ind w:firstLine="420"/>
    </w:pPr>
    <w:rPr>
      <w:rFonts w:ascii="Calibri" w:hAnsi="Calibri" w:eastAsia="Times New Roman"/>
      <w:szCs w:val="20"/>
    </w:rPr>
  </w:style>
  <w:style w:type="paragraph" w:customStyle="1" w:styleId="275">
    <w:name w:val="cm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6">
    <w:name w:val="样式 标题 3 + 非加粗"/>
    <w:basedOn w:val="7"/>
    <w:uiPriority w:val="0"/>
    <w:pPr>
      <w:keepNext w:val="0"/>
      <w:keepLines w:val="0"/>
      <w:numPr>
        <w:ilvl w:val="1"/>
        <w:numId w:val="3"/>
      </w:numPr>
      <w:tabs>
        <w:tab w:val="left" w:pos="737"/>
      </w:tabs>
      <w:adjustRightInd w:val="0"/>
      <w:snapToGrid w:val="0"/>
      <w:spacing w:before="50" w:beforeLines="50" w:after="50" w:afterLines="50" w:line="240" w:lineRule="auto"/>
      <w:jc w:val="left"/>
    </w:pPr>
    <w:rPr>
      <w:bCs w:val="0"/>
      <w:sz w:val="24"/>
      <w:szCs w:val="24"/>
    </w:rPr>
  </w:style>
  <w:style w:type="paragraph" w:customStyle="1" w:styleId="277">
    <w:name w:val="正文文字格式"/>
    <w:basedOn w:val="1"/>
    <w:uiPriority w:val="0"/>
    <w:pPr>
      <w:spacing w:line="460" w:lineRule="exact"/>
      <w:ind w:firstLine="505"/>
      <w:jc w:val="left"/>
    </w:pPr>
    <w:rPr>
      <w:rFonts w:ascii="宋体"/>
      <w:kern w:val="24"/>
      <w:sz w:val="24"/>
      <w:szCs w:val="20"/>
    </w:rPr>
  </w:style>
  <w:style w:type="paragraph" w:customStyle="1" w:styleId="278">
    <w:name w:val="标书标题3"/>
    <w:basedOn w:val="7"/>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279">
    <w:name w:val="样式7"/>
    <w:basedOn w:val="5"/>
    <w:uiPriority w:val="0"/>
    <w:pPr>
      <w:spacing w:before="200" w:after="200" w:line="200" w:lineRule="exact"/>
    </w:pPr>
    <w:rPr>
      <w:rFonts w:ascii="宋体" w:hAnsi="宋体"/>
      <w:bCs w:val="0"/>
      <w:spacing w:val="6"/>
      <w:sz w:val="18"/>
      <w:szCs w:val="15"/>
    </w:rPr>
  </w:style>
  <w:style w:type="paragraph" w:customStyle="1" w:styleId="280">
    <w:name w:val="样式2"/>
    <w:basedOn w:val="1"/>
    <w:uiPriority w:val="0"/>
    <w:pPr>
      <w:spacing w:line="360" w:lineRule="auto"/>
      <w:ind w:left="420" w:leftChars="100" w:rightChars="100"/>
    </w:pPr>
    <w:rPr>
      <w:sz w:val="24"/>
    </w:rPr>
  </w:style>
  <w:style w:type="paragraph" w:customStyle="1" w:styleId="281">
    <w:name w:val="默认段落字体 Para Char Char Char Char Char Char Char Char Char Char"/>
    <w:basedOn w:val="1"/>
    <w:uiPriority w:val="0"/>
    <w:rPr>
      <w:rFonts w:ascii="Tahoma" w:hAnsi="Tahoma"/>
      <w:color w:val="000000"/>
      <w:sz w:val="24"/>
      <w:szCs w:val="20"/>
    </w:rPr>
  </w:style>
  <w:style w:type="paragraph" w:styleId="282">
    <w:name w:val=""/>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3">
    <w:name w:val="_Style 7"/>
    <w:basedOn w:val="1"/>
    <w:qFormat/>
    <w:uiPriority w:val="34"/>
    <w:pPr>
      <w:ind w:firstLine="420" w:firstLineChars="200"/>
    </w:pPr>
    <w:rPr>
      <w:rFonts w:ascii="Calibri" w:hAnsi="Calibri"/>
      <w:szCs w:val="22"/>
    </w:rPr>
  </w:style>
  <w:style w:type="paragraph" w:customStyle="1" w:styleId="284">
    <w:name w:val=" Char Char2"/>
    <w:basedOn w:val="1"/>
    <w:uiPriority w:val="0"/>
    <w:pPr>
      <w:jc w:val="center"/>
    </w:pPr>
    <w:rPr>
      <w:rFonts w:ascii="仿宋_GB2312" w:eastAsia="仿宋_GB2312"/>
      <w:b/>
      <w:kern w:val="0"/>
      <w:sz w:val="32"/>
      <w:szCs w:val="32"/>
      <w:lang w:val="en-GB"/>
    </w:rPr>
  </w:style>
  <w:style w:type="paragraph" w:customStyle="1" w:styleId="285">
    <w:name w:val="表格名称"/>
    <w:next w:val="1"/>
    <w:uiPriority w:val="0"/>
    <w:pPr>
      <w:spacing w:line="320" w:lineRule="exact"/>
      <w:jc w:val="center"/>
    </w:pPr>
    <w:rPr>
      <w:rFonts w:ascii="楷体_GB2312" w:eastAsia="楷体_GB2312"/>
      <w:sz w:val="21"/>
      <w:szCs w:val="21"/>
      <w:lang w:val="en-US" w:eastAsia="zh-CN" w:bidi="ar-SA"/>
    </w:rPr>
  </w:style>
  <w:style w:type="paragraph" w:customStyle="1" w:styleId="286">
    <w:name w:val="正文表格内容"/>
    <w:basedOn w:val="1"/>
    <w:qFormat/>
    <w:uiPriority w:val="0"/>
    <w:pPr>
      <w:widowControl/>
      <w:jc w:val="left"/>
    </w:pPr>
    <w:rPr>
      <w:rFonts w:ascii="Arial" w:hAnsi="Arial"/>
      <w:bCs/>
      <w:kern w:val="0"/>
      <w:szCs w:val="18"/>
    </w:rPr>
  </w:style>
  <w:style w:type="paragraph" w:styleId="287">
    <w:name w:val="List Paragraph"/>
    <w:basedOn w:val="1"/>
    <w:link w:val="288"/>
    <w:qFormat/>
    <w:uiPriority w:val="34"/>
    <w:pPr>
      <w:ind w:firstLine="420" w:firstLineChars="200"/>
    </w:pPr>
    <w:rPr>
      <w:rFonts w:ascii="Calibri" w:hAnsi="Calibri"/>
      <w:szCs w:val="22"/>
    </w:rPr>
  </w:style>
  <w:style w:type="character" w:customStyle="1" w:styleId="288">
    <w:name w:val="列表段落 字符"/>
    <w:link w:val="287"/>
    <w:qFormat/>
    <w:uiPriority w:val="34"/>
    <w:rPr>
      <w:rFonts w:ascii="Calibri" w:hAnsi="Calibri"/>
      <w:kern w:val="2"/>
      <w:sz w:val="21"/>
      <w:szCs w:val="22"/>
    </w:rPr>
  </w:style>
  <w:style w:type="paragraph" w:customStyle="1" w:styleId="289">
    <w:name w:val="表格文字"/>
    <w:basedOn w:val="1"/>
    <w:qFormat/>
    <w:uiPriority w:val="0"/>
    <w:pPr>
      <w:spacing w:line="300" w:lineRule="auto"/>
      <w:jc w:val="left"/>
    </w:pPr>
    <w:rPr>
      <w:rFonts w:ascii="宋体" w:hAnsi="宋体"/>
      <w:kern w:val="28"/>
      <w:szCs w:val="21"/>
    </w:rPr>
  </w:style>
  <w:style w:type="paragraph" w:customStyle="1" w:styleId="290">
    <w:name w:val="表格内文"/>
    <w:basedOn w:val="1"/>
    <w:uiPriority w:val="0"/>
    <w:pPr>
      <w:spacing w:line="360" w:lineRule="auto"/>
    </w:pPr>
    <w:rPr>
      <w:rFonts w:ascii="宋体" w:hAnsi="宋体" w:cs="宋体"/>
      <w:color w:val="000000"/>
      <w:szCs w:val="20"/>
    </w:rPr>
  </w:style>
  <w:style w:type="paragraph" w:customStyle="1" w:styleId="291">
    <w:name w:val="样式 正文文本 + 四号 段后: 0 磅 行距: 固定值 24 磅"/>
    <w:basedOn w:val="21"/>
    <w:uiPriority w:val="0"/>
    <w:pPr>
      <w:spacing w:after="0" w:line="480" w:lineRule="exact"/>
      <w:ind w:firstLine="630" w:firstLineChars="225"/>
      <w:jc w:val="left"/>
    </w:pPr>
    <w:rPr>
      <w:szCs w:val="20"/>
    </w:rPr>
  </w:style>
  <w:style w:type="character" w:customStyle="1" w:styleId="292">
    <w:name w:val="文档结构图 字符2"/>
    <w:uiPriority w:val="0"/>
    <w:rPr>
      <w:rFonts w:ascii="Microsoft YaHei UI" w:eastAsia="Microsoft YaHei UI"/>
      <w:kern w:val="2"/>
      <w:sz w:val="18"/>
      <w:szCs w:val="18"/>
    </w:rPr>
  </w:style>
  <w:style w:type="paragraph" w:customStyle="1" w:styleId="293">
    <w:name w:val="样式1"/>
    <w:basedOn w:val="7"/>
    <w:uiPriority w:val="0"/>
    <w:pPr>
      <w:spacing w:before="0" w:after="0" w:line="360" w:lineRule="auto"/>
    </w:pPr>
    <w:rPr>
      <w:sz w:val="24"/>
    </w:rPr>
  </w:style>
  <w:style w:type="paragraph" w:customStyle="1" w:styleId="294">
    <w:name w:val="Body Text 2"/>
    <w:basedOn w:val="1"/>
    <w:uiPriority w:val="0"/>
    <w:pPr>
      <w:adjustRightInd w:val="0"/>
      <w:spacing w:line="300" w:lineRule="auto"/>
      <w:jc w:val="center"/>
    </w:pPr>
    <w:rPr>
      <w:rFonts w:hint="eastAsia" w:ascii="宋体" w:hAnsi="宋体"/>
      <w:sz w:val="24"/>
      <w:szCs w:val="20"/>
    </w:rPr>
  </w:style>
  <w:style w:type="paragraph" w:customStyle="1" w:styleId="295">
    <w:name w:val="默认段落字体 Para Char"/>
    <w:basedOn w:val="1"/>
    <w:uiPriority w:val="0"/>
    <w:rPr>
      <w:szCs w:val="20"/>
    </w:rPr>
  </w:style>
  <w:style w:type="paragraph" w:customStyle="1" w:styleId="296">
    <w:name w:val="样式 样式 加粗 黑色 左 行距: 固定值 18 磅 + 非加粗"/>
    <w:basedOn w:val="1"/>
    <w:uiPriority w:val="0"/>
    <w:pPr>
      <w:keepNext/>
      <w:keepLines/>
      <w:spacing w:line="360" w:lineRule="exact"/>
      <w:jc w:val="left"/>
      <w:outlineLvl w:val="2"/>
    </w:pPr>
    <w:rPr>
      <w:rFonts w:cs="宋体"/>
      <w:b/>
      <w:color w:val="000000"/>
      <w:kern w:val="0"/>
      <w:szCs w:val="20"/>
    </w:rPr>
  </w:style>
  <w:style w:type="paragraph" w:customStyle="1" w:styleId="297">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298">
    <w:name w:val="脚注文本 字符2"/>
    <w:uiPriority w:val="0"/>
    <w:rPr>
      <w:kern w:val="2"/>
      <w:sz w:val="18"/>
      <w:szCs w:val="18"/>
    </w:rPr>
  </w:style>
  <w:style w:type="paragraph" w:customStyle="1" w:styleId="299">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00">
    <w:name w:val="表格内容"/>
    <w:basedOn w:val="1"/>
    <w:qFormat/>
    <w:uiPriority w:val="1"/>
    <w:pPr>
      <w:widowControl/>
      <w:jc w:val="center"/>
    </w:pPr>
    <w:rPr>
      <w:color w:val="000000"/>
      <w:kern w:val="0"/>
      <w:szCs w:val="21"/>
    </w:rPr>
  </w:style>
  <w:style w:type="paragraph" w:customStyle="1" w:styleId="301">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02">
    <w:name w:val="DTX-03"/>
    <w:qFormat/>
    <w:uiPriority w:val="0"/>
    <w:pPr>
      <w:widowControl w:val="0"/>
      <w:tabs>
        <w:tab w:val="left" w:pos="0"/>
      </w:tabs>
      <w:adjustRightInd w:val="0"/>
      <w:snapToGrid w:val="0"/>
      <w:spacing w:line="500" w:lineRule="exact"/>
      <w:outlineLvl w:val="2"/>
    </w:pPr>
    <w:rPr>
      <w:rFonts w:eastAsia="黑体"/>
      <w:b/>
      <w:bCs/>
      <w:kern w:val="2"/>
      <w:sz w:val="24"/>
      <w:szCs w:val="24"/>
      <w:lang w:val="en-US" w:eastAsia="zh-CN" w:bidi="ar-SA"/>
    </w:rPr>
  </w:style>
  <w:style w:type="paragraph" w:customStyle="1" w:styleId="303">
    <w:name w:val="正文 New New New New"/>
    <w:qFormat/>
    <w:uiPriority w:val="0"/>
    <w:pPr>
      <w:widowControl w:val="0"/>
      <w:jc w:val="both"/>
    </w:pPr>
    <w:rPr>
      <w:rFonts w:eastAsia="Arial Unicode MS" w:cs="Arial Unicode MS"/>
      <w:color w:val="000000"/>
      <w:lang w:val="en-US" w:eastAsia="zh-CN" w:bidi="ar-SA"/>
    </w:rPr>
  </w:style>
  <w:style w:type="paragraph" w:customStyle="1" w:styleId="304">
    <w:name w:val="标书标题4"/>
    <w:basedOn w:val="8"/>
    <w:uiPriority w:val="0"/>
    <w:pPr>
      <w:adjustRightInd w:val="0"/>
      <w:snapToGrid w:val="0"/>
      <w:spacing w:before="0" w:after="0" w:line="300" w:lineRule="auto"/>
      <w:jc w:val="both"/>
    </w:pPr>
    <w:rPr>
      <w:rFonts w:ascii="Arial Narrow" w:hAnsi="Arial Narrow" w:eastAsia="仿宋_GB2312"/>
      <w:b/>
      <w:bCs w:val="0"/>
      <w:spacing w:val="0"/>
      <w:kern w:val="0"/>
      <w:sz w:val="28"/>
      <w:szCs w:val="32"/>
    </w:rPr>
  </w:style>
  <w:style w:type="paragraph" w:customStyle="1" w:styleId="305">
    <w:name w:val="方案正文"/>
    <w:basedOn w:val="1"/>
    <w:uiPriority w:val="0"/>
    <w:pPr>
      <w:adjustRightInd w:val="0"/>
      <w:snapToGrid w:val="0"/>
      <w:spacing w:line="360" w:lineRule="auto"/>
      <w:textAlignment w:val="baseline"/>
    </w:pPr>
    <w:rPr>
      <w:rFonts w:ascii="宋体" w:hAnsi="宋体"/>
      <w:bCs/>
    </w:rPr>
  </w:style>
  <w:style w:type="paragraph" w:customStyle="1" w:styleId="306">
    <w:name w:val="表格标题1"/>
    <w:basedOn w:val="1"/>
    <w:uiPriority w:val="0"/>
    <w:pPr>
      <w:spacing w:line="360" w:lineRule="auto"/>
      <w:jc w:val="center"/>
    </w:pPr>
    <w:rPr>
      <w:rFonts w:ascii="宋体" w:hAnsi="宋体" w:cs="宋体"/>
      <w:b/>
      <w:bCs/>
      <w:color w:val="000000"/>
      <w:sz w:val="24"/>
      <w:szCs w:val="21"/>
    </w:rPr>
  </w:style>
  <w:style w:type="paragraph" w:customStyle="1" w:styleId="307">
    <w:name w:val=" Char1"/>
    <w:basedOn w:val="1"/>
    <w:uiPriority w:val="0"/>
    <w:pPr>
      <w:tabs>
        <w:tab w:val="left" w:pos="432"/>
      </w:tabs>
      <w:spacing w:before="156" w:beforeLines="50" w:after="156" w:afterLines="50"/>
      <w:ind w:left="432" w:hanging="432"/>
    </w:pPr>
    <w:rPr>
      <w:sz w:val="18"/>
      <w:szCs w:val="18"/>
    </w:rPr>
  </w:style>
  <w:style w:type="paragraph" w:customStyle="1" w:styleId="308">
    <w:name w:val="宝正文"/>
    <w:basedOn w:val="1"/>
    <w:qFormat/>
    <w:uiPriority w:val="0"/>
    <w:pPr>
      <w:autoSpaceDE w:val="0"/>
      <w:autoSpaceDN w:val="0"/>
      <w:spacing w:line="360" w:lineRule="auto"/>
      <w:ind w:firstLine="560"/>
      <w:jc w:val="left"/>
      <w:textAlignment w:val="baseline"/>
    </w:pPr>
    <w:rPr>
      <w:rFonts w:ascii="仿宋" w:hAnsi="仿宋" w:eastAsia="仿宋"/>
      <w:kern w:val="0"/>
      <w:sz w:val="28"/>
      <w:szCs w:val="20"/>
    </w:rPr>
  </w:style>
  <w:style w:type="paragraph" w:customStyle="1" w:styleId="309">
    <w:name w:val="产品介绍目录"/>
    <w:basedOn w:val="1"/>
    <w:uiPriority w:val="0"/>
    <w:pPr>
      <w:numPr>
        <w:ilvl w:val="0"/>
        <w:numId w:val="4"/>
      </w:numPr>
      <w:spacing w:before="156" w:beforeLines="50" w:after="156" w:afterLines="50"/>
    </w:pPr>
    <w:rPr>
      <w:rFonts w:ascii="黑体" w:hAnsi="黑体" w:eastAsia="黑体"/>
      <w:sz w:val="24"/>
    </w:rPr>
  </w:style>
  <w:style w:type="paragraph" w:customStyle="1" w:styleId="310">
    <w:name w:val="首行缩进2 Char Char Char"/>
    <w:basedOn w:val="1"/>
    <w:qFormat/>
    <w:uiPriority w:val="0"/>
    <w:pPr>
      <w:spacing w:line="360" w:lineRule="auto"/>
      <w:ind w:firstLine="480" w:firstLineChars="200"/>
    </w:pPr>
    <w:rPr>
      <w:sz w:val="24"/>
    </w:rPr>
  </w:style>
  <w:style w:type="paragraph" w:customStyle="1" w:styleId="311">
    <w:name w:val="样式3"/>
    <w:basedOn w:val="1"/>
    <w:uiPriority w:val="0"/>
  </w:style>
  <w:style w:type="paragraph" w:customStyle="1" w:styleId="312">
    <w:name w:val=" Char Char1 Char Char Char Char Char Char Char"/>
    <w:basedOn w:val="1"/>
    <w:uiPriority w:val="0"/>
    <w:rPr>
      <w:rFonts w:ascii="Tahoma" w:hAnsi="Tahoma"/>
      <w:sz w:val="24"/>
      <w:szCs w:val="20"/>
    </w:rPr>
  </w:style>
  <w:style w:type="paragraph" w:customStyle="1" w:styleId="313">
    <w:name w:val="xl7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4">
    <w:name w:val="t-12"/>
    <w:basedOn w:val="1"/>
    <w:uiPriority w:val="0"/>
    <w:pPr>
      <w:widowControl/>
      <w:spacing w:before="100" w:beforeAutospacing="1" w:after="100" w:afterAutospacing="1" w:line="300" w:lineRule="atLeast"/>
      <w:jc w:val="left"/>
    </w:pPr>
    <w:rPr>
      <w:rFonts w:ascii="Georgia" w:hAnsi="Georgia" w:cs="宋体"/>
      <w:kern w:val="0"/>
      <w:sz w:val="18"/>
      <w:szCs w:val="18"/>
    </w:rPr>
  </w:style>
  <w:style w:type="paragraph" w:customStyle="1" w:styleId="315">
    <w:name w:val="小节"/>
    <w:basedOn w:val="7"/>
    <w:uiPriority w:val="0"/>
    <w:pPr>
      <w:spacing w:before="200" w:after="200" w:line="560" w:lineRule="exact"/>
      <w:jc w:val="left"/>
    </w:pPr>
    <w:rPr>
      <w:rFonts w:ascii="宋体" w:hAnsi="宋体"/>
      <w:bCs w:val="0"/>
      <w:color w:val="000000"/>
      <w:spacing w:val="10"/>
      <w:kern w:val="24"/>
      <w:sz w:val="28"/>
    </w:rPr>
  </w:style>
  <w:style w:type="paragraph" w:customStyle="1" w:styleId="316">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317">
    <w:name w:val="xl78"/>
    <w:basedOn w:val="1"/>
    <w:uiPriority w:val="0"/>
    <w:pPr>
      <w:widowControl/>
      <w:spacing w:before="100" w:beforeAutospacing="1" w:after="100" w:afterAutospacing="1"/>
      <w:jc w:val="left"/>
    </w:pPr>
    <w:rPr>
      <w:rFonts w:ascii="宋体" w:hAnsi="宋体" w:cs="宋体"/>
      <w:kern w:val="0"/>
      <w:sz w:val="24"/>
    </w:rPr>
  </w:style>
  <w:style w:type="paragraph" w:customStyle="1" w:styleId="318">
    <w:name w:val="Body"/>
    <w:uiPriority w:val="0"/>
    <w:pPr>
      <w:tabs>
        <w:tab w:val="left" w:pos="3686"/>
        <w:tab w:val="left" w:pos="4820"/>
        <w:tab w:val="left" w:pos="5954"/>
        <w:tab w:val="left" w:pos="7088"/>
        <w:tab w:val="left" w:pos="8222"/>
      </w:tabs>
      <w:spacing w:after="120"/>
      <w:ind w:left="1440" w:right="58"/>
      <w:jc w:val="both"/>
    </w:pPr>
    <w:rPr>
      <w:rFonts w:ascii="Arial" w:hAnsi="Arial"/>
      <w:sz w:val="22"/>
      <w:lang w:val="en-US" w:eastAsia="en-US" w:bidi="ar-SA"/>
    </w:rPr>
  </w:style>
  <w:style w:type="paragraph" w:customStyle="1" w:styleId="319">
    <w:name w:val="有符号正文"/>
    <w:basedOn w:val="1"/>
    <w:uiPriority w:val="0"/>
    <w:pPr>
      <w:spacing w:line="360" w:lineRule="auto"/>
      <w:ind w:firstLine="200" w:firstLineChars="200"/>
    </w:pPr>
    <w:rPr>
      <w:rFonts w:ascii="宋体" w:hAnsi="宋体"/>
      <w:color w:val="000000"/>
      <w:sz w:val="24"/>
    </w:rPr>
  </w:style>
  <w:style w:type="paragraph" w:customStyle="1" w:styleId="320">
    <w:name w:val="列出段落"/>
    <w:basedOn w:val="1"/>
    <w:qFormat/>
    <w:uiPriority w:val="0"/>
    <w:pPr>
      <w:ind w:firstLine="420" w:firstLineChars="200"/>
    </w:pPr>
    <w:rPr>
      <w:rFonts w:ascii="Calibri" w:hAnsi="Calibri"/>
      <w:szCs w:val="22"/>
    </w:rPr>
  </w:style>
  <w:style w:type="paragraph" w:customStyle="1" w:styleId="321">
    <w:name w:val="Char Char"/>
    <w:basedOn w:val="1"/>
    <w:uiPriority w:val="0"/>
    <w:rPr>
      <w:rFonts w:hint="eastAsia" w:ascii="仿宋_GB2312" w:eastAsia="仿宋_GB2312"/>
      <w:b/>
      <w:sz w:val="32"/>
      <w:szCs w:val="32"/>
    </w:rPr>
  </w:style>
  <w:style w:type="paragraph" w:customStyle="1" w:styleId="322">
    <w:name w:val="标题5"/>
    <w:basedOn w:val="1"/>
    <w:uiPriority w:val="0"/>
    <w:pPr>
      <w:adjustRightInd w:val="0"/>
      <w:snapToGrid w:val="0"/>
      <w:spacing w:line="310" w:lineRule="atLeast"/>
      <w:ind w:firstLine="425"/>
    </w:pPr>
    <w:rPr>
      <w:rFonts w:ascii="Arial" w:hAnsi="Arial" w:eastAsia="黑体"/>
      <w:szCs w:val="20"/>
    </w:rPr>
  </w:style>
  <w:style w:type="paragraph" w:customStyle="1" w:styleId="323">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24">
    <w:name w:val=" Char Char1 Char Char Char Char Char Char"/>
    <w:basedOn w:val="1"/>
    <w:uiPriority w:val="0"/>
    <w:pPr>
      <w:widowControl/>
      <w:spacing w:after="160" w:line="240" w:lineRule="exact"/>
      <w:jc w:val="left"/>
    </w:pPr>
    <w:rPr>
      <w:rFonts w:ascii="宋体" w:hAnsi="宋体" w:cs="宋体"/>
      <w:kern w:val="0"/>
      <w:szCs w:val="20"/>
    </w:rPr>
  </w:style>
  <w:style w:type="paragraph" w:customStyle="1" w:styleId="325">
    <w:name w:val="无间隔1"/>
    <w:uiPriority w:val="0"/>
    <w:pPr>
      <w:widowControl w:val="0"/>
      <w:jc w:val="both"/>
    </w:pPr>
    <w:rPr>
      <w:kern w:val="2"/>
      <w:sz w:val="21"/>
      <w:szCs w:val="24"/>
      <w:lang w:val="en-US" w:eastAsia="zh-CN" w:bidi="ar-SA"/>
    </w:rPr>
  </w:style>
  <w:style w:type="paragraph" w:customStyle="1" w:styleId="326">
    <w:name w:val="表格标题2"/>
    <w:basedOn w:val="290"/>
    <w:uiPriority w:val="0"/>
    <w:rPr>
      <w:b/>
    </w:rPr>
  </w:style>
  <w:style w:type="paragraph" w:customStyle="1" w:styleId="327">
    <w:name w:val="xl69"/>
    <w:basedOn w:val="1"/>
    <w:uiPriority w:val="0"/>
    <w:pPr>
      <w:widowControl/>
      <w:spacing w:before="100" w:beforeAutospacing="1" w:after="100" w:afterAutospacing="1"/>
      <w:jc w:val="left"/>
    </w:pPr>
    <w:rPr>
      <w:rFonts w:ascii="宋体" w:hAnsi="宋体" w:cs="宋体"/>
      <w:kern w:val="0"/>
      <w:sz w:val="24"/>
    </w:rPr>
  </w:style>
  <w:style w:type="paragraph" w:customStyle="1" w:styleId="328">
    <w:name w:val="正文 New"/>
    <w:uiPriority w:val="0"/>
    <w:pPr>
      <w:widowControl w:val="0"/>
      <w:jc w:val="both"/>
    </w:pPr>
    <w:rPr>
      <w:kern w:val="2"/>
      <w:sz w:val="21"/>
      <w:szCs w:val="22"/>
      <w:lang w:val="en-US" w:eastAsia="zh-CN" w:bidi="ar-SA"/>
    </w:rPr>
  </w:style>
  <w:style w:type="paragraph" w:customStyle="1" w:styleId="329">
    <w:name w:val="Char Char Char"/>
    <w:basedOn w:val="1"/>
    <w:uiPriority w:val="0"/>
    <w:rPr>
      <w:rFonts w:ascii="Tahoma" w:hAnsi="Tahoma"/>
      <w:sz w:val="24"/>
      <w:szCs w:val="20"/>
    </w:rPr>
  </w:style>
  <w:style w:type="paragraph" w:customStyle="1" w:styleId="330">
    <w:name w:val="正文样式一"/>
    <w:basedOn w:val="291"/>
    <w:qFormat/>
    <w:uiPriority w:val="0"/>
    <w:pPr>
      <w:spacing w:line="360" w:lineRule="auto"/>
      <w:ind w:firstLine="552" w:firstLineChars="200"/>
    </w:pPr>
    <w:rPr>
      <w:snapToGrid w:val="0"/>
      <w:color w:val="000000"/>
      <w:spacing w:val="-2"/>
      <w:kern w:val="0"/>
      <w:szCs w:val="28"/>
    </w:rPr>
  </w:style>
  <w:style w:type="paragraph" w:customStyle="1" w:styleId="331">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32">
    <w:name w:val="标题1"/>
    <w:basedOn w:val="6"/>
    <w:uiPriority w:val="0"/>
    <w:pPr>
      <w:tabs>
        <w:tab w:val="left" w:pos="420"/>
      </w:tabs>
      <w:spacing w:before="0" w:after="0" w:line="480" w:lineRule="auto"/>
      <w:ind w:left="420" w:hanging="420"/>
      <w:jc w:val="center"/>
    </w:pPr>
    <w:rPr>
      <w:rFonts w:ascii="宋体" w:hAnsi="宋体" w:eastAsia="宋体"/>
    </w:rPr>
  </w:style>
  <w:style w:type="paragraph" w:customStyle="1" w:styleId="333">
    <w:name w:val="ts4"/>
    <w:basedOn w:val="1"/>
    <w:uiPriority w:val="0"/>
    <w:pPr>
      <w:widowControl/>
      <w:spacing w:before="100" w:beforeAutospacing="1" w:after="100" w:afterAutospacing="1"/>
      <w:jc w:val="left"/>
    </w:pPr>
    <w:rPr>
      <w:rFonts w:ascii="宋体" w:hAnsi="宋体" w:cs="宋体"/>
      <w:kern w:val="0"/>
      <w:sz w:val="24"/>
    </w:rPr>
  </w:style>
  <w:style w:type="paragraph" w:customStyle="1" w:styleId="334">
    <w:name w:val="Char Char Char Char1"/>
    <w:basedOn w:val="1"/>
    <w:uiPriority w:val="0"/>
    <w:rPr>
      <w:rFonts w:ascii="Tahoma" w:hAnsi="Tahoma"/>
      <w:sz w:val="24"/>
      <w:szCs w:val="20"/>
    </w:rPr>
  </w:style>
  <w:style w:type="paragraph" w:customStyle="1" w:styleId="335">
    <w:name w:val="样式 标题 5 + 右侧:  -0.18 字符"/>
    <w:basedOn w:val="1"/>
    <w:uiPriority w:val="0"/>
    <w:pPr>
      <w:tabs>
        <w:tab w:val="left" w:pos="1008"/>
      </w:tabs>
      <w:ind w:left="1008" w:hanging="1008"/>
    </w:pPr>
  </w:style>
  <w:style w:type="paragraph" w:customStyle="1" w:styleId="336">
    <w:name w:val="节"/>
    <w:basedOn w:val="6"/>
    <w:uiPriority w:val="0"/>
    <w:pPr>
      <w:spacing w:before="160" w:after="160" w:line="720" w:lineRule="exact"/>
      <w:jc w:val="center"/>
    </w:pPr>
    <w:rPr>
      <w:rFonts w:ascii="宋体" w:hAnsi="宋体" w:eastAsia="宋体"/>
      <w:b w:val="0"/>
      <w:color w:val="0000FF"/>
      <w:spacing w:val="14"/>
      <w:kern w:val="24"/>
      <w:sz w:val="30"/>
      <w:szCs w:val="20"/>
      <w:bdr w:val="single" w:color="auto" w:sz="4" w:space="0"/>
      <w:shd w:val="pct10" w:color="auto" w:fill="FFFFFF"/>
    </w:rPr>
  </w:style>
  <w:style w:type="paragraph" w:customStyle="1" w:styleId="337">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38">
    <w:name w:val="目录"/>
    <w:next w:val="1"/>
    <w:uiPriority w:val="0"/>
    <w:pPr>
      <w:spacing w:before="624" w:beforeLines="200"/>
      <w:jc w:val="center"/>
    </w:pPr>
    <w:rPr>
      <w:rFonts w:ascii="Arial" w:hAnsi="Arial" w:eastAsia="黑体" w:cs="宋体"/>
      <w:bCs/>
      <w:kern w:val="2"/>
      <w:sz w:val="48"/>
      <w:lang w:val="en-US" w:eastAsia="zh-CN" w:bidi="ar-SA"/>
    </w:rPr>
  </w:style>
  <w:style w:type="paragraph" w:customStyle="1" w:styleId="339">
    <w:name w:val="文章标题"/>
    <w:next w:val="340"/>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40">
    <w:name w:val="封面公司名"/>
    <w:uiPriority w:val="0"/>
    <w:pPr>
      <w:jc w:val="center"/>
    </w:pPr>
    <w:rPr>
      <w:rFonts w:ascii="Arial" w:hAnsi="Arial" w:eastAsia="楷体_GB2312" w:cs="宋体"/>
      <w:bCs/>
      <w:kern w:val="2"/>
      <w:sz w:val="28"/>
      <w:lang w:val="en-US" w:eastAsia="zh-CN" w:bidi="ar-SA"/>
    </w:rPr>
  </w:style>
  <w:style w:type="paragraph" w:customStyle="1" w:styleId="341">
    <w:name w:val="列出段落1"/>
    <w:qFormat/>
    <w:uiPriority w:val="34"/>
    <w:pPr>
      <w:widowControl w:val="0"/>
      <w:ind w:firstLine="420"/>
      <w:jc w:val="both"/>
    </w:pPr>
    <w:rPr>
      <w:rFonts w:eastAsia="Calibri" w:cs="Calibri"/>
      <w:color w:val="000000"/>
      <w:kern w:val="2"/>
      <w:sz w:val="21"/>
      <w:szCs w:val="21"/>
      <w:lang w:val="en-US" w:eastAsia="zh-CN" w:bidi="ar-SA"/>
    </w:rPr>
  </w:style>
  <w:style w:type="paragraph" w:customStyle="1" w:styleId="342">
    <w:name w:val="标书标题2"/>
    <w:basedOn w:val="6"/>
    <w:uiPriority w:val="0"/>
    <w:pPr>
      <w:keepLines w:val="0"/>
      <w:widowControl/>
      <w:tabs>
        <w:tab w:val="left" w:pos="840"/>
      </w:tabs>
      <w:adjustRightInd w:val="0"/>
      <w:snapToGrid w:val="0"/>
      <w:spacing w:before="156" w:beforeLines="50" w:after="60" w:line="300" w:lineRule="auto"/>
      <w:ind w:left="840" w:hanging="420"/>
    </w:pPr>
    <w:rPr>
      <w:rFonts w:ascii="Arial Narrow" w:hAnsi="Arial Narrow" w:eastAsia="仿宋_GB2312"/>
      <w:color w:val="0000FF"/>
      <w:kern w:val="0"/>
      <w:sz w:val="30"/>
      <w:szCs w:val="20"/>
      <w:bdr w:val="single" w:color="auto" w:sz="4" w:space="0"/>
      <w:shd w:val="pct10" w:color="auto" w:fill="FFFFFF"/>
    </w:rPr>
  </w:style>
  <w:style w:type="paragraph" w:customStyle="1" w:styleId="343">
    <w:name w:val="样式 样式 标题 4 + 段前: 0.5 行 段后: 0.5 行 + 段前: 0.5 行 段后: 0.5 行"/>
    <w:basedOn w:val="1"/>
    <w:uiPriority w:val="0"/>
    <w:pPr>
      <w:keepNext/>
      <w:numPr>
        <w:ilvl w:val="2"/>
        <w:numId w:val="3"/>
      </w:numPr>
      <w:tabs>
        <w:tab w:val="left" w:pos="1134"/>
      </w:tabs>
      <w:adjustRightInd w:val="0"/>
      <w:snapToGrid w:val="0"/>
      <w:spacing w:before="50" w:beforeLines="50" w:after="50" w:afterLines="50"/>
      <w:ind w:left="454"/>
      <w:outlineLvl w:val="3"/>
    </w:pPr>
    <w:rPr>
      <w:rFonts w:cs="宋体"/>
      <w:sz w:val="24"/>
      <w:szCs w:val="20"/>
    </w:rPr>
  </w:style>
  <w:style w:type="paragraph" w:customStyle="1" w:styleId="344">
    <w:name w:val="正文文本缩进 32"/>
    <w:basedOn w:val="1"/>
    <w:qFormat/>
    <w:uiPriority w:val="0"/>
    <w:pPr>
      <w:spacing w:line="360" w:lineRule="auto"/>
      <w:ind w:firstLine="690"/>
      <w:jc w:val="left"/>
      <w:textAlignment w:val="baseline"/>
    </w:pPr>
    <w:rPr>
      <w:rFonts w:ascii="宋体"/>
      <w:sz w:val="28"/>
      <w:szCs w:val="20"/>
    </w:rPr>
  </w:style>
  <w:style w:type="paragraph" w:customStyle="1" w:styleId="345">
    <w:name w:val="样式 样式2 + 左侧:  1 字符 右侧:  1 字符"/>
    <w:basedOn w:val="280"/>
    <w:uiPriority w:val="0"/>
    <w:pPr>
      <w:ind w:left="0" w:leftChars="0" w:rightChars="0" w:firstLine="200" w:firstLineChars="200"/>
      <w:jc w:val="left"/>
    </w:pPr>
    <w:rPr>
      <w:rFonts w:cs="宋体"/>
      <w:szCs w:val="20"/>
    </w:rPr>
  </w:style>
  <w:style w:type="paragraph" w:customStyle="1" w:styleId="346">
    <w:name w:val="char"/>
    <w:basedOn w:val="1"/>
    <w:uiPriority w:val="0"/>
    <w:pPr>
      <w:tabs>
        <w:tab w:val="left" w:pos="360"/>
        <w:tab w:val="left" w:pos="1200"/>
      </w:tabs>
      <w:ind w:left="1200" w:hanging="360"/>
    </w:pPr>
    <w:rPr>
      <w:sz w:val="24"/>
      <w:szCs w:val="20"/>
    </w:rPr>
  </w:style>
  <w:style w:type="paragraph" w:customStyle="1" w:styleId="347">
    <w:name w:val="xl77"/>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48">
    <w:name w:val="xl68"/>
    <w:basedOn w:val="1"/>
    <w:uiPriority w:val="0"/>
    <w:pPr>
      <w:widowControl/>
      <w:spacing w:before="100" w:beforeAutospacing="1" w:after="100" w:afterAutospacing="1"/>
      <w:jc w:val="left"/>
    </w:pPr>
    <w:rPr>
      <w:rFonts w:ascii="宋体" w:hAnsi="宋体" w:cs="宋体"/>
      <w:kern w:val="0"/>
      <w:sz w:val="24"/>
    </w:rPr>
  </w:style>
  <w:style w:type="paragraph" w:customStyle="1" w:styleId="349">
    <w:name w:val="编号1"/>
    <w:basedOn w:val="1"/>
    <w:uiPriority w:val="0"/>
    <w:pPr>
      <w:numPr>
        <w:ilvl w:val="0"/>
        <w:numId w:val="5"/>
      </w:numPr>
    </w:pPr>
    <w:rPr>
      <w:szCs w:val="20"/>
    </w:rPr>
  </w:style>
  <w:style w:type="paragraph" w:customStyle="1" w:styleId="350">
    <w:name w:val="标题4(cht）"/>
    <w:basedOn w:val="1"/>
    <w:uiPriority w:val="0"/>
    <w:pPr>
      <w:snapToGrid w:val="0"/>
      <w:spacing w:line="440" w:lineRule="exact"/>
    </w:pPr>
    <w:rPr>
      <w:spacing w:val="-4"/>
      <w:sz w:val="24"/>
    </w:rPr>
  </w:style>
  <w:style w:type="paragraph" w:customStyle="1" w:styleId="351">
    <w:name w:val="4"/>
    <w:basedOn w:val="1"/>
    <w:uiPriority w:val="0"/>
    <w:pPr>
      <w:widowControl/>
      <w:spacing w:after="160" w:line="240" w:lineRule="exact"/>
      <w:jc w:val="left"/>
    </w:pPr>
  </w:style>
  <w:style w:type="paragraph" w:customStyle="1" w:styleId="352">
    <w:name w:val="Default Paragraph Font Para Char"/>
    <w:basedOn w:val="1"/>
    <w:uiPriority w:val="0"/>
    <w:pPr>
      <w:widowControl/>
      <w:spacing w:after="160" w:line="240" w:lineRule="exact"/>
      <w:jc w:val="left"/>
    </w:pPr>
    <w:rPr>
      <w:rFonts w:ascii="Verdana" w:hAnsi="Verdana"/>
      <w:kern w:val="0"/>
      <w:sz w:val="20"/>
      <w:szCs w:val="20"/>
      <w:lang w:eastAsia="en-US"/>
    </w:rPr>
  </w:style>
  <w:style w:type="paragraph" w:customStyle="1" w:styleId="353">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54">
    <w:name w:val="p15"/>
    <w:basedOn w:val="1"/>
    <w:uiPriority w:val="0"/>
    <w:pPr>
      <w:widowControl/>
      <w:spacing w:after="120"/>
      <w:ind w:left="420"/>
    </w:pPr>
    <w:rPr>
      <w:kern w:val="0"/>
      <w:szCs w:val="21"/>
    </w:rPr>
  </w:style>
  <w:style w:type="paragraph" w:customStyle="1" w:styleId="355">
    <w:name w:val=" Char Char Char1 Char Char Char Char"/>
    <w:basedOn w:val="1"/>
    <w:uiPriority w:val="0"/>
    <w:rPr>
      <w:rFonts w:ascii="Tahoma" w:hAnsi="Tahoma"/>
      <w:sz w:val="24"/>
      <w:szCs w:val="20"/>
    </w:rPr>
  </w:style>
  <w:style w:type="paragraph" w:customStyle="1" w:styleId="356">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table" w:customStyle="1" w:styleId="357">
    <w:name w:val="Table Normal"/>
    <w:semiHidden/>
    <w:uiPriority w:val="99"/>
    <w:rPr>
      <w:lang w:val="en-US" w:eastAsia="zh-CN" w:bidi="ar-SA"/>
    </w:rPr>
    <w:tblPr>
      <w:tblStyle w:val="53"/>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126</Pages>
  <Words>79687</Words>
  <Characters>90393</Characters>
  <Lines>727</Lines>
  <Paragraphs>204</Paragraphs>
  <TotalTime>27</TotalTime>
  <ScaleCrop>false</ScaleCrop>
  <LinksUpToDate>false</LinksUpToDate>
  <CharactersWithSpaces>96627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2020-06-16T09:40:00Z</dcterms:created>
  <dc:creator>Administrator</dc:creator>
  <cp:lastModifiedBy>WPS_1701756769</cp:lastModifiedBy>
  <cp:lastPrinted>2022-08-16T02:29:28Z</cp:lastPrinted>
  <dcterms:modified xsi:type="dcterms:W3CDTF">2024-02-22T10:02:13Z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6A06B7DBEB984499BBC8B1F2090C6475_13</vt:lpwstr>
  </property>
</Properties>
</file>