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 w:eastAsia="仿宋_GB2312" w:cs="仿宋_GB2312"/>
          <w:b/>
          <w:color w:val="auto"/>
          <w:sz w:val="24"/>
          <w:highlight w:val="none"/>
        </w:rPr>
      </w:pPr>
    </w:p>
    <w:p>
      <w:pPr>
        <w:shd w:val="clear" w:color="auto" w:fill="FFFFFF"/>
        <w:tabs>
          <w:tab w:val="left" w:pos="4500"/>
        </w:tabs>
        <w:snapToGrid w:val="0"/>
        <w:spacing w:line="360" w:lineRule="auto"/>
        <w:jc w:val="center"/>
        <w:textAlignment w:val="bottom"/>
        <w:rPr>
          <w:rFonts w:ascii="仿宋_GB2312" w:hAnsi="宋体" w:eastAsia="仿宋_GB2312" w:cs="宋体"/>
          <w:b/>
          <w:bCs/>
          <w:color w:val="auto"/>
          <w:spacing w:val="6"/>
          <w:sz w:val="48"/>
          <w:szCs w:val="48"/>
          <w:highlight w:val="none"/>
        </w:rPr>
      </w:pPr>
      <w:bookmarkStart w:id="0" w:name="_Hlt67893495"/>
      <w:bookmarkEnd w:id="0"/>
    </w:p>
    <w:p>
      <w:pPr>
        <w:pStyle w:val="26"/>
        <w:ind w:firstLine="420"/>
        <w:rPr>
          <w:rFonts w:ascii="仿宋_GB2312" w:hAnsi="等线" w:eastAsia="仿宋_GB2312"/>
          <w:color w:val="auto"/>
          <w:sz w:val="21"/>
          <w:highlight w:val="none"/>
        </w:rPr>
      </w:pPr>
    </w:p>
    <w:p>
      <w:pPr>
        <w:shd w:val="clear" w:color="auto" w:fill="FFFFFF"/>
        <w:tabs>
          <w:tab w:val="left" w:pos="4500"/>
        </w:tabs>
        <w:snapToGrid w:val="0"/>
        <w:spacing w:line="360" w:lineRule="auto"/>
        <w:jc w:val="center"/>
        <w:textAlignment w:val="bottom"/>
        <w:rPr>
          <w:rFonts w:ascii="仿宋_GB2312" w:hAnsi="宋体" w:eastAsia="仿宋_GB2312" w:cs="宋体"/>
          <w:b/>
          <w:bCs/>
          <w:color w:val="auto"/>
          <w:spacing w:val="6"/>
          <w:sz w:val="48"/>
          <w:szCs w:val="48"/>
          <w:highlight w:val="none"/>
        </w:rPr>
      </w:pPr>
      <w:r>
        <w:rPr>
          <w:rFonts w:hint="eastAsia" w:ascii="仿宋_GB2312" w:hAnsi="宋体" w:eastAsia="仿宋_GB2312" w:cs="宋体"/>
          <w:b/>
          <w:bCs/>
          <w:color w:val="auto"/>
          <w:spacing w:val="6"/>
          <w:sz w:val="48"/>
          <w:szCs w:val="48"/>
          <w:highlight w:val="none"/>
        </w:rPr>
        <w:t>西湖区2022年城市国土空间监测项目</w:t>
      </w:r>
    </w:p>
    <w:p>
      <w:pPr>
        <w:shd w:val="clear" w:color="auto" w:fill="FFFFFF"/>
        <w:tabs>
          <w:tab w:val="left" w:pos="4500"/>
        </w:tabs>
        <w:snapToGrid w:val="0"/>
        <w:spacing w:line="360" w:lineRule="auto"/>
        <w:jc w:val="center"/>
        <w:textAlignment w:val="bottom"/>
        <w:rPr>
          <w:rFonts w:ascii="仿宋_GB2312" w:hAnsi="宋体" w:eastAsia="仿宋_GB2312" w:cs="宋体"/>
          <w:b/>
          <w:bCs/>
          <w:color w:val="auto"/>
          <w:sz w:val="52"/>
          <w:szCs w:val="52"/>
          <w:highlight w:val="none"/>
        </w:rPr>
      </w:pPr>
      <w:r>
        <w:rPr>
          <w:rFonts w:hint="eastAsia" w:ascii="仿宋_GB2312" w:hAnsi="宋体" w:eastAsia="仿宋_GB2312" w:cs="宋体"/>
          <w:b/>
          <w:bCs/>
          <w:color w:val="auto"/>
          <w:spacing w:val="6"/>
          <w:sz w:val="48"/>
          <w:szCs w:val="48"/>
          <w:highlight w:val="none"/>
        </w:rPr>
        <w:t xml:space="preserve">  </w:t>
      </w:r>
    </w:p>
    <w:p>
      <w:pPr>
        <w:shd w:val="clear" w:color="auto" w:fill="FFFFFF"/>
        <w:tabs>
          <w:tab w:val="left" w:pos="4500"/>
        </w:tabs>
        <w:snapToGrid w:val="0"/>
        <w:spacing w:line="360" w:lineRule="auto"/>
        <w:jc w:val="center"/>
        <w:textAlignment w:val="bottom"/>
        <w:rPr>
          <w:rFonts w:ascii="仿宋_GB2312" w:hAnsi="宋体" w:eastAsia="仿宋_GB2312" w:cs="宋体"/>
          <w:b/>
          <w:bCs/>
          <w:color w:val="auto"/>
          <w:sz w:val="72"/>
          <w:szCs w:val="72"/>
          <w:highlight w:val="none"/>
        </w:rPr>
      </w:pPr>
      <w:r>
        <w:rPr>
          <w:rFonts w:hint="eastAsia" w:ascii="宋体" w:hAnsi="宋体" w:cs="宋体"/>
          <w:b w:val="0"/>
          <w:bCs/>
          <w:color w:val="auto"/>
          <w:sz w:val="52"/>
          <w:highlight w:val="none"/>
        </w:rPr>
        <w:t>竞争性磋商文件</w:t>
      </w:r>
    </w:p>
    <w:p>
      <w:pPr>
        <w:widowControl/>
        <w:spacing w:line="360" w:lineRule="auto"/>
        <w:ind w:right="-2"/>
        <w:jc w:val="center"/>
        <w:rPr>
          <w:rFonts w:ascii="仿宋_GB2312" w:hAnsi="宋体" w:eastAsia="仿宋_GB2312"/>
          <w:b/>
          <w:color w:val="auto"/>
          <w:sz w:val="36"/>
          <w:highlight w:val="none"/>
        </w:rPr>
      </w:pPr>
      <w:r>
        <w:rPr>
          <w:rFonts w:hint="eastAsia" w:ascii="仿宋_GB2312" w:hAnsi="宋体" w:eastAsia="仿宋_GB2312"/>
          <w:b/>
          <w:color w:val="auto"/>
          <w:sz w:val="36"/>
          <w:highlight w:val="none"/>
        </w:rPr>
        <w:t>（线上电子招投标）</w:t>
      </w:r>
    </w:p>
    <w:p>
      <w:pPr>
        <w:widowControl/>
        <w:snapToGrid w:val="0"/>
        <w:spacing w:line="360" w:lineRule="auto"/>
        <w:jc w:val="center"/>
        <w:rPr>
          <w:rFonts w:ascii="仿宋_GB2312" w:hAnsi="宋体" w:eastAsia="仿宋_GB2312"/>
          <w:color w:val="auto"/>
          <w:highlight w:val="none"/>
        </w:rPr>
      </w:pPr>
    </w:p>
    <w:p>
      <w:pPr>
        <w:shd w:val="clear" w:color="auto" w:fill="FFFFFF"/>
        <w:snapToGrid w:val="0"/>
        <w:spacing w:line="360" w:lineRule="auto"/>
        <w:rPr>
          <w:rFonts w:ascii="仿宋_GB2312" w:hAnsi="宋体" w:eastAsia="仿宋_GB2312" w:cs="宋体"/>
          <w:b/>
          <w:color w:val="auto"/>
          <w:sz w:val="36"/>
          <w:highlight w:val="none"/>
        </w:rPr>
      </w:pPr>
    </w:p>
    <w:p>
      <w:pPr>
        <w:shd w:val="clear" w:color="auto" w:fill="FFFFFF"/>
        <w:snapToGrid w:val="0"/>
        <w:spacing w:line="360" w:lineRule="auto"/>
        <w:jc w:val="center"/>
        <w:rPr>
          <w:rFonts w:ascii="仿宋_GB2312" w:hAnsi="宋体" w:eastAsia="仿宋_GB2312" w:cs="宋体"/>
          <w:b/>
          <w:bCs/>
          <w:color w:val="auto"/>
          <w:sz w:val="36"/>
          <w:szCs w:val="36"/>
          <w:highlight w:val="none"/>
        </w:rPr>
      </w:pPr>
      <w:r>
        <w:rPr>
          <w:rFonts w:hint="eastAsia" w:ascii="仿宋_GB2312" w:hAnsi="宋体" w:eastAsia="仿宋_GB2312" w:cs="宋体"/>
          <w:b/>
          <w:bCs/>
          <w:color w:val="auto"/>
          <w:sz w:val="36"/>
          <w:szCs w:val="36"/>
          <w:highlight w:val="none"/>
        </w:rPr>
        <w:t>招标编号：ZW-2022XHGZJ02</w:t>
      </w:r>
    </w:p>
    <w:p>
      <w:pPr>
        <w:shd w:val="clear" w:color="auto" w:fill="FFFFFF"/>
        <w:snapToGrid w:val="0"/>
        <w:spacing w:line="360" w:lineRule="auto"/>
        <w:textAlignment w:val="bottom"/>
        <w:rPr>
          <w:rFonts w:ascii="仿宋_GB2312" w:hAnsi="宋体" w:eastAsia="仿宋_GB2312" w:cs="宋体"/>
          <w:b/>
          <w:bCs/>
          <w:color w:val="auto"/>
          <w:sz w:val="48"/>
          <w:szCs w:val="48"/>
          <w:highlight w:val="none"/>
        </w:rPr>
      </w:pPr>
      <w:r>
        <w:rPr>
          <w:rFonts w:hint="eastAsia" w:ascii="仿宋_GB2312" w:hAnsi="等线" w:eastAsia="仿宋_GB2312"/>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0"/>
                <wp:effectExtent l="9525" t="6350" r="8890" b="12700"/>
                <wp:wrapSquare wrapText="bothSides"/>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30pt;margin-top:5.75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Jkwv1AAAAAkBAAAPAAAA&#10;AAAAAAEAIAAAACIAAABkcnMvZG93bnJldi54bWxQSwECFAAUAAAACACHTuJArQVAEuABAACmAwAA&#10;DgAAAAAAAAABACAAAAAjAQAAZHJzL2Uyb0RvYy54bWxQSwUGAAAAAAYABgBZAQAAdQUAAAAA&#10;">
                <v:fill on="f" focussize="0,0"/>
                <v:stroke color="#000000" joinstyle="round"/>
                <v:imagedata o:title=""/>
                <o:lock v:ext="edit" aspectratio="f"/>
                <w10:wrap type="square"/>
              </v:line>
            </w:pict>
          </mc:Fallback>
        </mc:AlternateContent>
      </w:r>
    </w:p>
    <w:p>
      <w:pPr>
        <w:shd w:val="clear" w:color="auto" w:fill="FFFFFF"/>
        <w:snapToGrid w:val="0"/>
        <w:spacing w:line="360" w:lineRule="auto"/>
        <w:jc w:val="center"/>
        <w:textAlignment w:val="bottom"/>
        <w:rPr>
          <w:rFonts w:ascii="仿宋_GB2312" w:hAnsi="宋体" w:eastAsia="仿宋_GB2312" w:cs="宋体"/>
          <w:b/>
          <w:bCs/>
          <w:color w:val="auto"/>
          <w:sz w:val="30"/>
          <w:szCs w:val="30"/>
          <w:highlight w:val="none"/>
        </w:rPr>
      </w:pPr>
    </w:p>
    <w:p>
      <w:pPr>
        <w:pStyle w:val="2"/>
        <w:rPr>
          <w:color w:val="auto"/>
          <w:highlight w:val="none"/>
        </w:rPr>
      </w:pPr>
    </w:p>
    <w:p>
      <w:pPr>
        <w:shd w:val="clear" w:color="auto" w:fill="FFFFFF"/>
        <w:snapToGrid w:val="0"/>
        <w:spacing w:line="360" w:lineRule="auto"/>
        <w:ind w:firstLine="426"/>
        <w:textAlignment w:val="bottom"/>
        <w:rPr>
          <w:rFonts w:ascii="仿宋_GB2312" w:hAnsi="宋体" w:eastAsia="仿宋_GB2312" w:cs="宋体"/>
          <w:b/>
          <w:bCs/>
          <w:color w:val="auto"/>
          <w:sz w:val="30"/>
          <w:szCs w:val="30"/>
          <w:highlight w:val="none"/>
          <w:shd w:val="clear" w:color="FFFFFF" w:fill="D9D9D9"/>
        </w:rPr>
      </w:pPr>
      <w:r>
        <w:rPr>
          <w:rFonts w:hint="eastAsia" w:ascii="仿宋_GB2312" w:hAnsi="宋体" w:eastAsia="仿宋_GB2312" w:cs="宋体"/>
          <w:b/>
          <w:bCs/>
          <w:color w:val="auto"/>
          <w:sz w:val="30"/>
          <w:szCs w:val="30"/>
          <w:highlight w:val="none"/>
        </w:rPr>
        <w:t xml:space="preserve">        采   购   人：杭州市规划和自然资源局西湖分局</w:t>
      </w:r>
    </w:p>
    <w:p>
      <w:pPr>
        <w:shd w:val="clear" w:color="auto" w:fill="FFFFFF"/>
        <w:snapToGrid w:val="0"/>
        <w:spacing w:line="360" w:lineRule="auto"/>
        <w:ind w:firstLine="426"/>
        <w:textAlignment w:val="bottom"/>
        <w:rPr>
          <w:rFonts w:ascii="仿宋_GB2312" w:hAnsi="宋体" w:eastAsia="仿宋_GB2312" w:cs="宋体"/>
          <w:b/>
          <w:bCs/>
          <w:color w:val="auto"/>
          <w:sz w:val="30"/>
          <w:szCs w:val="30"/>
          <w:highlight w:val="none"/>
        </w:rPr>
      </w:pPr>
      <w:r>
        <w:rPr>
          <w:rFonts w:hint="eastAsia" w:ascii="仿宋_GB2312" w:hAnsi="宋体" w:eastAsia="仿宋_GB2312" w:cs="宋体"/>
          <w:b/>
          <w:bCs/>
          <w:color w:val="auto"/>
          <w:sz w:val="30"/>
          <w:szCs w:val="30"/>
          <w:highlight w:val="none"/>
        </w:rPr>
        <w:t xml:space="preserve">        采购代理机构：中纬工程管理咨询有限公司</w:t>
      </w:r>
    </w:p>
    <w:p>
      <w:pPr>
        <w:shd w:val="clear" w:color="auto" w:fill="FFFFFF"/>
        <w:snapToGrid w:val="0"/>
        <w:spacing w:line="360" w:lineRule="auto"/>
        <w:ind w:firstLine="426"/>
        <w:textAlignment w:val="bottom"/>
        <w:rPr>
          <w:rFonts w:ascii="仿宋_GB2312" w:hAnsi="宋体" w:eastAsia="仿宋_GB2312" w:cs="宋体"/>
          <w:b/>
          <w:bCs/>
          <w:color w:val="auto"/>
          <w:sz w:val="30"/>
          <w:szCs w:val="30"/>
          <w:highlight w:val="none"/>
        </w:rPr>
      </w:pPr>
      <w:r>
        <w:rPr>
          <w:rFonts w:hint="eastAsia" w:ascii="仿宋_GB2312" w:hAnsi="宋体" w:eastAsia="仿宋_GB2312" w:cs="宋体"/>
          <w:b/>
          <w:bCs/>
          <w:color w:val="auto"/>
          <w:sz w:val="30"/>
          <w:szCs w:val="30"/>
          <w:highlight w:val="none"/>
        </w:rPr>
        <w:t xml:space="preserve">                    </w:t>
      </w:r>
    </w:p>
    <w:p>
      <w:pPr>
        <w:shd w:val="clear" w:color="auto" w:fill="FFFFFF"/>
        <w:snapToGrid w:val="0"/>
        <w:spacing w:line="360" w:lineRule="auto"/>
        <w:ind w:firstLine="426"/>
        <w:jc w:val="center"/>
        <w:textAlignment w:val="bottom"/>
        <w:rPr>
          <w:rFonts w:ascii="仿宋_GB2312" w:hAnsi="宋体" w:eastAsia="仿宋_GB2312" w:cs="宋体"/>
          <w:b/>
          <w:bCs/>
          <w:color w:val="auto"/>
          <w:sz w:val="30"/>
          <w:szCs w:val="30"/>
          <w:highlight w:val="none"/>
        </w:rPr>
      </w:pPr>
      <w:r>
        <w:rPr>
          <w:rFonts w:hint="eastAsia" w:ascii="仿宋_GB2312" w:hAnsi="宋体" w:eastAsia="仿宋_GB2312" w:cs="宋体"/>
          <w:b/>
          <w:bCs/>
          <w:color w:val="auto"/>
          <w:sz w:val="30"/>
          <w:szCs w:val="30"/>
          <w:highlight w:val="none"/>
        </w:rPr>
        <w:t>二O二二年十月</w:t>
      </w:r>
    </w:p>
    <w:p>
      <w:pPr>
        <w:spacing w:line="360" w:lineRule="auto"/>
        <w:jc w:val="center"/>
        <w:rPr>
          <w:rFonts w:ascii="仿宋_GB2312" w:hAnsi="仿宋" w:eastAsia="仿宋_GB2312" w:cs="仿宋_GB2312"/>
          <w:color w:val="auto"/>
          <w:sz w:val="24"/>
          <w:highlight w:val="none"/>
        </w:rPr>
      </w:pPr>
    </w:p>
    <w:p>
      <w:pPr>
        <w:widowControl/>
        <w:adjustRightInd/>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br w:type="page"/>
      </w:r>
    </w:p>
    <w:p>
      <w:pPr>
        <w:spacing w:line="360" w:lineRule="auto"/>
        <w:jc w:val="center"/>
        <w:rPr>
          <w:rFonts w:ascii="仿宋_GB2312" w:hAnsi="仿宋" w:eastAsia="仿宋_GB2312" w:cs="仿宋_GB2312"/>
          <w:b/>
          <w:color w:val="auto"/>
          <w:sz w:val="48"/>
          <w:szCs w:val="48"/>
          <w:highlight w:val="none"/>
        </w:rPr>
      </w:pPr>
      <w:r>
        <w:rPr>
          <w:rFonts w:hint="eastAsia" w:ascii="仿宋_GB2312" w:hAnsi="仿宋" w:eastAsia="仿宋_GB2312" w:cs="仿宋_GB2312"/>
          <w:b/>
          <w:color w:val="auto"/>
          <w:sz w:val="48"/>
          <w:szCs w:val="48"/>
          <w:highlight w:val="none"/>
        </w:rPr>
        <w:t>目  录</w:t>
      </w:r>
    </w:p>
    <w:p>
      <w:pPr>
        <w:spacing w:line="360" w:lineRule="auto"/>
        <w:rPr>
          <w:rFonts w:ascii="仿宋_GB2312" w:hAnsi="仿宋" w:eastAsia="仿宋_GB2312" w:cs="仿宋_GB2312"/>
          <w:color w:val="auto"/>
          <w:sz w:val="32"/>
          <w:szCs w:val="32"/>
          <w:highlight w:val="none"/>
        </w:rPr>
      </w:pPr>
    </w:p>
    <w:p>
      <w:pPr>
        <w:spacing w:line="360" w:lineRule="auto"/>
        <w:rPr>
          <w:rFonts w:ascii="仿宋_GB2312" w:hAnsi="仿宋" w:eastAsia="仿宋_GB2312" w:cs="仿宋_GB2312"/>
          <w:color w:val="auto"/>
          <w:sz w:val="32"/>
          <w:szCs w:val="32"/>
          <w:highlight w:val="none"/>
        </w:rPr>
      </w:pPr>
    </w:p>
    <w:p>
      <w:pPr>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 xml:space="preserve">第一部分      </w:t>
      </w:r>
      <w:r>
        <w:rPr>
          <w:rFonts w:hint="eastAsia" w:ascii="仿宋_GB2312" w:hAnsi="仿宋" w:eastAsia="仿宋_GB2312" w:cs="仿宋_GB2312"/>
          <w:color w:val="auto"/>
          <w:sz w:val="32"/>
          <w:szCs w:val="32"/>
          <w:highlight w:val="none"/>
          <w:lang w:val="en-US" w:eastAsia="zh-CN"/>
        </w:rPr>
        <w:t>竞争性磋商</w:t>
      </w:r>
      <w:r>
        <w:rPr>
          <w:rFonts w:hint="eastAsia" w:ascii="仿宋_GB2312" w:hAnsi="仿宋" w:eastAsia="仿宋_GB2312" w:cs="仿宋_GB2312"/>
          <w:color w:val="auto"/>
          <w:sz w:val="32"/>
          <w:szCs w:val="32"/>
          <w:highlight w:val="none"/>
        </w:rPr>
        <w:t>公告</w:t>
      </w:r>
    </w:p>
    <w:p>
      <w:pPr>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 xml:space="preserve">第二部分      </w:t>
      </w:r>
      <w:r>
        <w:rPr>
          <w:rFonts w:hint="eastAsia" w:ascii="仿宋_GB2312" w:hAnsi="仿宋" w:eastAsia="仿宋_GB2312" w:cs="仿宋_GB2312"/>
          <w:color w:val="auto"/>
          <w:sz w:val="32"/>
          <w:szCs w:val="32"/>
          <w:highlight w:val="none"/>
          <w:lang w:val="en-US" w:eastAsia="zh-CN"/>
        </w:rPr>
        <w:t>磋商</w:t>
      </w:r>
      <w:r>
        <w:rPr>
          <w:rFonts w:hint="eastAsia" w:ascii="仿宋_GB2312" w:hAnsi="仿宋" w:eastAsia="仿宋_GB2312" w:cs="仿宋_GB2312"/>
          <w:color w:val="auto"/>
          <w:sz w:val="32"/>
          <w:szCs w:val="32"/>
          <w:highlight w:val="none"/>
        </w:rPr>
        <w:t>须知</w:t>
      </w:r>
    </w:p>
    <w:p>
      <w:pPr>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第三部分      采购需求</w:t>
      </w:r>
    </w:p>
    <w:p>
      <w:pPr>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第四部分      评标办法</w:t>
      </w:r>
    </w:p>
    <w:p>
      <w:pPr>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第五部分      拟签订的合同文本</w:t>
      </w:r>
    </w:p>
    <w:p>
      <w:pPr>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第六部分      应提交的有关格式范例</w:t>
      </w:r>
    </w:p>
    <w:p>
      <w:pPr>
        <w:spacing w:line="360" w:lineRule="auto"/>
        <w:ind w:firstLine="549" w:firstLineChars="229"/>
        <w:rPr>
          <w:rFonts w:ascii="仿宋_GB2312" w:hAnsi="仿宋" w:eastAsia="仿宋_GB2312" w:cs="仿宋_GB2312"/>
          <w:color w:val="auto"/>
          <w:sz w:val="24"/>
          <w:highlight w:val="none"/>
        </w:rPr>
      </w:pPr>
      <w:bookmarkStart w:id="1" w:name="_Hlt91233176"/>
      <w:bookmarkEnd w:id="1"/>
      <w:bookmarkStart w:id="2" w:name="_Toc91899869"/>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rPr>
          <w:rFonts w:ascii="仿宋_GB2312" w:hAnsi="仿宋" w:eastAsia="仿宋_GB2312"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hint="eastAsia" w:ascii="仿宋_GB2312" w:hAnsi="仿宋" w:eastAsia="仿宋_GB2312" w:cs="仿宋_GB2312"/>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_GB2312" w:hAnsi="仿宋" w:eastAsia="仿宋_GB2312" w:cs="仿宋_GB2312"/>
          <w:b/>
          <w:color w:val="auto"/>
          <w:sz w:val="36"/>
          <w:szCs w:val="20"/>
          <w:highlight w:val="none"/>
        </w:rPr>
        <w:t xml:space="preserve">第一部分 </w:t>
      </w:r>
      <w:r>
        <w:rPr>
          <w:rFonts w:hint="eastAsia" w:ascii="宋体" w:hAnsi="宋体" w:cs="宋体"/>
          <w:b/>
          <w:color w:val="auto"/>
          <w:kern w:val="44"/>
          <w:sz w:val="36"/>
          <w:highlight w:val="none"/>
        </w:rPr>
        <w:t>竞争性磋商</w:t>
      </w:r>
      <w:r>
        <w:rPr>
          <w:rFonts w:hint="eastAsia" w:ascii="仿宋_GB2312" w:hAnsi="仿宋" w:eastAsia="仿宋_GB2312" w:cs="仿宋_GB2312"/>
          <w:b/>
          <w:color w:val="auto"/>
          <w:sz w:val="36"/>
          <w:szCs w:val="20"/>
          <w:highlight w:val="none"/>
        </w:rPr>
        <w:t>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西湖区2022年城市国土空间监测项目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"https://www.zcygov.cn/）获取（下载）招标文件，并于2022年%2011%20月2日9点30分00秒" </w:instrText>
      </w:r>
      <w:r>
        <w:rPr>
          <w:color w:val="auto"/>
          <w:highlight w:val="none"/>
        </w:rPr>
        <w:fldChar w:fldCharType="separate"/>
      </w:r>
      <w:r>
        <w:rPr>
          <w:rStyle w:val="76"/>
          <w:rFonts w:hint="eastAsia" w:ascii="仿宋_GB2312" w:hAnsi="仿宋" w:eastAsia="仿宋_GB2312" w:cs="Times New Roman"/>
          <w:snapToGrid/>
          <w:color w:val="auto"/>
          <w:kern w:val="2"/>
          <w:sz w:val="24"/>
          <w:szCs w:val="24"/>
          <w:highlight w:val="none"/>
        </w:rPr>
        <w:t>https://www.zcygov.cn/）获取（下载）</w:t>
      </w:r>
      <w:r>
        <w:rPr>
          <w:rStyle w:val="76"/>
          <w:rFonts w:hint="eastAsia" w:ascii="仿宋_GB2312" w:hAnsi="仿宋" w:eastAsia="仿宋_GB2312" w:cs="Times New Roman"/>
          <w:snapToGrid/>
          <w:color w:val="auto"/>
          <w:kern w:val="2"/>
          <w:sz w:val="24"/>
          <w:szCs w:val="24"/>
          <w:highlight w:val="none"/>
          <w:lang w:eastAsia="zh-CN"/>
        </w:rPr>
        <w:t>磋商文件</w:t>
      </w:r>
      <w:r>
        <w:rPr>
          <w:rStyle w:val="76"/>
          <w:rFonts w:hint="eastAsia" w:ascii="仿宋_GB2312" w:hAnsi="仿宋" w:eastAsia="仿宋_GB2312" w:cs="Times New Roman"/>
          <w:snapToGrid/>
          <w:color w:val="auto"/>
          <w:kern w:val="2"/>
          <w:sz w:val="24"/>
          <w:szCs w:val="24"/>
          <w:highlight w:val="none"/>
        </w:rPr>
        <w:t>，并于2022年</w:t>
      </w:r>
      <w:r>
        <w:rPr>
          <w:rStyle w:val="76"/>
          <w:rFonts w:hint="eastAsia" w:ascii="仿宋_GB2312" w:hAnsi="仿宋" w:eastAsia="仿宋_GB2312" w:cs="Times New Roman"/>
          <w:snapToGrid/>
          <w:color w:val="auto"/>
          <w:kern w:val="2"/>
          <w:sz w:val="24"/>
          <w:szCs w:val="24"/>
          <w:highlight w:val="none"/>
          <w:lang w:val="en-US" w:eastAsia="zh-CN"/>
        </w:rPr>
        <w:t>11</w:t>
      </w:r>
      <w:r>
        <w:rPr>
          <w:rStyle w:val="76"/>
          <w:rFonts w:hint="eastAsia" w:ascii="仿宋_GB2312" w:hAnsi="仿宋" w:eastAsia="仿宋_GB2312" w:cs="Times New Roman"/>
          <w:snapToGrid/>
          <w:color w:val="auto"/>
          <w:kern w:val="2"/>
          <w:sz w:val="24"/>
          <w:szCs w:val="24"/>
          <w:highlight w:val="none"/>
        </w:rPr>
        <w:t>月</w:t>
      </w:r>
      <w:r>
        <w:rPr>
          <w:rStyle w:val="76"/>
          <w:rFonts w:hint="eastAsia" w:ascii="仿宋_GB2312" w:hAnsi="仿宋" w:eastAsia="仿宋_GB2312" w:cs="Times New Roman"/>
          <w:snapToGrid/>
          <w:color w:val="auto"/>
          <w:kern w:val="2"/>
          <w:sz w:val="24"/>
          <w:szCs w:val="24"/>
          <w:highlight w:val="none"/>
          <w:lang w:val="en-US" w:eastAsia="zh-CN"/>
        </w:rPr>
        <w:t>11</w:t>
      </w:r>
      <w:r>
        <w:rPr>
          <w:rStyle w:val="76"/>
          <w:rFonts w:hint="eastAsia" w:ascii="仿宋_GB2312" w:hAnsi="仿宋" w:eastAsia="仿宋_GB2312" w:cs="Times New Roman"/>
          <w:snapToGrid/>
          <w:color w:val="auto"/>
          <w:kern w:val="2"/>
          <w:sz w:val="24"/>
          <w:szCs w:val="24"/>
          <w:highlight w:val="none"/>
        </w:rPr>
        <w:t>日</w:t>
      </w:r>
      <w:r>
        <w:rPr>
          <w:rStyle w:val="76"/>
          <w:rFonts w:hint="eastAsia" w:ascii="仿宋_GB2312" w:hAnsi="仿宋" w:eastAsia="仿宋_GB2312" w:cs="Times New Roman"/>
          <w:snapToGrid/>
          <w:color w:val="auto"/>
          <w:kern w:val="2"/>
          <w:sz w:val="24"/>
          <w:szCs w:val="24"/>
          <w:highlight w:val="none"/>
          <w:lang w:val="en-US" w:eastAsia="zh-CN"/>
        </w:rPr>
        <w:t>14</w:t>
      </w:r>
      <w:r>
        <w:rPr>
          <w:rStyle w:val="76"/>
          <w:rFonts w:hint="eastAsia" w:ascii="仿宋_GB2312" w:hAnsi="仿宋" w:eastAsia="仿宋_GB2312" w:cs="Times New Roman"/>
          <w:snapToGrid/>
          <w:color w:val="auto"/>
          <w:kern w:val="2"/>
          <w:sz w:val="24"/>
          <w:szCs w:val="24"/>
          <w:highlight w:val="none"/>
        </w:rPr>
        <w:t>点30分</w:t>
      </w:r>
      <w:r>
        <w:rPr>
          <w:rStyle w:val="76"/>
          <w:rFonts w:hint="eastAsia" w:ascii="仿宋_GB2312" w:hAnsi="仿宋" w:eastAsia="仿宋_GB2312" w:cs="Times New Roman"/>
          <w:bCs/>
          <w:snapToGrid/>
          <w:color w:val="auto"/>
          <w:kern w:val="2"/>
          <w:sz w:val="24"/>
          <w:szCs w:val="24"/>
          <w:highlight w:val="none"/>
        </w:rPr>
        <w:t>00秒</w:t>
      </w:r>
      <w:r>
        <w:rPr>
          <w:rStyle w:val="76"/>
          <w:rFonts w:hint="eastAsia" w:ascii="仿宋_GB2312" w:hAnsi="仿宋" w:eastAsia="仿宋_GB2312" w:cs="Times New Roman"/>
          <w:bCs/>
          <w:snapToGrid/>
          <w:color w:val="auto"/>
          <w:kern w:val="2"/>
          <w:sz w:val="24"/>
          <w:szCs w:val="24"/>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w:t>
      </w:r>
      <w:r>
        <w:rPr>
          <w:rFonts w:hint="eastAsia" w:ascii="仿宋_GB2312" w:hAnsi="仿宋" w:eastAsia="仿宋_GB2312"/>
          <w:color w:val="auto"/>
          <w:sz w:val="24"/>
          <w:highlight w:val="none"/>
          <w:lang w:eastAsia="zh-CN"/>
        </w:rPr>
        <w:t>响应文件</w:t>
      </w:r>
      <w:r>
        <w:rPr>
          <w:rFonts w:hint="eastAsia" w:ascii="仿宋_GB2312" w:hAnsi="仿宋" w:eastAsia="仿宋_GB2312"/>
          <w:color w:val="auto"/>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 xml:space="preserve">一、项目基本情况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rPr>
        <w:t>ZW-2022XHGZJ02</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w:t>
      </w:r>
      <w:r>
        <w:rPr>
          <w:rFonts w:hint="eastAsia" w:ascii="仿宋_GB2312" w:hAnsi="仿宋" w:eastAsia="仿宋_GB2312"/>
          <w:b/>
          <w:color w:val="auto"/>
          <w:sz w:val="24"/>
          <w:highlight w:val="none"/>
        </w:rPr>
        <w:t xml:space="preserve"> 项目名称：</w:t>
      </w:r>
      <w:r>
        <w:rPr>
          <w:rFonts w:hint="eastAsia" w:ascii="仿宋_GB2312" w:hAnsi="仿宋" w:eastAsia="仿宋_GB2312" w:cs="仿宋_GB2312"/>
          <w:color w:val="auto"/>
          <w:sz w:val="24"/>
          <w:highlight w:val="none"/>
        </w:rPr>
        <w:t>西湖区2022年城市国土空间监测项目</w:t>
      </w:r>
    </w:p>
    <w:p>
      <w:pPr>
        <w:spacing w:line="360" w:lineRule="auto"/>
        <w:ind w:firstLine="482" w:firstLineChars="200"/>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采购方式：竞争性磋商</w:t>
      </w:r>
    </w:p>
    <w:p>
      <w:pPr>
        <w:spacing w:line="360" w:lineRule="auto"/>
        <w:ind w:firstLine="482" w:firstLineChars="200"/>
        <w:rPr>
          <w:rFonts w:hint="eastAsia" w:ascii="仿宋_GB2312" w:hAnsi="仿宋" w:eastAsia="仿宋_GB2312"/>
          <w:color w:val="auto"/>
          <w:sz w:val="24"/>
          <w:highlight w:val="none"/>
          <w:lang w:eastAsia="zh-CN"/>
        </w:rPr>
      </w:pPr>
      <w:r>
        <w:rPr>
          <w:rFonts w:hint="eastAsia" w:ascii="仿宋_GB2312" w:hAnsi="仿宋" w:eastAsia="仿宋_GB2312"/>
          <w:b/>
          <w:color w:val="auto"/>
          <w:sz w:val="24"/>
          <w:highlight w:val="none"/>
        </w:rPr>
        <w:t>预算金额（元）：</w:t>
      </w:r>
      <w:r>
        <w:rPr>
          <w:rFonts w:hint="eastAsia" w:ascii="仿宋_GB2312" w:hAnsi="仿宋" w:eastAsia="仿宋_GB2312"/>
          <w:color w:val="auto"/>
          <w:sz w:val="24"/>
          <w:highlight w:val="none"/>
          <w:lang w:eastAsia="zh-CN"/>
        </w:rPr>
        <w:t>958000</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eastAsia="zh-CN"/>
        </w:rPr>
        <w:t>958000</w:t>
      </w:r>
      <w:r>
        <w:rPr>
          <w:rFonts w:hint="eastAsia" w:ascii="仿宋_GB2312" w:hAnsi="仿宋" w:eastAsia="仿宋_GB2312"/>
          <w:color w:val="auto"/>
          <w:sz w:val="24"/>
          <w:highlight w:val="none"/>
        </w:rPr>
        <w:t xml:space="preserve"> </w:t>
      </w:r>
    </w:p>
    <w:p>
      <w:pPr>
        <w:spacing w:line="360" w:lineRule="auto"/>
        <w:ind w:firstLine="480"/>
        <w:rPr>
          <w:rFonts w:hint="eastAsia" w:ascii="仿宋_GB2312" w:hAnsi="仿宋" w:eastAsia="仿宋_GB2312"/>
          <w:b/>
          <w:color w:val="auto"/>
          <w:sz w:val="24"/>
          <w:highlight w:val="none"/>
        </w:rPr>
      </w:pPr>
    </w:p>
    <w:p>
      <w:pPr>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采购需求：</w:t>
      </w:r>
    </w:p>
    <w:p>
      <w:pPr>
        <w:adjustRightInd/>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标项一</w:t>
      </w:r>
    </w:p>
    <w:p>
      <w:pPr>
        <w:adjustRightInd/>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标项名称：西湖区2022年城市国土空间监测项目</w:t>
      </w:r>
    </w:p>
    <w:p>
      <w:pPr>
        <w:adjustRightInd/>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数量：1</w:t>
      </w:r>
    </w:p>
    <w:p>
      <w:pPr>
        <w:adjustRightInd/>
        <w:spacing w:line="360" w:lineRule="auto"/>
        <w:ind w:firstLine="480" w:firstLineChars="200"/>
        <w:rPr>
          <w:rFonts w:hint="eastAsia" w:ascii="仿宋_GB2312" w:hAnsi="仿宋" w:eastAsia="仿宋_GB2312"/>
          <w:color w:val="auto"/>
          <w:sz w:val="24"/>
          <w:highlight w:val="none"/>
          <w:lang w:eastAsia="zh-CN"/>
        </w:rPr>
      </w:pPr>
      <w:r>
        <w:rPr>
          <w:rFonts w:hint="eastAsia" w:ascii="仿宋_GB2312" w:hAnsi="仿宋" w:eastAsia="仿宋_GB2312" w:cs="宋体"/>
          <w:color w:val="auto"/>
          <w:kern w:val="0"/>
          <w:sz w:val="24"/>
          <w:highlight w:val="none"/>
        </w:rPr>
        <w:t>预算金额（元）：</w:t>
      </w:r>
      <w:r>
        <w:rPr>
          <w:rFonts w:hint="eastAsia" w:ascii="仿宋_GB2312" w:hAnsi="仿宋" w:eastAsia="仿宋_GB2312" w:cs="宋体"/>
          <w:color w:val="auto"/>
          <w:kern w:val="0"/>
          <w:sz w:val="24"/>
          <w:highlight w:val="none"/>
          <w:lang w:eastAsia="zh-CN"/>
        </w:rPr>
        <w:t>958000</w:t>
      </w:r>
    </w:p>
    <w:p>
      <w:pPr>
        <w:widowControl/>
        <w:snapToGrid w:val="0"/>
        <w:spacing w:line="360" w:lineRule="auto"/>
        <w:ind w:firstLine="480" w:firstLineChars="200"/>
        <w:jc w:val="left"/>
        <w:rPr>
          <w:rFonts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单位：项</w:t>
      </w:r>
    </w:p>
    <w:p>
      <w:pPr>
        <w:widowControl/>
        <w:snapToGrid w:val="0"/>
        <w:spacing w:line="360" w:lineRule="auto"/>
        <w:ind w:firstLine="480" w:firstLineChars="200"/>
        <w:jc w:val="left"/>
        <w:rPr>
          <w:rFonts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简要规格描述：以2021年国土变更调查成果为底图，统筹利用卫星遥感、大数据等技术手段，开展城市国土空间监测工作，掌握监测区域自然资源和人文地理要素的类型、面积、范围、分布和变化等情况，支撑国土空间规划编制及实施监督、城市体检评估和用途管制等国土空间治理工作。详见</w:t>
      </w:r>
      <w:r>
        <w:rPr>
          <w:rFonts w:hint="eastAsia" w:ascii="仿宋_GB2312" w:hAnsi="仿宋" w:eastAsia="仿宋_GB2312" w:cs="宋体"/>
          <w:color w:val="auto"/>
          <w:kern w:val="0"/>
          <w:sz w:val="24"/>
          <w:highlight w:val="none"/>
          <w:lang w:val="en-US" w:eastAsia="zh-CN"/>
        </w:rPr>
        <w:t>本</w:t>
      </w:r>
      <w:r>
        <w:rPr>
          <w:rFonts w:hint="eastAsia" w:ascii="仿宋_GB2312" w:hAnsi="仿宋" w:eastAsia="仿宋_GB2312" w:cs="宋体"/>
          <w:color w:val="auto"/>
          <w:kern w:val="0"/>
          <w:sz w:val="24"/>
          <w:highlight w:val="none"/>
          <w:lang w:eastAsia="zh-CN"/>
        </w:rPr>
        <w:t>磋商文件</w:t>
      </w:r>
      <w:r>
        <w:rPr>
          <w:rFonts w:hint="eastAsia" w:ascii="仿宋_GB2312" w:hAnsi="仿宋" w:eastAsia="仿宋_GB2312" w:cs="宋体"/>
          <w:color w:val="auto"/>
          <w:kern w:val="0"/>
          <w:sz w:val="24"/>
          <w:highlight w:val="none"/>
        </w:rPr>
        <w:t>第三部分采购需求。</w:t>
      </w:r>
    </w:p>
    <w:p>
      <w:pPr>
        <w:autoSpaceDE w:val="0"/>
        <w:adjustRightInd/>
        <w:spacing w:line="360" w:lineRule="auto"/>
        <w:ind w:firstLine="480" w:firstLineChars="200"/>
        <w:jc w:val="left"/>
        <w:rPr>
          <w:rFonts w:ascii="仿宋_GB2312" w:hAnsi="仿宋" w:eastAsia="仿宋_GB2312" w:cs="仿宋"/>
          <w:color w:val="auto"/>
          <w:sz w:val="24"/>
          <w:highlight w:val="none"/>
        </w:rPr>
      </w:pPr>
      <w:r>
        <w:rPr>
          <w:rFonts w:hint="eastAsia" w:ascii="仿宋_GB2312" w:hAnsi="仿宋" w:eastAsia="仿宋_GB2312" w:cs="宋体"/>
          <w:color w:val="auto"/>
          <w:kern w:val="0"/>
          <w:sz w:val="24"/>
          <w:highlight w:val="none"/>
        </w:rPr>
        <w:t>合同履行期限：202</w:t>
      </w:r>
      <w:r>
        <w:rPr>
          <w:rFonts w:ascii="仿宋_GB2312" w:hAnsi="仿宋" w:eastAsia="仿宋_GB2312" w:cs="宋体"/>
          <w:color w:val="auto"/>
          <w:kern w:val="0"/>
          <w:sz w:val="24"/>
          <w:highlight w:val="none"/>
        </w:rPr>
        <w:t>2</w:t>
      </w:r>
      <w:r>
        <w:rPr>
          <w:rFonts w:hint="eastAsia" w:ascii="仿宋_GB2312" w:hAnsi="仿宋" w:eastAsia="仿宋_GB2312" w:cs="宋体"/>
          <w:color w:val="auto"/>
          <w:kern w:val="0"/>
          <w:sz w:val="24"/>
          <w:highlight w:val="none"/>
        </w:rPr>
        <w:t xml:space="preserve"> 年12月15日前完成</w:t>
      </w:r>
    </w:p>
    <w:p>
      <w:pPr>
        <w:widowControl/>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s="宋体"/>
          <w:color w:val="auto"/>
          <w:kern w:val="0"/>
          <w:sz w:val="24"/>
          <w:highlight w:val="none"/>
        </w:rPr>
        <w:t>本项目（是）接受联合体投标。</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 xml:space="preserve">    2.落实政府采购政策需满足的资格要求：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Segoe UI Symbol" w:hAnsi="Segoe UI Symbol" w:eastAsia="仿宋_GB2312" w:cs="Segoe UI Symbol"/>
              <w:color w:val="auto"/>
              <w:kern w:val="0"/>
              <w:sz w:val="24"/>
              <w:highlight w:val="none"/>
            </w:rPr>
            <w:t>☐</w:t>
          </w: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仿宋_GB2312" w:hAnsi="仿宋" w:eastAsia="仿宋_GB2312" w:cs="Arial"/>
              <w:color w:val="auto"/>
              <w:kern w:val="0"/>
              <w:sz w:val="24"/>
              <w:highlight w:val="none"/>
            </w:rPr>
            <w:sym w:font="Wingdings" w:char="F0FE"/>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Segoe UI Symbol" w:hAnsi="Segoe UI Symbol" w:eastAsia="仿宋_GB2312" w:cs="Segoe UI Symbol"/>
              <w:color w:val="auto"/>
              <w:kern w:val="0"/>
              <w:sz w:val="24"/>
              <w:highlight w:val="none"/>
            </w:rPr>
            <w:t>☐</w:t>
          </w:r>
        </w:sdtContent>
      </w:sdt>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Segoe UI Symbol" w:hAnsi="Segoe UI Symbol" w:eastAsia="仿宋_GB2312" w:cs="Segoe UI Symbo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仿宋_GB2312" w:hAnsi="仿宋" w:eastAsia="仿宋_GB2312" w:cs="Arial"/>
              <w:color w:val="auto"/>
              <w:kern w:val="0"/>
              <w:sz w:val="24"/>
              <w:highlight w:val="none"/>
            </w:rPr>
            <w:sym w:font="Wingdings" w:char="F0FE"/>
          </w:r>
        </w:sdtContent>
      </w:sdt>
      <w:r>
        <w:rPr>
          <w:rFonts w:hint="eastAsia" w:ascii="仿宋_GB2312" w:hAnsi="仿宋" w:eastAsia="仿宋_GB2312"/>
          <w:color w:val="auto"/>
          <w:sz w:val="24"/>
          <w:highlight w:val="none"/>
        </w:rPr>
        <w:t>服务全部由符合政策要求的中小企业承接，提供中小企业声明函；</w:t>
      </w:r>
      <w:r>
        <w:rPr>
          <w:rFonts w:ascii="仿宋_GB2312" w:hAnsi="仿宋" w:eastAsia="仿宋_GB2312"/>
          <w:color w:val="auto"/>
          <w:sz w:val="24"/>
          <w:highlight w:val="none"/>
        </w:rPr>
        <w:t xml:space="preserve"> </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Segoe UI Symbol" w:hAnsi="Segoe UI Symbol" w:eastAsia="仿宋_GB2312" w:cs="Segoe UI Symbo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%，小微企业合同金额应当达到</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Segoe UI Symbol" w:hAnsi="Segoe UI Symbol" w:eastAsia="仿宋_GB2312" w:cs="Segoe UI Symbol"/>
              <w:color w:val="auto"/>
              <w:kern w:val="0"/>
              <w:sz w:val="24"/>
              <w:highlight w:val="none"/>
            </w:rPr>
            <w:t>☐</w:t>
          </w:r>
        </w:sdtContent>
      </w:sdt>
      <w:r>
        <w:rPr>
          <w:rFonts w:hint="eastAsia" w:ascii="仿宋_GB2312" w:hAnsi="仿宋" w:eastAsia="仿宋_GB2312"/>
          <w:color w:val="auto"/>
          <w:sz w:val="24"/>
          <w:highlight w:val="none"/>
        </w:rPr>
        <w:t>要求合同分包，提供分包意向协议和中小企业声明函，分包意向协议中中小企业合同金额应当达到达到</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 ，小微企业合同金额应当达到</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 ;</w:t>
      </w:r>
      <w:r>
        <w:rPr>
          <w:rFonts w:hint="eastAsia" w:ascii="仿宋_GB2312" w:hAnsi="仿宋" w:eastAsia="仿宋_GB2312"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_GB2312" w:hAnsi="仿宋" w:eastAsia="仿宋_GB2312"/>
          <w:color w:val="auto"/>
          <w:sz w:val="24"/>
          <w:highlight w:val="none"/>
        </w:rPr>
        <w:t>；</w:t>
      </w:r>
    </w:p>
    <w:p>
      <w:pPr>
        <w:pStyle w:val="964"/>
        <w:rPr>
          <w:color w:val="auto"/>
          <w:szCs w:val="24"/>
          <w:highlight w:val="none"/>
        </w:rPr>
      </w:pPr>
      <w:r>
        <w:rPr>
          <w:rFonts w:hint="eastAsia"/>
          <w:color w:val="auto"/>
          <w:szCs w:val="24"/>
          <w:highlight w:val="none"/>
        </w:rPr>
        <w:t>3.本项目的特定资格要求：无。</w:t>
      </w:r>
    </w:p>
    <w:p>
      <w:pPr>
        <w:pStyle w:val="738"/>
        <w:rPr>
          <w:color w:val="auto"/>
          <w:highlight w:val="none"/>
        </w:rPr>
      </w:pPr>
      <w:r>
        <w:rPr>
          <w:rFonts w:hint="eastAsia"/>
          <w:color w:val="auto"/>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cs="宋体"/>
          <w:b/>
          <w:color w:val="auto"/>
          <w:sz w:val="24"/>
          <w:szCs w:val="24"/>
          <w:highlight w:val="none"/>
        </w:rPr>
        <w:t>公益一类事业单位不属于政府购买服务的承接主体，不得参与承接购买服务。</w:t>
      </w:r>
    </w:p>
    <w:p>
      <w:p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 xml:space="preserve">三、获取（下载）磋商文件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hint="eastAsia" w:ascii="仿宋_GB2312" w:hAnsi="仿宋" w:eastAsia="仿宋_GB2312"/>
          <w:color w:val="auto"/>
          <w:sz w:val="24"/>
          <w:highlight w:val="none"/>
        </w:rPr>
        <w:t>/至</w:t>
      </w:r>
      <w:r>
        <w:rPr>
          <w:rFonts w:hint="eastAsia" w:ascii="仿宋_GB2312" w:hAnsi="仿宋" w:eastAsia="仿宋_GB2312"/>
          <w:color w:val="auto"/>
          <w:sz w:val="24"/>
          <w:highlight w:val="none"/>
          <w:u w:val="single"/>
        </w:rPr>
        <w:t>2022年</w:t>
      </w:r>
      <w:r>
        <w:rPr>
          <w:rFonts w:hint="eastAsia" w:ascii="仿宋_GB2312" w:hAnsi="仿宋" w:eastAsia="仿宋_GB2312"/>
          <w:color w:val="auto"/>
          <w:sz w:val="24"/>
          <w:highlight w:val="none"/>
          <w:u w:val="single"/>
          <w:lang w:val="en-US" w:eastAsia="zh-CN"/>
        </w:rPr>
        <w:t>11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 xml:space="preserve">政采云平台（https://www.zcygov.cn/）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hint="eastAsia" w:ascii="仿宋_GB2312" w:hAnsi="仿宋" w:eastAsia="仿宋_GB2312"/>
          <w:color w:val="auto"/>
          <w:sz w:val="24"/>
          <w:highlight w:val="none"/>
        </w:rPr>
        <w:t xml:space="preserve">0 </w:t>
      </w:r>
      <w:r>
        <w:rPr>
          <w:rFonts w:hint="eastAsia"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w:t>
      </w:r>
      <w:r>
        <w:rPr>
          <w:rFonts w:hint="eastAsia" w:ascii="仿宋_GB2312" w:hAnsi="仿宋" w:eastAsia="仿宋_GB2312"/>
          <w:b/>
          <w:color w:val="auto"/>
          <w:sz w:val="24"/>
          <w:highlight w:val="none"/>
          <w:lang w:eastAsia="zh-CN"/>
        </w:rPr>
        <w:t>响应文件</w:t>
      </w:r>
      <w:r>
        <w:rPr>
          <w:rFonts w:hint="eastAsia" w:ascii="仿宋_GB2312" w:hAnsi="仿宋" w:eastAsia="仿宋_GB2312"/>
          <w:b/>
          <w:color w:val="auto"/>
          <w:sz w:val="24"/>
          <w:highlight w:val="none"/>
        </w:rPr>
        <w:t>截止时间、开</w:t>
      </w:r>
      <w:r>
        <w:rPr>
          <w:rFonts w:hint="eastAsia" w:ascii="仿宋_GB2312" w:hAnsi="仿宋" w:eastAsia="仿宋_GB2312"/>
          <w:b/>
          <w:color w:val="auto"/>
          <w:sz w:val="24"/>
          <w:highlight w:val="none"/>
          <w:lang w:val="en-US" w:eastAsia="zh-CN"/>
        </w:rPr>
        <w:t>启</w:t>
      </w:r>
      <w:r>
        <w:rPr>
          <w:rFonts w:hint="eastAsia" w:ascii="仿宋_GB2312" w:hAnsi="仿宋" w:eastAsia="仿宋_GB2312"/>
          <w:b/>
          <w:color w:val="auto"/>
          <w:sz w:val="24"/>
          <w:highlight w:val="none"/>
        </w:rPr>
        <w:t>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w:t>
      </w:r>
      <w:r>
        <w:rPr>
          <w:rFonts w:hint="eastAsia" w:ascii="仿宋_GB2312" w:hAnsi="仿宋" w:eastAsia="仿宋_GB2312"/>
          <w:b/>
          <w:color w:val="auto"/>
          <w:sz w:val="24"/>
          <w:highlight w:val="none"/>
          <w:lang w:eastAsia="zh-CN"/>
        </w:rPr>
        <w:t>响应文件</w:t>
      </w:r>
      <w:r>
        <w:rPr>
          <w:rFonts w:hint="eastAsia" w:ascii="仿宋_GB2312" w:hAnsi="仿宋" w:eastAsia="仿宋_GB2312"/>
          <w:b/>
          <w:color w:val="auto"/>
          <w:sz w:val="24"/>
          <w:highlight w:val="none"/>
        </w:rPr>
        <w:t>截止时间：</w:t>
      </w:r>
      <w:r>
        <w:rPr>
          <w:rFonts w:hint="eastAsia" w:ascii="仿宋_GB2312" w:hAnsi="仿宋" w:eastAsia="仿宋_GB2312"/>
          <w:color w:val="auto"/>
          <w:sz w:val="24"/>
          <w:highlight w:val="none"/>
          <w:u w:val="single"/>
        </w:rPr>
        <w:t xml:space="preserve"> 2022年</w:t>
      </w:r>
      <w:r>
        <w:rPr>
          <w:rFonts w:hint="eastAsia" w:ascii="仿宋_GB2312" w:hAnsi="仿宋" w:eastAsia="仿宋_GB2312"/>
          <w:color w:val="auto"/>
          <w:sz w:val="24"/>
          <w:highlight w:val="none"/>
          <w:u w:val="single"/>
          <w:lang w:val="en-US" w:eastAsia="zh-CN"/>
        </w:rPr>
        <w:t>11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 xml:space="preserve">政采云平台（https://www.zcygov.cn/）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w:t>
      </w:r>
      <w:r>
        <w:rPr>
          <w:rFonts w:hint="eastAsia" w:ascii="仿宋_GB2312" w:hAnsi="仿宋" w:eastAsia="仿宋_GB2312"/>
          <w:b/>
          <w:color w:val="auto"/>
          <w:sz w:val="24"/>
          <w:highlight w:val="none"/>
          <w:lang w:val="en-US" w:eastAsia="zh-CN"/>
        </w:rPr>
        <w:t>启</w:t>
      </w:r>
      <w:r>
        <w:rPr>
          <w:rFonts w:hint="eastAsia" w:ascii="仿宋_GB2312" w:hAnsi="仿宋" w:eastAsia="仿宋_GB2312"/>
          <w:b/>
          <w:color w:val="auto"/>
          <w:sz w:val="24"/>
          <w:highlight w:val="none"/>
        </w:rPr>
        <w:t>时间：</w:t>
      </w:r>
      <w:r>
        <w:rPr>
          <w:rFonts w:hint="eastAsia" w:ascii="仿宋_GB2312" w:hAnsi="仿宋" w:eastAsia="仿宋_GB2312"/>
          <w:color w:val="auto"/>
          <w:sz w:val="24"/>
          <w:highlight w:val="none"/>
          <w:u w:val="single"/>
        </w:rPr>
        <w:t>2022年</w:t>
      </w:r>
      <w:r>
        <w:rPr>
          <w:rFonts w:hint="eastAsia" w:ascii="仿宋_GB2312" w:hAnsi="仿宋" w:eastAsia="仿宋_GB2312"/>
          <w:color w:val="auto"/>
          <w:sz w:val="24"/>
          <w:highlight w:val="none"/>
          <w:u w:val="single"/>
          <w:lang w:val="en-US" w:eastAsia="zh-CN"/>
        </w:rPr>
        <w:t>11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w:t>
      </w:r>
      <w:r>
        <w:rPr>
          <w:rFonts w:hint="eastAsia" w:ascii="仿宋_GB2312" w:hAnsi="仿宋" w:eastAsia="仿宋_GB2312"/>
          <w:b/>
          <w:color w:val="auto"/>
          <w:sz w:val="24"/>
          <w:highlight w:val="none"/>
          <w:lang w:val="en-US" w:eastAsia="zh-CN"/>
        </w:rPr>
        <w:t>启</w:t>
      </w: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 xml:space="preserve">五、公告期限 </w:t>
      </w:r>
    </w:p>
    <w:p>
      <w:pPr>
        <w:pStyle w:val="964"/>
        <w:rPr>
          <w:color w:val="auto"/>
          <w:szCs w:val="24"/>
          <w:highlight w:val="none"/>
        </w:rPr>
      </w:pPr>
      <w:r>
        <w:rPr>
          <w:rFonts w:hint="eastAsia"/>
          <w:color w:val="auto"/>
          <w:szCs w:val="24"/>
          <w:highlight w:val="none"/>
        </w:rPr>
        <w:t>自本公告发布之日起</w:t>
      </w:r>
      <w:r>
        <w:rPr>
          <w:rFonts w:hint="eastAsia"/>
          <w:color w:val="auto"/>
          <w:szCs w:val="24"/>
          <w:highlight w:val="none"/>
          <w:lang w:val="en-US" w:eastAsia="zh-CN"/>
        </w:rPr>
        <w:t>3</w:t>
      </w:r>
      <w:r>
        <w:rPr>
          <w:rFonts w:hint="eastAsia"/>
          <w:color w:val="auto"/>
          <w:szCs w:val="24"/>
          <w:highlight w:val="none"/>
        </w:rPr>
        <w:t>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pStyle w:val="964"/>
        <w:rPr>
          <w:color w:val="auto"/>
          <w:szCs w:val="24"/>
          <w:highlight w:val="none"/>
        </w:rPr>
      </w:pPr>
      <w:r>
        <w:rPr>
          <w:color w:val="auto"/>
          <w:szCs w:val="24"/>
          <w:highlight w:val="none"/>
        </w:rPr>
        <w:t>1</w:t>
      </w:r>
      <w:r>
        <w:rPr>
          <w:rFonts w:hint="eastAsia"/>
          <w:color w:val="auto"/>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964"/>
        <w:rPr>
          <w:color w:val="auto"/>
          <w:szCs w:val="24"/>
          <w:highlight w:val="none"/>
        </w:rPr>
      </w:pPr>
      <w:r>
        <w:rPr>
          <w:color w:val="auto"/>
          <w:szCs w:val="24"/>
          <w:highlight w:val="none"/>
        </w:rPr>
        <w:t>2</w:t>
      </w:r>
      <w:r>
        <w:rPr>
          <w:rFonts w:hint="eastAsia"/>
          <w:color w:val="auto"/>
          <w:szCs w:val="24"/>
          <w:highlight w:val="none"/>
        </w:rPr>
        <w:t>.供应商认为</w:t>
      </w:r>
      <w:r>
        <w:rPr>
          <w:rFonts w:hint="eastAsia"/>
          <w:color w:val="auto"/>
          <w:szCs w:val="24"/>
          <w:highlight w:val="none"/>
          <w:lang w:eastAsia="zh-CN"/>
        </w:rPr>
        <w:t>磋商文件</w:t>
      </w:r>
      <w:r>
        <w:rPr>
          <w:rFonts w:hint="eastAsia"/>
          <w:color w:val="auto"/>
          <w:szCs w:val="24"/>
          <w:highlight w:val="none"/>
        </w:rPr>
        <w:t>使自己的权益受到损害的，可以自获取</w:t>
      </w:r>
      <w:r>
        <w:rPr>
          <w:rFonts w:hint="eastAsia"/>
          <w:color w:val="auto"/>
          <w:szCs w:val="24"/>
          <w:highlight w:val="none"/>
          <w:lang w:eastAsia="zh-CN"/>
        </w:rPr>
        <w:t>磋商文件</w:t>
      </w:r>
      <w:r>
        <w:rPr>
          <w:rFonts w:hint="eastAsia"/>
          <w:color w:val="auto"/>
          <w:szCs w:val="24"/>
          <w:highlight w:val="none"/>
        </w:rPr>
        <w:t>之日或者</w:t>
      </w:r>
      <w:r>
        <w:rPr>
          <w:rFonts w:hint="eastAsia"/>
          <w:color w:val="auto"/>
          <w:szCs w:val="24"/>
          <w:highlight w:val="none"/>
          <w:lang w:eastAsia="zh-CN"/>
        </w:rPr>
        <w:t>磋商文件</w:t>
      </w:r>
      <w:r>
        <w:rPr>
          <w:rFonts w:hint="eastAsia"/>
          <w:color w:val="auto"/>
          <w:szCs w:val="24"/>
          <w:highlight w:val="none"/>
        </w:rPr>
        <w:t>公告期限届满之日（公告期限届满后获取</w:t>
      </w:r>
      <w:r>
        <w:rPr>
          <w:rFonts w:hint="eastAsia"/>
          <w:color w:val="auto"/>
          <w:szCs w:val="24"/>
          <w:highlight w:val="none"/>
          <w:lang w:eastAsia="zh-CN"/>
        </w:rPr>
        <w:t>磋商文件</w:t>
      </w:r>
      <w:r>
        <w:rPr>
          <w:rFonts w:hint="eastAsia"/>
          <w:color w:val="auto"/>
          <w:szCs w:val="24"/>
          <w:highlight w:val="none"/>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rPr>
        <w:t>.其他事项：（1）需要落实的政府采购政策：包括节约资源、保护环境、支持创新、促进中小企业发展等。详见</w:t>
      </w:r>
      <w:r>
        <w:rPr>
          <w:rFonts w:hint="eastAsia" w:ascii="仿宋_GB2312" w:hAnsi="仿宋" w:eastAsia="仿宋_GB2312"/>
          <w:color w:val="auto"/>
          <w:sz w:val="24"/>
          <w:highlight w:val="none"/>
          <w:lang w:eastAsia="zh-CN"/>
        </w:rPr>
        <w:t>磋商文件</w:t>
      </w:r>
      <w:r>
        <w:rPr>
          <w:rFonts w:hint="eastAsia" w:ascii="仿宋_GB2312" w:hAnsi="仿宋" w:eastAsia="仿宋_GB2312"/>
          <w:color w:val="auto"/>
          <w:sz w:val="24"/>
          <w:highlight w:val="none"/>
        </w:rPr>
        <w:t>的第二部分总则。（2）电子招投标的说明：</w:t>
      </w:r>
      <w:r>
        <w:rPr>
          <w:rFonts w:hint="eastAsia" w:ascii="仿宋_GB2312" w:hAnsi="仿宋" w:eastAsia="仿宋_GB2312" w:cs="仿宋_GB2312"/>
          <w:color w:val="auto"/>
          <w:sz w:val="24"/>
          <w:highlight w:val="none"/>
        </w:rPr>
        <w:t>①电子招投标：本项目以数据电文形式，依托“政府采购云平台（www.zcygov.cn）”进行招投标活动，不接受纸质</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_GB2312" w:hAnsi="仿宋" w:eastAsia="仿宋_GB2312" w:cs="仿宋_GB2312"/>
          <w:color w:val="auto"/>
          <w:sz w:val="24"/>
          <w:highlight w:val="none"/>
          <w:lang w:eastAsia="zh-CN"/>
        </w:rPr>
        <w:t>磋商文件</w:t>
      </w:r>
      <w:r>
        <w:rPr>
          <w:rFonts w:hint="eastAsia" w:ascii="仿宋_GB2312" w:hAnsi="仿宋" w:eastAsia="仿宋_GB2312" w:cs="仿宋_GB2312"/>
          <w:color w:val="auto"/>
          <w:sz w:val="24"/>
          <w:highlight w:val="none"/>
        </w:rPr>
        <w:t>的获取：使用账号登录或者使用CA登录政采云平台；进入“项目采购”应用，在获取采购文件菜单中选择项目，获取</w:t>
      </w:r>
      <w:r>
        <w:rPr>
          <w:rFonts w:hint="eastAsia" w:ascii="仿宋_GB2312" w:hAnsi="仿宋" w:eastAsia="仿宋_GB2312" w:cs="仿宋_GB2312"/>
          <w:color w:val="auto"/>
          <w:sz w:val="24"/>
          <w:highlight w:val="none"/>
          <w:lang w:eastAsia="zh-CN"/>
        </w:rPr>
        <w:t>磋商文件</w:t>
      </w:r>
      <w:r>
        <w:rPr>
          <w:rFonts w:hint="eastAsia" w:ascii="仿宋_GB2312" w:hAnsi="仿宋" w:eastAsia="仿宋_GB2312" w:cs="仿宋_GB2312"/>
          <w:color w:val="auto"/>
          <w:sz w:val="24"/>
          <w:highlight w:val="none"/>
        </w:rPr>
        <w:t>；④</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的制作：在“政采云电子交易客户端”中完成“填写基本信息”、“导入</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”、“标书关联”、“标书检查”、“电子签名”、“生成电子标书”等操作；</w:t>
      </w:r>
      <w:r>
        <w:rPr>
          <w:rFonts w:hint="eastAsia" w:ascii="仿宋_GB2312" w:hAnsi="仿宋" w:eastAsia="仿宋_GB2312"/>
          <w:color w:val="auto"/>
          <w:sz w:val="24"/>
          <w:highlight w:val="none"/>
        </w:rPr>
        <w:t>⑤采购人、采购机构将依托政采云平台完成本项目的电子交易活动，平台不接受未按上述方式获取</w:t>
      </w:r>
      <w:r>
        <w:rPr>
          <w:rFonts w:hint="eastAsia" w:ascii="仿宋_GB2312" w:hAnsi="仿宋" w:eastAsia="仿宋_GB2312"/>
          <w:color w:val="auto"/>
          <w:sz w:val="24"/>
          <w:highlight w:val="none"/>
          <w:lang w:eastAsia="zh-CN"/>
        </w:rPr>
        <w:t>磋商文件</w:t>
      </w:r>
      <w:r>
        <w:rPr>
          <w:rFonts w:hint="eastAsia" w:ascii="仿宋_GB2312" w:hAnsi="仿宋" w:eastAsia="仿宋_GB2312"/>
          <w:color w:val="auto"/>
          <w:sz w:val="24"/>
          <w:highlight w:val="none"/>
        </w:rPr>
        <w:t>的供应商进行投标活动； ⑥对未按上述方式获取</w:t>
      </w:r>
      <w:r>
        <w:rPr>
          <w:rFonts w:hint="eastAsia" w:ascii="仿宋_GB2312" w:hAnsi="仿宋" w:eastAsia="仿宋_GB2312"/>
          <w:color w:val="auto"/>
          <w:sz w:val="24"/>
          <w:highlight w:val="none"/>
          <w:lang w:eastAsia="zh-CN"/>
        </w:rPr>
        <w:t>磋商文件</w:t>
      </w:r>
      <w:r>
        <w:rPr>
          <w:rFonts w:hint="eastAsia" w:ascii="仿宋_GB2312" w:hAnsi="仿宋" w:eastAsia="仿宋_GB2312"/>
          <w:color w:val="auto"/>
          <w:sz w:val="24"/>
          <w:highlight w:val="none"/>
        </w:rPr>
        <w:t>的供应商对该文件提出的质疑，采购人或采购代理机构将不予处理；⑦不提供</w:t>
      </w:r>
      <w:r>
        <w:rPr>
          <w:rFonts w:hint="eastAsia" w:ascii="仿宋_GB2312" w:hAnsi="仿宋" w:eastAsia="仿宋_GB2312"/>
          <w:color w:val="auto"/>
          <w:sz w:val="24"/>
          <w:highlight w:val="none"/>
          <w:lang w:eastAsia="zh-CN"/>
        </w:rPr>
        <w:t>磋商文件</w:t>
      </w:r>
      <w:r>
        <w:rPr>
          <w:rFonts w:hint="eastAsia" w:ascii="仿宋_GB2312" w:hAnsi="仿宋" w:eastAsia="仿宋_GB2312"/>
          <w:color w:val="auto"/>
          <w:sz w:val="24"/>
          <w:highlight w:val="none"/>
        </w:rPr>
        <w:t>纸质版；</w:t>
      </w:r>
      <w:r>
        <w:rPr>
          <w:rFonts w:hint="eastAsia" w:ascii="仿宋_GB2312" w:hAnsi="仿宋" w:eastAsia="仿宋_GB2312" w:cs="仿宋_GB2312"/>
          <w:color w:val="auto"/>
          <w:sz w:val="24"/>
          <w:highlight w:val="none"/>
        </w:rPr>
        <w:t>⑧</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的传输递交：投标人在投标截止时间前将加密的</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上传至政府采购云平台，还可以在投标截止时间前直接提交或者以邮政快递方式递交备份</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1份。备份</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的制作、存储、密封详见</w:t>
      </w:r>
      <w:r>
        <w:rPr>
          <w:rFonts w:hint="eastAsia" w:ascii="仿宋_GB2312" w:hAnsi="仿宋" w:eastAsia="仿宋_GB2312" w:cs="仿宋_GB2312"/>
          <w:color w:val="auto"/>
          <w:sz w:val="24"/>
          <w:highlight w:val="none"/>
          <w:lang w:eastAsia="zh-CN"/>
        </w:rPr>
        <w:t>磋商文件</w:t>
      </w:r>
      <w:r>
        <w:rPr>
          <w:rFonts w:hint="eastAsia" w:ascii="仿宋_GB2312" w:hAnsi="仿宋" w:eastAsia="仿宋_GB2312" w:cs="仿宋_GB2312"/>
          <w:color w:val="auto"/>
          <w:sz w:val="24"/>
          <w:highlight w:val="none"/>
        </w:rPr>
        <w:t>第二部分第15点—“备份</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的解密：投标人按照平台提示和</w:t>
      </w:r>
      <w:r>
        <w:rPr>
          <w:rFonts w:hint="eastAsia" w:ascii="仿宋_GB2312" w:hAnsi="仿宋" w:eastAsia="仿宋_GB2312" w:cs="仿宋_GB2312"/>
          <w:color w:val="auto"/>
          <w:sz w:val="24"/>
          <w:highlight w:val="none"/>
          <w:lang w:eastAsia="zh-CN"/>
        </w:rPr>
        <w:t>磋商文件</w:t>
      </w:r>
      <w:r>
        <w:rPr>
          <w:rFonts w:hint="eastAsia" w:ascii="仿宋_GB2312" w:hAnsi="仿宋" w:eastAsia="仿宋_GB2312" w:cs="仿宋_GB2312"/>
          <w:color w:val="auto"/>
          <w:sz w:val="24"/>
          <w:highlight w:val="none"/>
        </w:rPr>
        <w:t>的规定在半小时内完成在线解密。通过“政府采购云平台”上传递交的</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无法按时解密，投标供应商递交了备份</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的，以备份</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为依据，否则视为</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撤回。通过“政府采购云平台”上传递交的</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已按时解密的，备份</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自动失效。投标人仅提交备份</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，没有在电子交易平台传输递交</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的，投标无效；⑩具体操作指南：详见政采云平台“服务中心-帮助文档-项目采购-操作流程-电子招投标-政府采购项目电子交易管理操作指南-供应商”。</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3）为支持和促进中小企业发展，杭州市财政局出台了政府采购信用融资政策，供应商可凭中标合同申请贷款，利率一般在基准利率左右（不同银行略有差异）。具体可登录（http://220.191.208.230/login.do）办理业务。</w:t>
      </w:r>
    </w:p>
    <w:p>
      <w:pPr>
        <w:spacing w:line="360" w:lineRule="auto"/>
        <w:ind w:firstLine="482" w:firstLineChars="200"/>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4）本项目专门面向中小企业采购的项目</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1.采购人信息</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名    称：杭州市规划和自然资源局西湖分局</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地  址:杭州市西湖区文一西路858号东4楼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项目联系人（询问）：占雅茹</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项目联系方式（询问）：0571-85122393</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质疑联系人：符纪宁</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质疑联系方式：0571-85027497 </w:t>
      </w:r>
    </w:p>
    <w:p>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2.采购代理机构信息</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名称：中纬工程管理咨询有限公司</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地址：杭州市上城区龙舌路46号大名空间商务大厦20楼2001</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传真：0571-86053128</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项目联系人（询问）：钱爱爱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项目联系方式（询问）：18368019561</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质疑联系人：王丽</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质疑联系方式：18069834990 </w:t>
      </w:r>
    </w:p>
    <w:p>
      <w:pPr>
        <w:snapToGrid w:val="0"/>
        <w:spacing w:line="360" w:lineRule="auto"/>
        <w:ind w:firstLine="480" w:firstLineChars="200"/>
        <w:rPr>
          <w:rFonts w:ascii="仿宋_GB2312" w:hAnsi="仿宋" w:eastAsia="仿宋_GB2312"/>
          <w:color w:val="auto"/>
          <w:sz w:val="24"/>
          <w:highlight w:val="none"/>
        </w:rPr>
      </w:pP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3.同级政府采购监督管理部门名称：杭州市西湖区财政局政府采购监管处</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地址：杭州市西湖区文三西路18号</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联系人：韩工</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联系电话：0571-58101865</w:t>
      </w:r>
    </w:p>
    <w:p>
      <w:pPr>
        <w:pStyle w:val="964"/>
        <w:rPr>
          <w:color w:val="auto"/>
          <w:szCs w:val="24"/>
          <w:highlight w:val="none"/>
        </w:rPr>
      </w:pPr>
    </w:p>
    <w:p>
      <w:pPr>
        <w:pStyle w:val="964"/>
        <w:rPr>
          <w:color w:val="auto"/>
          <w:szCs w:val="24"/>
          <w:highlight w:val="none"/>
        </w:rPr>
      </w:pPr>
      <w:r>
        <w:rPr>
          <w:rFonts w:hint="eastAsia"/>
          <w:color w:val="auto"/>
          <w:szCs w:val="24"/>
          <w:highlight w:val="none"/>
        </w:rPr>
        <w:t>若对项目采购电子交易系统操作有疑问，可登录政采云（https://www.zcygov.cn/），点击右侧咨询小采，获取采小蜜智能服务管家帮助，或拨打政采云服务热线400-881-7190获取热线服务帮助。</w:t>
      </w:r>
    </w:p>
    <w:p>
      <w:pPr>
        <w:pStyle w:val="964"/>
        <w:rPr>
          <w:color w:val="auto"/>
          <w:highlight w:val="none"/>
        </w:rPr>
      </w:pPr>
      <w:r>
        <w:rPr>
          <w:rFonts w:hint="eastAsia"/>
          <w:color w:val="auto"/>
          <w:szCs w:val="24"/>
          <w:highlight w:val="none"/>
        </w:rPr>
        <w:t>CA问题联系电话（人工）：汇信CA 400-888-4636；天谷CA 400-087-8198。</w:t>
      </w:r>
    </w:p>
    <w:p>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_GB2312" w:hAnsi="仿宋" w:eastAsia="仿宋_GB2312" w:cs="仿宋_GB2312"/>
          <w:b/>
          <w:color w:val="auto"/>
          <w:sz w:val="36"/>
          <w:szCs w:val="20"/>
          <w:highlight w:val="none"/>
        </w:rPr>
        <w:br w:type="page"/>
      </w:r>
      <w:r>
        <w:rPr>
          <w:rFonts w:hint="eastAsia" w:ascii="仿宋_GB2312" w:hAnsi="仿宋" w:eastAsia="仿宋_GB2312" w:cs="仿宋_GB2312"/>
          <w:b/>
          <w:color w:val="auto"/>
          <w:sz w:val="36"/>
          <w:szCs w:val="20"/>
          <w:highlight w:val="none"/>
        </w:rPr>
        <w:t>第二部分</w:t>
      </w:r>
      <w:bookmarkEnd w:id="8"/>
      <w:r>
        <w:rPr>
          <w:rFonts w:hint="eastAsia" w:ascii="仿宋_GB2312" w:hAnsi="仿宋" w:eastAsia="仿宋_GB2312" w:cs="仿宋_GB2312"/>
          <w:b/>
          <w:color w:val="auto"/>
          <w:sz w:val="36"/>
          <w:szCs w:val="20"/>
          <w:highlight w:val="none"/>
        </w:rPr>
        <w:t xml:space="preserve"> </w:t>
      </w:r>
      <w:r>
        <w:rPr>
          <w:rFonts w:hint="eastAsia" w:ascii="仿宋_GB2312" w:hAnsi="仿宋" w:eastAsia="仿宋_GB2312" w:cs="仿宋_GB2312"/>
          <w:b/>
          <w:color w:val="auto"/>
          <w:sz w:val="36"/>
          <w:szCs w:val="20"/>
          <w:highlight w:val="none"/>
          <w:lang w:val="en-US" w:eastAsia="zh-CN"/>
        </w:rPr>
        <w:t>磋商</w:t>
      </w:r>
      <w:r>
        <w:rPr>
          <w:rFonts w:hint="eastAsia" w:ascii="仿宋_GB2312" w:hAnsi="仿宋" w:eastAsia="仿宋_GB2312" w:cs="仿宋_GB2312"/>
          <w:b/>
          <w:color w:val="auto"/>
          <w:sz w:val="36"/>
          <w:szCs w:val="20"/>
          <w:highlight w:val="none"/>
        </w:rPr>
        <w:t>须知</w:t>
      </w:r>
      <w:bookmarkEnd w:id="9"/>
    </w:p>
    <w:p>
      <w:pPr>
        <w:snapToGrid w:val="0"/>
        <w:spacing w:line="360" w:lineRule="auto"/>
        <w:jc w:val="center"/>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前附表</w:t>
      </w:r>
    </w:p>
    <w:tbl>
      <w:tblPr>
        <w:tblStyle w:val="62"/>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7026" w:type="dxa"/>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1843" w:type="dxa"/>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7026" w:type="dxa"/>
            <w:vAlign w:val="center"/>
          </w:tcPr>
          <w:p>
            <w:pPr>
              <w:snapToGrid w:val="0"/>
              <w:spacing w:line="360" w:lineRule="auto"/>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1</w:t>
            </w:r>
            <w:r>
              <w:rPr>
                <w:rFonts w:hint="eastAsia" w:ascii="仿宋_GB2312" w:hAnsi="仿宋" w:eastAsia="仿宋_GB2312" w:cs="仿宋_GB2312"/>
                <w:color w:val="auto"/>
                <w:kern w:val="0"/>
                <w:sz w:val="24"/>
                <w:highlight w:val="none"/>
                <w:lang w:val="zh-CN"/>
              </w:rPr>
              <w:t>.采购预算：预算总金额</w:t>
            </w:r>
            <w:r>
              <w:rPr>
                <w:rFonts w:hint="eastAsia" w:ascii="仿宋_GB2312" w:hAnsi="仿宋" w:eastAsia="仿宋_GB2312"/>
                <w:b/>
                <w:color w:val="auto"/>
                <w:sz w:val="24"/>
                <w:highlight w:val="none"/>
                <w:lang w:eastAsia="zh-CN"/>
              </w:rPr>
              <w:t>95.8000</w:t>
            </w:r>
            <w:r>
              <w:rPr>
                <w:rFonts w:hint="eastAsia" w:ascii="仿宋_GB2312" w:hAnsi="仿宋" w:eastAsia="仿宋_GB2312" w:cs="仿宋_GB2312"/>
                <w:color w:val="auto"/>
                <w:kern w:val="0"/>
                <w:sz w:val="24"/>
                <w:highlight w:val="none"/>
                <w:lang w:val="zh-CN"/>
              </w:rPr>
              <w:t>万元，采购计划文号：</w:t>
            </w:r>
            <w:r>
              <w:rPr>
                <w:rFonts w:hint="eastAsia" w:ascii="仿宋_GB2312" w:hAnsi="仿宋" w:eastAsia="仿宋_GB2312" w:cs="仿宋_GB2312"/>
                <w:i w:val="0"/>
                <w:iCs w:val="0"/>
                <w:caps w:val="0"/>
                <w:color w:val="auto"/>
                <w:spacing w:val="0"/>
                <w:kern w:val="0"/>
                <w:sz w:val="24"/>
                <w:szCs w:val="24"/>
                <w:highlight w:val="none"/>
                <w:u w:val="none"/>
                <w:shd w:val="clear"/>
                <w:lang w:val="zh-CN"/>
              </w:rPr>
              <w:fldChar w:fldCharType="begin"/>
            </w:r>
            <w:r>
              <w:rPr>
                <w:rFonts w:hint="eastAsia" w:ascii="仿宋_GB2312" w:hAnsi="仿宋" w:eastAsia="仿宋_GB2312" w:cs="仿宋_GB2312"/>
                <w:i w:val="0"/>
                <w:iCs w:val="0"/>
                <w:caps w:val="0"/>
                <w:color w:val="auto"/>
                <w:spacing w:val="0"/>
                <w:kern w:val="0"/>
                <w:sz w:val="24"/>
                <w:szCs w:val="24"/>
                <w:highlight w:val="none"/>
                <w:u w:val="none"/>
                <w:shd w:val="clear"/>
                <w:lang w:val="zh-CN"/>
              </w:rPr>
              <w:instrText xml:space="preserve"> HYPERLINK "https://pay.zcygov.cn/purchaseplan_front/" \l "/plan/list/detail?id=1000000000009134554&amp;encrypt=777d77aaf48a2643b2142faaa339eb63" \t "https://www.zcygov.cn/bid-inviting/purchaseFileMake/basisInfo/_blank" </w:instrText>
            </w:r>
            <w:r>
              <w:rPr>
                <w:rFonts w:hint="eastAsia" w:ascii="仿宋_GB2312" w:hAnsi="仿宋" w:eastAsia="仿宋_GB2312" w:cs="仿宋_GB2312"/>
                <w:i w:val="0"/>
                <w:iCs w:val="0"/>
                <w:caps w:val="0"/>
                <w:color w:val="auto"/>
                <w:spacing w:val="0"/>
                <w:kern w:val="0"/>
                <w:sz w:val="24"/>
                <w:szCs w:val="24"/>
                <w:highlight w:val="none"/>
                <w:u w:val="none"/>
                <w:shd w:val="clear"/>
                <w:lang w:val="zh-CN"/>
              </w:rPr>
              <w:fldChar w:fldCharType="separate"/>
            </w:r>
            <w:r>
              <w:rPr>
                <w:rFonts w:hint="eastAsia" w:ascii="仿宋_GB2312" w:hAnsi="仿宋" w:eastAsia="仿宋_GB2312" w:cs="仿宋_GB2312"/>
                <w:i w:val="0"/>
                <w:iCs w:val="0"/>
                <w:caps w:val="0"/>
                <w:color w:val="auto"/>
                <w:spacing w:val="0"/>
                <w:sz w:val="24"/>
                <w:szCs w:val="24"/>
                <w:highlight w:val="none"/>
                <w:u w:val="none"/>
                <w:shd w:val="clear"/>
                <w:lang w:val="zh-CN"/>
              </w:rPr>
              <w:t>西政采分-2022-00665[XHZFCG-YS-2022-03256]</w:t>
            </w:r>
            <w:r>
              <w:rPr>
                <w:rFonts w:hint="eastAsia" w:ascii="仿宋_GB2312" w:hAnsi="仿宋" w:eastAsia="仿宋_GB2312" w:cs="仿宋_GB2312"/>
                <w:i w:val="0"/>
                <w:iCs w:val="0"/>
                <w:caps w:val="0"/>
                <w:color w:val="auto"/>
                <w:spacing w:val="0"/>
                <w:kern w:val="0"/>
                <w:sz w:val="24"/>
                <w:szCs w:val="24"/>
                <w:highlight w:val="none"/>
                <w:u w:val="none"/>
                <w:shd w:val="clear"/>
                <w:lang w:val="zh-CN"/>
              </w:rPr>
              <w:fldChar w:fldCharType="end"/>
            </w:r>
            <w:r>
              <w:rPr>
                <w:rFonts w:hint="eastAsia"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，采购预算即最高限价。投标报价超过最高限价的投标无效。</w:t>
            </w:r>
          </w:p>
          <w:p>
            <w:pPr>
              <w:snapToGrid w:val="0"/>
              <w:spacing w:line="360" w:lineRule="auto"/>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2</w:t>
            </w:r>
            <w:r>
              <w:rPr>
                <w:rFonts w:hint="eastAsia" w:ascii="仿宋_GB2312" w:hAnsi="仿宋" w:eastAsia="仿宋_GB2312" w:cs="仿宋_GB2312"/>
                <w:color w:val="auto"/>
                <w:kern w:val="0"/>
                <w:sz w:val="24"/>
                <w:highlight w:val="none"/>
                <w:lang w:val="zh-CN"/>
              </w:rPr>
              <w:t>.服务期：</w:t>
            </w:r>
            <w:r>
              <w:rPr>
                <w:rFonts w:hint="eastAsia" w:ascii="仿宋_GB2312" w:hAnsi="仿宋" w:eastAsia="仿宋_GB2312" w:cs="宋体"/>
                <w:color w:val="auto"/>
                <w:kern w:val="0"/>
                <w:sz w:val="24"/>
                <w:highlight w:val="none"/>
              </w:rPr>
              <w:t>202</w:t>
            </w:r>
            <w:r>
              <w:rPr>
                <w:rFonts w:ascii="仿宋_GB2312" w:hAnsi="仿宋" w:eastAsia="仿宋_GB2312" w:cs="宋体"/>
                <w:color w:val="auto"/>
                <w:kern w:val="0"/>
                <w:sz w:val="24"/>
                <w:highlight w:val="none"/>
              </w:rPr>
              <w:t>2</w:t>
            </w:r>
            <w:r>
              <w:rPr>
                <w:rFonts w:hint="eastAsia" w:ascii="仿宋_GB2312" w:hAnsi="仿宋" w:eastAsia="仿宋_GB2312" w:cs="宋体"/>
                <w:color w:val="auto"/>
                <w:kern w:val="0"/>
                <w:sz w:val="24"/>
                <w:highlight w:val="none"/>
              </w:rPr>
              <w:t xml:space="preserve"> 年12月15日前完成</w:t>
            </w:r>
            <w:r>
              <w:rPr>
                <w:rFonts w:hint="eastAsia" w:ascii="仿宋_GB2312" w:hAnsi="仿宋" w:eastAsia="仿宋_GB2312" w:cs="仿宋_GB2312"/>
                <w:color w:val="auto"/>
                <w:kern w:val="0"/>
                <w:sz w:val="24"/>
                <w:highlight w:val="none"/>
                <w:lang w:val="zh-CN"/>
              </w:rPr>
              <w:t>。</w:t>
            </w:r>
          </w:p>
          <w:p>
            <w:pPr>
              <w:snapToGrid w:val="0"/>
              <w:spacing w:line="360" w:lineRule="auto"/>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3</w:t>
            </w:r>
            <w:r>
              <w:rPr>
                <w:rFonts w:hint="eastAsia" w:ascii="仿宋_GB2312" w:hAnsi="仿宋" w:eastAsia="仿宋_GB2312" w:cs="仿宋_GB2312"/>
                <w:color w:val="auto"/>
                <w:kern w:val="0"/>
                <w:sz w:val="24"/>
                <w:highlight w:val="none"/>
                <w:lang w:val="zh-CN"/>
              </w:rPr>
              <w:t>.其他说明：本项目专门面向中小企业采购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。响应文件中价格全部采用人民币报价。磋商文件未列明，而投标人认为必需的费用也需列入报价。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响应文件出现不是唯一的、有选择性投标报价的；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投标报价超过磋商文件中规定的预算金额或者最高限价的</w:t>
            </w:r>
            <w:r>
              <w:rPr>
                <w:rFonts w:hint="eastAsia" w:ascii="仿宋_GB2312" w:hAnsi="仿宋" w:eastAsia="仿宋_GB2312"/>
                <w:b/>
                <w:color w:val="auto"/>
                <w:kern w:val="0"/>
                <w:sz w:val="24"/>
                <w:highlight w:val="none"/>
                <w:lang w:val="zh-CN"/>
              </w:rPr>
              <w:t>;</w:t>
            </w:r>
          </w:p>
          <w:p>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color w:val="auto"/>
                <w:sz w:val="24"/>
                <w:szCs w:val="21"/>
                <w:highlight w:val="none"/>
              </w:rPr>
              <w:t>;</w:t>
            </w:r>
          </w:p>
          <w:p>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1843" w:type="dxa"/>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7026" w:type="dxa"/>
            <w:vAlign w:val="center"/>
          </w:tcPr>
          <w:p>
            <w:pPr>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147728692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仿宋_GB2312" w:hAnsi="仿宋" w:eastAsia="仿宋_GB2312" w:cs="Arial"/>
                    <w:color w:val="auto"/>
                    <w:kern w:val="0"/>
                    <w:sz w:val="24"/>
                    <w:highlight w:val="none"/>
                  </w:rPr>
                  <w:sym w:font="Wingdings" w:char="F0FE"/>
                </w:r>
              </w:sdtContent>
            </w:sdt>
            <w:r>
              <w:rPr>
                <w:rFonts w:hint="eastAsia" w:ascii="仿宋_GB2312" w:hAnsi="仿宋" w:eastAsia="仿宋_GB2312" w:cs="Arial"/>
                <w:color w:val="auto"/>
                <w:kern w:val="0"/>
                <w:sz w:val="24"/>
                <w:highlight w:val="none"/>
              </w:rPr>
              <w:t xml:space="preserve"> A同意将非主体、非关键性的工作分包。</w:t>
            </w:r>
          </w:p>
          <w:p>
            <w:pPr>
              <w:spacing w:after="120"/>
              <w:rPr>
                <w:rFonts w:ascii="仿宋_GB2312" w:hAnsi="仿宋" w:eastAsia="仿宋_GB2312" w:cs="Arial"/>
                <w:color w:val="auto"/>
                <w:kern w:val="0"/>
                <w:highlight w:val="none"/>
              </w:rPr>
            </w:pPr>
            <w:sdt>
              <w:sdtPr>
                <w:rPr>
                  <w:rFonts w:hint="eastAsia" w:ascii="仿宋_GB2312" w:hAnsi="仿宋" w:eastAsia="仿宋_GB2312" w:cs="Arial"/>
                  <w:color w:val="auto"/>
                  <w:kern w:val="0"/>
                  <w:sz w:val="24"/>
                  <w:highlight w:val="none"/>
                </w:rPr>
                <w:id w:val="165757222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仿宋_GB2312" w:hAnsi="仿宋" w:eastAsia="仿宋_GB2312" w:cs="Arial"/>
                    <w:color w:val="auto"/>
                    <w:kern w:val="0"/>
                    <w:sz w:val="24"/>
                    <w:highlight w:val="none"/>
                  </w:rPr>
                  <w:sym w:font="Wingdings" w:char="F0FE"/>
                </w:r>
              </w:sdtContent>
            </w:sdt>
            <w:sdt>
              <w:sdtPr>
                <w:rPr>
                  <w:rFonts w:hint="eastAsia" w:ascii="仿宋_GB2312" w:hAnsi="仿宋" w:eastAsia="仿宋_GB2312" w:cs="Arial"/>
                  <w:color w:val="auto"/>
                  <w:kern w:val="0"/>
                  <w:sz w:val="24"/>
                  <w:highlight w:val="none"/>
                </w:rPr>
                <w:id w:val="-1511367413"/>
                <w:showingPlcHdr/>
              </w:sdtPr>
              <w:sdtEndPr>
                <w:rPr>
                  <w:rFonts w:hint="eastAsia" w:ascii="仿宋_GB2312" w:hAnsi="仿宋" w:eastAsia="仿宋_GB2312" w:cs="Arial"/>
                  <w:color w:val="auto"/>
                  <w:kern w:val="0"/>
                  <w:sz w:val="24"/>
                  <w:highlight w:val="none"/>
                </w:rPr>
              </w:sdtEndPr>
              <w:sdtContent/>
            </w:sdt>
            <w:r>
              <w:rPr>
                <w:rFonts w:ascii="仿宋_GB2312" w:hAnsi="仿宋" w:eastAsia="仿宋_GB2312" w:cs="Arial"/>
                <w:color w:val="auto"/>
                <w:kern w:val="0"/>
                <w:sz w:val="24"/>
                <w:highlight w:val="none"/>
              </w:rPr>
              <w:t xml:space="preserve"> B</w:t>
            </w:r>
            <w:r>
              <w:rPr>
                <w:rFonts w:hint="eastAsia" w:ascii="仿宋_GB2312" w:hAnsi="仿宋" w:eastAsia="仿宋_GB2312" w:cs="Arial"/>
                <w:color w:val="auto"/>
                <w:kern w:val="0"/>
                <w:sz w:val="24"/>
                <w:highlight w:val="none"/>
              </w:rPr>
              <w:t>同意中型企业向小微企业、小微企业向小微企业合理分包。</w:t>
            </w:r>
          </w:p>
          <w:p>
            <w:pPr>
              <w:spacing w:line="360" w:lineRule="auto"/>
              <w:rPr>
                <w:rFonts w:ascii="仿宋_GB2312" w:hAnsi="仿宋" w:eastAsia="仿宋_GB2312" w:cs="Arial"/>
                <w:color w:val="auto"/>
                <w:kern w:val="0"/>
                <w:highlight w:val="none"/>
              </w:rPr>
            </w:pPr>
            <w:sdt>
              <w:sdtPr>
                <w:rPr>
                  <w:rFonts w:hint="eastAsia" w:ascii="仿宋_GB2312" w:hAnsi="仿宋" w:eastAsia="仿宋_GB2312" w:cs="Arial"/>
                  <w:color w:val="auto"/>
                  <w:kern w:val="0"/>
                  <w:sz w:val="24"/>
                  <w:highlight w:val="none"/>
                </w:rPr>
                <w:id w:val="-127633135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Segoe UI Symbol" w:hAnsi="Segoe UI Symbol" w:eastAsia="仿宋_GB2312" w:cs="Segoe UI Symbol"/>
                    <w:color w:val="auto"/>
                    <w:kern w:val="0"/>
                    <w:sz w:val="24"/>
                    <w:highlight w:val="none"/>
                  </w:rPr>
                  <w:t>☐</w:t>
                </w:r>
              </w:sdtContent>
            </w:sdt>
            <w:r>
              <w:rPr>
                <w:rFonts w:hint="eastAsia" w:ascii="仿宋_GB2312" w:hAnsi="仿宋" w:eastAsia="仿宋_GB2312" w:cs="Arial"/>
                <w:color w:val="auto"/>
                <w:kern w:val="0"/>
                <w:sz w:val="24"/>
                <w:highlight w:val="none"/>
              </w:rPr>
              <w:t xml:space="preserve"> C不同意分包。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Merge w:val="restart"/>
            <w:vAlign w:val="center"/>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1843" w:type="dxa"/>
            <w:vMerge w:val="restart"/>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7026" w:type="dxa"/>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（1）资格证明文件：见</w:t>
            </w:r>
            <w:r>
              <w:rPr>
                <w:rFonts w:hint="eastAsia" w:ascii="仿宋_GB2312" w:hAnsi="仿宋" w:eastAsia="仿宋_GB2312"/>
                <w:color w:val="auto"/>
                <w:sz w:val="24"/>
                <w:highlight w:val="none"/>
                <w:lang w:eastAsia="zh-CN"/>
              </w:rPr>
              <w:t>磋商文件</w:t>
            </w:r>
            <w:r>
              <w:rPr>
                <w:rFonts w:hint="eastAsia" w:ascii="仿宋_GB2312" w:hAnsi="仿宋" w:eastAsia="仿宋_GB2312"/>
                <w:color w:val="auto"/>
                <w:sz w:val="24"/>
                <w:highlight w:val="none"/>
              </w:rPr>
              <w:t>第二部分</w:t>
            </w:r>
            <w:r>
              <w:rPr>
                <w:rFonts w:hint="eastAsia" w:ascii="仿宋_GB2312" w:hAnsi="仿宋" w:eastAsia="仿宋_GB2312"/>
                <w:color w:val="auto"/>
                <w:sz w:val="24"/>
                <w:highlight w:val="none"/>
                <w:lang w:val="en-US" w:eastAsia="zh-CN"/>
              </w:rPr>
              <w:t>8</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val="en-US" w:eastAsia="zh-CN"/>
              </w:rPr>
              <w:t>3</w:t>
            </w:r>
            <w:r>
              <w:rPr>
                <w:rFonts w:hint="eastAsia" w:ascii="仿宋_GB2312" w:hAnsi="仿宋" w:eastAsia="仿宋_GB2312"/>
                <w:color w:val="auto"/>
                <w:sz w:val="24"/>
                <w:highlight w:val="none"/>
              </w:rPr>
              <w:t>。</w:t>
            </w:r>
          </w:p>
          <w:p>
            <w:pPr>
              <w:spacing w:line="360" w:lineRule="auto"/>
              <w:rPr>
                <w:rFonts w:ascii="仿宋_GB2312" w:hAnsi="Arial" w:eastAsia="仿宋_GB2312"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投标人未提供有效的资格证明文件的，视为投标人不具备磋商文件中规定的资格要求，投标无效。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Merge w:val="continue"/>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vAlign w:val="center"/>
          </w:tcPr>
          <w:p>
            <w:pPr>
              <w:snapToGrid w:val="0"/>
              <w:spacing w:line="360" w:lineRule="auto"/>
              <w:jc w:val="center"/>
              <w:rPr>
                <w:rFonts w:ascii="仿宋_GB2312" w:hAnsi="仿宋" w:eastAsia="仿宋_GB2312" w:cs="仿宋_GB2312"/>
                <w:b/>
                <w:color w:val="auto"/>
                <w:sz w:val="24"/>
                <w:highlight w:val="none"/>
              </w:rPr>
            </w:pPr>
          </w:p>
        </w:tc>
        <w:tc>
          <w:tcPr>
            <w:tcW w:w="7026" w:type="dxa"/>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（2）资信证明文件：根据</w:t>
            </w:r>
            <w:r>
              <w:rPr>
                <w:rFonts w:hint="eastAsia" w:ascii="仿宋_GB2312" w:hAnsi="仿宋" w:eastAsia="仿宋_GB2312"/>
                <w:color w:val="auto"/>
                <w:sz w:val="24"/>
                <w:highlight w:val="none"/>
                <w:lang w:eastAsia="zh-CN"/>
              </w:rPr>
              <w:t>磋商文件</w:t>
            </w:r>
            <w:r>
              <w:rPr>
                <w:rFonts w:hint="eastAsia" w:ascii="仿宋_GB2312" w:hAnsi="仿宋" w:eastAsia="仿宋_GB2312"/>
                <w:color w:val="auto"/>
                <w:sz w:val="24"/>
                <w:highlight w:val="none"/>
              </w:rPr>
              <w:t>第四部分评标</w:t>
            </w:r>
            <w:r>
              <w:rPr>
                <w:rFonts w:hint="eastAsia" w:ascii="仿宋_GB2312" w:hAnsi="仿宋" w:eastAsia="仿宋_GB2312"/>
                <w:color w:val="auto"/>
                <w:sz w:val="24"/>
                <w:highlight w:val="none"/>
                <w:lang w:val="en-US" w:eastAsia="zh-CN"/>
              </w:rPr>
              <w:t>办法</w:t>
            </w:r>
            <w:r>
              <w:rPr>
                <w:rFonts w:hint="eastAsia" w:ascii="仿宋_GB2312" w:hAnsi="仿宋" w:eastAsia="仿宋_GB2312"/>
                <w:color w:val="auto"/>
                <w:sz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1843" w:type="dxa"/>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7026" w:type="dxa"/>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29664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仿宋_GB2312" w:hAnsi="仿宋" w:eastAsia="仿宋_GB2312" w:cs="Arial"/>
                    <w:color w:val="auto"/>
                    <w:kern w:val="0"/>
                    <w:sz w:val="24"/>
                    <w:highlight w:val="none"/>
                  </w:rPr>
                  <w:sym w:font="Wingdings" w:char="F0FE"/>
                </w:r>
              </w:sdtContent>
            </w:sdt>
            <w:r>
              <w:rPr>
                <w:rFonts w:hint="eastAsia"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99980297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Segoe UI Symbol" w:hAnsi="Segoe UI Symbol" w:eastAsia="仿宋_GB2312" w:cs="Segoe UI Symbol"/>
                    <w:color w:val="auto"/>
                    <w:kern w:val="0"/>
                    <w:sz w:val="24"/>
                    <w:highlight w:val="none"/>
                  </w:rPr>
                  <w:t>☐</w:t>
                </w:r>
              </w:sdtContent>
            </w:sdt>
            <w:r>
              <w:rPr>
                <w:rFonts w:hint="eastAsia"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1843" w:type="dxa"/>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7026" w:type="dxa"/>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仿宋_GB2312" w:hAnsi="仿宋" w:eastAsia="仿宋_GB2312" w:cs="Arial"/>
                    <w:color w:val="auto"/>
                    <w:kern w:val="0"/>
                    <w:sz w:val="24"/>
                    <w:highlight w:val="none"/>
                  </w:rPr>
                  <w:sym w:font="Wingdings" w:char="F0FE"/>
                </w:r>
              </w:sdtContent>
            </w:sdt>
            <w:r>
              <w:rPr>
                <w:rFonts w:hint="eastAsia"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Segoe UI Symbol" w:hAnsi="Segoe UI Symbol" w:eastAsia="仿宋_GB2312" w:cs="Segoe UI Symbol"/>
                    <w:color w:val="auto"/>
                    <w:kern w:val="0"/>
                    <w:sz w:val="24"/>
                    <w:highlight w:val="none"/>
                  </w:rPr>
                  <w:t>☐</w:t>
                </w:r>
              </w:sdtContent>
            </w:sdt>
            <w:r>
              <w:rPr>
                <w:rFonts w:hint="eastAsia" w:ascii="仿宋_GB2312" w:hAnsi="仿宋" w:eastAsia="仿宋_GB2312"/>
                <w:color w:val="auto"/>
                <w:kern w:val="0"/>
                <w:sz w:val="24"/>
                <w:highlight w:val="none"/>
              </w:rPr>
              <w:t>B要求提供，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（1）</w:t>
            </w:r>
            <w:r>
              <w:rPr>
                <w:rFonts w:hint="eastAsia" w:ascii="仿宋_GB2312" w:hAnsi="仿宋" w:eastAsia="仿宋_GB2312"/>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（2）</w:t>
            </w:r>
            <w:r>
              <w:rPr>
                <w:rFonts w:hint="eastAsia" w:ascii="仿宋_GB2312" w:hAnsi="仿宋" w:eastAsia="仿宋_GB2312"/>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（3）样品的评审方法以及评审标准</w:t>
            </w:r>
            <w:r>
              <w:rPr>
                <w:rFonts w:hint="eastAsia" w:ascii="仿宋_GB2312" w:hAnsi="仿宋" w:eastAsia="仿宋_GB2312"/>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（4）是否需要随样品提交检测报告：</w:t>
            </w:r>
            <w:sdt>
              <w:sdtPr>
                <w:rPr>
                  <w:rFonts w:hint="eastAsia" w:ascii="仿宋_GB2312" w:hAnsi="仿宋" w:eastAsia="仿宋_GB2312" w:cs="Arial"/>
                  <w:color w:val="auto"/>
                  <w:kern w:val="0"/>
                  <w:sz w:val="24"/>
                  <w:highlight w:val="none"/>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仿宋_GB2312" w:hAnsi="MS Gothic" w:eastAsia="仿宋_GB2312" w:cs="Arial"/>
                    <w:color w:val="auto"/>
                    <w:kern w:val="0"/>
                    <w:sz w:val="24"/>
                    <w:highlight w:val="none"/>
                  </w:rPr>
                  <w:sym w:font="Wingdings" w:char="F0FE"/>
                </w:r>
              </w:sdtContent>
            </w:sdt>
            <w:r>
              <w:rPr>
                <w:rFonts w:hint="eastAsia"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Segoe UI Symbol" w:hAnsi="Segoe UI Symbol" w:eastAsia="仿宋_GB2312" w:cs="Segoe UI Symbol"/>
                    <w:color w:val="auto"/>
                    <w:kern w:val="0"/>
                    <w:sz w:val="24"/>
                    <w:highlight w:val="none"/>
                  </w:rPr>
                  <w:t>☐</w:t>
                </w:r>
              </w:sdtContent>
            </w:sdt>
            <w:r>
              <w:rPr>
                <w:rFonts w:hint="eastAsia"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p>
        </w:tc>
        <w:tc>
          <w:tcPr>
            <w:tcW w:w="1843" w:type="dxa"/>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7026" w:type="dxa"/>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85934854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仿宋_GB2312" w:hAnsi="仿宋" w:eastAsia="仿宋_GB2312" w:cs="Arial"/>
                    <w:color w:val="auto"/>
                    <w:kern w:val="0"/>
                    <w:sz w:val="24"/>
                    <w:highlight w:val="none"/>
                  </w:rPr>
                  <w:sym w:font="Wingdings" w:char="F0FE"/>
                </w:r>
              </w:sdtContent>
            </w:sdt>
            <w:r>
              <w:rPr>
                <w:rFonts w:hint="eastAsia"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17407171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Segoe UI Symbol" w:hAnsi="Segoe UI Symbol" w:eastAsia="仿宋_GB2312" w:cs="Segoe UI Symbol"/>
                    <w:color w:val="auto"/>
                    <w:kern w:val="0"/>
                    <w:sz w:val="24"/>
                    <w:highlight w:val="none"/>
                  </w:rPr>
                  <w:t>☐</w:t>
                </w:r>
              </w:sdtContent>
            </w:sdt>
            <w:r>
              <w:rPr>
                <w:rFonts w:hint="eastAsia" w:ascii="仿宋_GB2312" w:hAnsi="仿宋" w:eastAsia="仿宋_GB2312"/>
                <w:color w:val="auto"/>
                <w:kern w:val="0"/>
                <w:sz w:val="24"/>
                <w:highlight w:val="none"/>
              </w:rPr>
              <w:t>B组织。</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（1）在评标时安排每个投标人进行方案讲解演示。每个投标人时间不超过20分钟，讲解次序以</w:t>
            </w:r>
            <w:r>
              <w:rPr>
                <w:rFonts w:hint="eastAsia" w:ascii="仿宋_GB2312" w:hAnsi="仿宋" w:eastAsia="仿宋_GB2312"/>
                <w:color w:val="auto"/>
                <w:kern w:val="0"/>
                <w:sz w:val="24"/>
                <w:highlight w:val="none"/>
                <w:lang w:eastAsia="zh-CN"/>
              </w:rPr>
              <w:t>响应文件</w:t>
            </w:r>
            <w:r>
              <w:rPr>
                <w:rFonts w:hint="eastAsia" w:ascii="仿宋_GB2312" w:hAnsi="仿宋" w:eastAsia="仿宋_GB2312"/>
                <w:color w:val="auto"/>
                <w:kern w:val="0"/>
                <w:sz w:val="24"/>
                <w:highlight w:val="none"/>
              </w:rPr>
              <w:t>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（2）方案讲解演示可选择以下其中一种方式：</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方式二：现场讲解演示。现场讲解地点为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c>
          <w:tcPr>
            <w:tcW w:w="1843" w:type="dxa"/>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7026" w:type="dxa"/>
            <w:vAlign w:val="center"/>
          </w:tcPr>
          <w:p>
            <w:pPr>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仿宋_GB2312" w:hAnsi="仿宋" w:eastAsia="仿宋_GB2312" w:cs="Arial"/>
                    <w:color w:val="auto"/>
                    <w:kern w:val="0"/>
                    <w:sz w:val="24"/>
                    <w:highlight w:val="none"/>
                  </w:rPr>
                  <w:sym w:font="Wingdings" w:char="F0FE"/>
                </w:r>
              </w:sdtContent>
            </w:sdt>
            <w:r>
              <w:rPr>
                <w:rFonts w:hint="eastAsia" w:ascii="仿宋_GB2312" w:hAnsi="仿宋" w:eastAsia="仿宋_GB2312" w:cs="Arial"/>
                <w:color w:val="auto"/>
                <w:kern w:val="0"/>
                <w:sz w:val="24"/>
                <w:highlight w:val="none"/>
              </w:rPr>
              <w:t>本项目不允许采购进口产品。</w:t>
            </w:r>
          </w:p>
          <w:p>
            <w:pPr>
              <w:spacing w:line="360" w:lineRule="auto"/>
              <w:rPr>
                <w:rFonts w:ascii="仿宋_GB2312" w:eastAsia="仿宋_GB2312"/>
                <w:color w:val="auto"/>
                <w:highlight w:val="none"/>
              </w:rPr>
            </w:pPr>
            <w:sdt>
              <w:sdtPr>
                <w:rPr>
                  <w:rFonts w:hint="eastAsia" w:ascii="仿宋_GB2312" w:hAnsi="仿宋" w:eastAsia="仿宋_GB2312" w:cs="Arial"/>
                  <w:color w:val="auto"/>
                  <w:kern w:val="0"/>
                  <w:sz w:val="24"/>
                  <w:highlight w:val="none"/>
                </w:rPr>
                <w:id w:val="-5285282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Segoe UI Symbol" w:hAnsi="Segoe UI Symbol" w:eastAsia="仿宋_GB2312" w:cs="Segoe UI Symbol"/>
                    <w:color w:val="auto"/>
                    <w:kern w:val="0"/>
                    <w:sz w:val="24"/>
                    <w:highlight w:val="none"/>
                  </w:rPr>
                  <w:t>☐</w:t>
                </w:r>
              </w:sdtContent>
            </w:sdt>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w:t>
            </w:r>
          </w:p>
        </w:tc>
        <w:tc>
          <w:tcPr>
            <w:tcW w:w="1843" w:type="dxa"/>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7026" w:type="dxa"/>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872786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Segoe UI Symbol" w:hAnsi="Segoe UI Symbol" w:eastAsia="仿宋_GB2312" w:cs="Segoe UI Symbol"/>
                    <w:color w:val="auto"/>
                    <w:kern w:val="0"/>
                    <w:sz w:val="24"/>
                    <w:highlight w:val="none"/>
                  </w:rPr>
                  <w:t>☐</w:t>
                </w:r>
              </w:sdtContent>
            </w:sdt>
            <w:r>
              <w:rPr>
                <w:rFonts w:hint="eastAsia"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7488555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仿宋_GB2312" w:hAnsi="仿宋" w:eastAsia="仿宋_GB2312" w:cs="Arial"/>
                    <w:color w:val="auto"/>
                    <w:kern w:val="0"/>
                    <w:sz w:val="24"/>
                    <w:highlight w:val="none"/>
                  </w:rPr>
                  <w:sym w:font="Wingdings" w:char="F0FE"/>
                </w:r>
              </w:sdtContent>
            </w:sdt>
            <w:r>
              <w:rPr>
                <w:rFonts w:hint="eastAsia"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w:t>
            </w:r>
          </w:p>
        </w:tc>
        <w:tc>
          <w:tcPr>
            <w:tcW w:w="1843" w:type="dxa"/>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7026" w:type="dxa"/>
            <w:vAlign w:val="center"/>
          </w:tcPr>
          <w:p>
            <w:pPr>
              <w:snapToGrid w:val="0"/>
              <w:spacing w:line="360" w:lineRule="auto"/>
              <w:rPr>
                <w:color w:val="auto"/>
                <w:highlight w:val="none"/>
              </w:rPr>
            </w:pP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rPr>
              <w:t>西湖区2022年城市国土空间监测项目</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rPr>
              <w:t>其他未列明</w:t>
            </w:r>
            <w:r>
              <w:rPr>
                <w:rFonts w:hint="eastAsia" w:ascii="仿宋_GB2312" w:hAnsi="仿宋" w:eastAsia="仿宋_GB2312" w:cs="Arial"/>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w:t>
            </w:r>
          </w:p>
        </w:tc>
        <w:tc>
          <w:tcPr>
            <w:tcW w:w="1843" w:type="dxa"/>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7026" w:type="dxa"/>
            <w:vAlign w:val="center"/>
          </w:tcPr>
          <w:p>
            <w:pPr>
              <w:snapToGrid w:val="0"/>
              <w:spacing w:line="360" w:lineRule="auto"/>
              <w:rPr>
                <w:rFonts w:ascii="仿宋_GB2312" w:eastAsia="仿宋_GB2312"/>
                <w:color w:val="auto"/>
                <w:highlight w:val="none"/>
              </w:rPr>
            </w:pPr>
            <w:r>
              <w:rPr>
                <w:rFonts w:hint="eastAsia" w:ascii="仿宋_GB2312" w:hAnsi="仿宋" w:eastAsia="仿宋_GB2312"/>
                <w:snapToGrid w:val="0"/>
                <w:color w:val="auto"/>
                <w:kern w:val="28"/>
                <w:sz w:val="24"/>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Merge w:val="restart"/>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w:t>
            </w:r>
          </w:p>
        </w:tc>
        <w:tc>
          <w:tcPr>
            <w:tcW w:w="1843" w:type="dxa"/>
            <w:vMerge w:val="restart"/>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7026" w:type="dxa"/>
            <w:vAlign w:val="center"/>
          </w:tcPr>
          <w:p>
            <w:pPr>
              <w:spacing w:line="360" w:lineRule="auto"/>
              <w:ind w:firstLine="480" w:firstLineChars="200"/>
              <w:rPr>
                <w:rFonts w:ascii="仿宋_GB2312" w:eastAsia="仿宋_GB2312"/>
                <w:color w:val="auto"/>
                <w:highlight w:val="none"/>
              </w:rPr>
            </w:pPr>
            <w:r>
              <w:rPr>
                <w:rFonts w:hint="eastAsia" w:ascii="仿宋_GB2312" w:hAnsi="仿宋" w:eastAsia="仿宋_GB2312" w:cs="仿宋_GB2312"/>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Merge w:val="continue"/>
            <w:vAlign w:val="center"/>
          </w:tcPr>
          <w:p>
            <w:pPr>
              <w:spacing w:line="360" w:lineRule="auto"/>
              <w:ind w:firstLine="420" w:firstLineChars="200"/>
              <w:jc w:val="center"/>
              <w:rPr>
                <w:rFonts w:ascii="仿宋_GB2312" w:eastAsia="仿宋_GB2312"/>
                <w:color w:val="auto"/>
                <w:highlight w:val="none"/>
              </w:rPr>
            </w:pPr>
          </w:p>
        </w:tc>
        <w:tc>
          <w:tcPr>
            <w:tcW w:w="1843" w:type="dxa"/>
            <w:vMerge w:val="continue"/>
            <w:vAlign w:val="center"/>
          </w:tcPr>
          <w:p>
            <w:pPr>
              <w:spacing w:line="360" w:lineRule="auto"/>
              <w:ind w:firstLine="420" w:firstLineChars="200"/>
              <w:rPr>
                <w:rFonts w:ascii="仿宋_GB2312" w:eastAsia="仿宋_GB2312"/>
                <w:color w:val="auto"/>
                <w:highlight w:val="none"/>
              </w:rPr>
            </w:pPr>
          </w:p>
        </w:tc>
        <w:tc>
          <w:tcPr>
            <w:tcW w:w="7026" w:type="dxa"/>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w:t>
            </w:r>
          </w:p>
        </w:tc>
        <w:tc>
          <w:tcPr>
            <w:tcW w:w="1843" w:type="dxa"/>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w:t>
            </w:r>
            <w:r>
              <w:rPr>
                <w:rFonts w:hint="eastAsia" w:ascii="仿宋_GB2312" w:hAnsi="仿宋" w:eastAsia="仿宋_GB2312" w:cs="仿宋_GB2312"/>
                <w:b/>
                <w:color w:val="auto"/>
                <w:sz w:val="24"/>
                <w:highlight w:val="none"/>
                <w:lang w:eastAsia="zh-CN"/>
              </w:rPr>
              <w:t>响应文件</w:t>
            </w:r>
            <w:r>
              <w:rPr>
                <w:rFonts w:hint="eastAsia" w:ascii="仿宋_GB2312" w:hAnsi="仿宋" w:eastAsia="仿宋_GB2312" w:cs="仿宋_GB2312"/>
                <w:b/>
                <w:color w:val="auto"/>
                <w:sz w:val="24"/>
                <w:highlight w:val="none"/>
              </w:rPr>
              <w:t xml:space="preserve">送达地点和签收人员 </w:t>
            </w:r>
          </w:p>
        </w:tc>
        <w:tc>
          <w:tcPr>
            <w:tcW w:w="7026" w:type="dxa"/>
            <w:vAlign w:val="center"/>
          </w:tcPr>
          <w:p>
            <w:pPr>
              <w:pStyle w:val="2"/>
              <w:spacing w:line="360" w:lineRule="auto"/>
              <w:rPr>
                <w:rFonts w:ascii="仿宋_GB2312" w:hAnsi="仿宋" w:eastAsia="仿宋_GB2312"/>
                <w:color w:val="auto"/>
                <w:kern w:val="28"/>
                <w:sz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sz w:val="24"/>
                <w:szCs w:val="24"/>
                <w:highlight w:val="none"/>
                <w:u w:val="single"/>
              </w:rPr>
              <w:t>杭州市上城区龙舌路46号大名空间商务大厦20楼2001（接受邮寄，需在响应截止时间前寄达签收）</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color w:val="auto"/>
                <w:kern w:val="28"/>
                <w:sz w:val="24"/>
                <w:szCs w:val="24"/>
                <w:highlight w:val="none"/>
                <w:u w:val="single"/>
              </w:rPr>
              <w:t>钱爱爱</w:t>
            </w:r>
            <w:r>
              <w:rPr>
                <w:rFonts w:hint="eastAsia" w:ascii="仿宋" w:hAnsi="仿宋" w:eastAsia="仿宋" w:cs="仿宋"/>
                <w:color w:val="auto"/>
                <w:sz w:val="24"/>
                <w:szCs w:val="24"/>
                <w:highlight w:val="none"/>
                <w:u w:val="single"/>
              </w:rPr>
              <w:t xml:space="preserve"> 18368019561 </w:t>
            </w:r>
            <w:r>
              <w:rPr>
                <w:rFonts w:hint="eastAsia" w:ascii="仿宋" w:hAnsi="仿宋" w:eastAsia="仿宋" w:cs="仿宋"/>
                <w:color w:val="auto"/>
                <w:sz w:val="24"/>
                <w:szCs w:val="24"/>
                <w:highlight w:val="none"/>
              </w:rPr>
              <w:t>。</w:t>
            </w:r>
            <w:r>
              <w:rPr>
                <w:rFonts w:hint="eastAsia" w:ascii="仿宋_GB2312" w:hAnsi="仿宋" w:eastAsia="仿宋_GB2312" w:cs="仿宋_GB2312"/>
                <w:b/>
                <w:color w:val="auto"/>
                <w:sz w:val="24"/>
                <w:szCs w:val="24"/>
                <w:highlight w:val="none"/>
              </w:rPr>
              <w:t>采购人、采购机构不强制或变相强制投标人提交备份</w:t>
            </w:r>
            <w:r>
              <w:rPr>
                <w:rFonts w:hint="eastAsia" w:ascii="仿宋_GB2312" w:hAnsi="仿宋" w:eastAsia="仿宋_GB2312" w:cs="仿宋_GB2312"/>
                <w:b/>
                <w:color w:val="auto"/>
                <w:sz w:val="24"/>
                <w:szCs w:val="24"/>
                <w:highlight w:val="none"/>
                <w:lang w:eastAsia="zh-CN"/>
              </w:rPr>
              <w:t>响应文件</w:t>
            </w:r>
            <w:r>
              <w:rPr>
                <w:rFonts w:hint="eastAsia" w:ascii="仿宋_GB2312" w:hAnsi="仿宋" w:eastAsia="仿宋_GB2312" w:cs="仿宋_GB2312"/>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w:t>
            </w:r>
          </w:p>
        </w:tc>
        <w:tc>
          <w:tcPr>
            <w:tcW w:w="1843" w:type="dxa"/>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宋体" w:eastAsia="仿宋_GB2312" w:cs="宋体"/>
                <w:b/>
                <w:color w:val="auto"/>
                <w:sz w:val="24"/>
                <w:highlight w:val="none"/>
              </w:rPr>
              <w:t>其它说明</w:t>
            </w:r>
          </w:p>
        </w:tc>
        <w:tc>
          <w:tcPr>
            <w:tcW w:w="7026" w:type="dxa"/>
            <w:vAlign w:val="center"/>
          </w:tcPr>
          <w:p>
            <w:pPr>
              <w:spacing w:line="360" w:lineRule="auto"/>
              <w:rPr>
                <w:rFonts w:ascii="仿宋_GB2312" w:hAnsi="仿宋" w:eastAsia="仿宋_GB2312"/>
                <w:snapToGrid w:val="0"/>
                <w:color w:val="auto"/>
                <w:kern w:val="28"/>
                <w:sz w:val="24"/>
                <w:highlight w:val="none"/>
              </w:rPr>
            </w:pPr>
            <w:r>
              <w:rPr>
                <w:rFonts w:hint="eastAsia" w:ascii="仿宋_GB2312" w:hAnsi="宋体" w:eastAsia="仿宋_GB2312" w:cs="宋体"/>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仿宋_GB2312" w:hAnsi="宋体" w:eastAsia="仿宋_GB2312"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color w:val="auto"/>
                <w:sz w:val="24"/>
                <w:highlight w:val="none"/>
              </w:rPr>
              <w:t>企业信用查询</w:t>
            </w:r>
          </w:p>
        </w:tc>
        <w:tc>
          <w:tcPr>
            <w:tcW w:w="7026" w:type="dxa"/>
            <w:vAlign w:val="center"/>
          </w:tcPr>
          <w:p>
            <w:pPr>
              <w:pStyle w:val="2"/>
              <w:spacing w:line="360" w:lineRule="auto"/>
              <w:ind w:right="143" w:rightChars="68" w:firstLine="81" w:firstLineChars="34"/>
              <w:rPr>
                <w:rFonts w:ascii="仿宋" w:hAnsi="仿宋" w:eastAsia="仿宋" w:cs="仿宋"/>
                <w:color w:val="auto"/>
                <w:kern w:val="28"/>
                <w:sz w:val="24"/>
                <w:highlight w:val="none"/>
              </w:rPr>
            </w:pPr>
            <w:r>
              <w:rPr>
                <w:rFonts w:hint="eastAsia" w:ascii="仿宋" w:hAnsi="仿宋" w:eastAsia="仿宋" w:cs="仿宋"/>
                <w:color w:val="auto"/>
                <w:sz w:val="24"/>
                <w:szCs w:val="24"/>
                <w:highlight w:val="none"/>
              </w:rPr>
              <w:t xml:space="preserve"> 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响应截止时间当日通过“信用中国”网站（www.creditchina.gov.cn）、中国政府采购网（www.ccgp.gov.cn）等渠道查询本项目供应商信用记录。被列入失信被执行人、重大税收违法案件当事人名单、政府采购严重违法失信行为记录名单及其他不符合《中华人民共和国政府采购法》第二十二条规定条件的供应商将被拒绝参与本次政府采购活动。两个以上的自然人、法人或者其他组织组成一个联合体，以一个供应商的身份共同参加政府采购活动的，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026" w:type="dxa"/>
            <w:vAlign w:val="center"/>
          </w:tcPr>
          <w:p>
            <w:pPr>
              <w:snapToGrid w:val="0"/>
              <w:spacing w:line="360" w:lineRule="auto"/>
              <w:ind w:right="143" w:rightChars="68" w:firstLine="81" w:firstLineChars="34"/>
              <w:rPr>
                <w:rFonts w:ascii="仿宋" w:hAnsi="仿宋" w:eastAsia="仿宋" w:cs="仿宋"/>
                <w:color w:val="auto"/>
                <w:sz w:val="24"/>
                <w:highlight w:val="none"/>
              </w:rPr>
            </w:pPr>
            <w:r>
              <w:rPr>
                <w:rFonts w:hint="eastAsia" w:ascii="仿宋" w:hAnsi="仿宋" w:eastAsia="仿宋" w:cs="仿宋"/>
                <w:color w:val="auto"/>
                <w:sz w:val="24"/>
                <w:highlight w:val="none"/>
              </w:rPr>
              <w:t>（1）中标（成交）通知书发出后30日内，中标（成交）人持中标（成交）通知书与采购人签订合同；合同签订后需在2个工作日内进行备案公示。</w:t>
            </w:r>
          </w:p>
          <w:p>
            <w:pPr>
              <w:snapToGrid w:val="0"/>
              <w:spacing w:line="360" w:lineRule="auto"/>
              <w:ind w:right="143" w:rightChars="68" w:firstLine="81" w:firstLineChars="34"/>
              <w:rPr>
                <w:rFonts w:ascii="仿宋" w:hAnsi="仿宋" w:eastAsia="仿宋" w:cs="仿宋"/>
                <w:color w:val="auto"/>
                <w:sz w:val="24"/>
                <w:highlight w:val="none"/>
              </w:rPr>
            </w:pPr>
            <w:r>
              <w:rPr>
                <w:rFonts w:hint="eastAsia" w:ascii="仿宋" w:hAnsi="仿宋" w:eastAsia="仿宋" w:cs="仿宋"/>
                <w:color w:val="auto"/>
                <w:sz w:val="24"/>
                <w:highlight w:val="none"/>
              </w:rPr>
              <w:t>（2）中标（成交）人在收到中标（成交）通知后7个工作日内提交纸质版响应文件（内容同电子响应文件，也可用解密版装订封面加盖公章）三份，用于项目资料存档。</w:t>
            </w:r>
          </w:p>
          <w:p>
            <w:pPr>
              <w:snapToGrid w:val="0"/>
              <w:spacing w:line="360" w:lineRule="auto"/>
              <w:ind w:right="143" w:rightChars="68" w:firstLine="81" w:firstLineChars="34"/>
              <w:rPr>
                <w:rFonts w:ascii="仿宋" w:hAnsi="仿宋" w:eastAsia="仿宋" w:cs="仿宋"/>
                <w:color w:val="auto"/>
                <w:sz w:val="24"/>
                <w:highlight w:val="none"/>
              </w:rPr>
            </w:pPr>
            <w:r>
              <w:rPr>
                <w:rFonts w:hint="eastAsia" w:ascii="仿宋" w:hAnsi="仿宋" w:eastAsia="仿宋" w:cs="仿宋"/>
                <w:color w:val="auto"/>
                <w:sz w:val="24"/>
                <w:highlight w:val="none"/>
              </w:rPr>
              <w:t>（3）本项目的采购代理费由中标人支付。计费标准：本项目的采购代理服务费按国家《招标代理服务收费管理暂行办法》（计价格[2002]1980号），发改办价格[2003]857号规定的70%计取。</w:t>
            </w:r>
          </w:p>
          <w:p>
            <w:pPr>
              <w:snapToGrid w:val="0"/>
              <w:spacing w:line="360" w:lineRule="auto"/>
              <w:ind w:right="143" w:rightChars="68" w:firstLine="81" w:firstLineChars="34"/>
              <w:rPr>
                <w:rFonts w:ascii="仿宋" w:hAnsi="仿宋" w:eastAsia="仿宋" w:cs="仿宋"/>
                <w:color w:val="auto"/>
                <w:sz w:val="24"/>
                <w:highlight w:val="none"/>
              </w:rPr>
            </w:pPr>
            <w:r>
              <w:rPr>
                <w:rFonts w:hint="eastAsia" w:ascii="仿宋" w:hAnsi="仿宋" w:eastAsia="仿宋" w:cs="仿宋"/>
                <w:color w:val="auto"/>
                <w:sz w:val="24"/>
                <w:highlight w:val="none"/>
              </w:rPr>
              <w:t>收款单位（户名）：中纬工程管理咨询有限公司</w:t>
            </w:r>
          </w:p>
          <w:p>
            <w:pPr>
              <w:snapToGrid w:val="0"/>
              <w:spacing w:line="360" w:lineRule="auto"/>
              <w:ind w:right="143" w:rightChars="68" w:firstLine="81" w:firstLineChars="34"/>
              <w:rPr>
                <w:rFonts w:ascii="仿宋" w:hAnsi="仿宋" w:eastAsia="仿宋" w:cs="仿宋"/>
                <w:color w:val="auto"/>
                <w:sz w:val="24"/>
                <w:highlight w:val="none"/>
              </w:rPr>
            </w:pPr>
            <w:r>
              <w:rPr>
                <w:rFonts w:hint="eastAsia" w:ascii="仿宋" w:hAnsi="仿宋" w:eastAsia="仿宋" w:cs="仿宋"/>
                <w:color w:val="auto"/>
                <w:sz w:val="24"/>
                <w:highlight w:val="none"/>
              </w:rPr>
              <w:t>开户银行：工行南星桥支行</w:t>
            </w:r>
          </w:p>
          <w:p>
            <w:pPr>
              <w:snapToGrid w:val="0"/>
              <w:spacing w:line="360" w:lineRule="auto"/>
              <w:ind w:right="143" w:rightChars="68" w:firstLine="81" w:firstLineChars="34"/>
              <w:rPr>
                <w:rFonts w:ascii="仿宋" w:hAnsi="仿宋" w:eastAsia="仿宋" w:cs="仿宋"/>
                <w:snapToGrid w:val="0"/>
                <w:color w:val="auto"/>
                <w:kern w:val="28"/>
                <w:sz w:val="24"/>
                <w:highlight w:val="none"/>
              </w:rPr>
            </w:pPr>
            <w:r>
              <w:rPr>
                <w:rFonts w:hint="eastAsia" w:ascii="仿宋" w:hAnsi="仿宋" w:eastAsia="仿宋" w:cs="仿宋"/>
                <w:color w:val="auto"/>
                <w:sz w:val="24"/>
                <w:highlight w:val="none"/>
              </w:rPr>
              <w:t>银行账号：1202003619900001968</w:t>
            </w:r>
          </w:p>
        </w:tc>
      </w:tr>
    </w:tbl>
    <w:p>
      <w:pPr>
        <w:widowControl/>
        <w:adjustRightInd/>
        <w:jc w:val="left"/>
        <w:rPr>
          <w:rFonts w:ascii="仿宋_GB2312" w:hAnsi="微软雅黑" w:eastAsia="仿宋_GB2312"/>
          <w:color w:val="auto"/>
          <w:kern w:val="0"/>
          <w:sz w:val="28"/>
          <w:szCs w:val="21"/>
          <w:highlight w:val="none"/>
        </w:rPr>
      </w:pPr>
      <w:r>
        <w:rPr>
          <w:rFonts w:hint="eastAsia" w:ascii="仿宋_GB2312" w:hAnsi="微软雅黑" w:eastAsia="仿宋_GB2312"/>
          <w:color w:val="auto"/>
          <w:kern w:val="0"/>
          <w:sz w:val="28"/>
          <w:szCs w:val="21"/>
          <w:highlight w:val="none"/>
        </w:rPr>
        <w:br w:type="page"/>
      </w:r>
    </w:p>
    <w:bookmarkEnd w:id="10"/>
    <w:p>
      <w:pPr>
        <w:pStyle w:val="4"/>
        <w:spacing w:before="120" w:after="120" w:line="360" w:lineRule="auto"/>
        <w:jc w:val="center"/>
        <w:rPr>
          <w:rFonts w:hint="eastAsia" w:ascii="宋体" w:hAnsi="宋体" w:cs="宋体"/>
          <w:color w:val="auto"/>
          <w:highlight w:val="none"/>
        </w:rPr>
      </w:pPr>
      <w:bookmarkStart w:id="11" w:name="_Toc47951351"/>
      <w:bookmarkStart w:id="12" w:name="_Toc183786415"/>
      <w:bookmarkStart w:id="13" w:name="第四部分"/>
      <w:r>
        <w:rPr>
          <w:rFonts w:hint="eastAsia" w:ascii="宋体" w:hAnsi="宋体" w:cs="宋体"/>
          <w:b/>
          <w:bCs/>
          <w:color w:val="auto"/>
          <w:highlight w:val="none"/>
        </w:rPr>
        <w:t>一、总  则</w:t>
      </w:r>
      <w:bookmarkEnd w:id="11"/>
      <w:bookmarkEnd w:id="12"/>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磋商工作是按照《中华人民共和国政府采购法》、《中华人民共和国政府采购法实施条例》、《政府采购竞争性磋商采购方式管理暂行办法》等相关法律、组织和实施，并由同级政府采购监督管理部门指导和监督。</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1．适用范围</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1.1本次磋商工作适用于该项目的招标、投标、开标、资格审查及信用信息查询、评标、定标、合同、验收等行为（法律、法规另有规定的，从其规定）。</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1.2本项目采购方式采用竞争性磋商方式。</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2．定义</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“采购人”系指竞争性磋商公告中载明的本项目的采购人。</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“采购代理机构”系指竞争性磋商公告中载明的本项目的采购代理机构。</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“供应商”系指是指响应招标、参加投标竞争的法人、其他组织或者自然人。</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2.6“电子交易平台”系指本项目政府采购活动所依托的政府采购云平台（https://www.zcygov.cn/）。</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系指实质性要求条款，“★”系指产品采购项目中单一产品或核心产品，“</w:t>
      </w: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”系指适用本项目的要求，“☐” 系指不适用本项目的要求。</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采购项目需要落实的政府采购政策</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3.1 本项目原则上采购本国生产的货物、工程和服务，不允许采购进口产品。</w:t>
      </w:r>
      <w:r>
        <w:rPr>
          <w:rFonts w:hint="eastAsia" w:ascii="仿宋" w:hAnsi="仿宋" w:eastAsia="仿宋" w:cs="仿宋"/>
          <w:color w:val="auto"/>
          <w:sz w:val="24"/>
          <w:szCs w:val="24"/>
          <w:highlight w:val="none"/>
        </w:rPr>
        <w:t>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3.2 支持绿色发展</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r>
        <w:rPr>
          <w:rFonts w:hint="eastAsia" w:ascii="仿宋" w:hAnsi="仿宋" w:eastAsia="仿宋" w:cs="仿宋"/>
          <w:b/>
          <w:color w:val="auto"/>
          <w:sz w:val="24"/>
          <w:szCs w:val="24"/>
          <w:highlight w:val="none"/>
        </w:rPr>
        <w:t>采购人拟采购的产品属于政府强制采购的节能产品品目清单范围的，供应商未按磋商文件要求提供国家确定的认证机构出具的、处于有效期之内的节能产品认证证书的，投标无效。</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修缮、装修类项目采购建材的，采购人应将绿色建筑和绿色建材性能、指标等作为实质性条件纳入磋商文件和合同。</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3.3支持中小企业发展</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pPr>
        <w:pageBreakBefore w:val="0"/>
        <w:widowControl/>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3.3.2在政府采购活动中，供应商提供的货物、工程或者服务符合下列情形的，享受中小企业扶持政策：</w:t>
      </w:r>
    </w:p>
    <w:p>
      <w:pPr>
        <w:pageBreakBefore w:val="0"/>
        <w:widowControl/>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3.3.2.1在货物采购项目中，货物由中小企业制造，即货物由中小企业生产且使用该中小企业商号或者注册商标；</w:t>
      </w:r>
    </w:p>
    <w:p>
      <w:pPr>
        <w:pageBreakBefore w:val="0"/>
        <w:widowControl/>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3.3.2.2在工程采购项目中，工程由中小企业承建，即工程施工单位为中小企业；</w:t>
      </w:r>
    </w:p>
    <w:p>
      <w:pPr>
        <w:pageBreakBefore w:val="0"/>
        <w:widowControl/>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3.3.2.3在服务采购项目中，服务由中小企业承接，即提供服务的人员为中小企业依照《中华人民共和国劳动合同法》订立劳动合同的从业人员。</w:t>
      </w:r>
    </w:p>
    <w:p>
      <w:pPr>
        <w:pageBreakBefore w:val="0"/>
        <w:widowControl/>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在货物采购项目中，供应商提供的货物既有中小企业制造货物，也有大型企业制造货物的，不享受中小企业扶持政策。</w:t>
      </w:r>
    </w:p>
    <w:p>
      <w:pPr>
        <w:pageBreakBefore w:val="0"/>
        <w:widowControl/>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以联合体形式参加政府采购活动，联合体各方均为中小企业的，联合体视同中小企业。其中，联合体各方均为小微企业的，联合体视同小微企业。</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0%的扣除</w:t>
      </w:r>
      <w:r>
        <w:rPr>
          <w:rFonts w:hint="eastAsia" w:ascii="仿宋" w:hAnsi="仿宋" w:eastAsia="仿宋" w:cs="仿宋"/>
          <w:color w:val="auto"/>
          <w:sz w:val="24"/>
          <w:szCs w:val="24"/>
          <w:highlight w:val="none"/>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w:t>
      </w:r>
      <w:r>
        <w:rPr>
          <w:rFonts w:hint="eastAsia" w:ascii="仿宋" w:hAnsi="仿宋" w:eastAsia="仿宋" w:cs="仿宋"/>
          <w:b/>
          <w:bCs/>
          <w:color w:val="auto"/>
          <w:sz w:val="24"/>
          <w:szCs w:val="24"/>
          <w:highlight w:val="none"/>
        </w:rPr>
        <w:t>给予</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%的扣除</w:t>
      </w:r>
      <w:r>
        <w:rPr>
          <w:rFonts w:hint="eastAsia" w:ascii="仿宋" w:hAnsi="仿宋" w:eastAsia="仿宋" w:cs="仿宋"/>
          <w:color w:val="auto"/>
          <w:sz w:val="24"/>
          <w:szCs w:val="24"/>
          <w:highlight w:val="none"/>
        </w:rPr>
        <w:t>，用扣除后的价格参加评审。组成联合体或者接受分包的小微企业与联合体内其他企业、分包企业之间存在直接控股、管理关系的，不享受价格扣除优惠政策。本项目为专门面向中小企业采购的项目，不再执行价格评审优惠的扶持政策。</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3.4支持创新发展</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3.5中小企业信用融资</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 询问、质疑、投诉</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4.1供应商询问</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4.2供应商质疑</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4.2.1提出质疑的供应商应当是参与所质疑项目采购活动的供应商。潜在供应商已依法获取其可质疑的磋商文件的，可以对该文件提出质疑。</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供应商认为磋商文件、采购过程和中标结果使自己的权益受到损害的，可以在知道或者应知其权益受到损害之日起7个工作日内，以书面形式或通过政采云系统在线提疑方式向采购人或者采购代理机构提出质疑，否则，采购人或者采购代理机构不予受理：</w:t>
      </w:r>
    </w:p>
    <w:p>
      <w:pPr>
        <w:pStyle w:val="6"/>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4.2.2.1对磋商文件提出质疑的，质疑期限为供应商获得磋商文件之日或者磋商文件公告期限届满之日起计算。</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4.2.2.2对采购过程提出质疑的，质疑期限为各采购程序环节结束之日起计算。对同一采购程序环节的质疑，供应商须一次性提出。</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4.2.2.3对采购结果提出质疑的，质疑期限自采购结果公告期限届满之日起计算。</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4.2.3供应商提出质疑应当提交质疑函和必要的证明材料。质疑函应当包括下列内容：</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4.2.3.1供应商的姓名或者名称、地址、邮编、联系人及联系电话；</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4.2.3.2质疑项目的名称、编号；</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4.2.3.3具体、明确的质疑事项和与质疑事项相关的请求；</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4.2.3.4事实依据；</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4.2.3.5必要的法律依据；</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4.2.3.6提出质疑的日期。</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质疑函范本及制作说明详见附件2。</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4.2.4采购人或者采购代理机构应当在收到供应商的书面质疑后7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4.2.5询问或者质疑事项可能影响采购结果的，采购人应当暂停签订合同，已经签订合同的，应当中止履行合同。</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4.3供应商投诉</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4.3.1质疑供应商对采购人、采购代理机构的答复不满意或者采购人、采购代理机构未在规定的时间内作出答复的，可以在答复期满后15个工作日内向同级政府采购监督管理部门提出投诉。</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4.3.2供应商投诉的事项不得超出已质疑事项的范围，基于质疑答复内容提出的投诉事项除外。</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4.3.3供应商投诉应当有明确的请求和必要的证明材料。</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4.3.5 以联合体形式参加政府采购活动的，其投诉应当由组成联合体的所有供应商共同提出。</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pPr>
        <w:pStyle w:val="2"/>
        <w:pageBreakBefore w:val="0"/>
        <w:kinsoku/>
        <w:wordWrap/>
        <w:overflowPunct/>
        <w:topLinePunct w:val="0"/>
        <w:bidi w:val="0"/>
        <w:adjustRightInd w:val="0"/>
        <w:snapToGrid w:val="0"/>
        <w:spacing w:line="360" w:lineRule="auto"/>
        <w:ind w:left="0" w:leftChars="0"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u w:val="single"/>
        </w:rPr>
        <w:t>注：在线询问/质疑菜单路径：政采云应用中心-项目采购-询问质疑投诉-询问列表/质疑列表，具体操作详见“政府采购项目电子交易管理操作指南-供应商”的“2.9 询问质疑投诉https://service.zcygov.cn/#/knowledges/CW1EtGwBFdiHxlNd6I3m/6IMVAG0BFdiHxlNdQ8Na。</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5．磋商费用</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bookmarkStart w:id="14" w:name="_Toc183786416"/>
      <w:r>
        <w:rPr>
          <w:rFonts w:hint="eastAsia" w:ascii="仿宋" w:hAnsi="仿宋" w:eastAsia="仿宋" w:cs="仿宋"/>
          <w:color w:val="auto"/>
          <w:sz w:val="24"/>
          <w:szCs w:val="24"/>
          <w:highlight w:val="none"/>
        </w:rPr>
        <w:t>供应商应承担其参加磋商所涉及的一切费用，不管结果如何，采购人对上述费用不负任何责任。</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招标代理费收费标准：按前附表规定，由中标（成交）人支付；</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缴纳时间：按前附表规定，一次性缴纳；</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缴纳方式：现金/支票/转账（打款时请注明项目编号、名称、标项等信息）。</w:t>
      </w:r>
    </w:p>
    <w:p>
      <w:pPr>
        <w:pStyle w:val="4"/>
        <w:pageBreakBefore w:val="0"/>
        <w:kinsoku/>
        <w:wordWrap/>
        <w:overflowPunct/>
        <w:topLinePunct w:val="0"/>
        <w:bidi w:val="0"/>
        <w:adjustRightInd w:val="0"/>
        <w:snapToGrid w:val="0"/>
        <w:spacing w:line="360" w:lineRule="auto"/>
        <w:ind w:left="0" w:leftChars="0" w:firstLine="482" w:firstLineChars="200"/>
        <w:jc w:val="center"/>
        <w:rPr>
          <w:rFonts w:hint="eastAsia" w:ascii="仿宋" w:hAnsi="仿宋" w:eastAsia="仿宋" w:cs="仿宋"/>
          <w:b/>
          <w:bCs/>
          <w:color w:val="auto"/>
          <w:sz w:val="24"/>
          <w:szCs w:val="24"/>
          <w:highlight w:val="none"/>
        </w:rPr>
      </w:pPr>
      <w:bookmarkStart w:id="15" w:name="_Toc47951352"/>
      <w:r>
        <w:rPr>
          <w:rFonts w:hint="eastAsia" w:ascii="仿宋" w:hAnsi="仿宋" w:eastAsia="仿宋" w:cs="仿宋"/>
          <w:b/>
          <w:bCs/>
          <w:color w:val="auto"/>
          <w:sz w:val="24"/>
          <w:szCs w:val="24"/>
          <w:highlight w:val="none"/>
        </w:rPr>
        <w:t>二、</w:t>
      </w:r>
      <w:bookmarkEnd w:id="14"/>
      <w:r>
        <w:rPr>
          <w:rFonts w:hint="eastAsia" w:ascii="仿宋" w:hAnsi="仿宋" w:eastAsia="仿宋" w:cs="仿宋"/>
          <w:b/>
          <w:bCs/>
          <w:color w:val="auto"/>
          <w:sz w:val="24"/>
          <w:szCs w:val="24"/>
          <w:highlight w:val="none"/>
        </w:rPr>
        <w:t>竞争性磋商文件</w:t>
      </w:r>
      <w:bookmarkEnd w:id="15"/>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6.磋商文件的组成</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6.1本磋商文件包括目录所示内容及所有按本须知发出的补充资料（如果有）。</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6.2除上述所列内容外，采购人及采购代理机构的任何工作人员对供应商所作的任何口头解释、介绍、答复，只能供供应商参考，对采购人和供应商无任何约束力。</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6.3供应商应仔细阅读磋商文件的所有内容，按照文件要求提交响应文件，并保证所提交的全部资料的真实性。不按磋商文件的要求提供的响应文件和资料，可能导致磋商被拒绝。</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7．磋商文件的澄清与修改</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bookmarkStart w:id="16" w:name="_Toc183786417"/>
      <w:bookmarkStart w:id="17" w:name="_Toc47951353"/>
      <w:r>
        <w:rPr>
          <w:rFonts w:hint="eastAsia" w:ascii="仿宋" w:hAnsi="仿宋" w:eastAsia="仿宋" w:cs="仿宋"/>
          <w:color w:val="auto"/>
          <w:sz w:val="24"/>
          <w:szCs w:val="24"/>
          <w:highlight w:val="none"/>
        </w:rPr>
        <w:t>7.1已获取磋商文件的潜在投标供应商，若有问题需要澄清，应于投标截止时间前，以书面形式向采购代理机构提出。</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7.2采购代理机构对</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进行澄清或修改的，将同时通过电子交易平台通知已获取磋商文件的潜在投标供应商。依法应当公告的，将按规定公告，同时视情况延长投标截止时间和开标时间。该澄清或者修改的内容为</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的组成部分。</w:t>
      </w:r>
    </w:p>
    <w:p>
      <w:pPr>
        <w:pStyle w:val="4"/>
        <w:pageBreakBefore w:val="0"/>
        <w:kinsoku/>
        <w:wordWrap/>
        <w:overflowPunct/>
        <w:topLinePunct w:val="0"/>
        <w:bidi w:val="0"/>
        <w:adjustRightInd w:val="0"/>
        <w:snapToGrid w:val="0"/>
        <w:spacing w:line="360" w:lineRule="auto"/>
        <w:ind w:left="0" w:leftChars="0"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三、响应文件</w:t>
      </w:r>
      <w:bookmarkEnd w:id="16"/>
      <w:r>
        <w:rPr>
          <w:rFonts w:hint="eastAsia" w:ascii="仿宋" w:hAnsi="仿宋" w:eastAsia="仿宋" w:cs="仿宋"/>
          <w:b/>
          <w:bCs/>
          <w:color w:val="auto"/>
          <w:sz w:val="24"/>
          <w:szCs w:val="24"/>
          <w:highlight w:val="none"/>
        </w:rPr>
        <w:t>编制要求</w:t>
      </w:r>
      <w:bookmarkEnd w:id="17"/>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8．响应文件的组成</w:t>
      </w:r>
    </w:p>
    <w:p>
      <w:pPr>
        <w:pageBreakBefore w:val="0"/>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供应商向采购人递交的书面响应文件（以下简称响应文件）由报价文件、商务技术文件及资格文件三部分组成，具体如下：</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8.1报价文件</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w:t>
      </w:r>
    </w:p>
    <w:p>
      <w:pPr>
        <w:pStyle w:val="26"/>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（2）报价明细表</w:t>
      </w:r>
    </w:p>
    <w:p>
      <w:pPr>
        <w:pStyle w:val="26"/>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（3）报价相关的其他资料（如小微企业声明）</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8.2商务技术文件</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（1）磋商响应函</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）法定代表人资格证明及法定代表人授权书（如为法定代表人参加磋商，则只需提供法定代表人资格证明书）</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）联合体协议</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）分包意向协议</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）符合性审查资料</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）声明书</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）政府采购供应商廉洁自律承诺书</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）评标标准相应的商务技术资料。</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）商务技术偏离说明表；</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）供应商认为需要提供的其它文件及资料。</w:t>
      </w:r>
    </w:p>
    <w:p>
      <w:pPr>
        <w:pageBreakBefore w:val="0"/>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注：以上内容为复印件的应加盖供应商公章，附件中有参考格式的，参照格式，没有参考格式的，供应商根据磋商文件要求自行编制。</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8.3资格文件</w:t>
      </w:r>
    </w:p>
    <w:p>
      <w:pPr>
        <w:pageBreakBefore w:val="0"/>
        <w:tabs>
          <w:tab w:val="left" w:pos="720"/>
        </w:tabs>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（1）基本资格条件：符合参加政府采购活动应当具备的一般条件的承诺函；</w:t>
      </w:r>
    </w:p>
    <w:p>
      <w:pPr>
        <w:pageBreakBefore w:val="0"/>
        <w:tabs>
          <w:tab w:val="left" w:pos="720"/>
        </w:tabs>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p>
    <w:p>
      <w:pPr>
        <w:pageBreakBefore w:val="0"/>
        <w:tabs>
          <w:tab w:val="left" w:pos="720"/>
        </w:tabs>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（3）符合特定资格条件（如果项目要求）的有关证明材料（复印件）。</w:t>
      </w:r>
    </w:p>
    <w:p>
      <w:pPr>
        <w:pageBreakBefore w:val="0"/>
        <w:tabs>
          <w:tab w:val="left" w:pos="900"/>
        </w:tabs>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8.4磋商货币</w:t>
      </w:r>
    </w:p>
    <w:p>
      <w:pPr>
        <w:pageBreakBefore w:val="0"/>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本次磋商项目货币为人民币。</w:t>
      </w:r>
    </w:p>
    <w:p>
      <w:pPr>
        <w:pageBreakBefore w:val="0"/>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 供应商应仔细阅读磋商文件中的所有内容，按照磋商文件的相关要求，详细编制响应文件，并保证响应文件的正确性和真实性，供应商如与磋商文件商务、合同条款及技术各项要求有偏离，应填写《商务（合同或技术）条款偏离表》。</w:t>
      </w:r>
    </w:p>
    <w:p>
      <w:pPr>
        <w:pageBreakBefore w:val="0"/>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 不按磋商文件的要求提供的响应文件可能导致被拒绝。</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9．报价要求</w:t>
      </w:r>
    </w:p>
    <w:p>
      <w:pPr>
        <w:pageBreakBefore w:val="0"/>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本次报价方式为总价包干，包含为实施本项目的人工费、劳务费、资料费、餐饮住宿费及其他为本项目实施所产生的费用。上述费用及完成本项目所需的一切费用必须包含在报价中，如以后已实施而未列入报价的费用将被视为供应商优惠，采购人均不予支付。</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中标（成交）人需向采购代理机构支付采购代理服务费。结算方式及时间为：在领取中标（成交）通知书时由中标（成交）人一次性向采购代理机构付清。</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9.3磋商过程中所发生的一切费用均包含在磋商总价中。</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10.本项目不接受备选（替代）方案</w:t>
      </w:r>
      <w:r>
        <w:rPr>
          <w:rFonts w:hint="eastAsia" w:ascii="仿宋" w:hAnsi="仿宋" w:eastAsia="仿宋" w:cs="仿宋"/>
          <w:color w:val="auto"/>
          <w:sz w:val="24"/>
          <w:szCs w:val="24"/>
          <w:highlight w:val="none"/>
        </w:rPr>
        <w:t xml:space="preserve"> </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供应商不得递交任何的投标备选（替代）方案，否则其响应文件将作无效标处理。与“电子加密响应文件”同时生成的“备份响应文件”不是投标备选（替代）方案。</w:t>
      </w:r>
    </w:p>
    <w:p>
      <w:pPr>
        <w:pStyle w:val="26"/>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11．响应文件的有效期</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11.1响应文件的有效期为磋商截止时间之日后90日历天。不足有效期的视为非实质性响应，其磋商将被拒绝。</w:t>
      </w:r>
    </w:p>
    <w:p>
      <w:pPr>
        <w:pageBreakBefore w:val="0"/>
        <w:tabs>
          <w:tab w:val="left" w:pos="900"/>
        </w:tabs>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11.2在原定有效期满之前，如果出现特殊情况，采购人可以以书面形式向供应商提出延长磋商有效期的要求，供应商对此须以书面形式予以答复。</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bookmarkStart w:id="18" w:name="_Toc183786418"/>
      <w:r>
        <w:rPr>
          <w:rFonts w:hint="eastAsia" w:ascii="仿宋" w:hAnsi="仿宋" w:eastAsia="仿宋" w:cs="仿宋"/>
          <w:b/>
          <w:bCs/>
          <w:color w:val="auto"/>
          <w:sz w:val="24"/>
          <w:szCs w:val="24"/>
          <w:highlight w:val="none"/>
        </w:rPr>
        <w:t>12．响应文件的编制</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12.1供应商应仔细阅读磋商文件的所有内容，按本文件的要求提供响应文件，并保证所提供的全部资料的真实性，以使其响应文件对磋商文件作出实质性响应，否则，响应文件可能视为无效响应文件。</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12.2响应文件及供应商与采购有关的来往通知，函件和文件均应使用中文。</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12.3本项目通过“政府采购云平台（www.zcygov.cn）”实行在线投标响应（电子投标）。供应商应通过“政采云电子交易客户端”，并按照本磋商文件和“政府采购云平台”的要求编制并加密响应文件。</w:t>
      </w:r>
    </w:p>
    <w:p>
      <w:pPr>
        <w:pStyle w:val="26"/>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12.4供应商应当按照本章节 “响应文件组成”规定的内容及顺序在“政采云电子交易客户端”编制响应文件。其中《资格文件》和《商务技术文件》中不得出现本项目投标报价，如因供应商原因提前泄露投标报价，是供应商的责任。</w:t>
      </w:r>
    </w:p>
    <w:p>
      <w:pPr>
        <w:pStyle w:val="26"/>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12.5本文件《第五部分 附件(响应文件格式)》中有提供格式的，供应商须参照格式进行编制（格式中要求提供相关证明材料的还需后附相关证明材料），并按格式要求在指定位置根据要求进行签章，否则视为未提供；本文件《第五部分 附件(响应文件格式)》未提供格式的，请各响应单位自行拟定格式，并加盖单位公章，否则视为未提供。</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12.6响应文件内容不完整、编排混乱导致响应文件被误读、漏读或者查找不到相关内容的，是供应商的责任。</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12.7电子响应文件按政采云平台供应商项目采购-电子招投标操作指南（网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"https://help.zcygov.cn/web/site_2/2018/12-28/2573.html"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"https://help.zcygov.cn/web/site_2/2018/12-28/2573.html"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https://help.zcygov.cn/web/site_2/2018/12-28/2573.html</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）及本磋商文件规定的格式和顺序编制电子响应文件并进行关联定位。</w:t>
      </w:r>
    </w:p>
    <w:p>
      <w:pPr>
        <w:pStyle w:val="26"/>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12.8响应文件的签章</w:t>
      </w:r>
    </w:p>
    <w:p>
      <w:pPr>
        <w:pageBreakBefore w:val="0"/>
        <w:numPr>
          <w:ilvl w:val="0"/>
          <w:numId w:val="1"/>
        </w:numPr>
        <w:kinsoku/>
        <w:wordWrap/>
        <w:overflowPunct/>
        <w:topLinePunct w:val="0"/>
        <w:bidi w:val="0"/>
        <w:adjustRightInd w:val="0"/>
        <w:snapToGrid w:val="0"/>
        <w:spacing w:line="360" w:lineRule="auto"/>
        <w:ind w:left="150" w:leftChars="0" w:firstLine="48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响应文件按照磋商文件第五部分 附件(响应文件格式)要求进行签署、盖章。</w:t>
      </w:r>
      <w:r>
        <w:rPr>
          <w:rFonts w:hint="eastAsia" w:ascii="仿宋" w:hAnsi="仿宋" w:eastAsia="仿宋" w:cs="仿宋"/>
          <w:b/>
          <w:bCs/>
          <w:color w:val="auto"/>
          <w:sz w:val="24"/>
          <w:szCs w:val="24"/>
          <w:highlight w:val="none"/>
        </w:rPr>
        <w:t>▲投标供应商的响应文件未按照磋商文件要求签署、盖章的，其投标无效。</w:t>
      </w:r>
    </w:p>
    <w:p>
      <w:pPr>
        <w:pageBreakBefore w:val="0"/>
        <w:numPr>
          <w:ilvl w:val="0"/>
          <w:numId w:val="1"/>
        </w:numPr>
        <w:kinsoku/>
        <w:wordWrap/>
        <w:overflowPunct/>
        <w:topLinePunct w:val="0"/>
        <w:bidi w:val="0"/>
        <w:adjustRightInd w:val="0"/>
        <w:snapToGrid w:val="0"/>
        <w:spacing w:line="360" w:lineRule="auto"/>
        <w:ind w:left="150" w:leftChars="0" w:firstLine="48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为确保网上操作合法、有效和安全，投标供应商应当在投标截止时间前完成在</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“政府采购云平台”的身份认证，确保在电子投标过程中能够对相关数据电文进行加密和使用电子签名。</w:t>
      </w:r>
    </w:p>
    <w:p>
      <w:pPr>
        <w:pageBreakBefore w:val="0"/>
        <w:numPr>
          <w:ilvl w:val="0"/>
          <w:numId w:val="1"/>
        </w:numPr>
        <w:kinsoku/>
        <w:wordWrap/>
        <w:overflowPunct/>
        <w:topLinePunct w:val="0"/>
        <w:bidi w:val="0"/>
        <w:adjustRightInd w:val="0"/>
        <w:snapToGrid w:val="0"/>
        <w:spacing w:line="360" w:lineRule="auto"/>
        <w:ind w:left="150" w:leftChars="0" w:firstLine="48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磋商文件对响应文件签署、盖章的要求适用于电子签名</w:t>
      </w:r>
    </w:p>
    <w:p>
      <w:pPr>
        <w:pageBreakBefore w:val="0"/>
        <w:numPr>
          <w:ilvl w:val="0"/>
          <w:numId w:val="1"/>
        </w:numPr>
        <w:kinsoku/>
        <w:wordWrap/>
        <w:overflowPunct/>
        <w:topLinePunct w:val="0"/>
        <w:bidi w:val="0"/>
        <w:adjustRightInd w:val="0"/>
        <w:snapToGrid w:val="0"/>
        <w:spacing w:line="360" w:lineRule="auto"/>
        <w:ind w:left="150" w:leftChars="0" w:firstLine="48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电子签章操作指南详见采购公告附件《供应商项目采购-电子招投标操作指南》。</w:t>
      </w:r>
    </w:p>
    <w:p>
      <w:pPr>
        <w:pStyle w:val="26"/>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12.9响应文件的形式</w:t>
      </w:r>
    </w:p>
    <w:p>
      <w:pPr>
        <w:pageBreakBefore w:val="0"/>
        <w:numPr>
          <w:ilvl w:val="0"/>
          <w:numId w:val="2"/>
        </w:numPr>
        <w:kinsoku/>
        <w:wordWrap/>
        <w:overflowPunct/>
        <w:topLinePunct w:val="0"/>
        <w:bidi w:val="0"/>
        <w:adjustRightInd w:val="0"/>
        <w:snapToGrid w:val="0"/>
        <w:spacing w:line="360" w:lineRule="auto"/>
        <w:ind w:left="150" w:leftChars="0" w:firstLine="48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响应文件的形式：包括“电子加密</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”和“备份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编制完成后同时生成；</w:t>
      </w:r>
    </w:p>
    <w:p>
      <w:pPr>
        <w:pageBreakBefore w:val="0"/>
        <w:numPr>
          <w:ilvl w:val="0"/>
          <w:numId w:val="2"/>
        </w:numPr>
        <w:kinsoku/>
        <w:wordWrap/>
        <w:overflowPunct/>
        <w:topLinePunct w:val="0"/>
        <w:bidi w:val="0"/>
        <w:adjustRightInd w:val="0"/>
        <w:snapToGrid w:val="0"/>
        <w:spacing w:line="360" w:lineRule="auto"/>
        <w:ind w:left="150" w:leftChars="0" w:firstLine="48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“电子加密响应文件”：“电子加密响应文件”是指通过“政采云电子交易客户端”完成响应文件编制后生成并加密的数据电文形式的响应文件；</w:t>
      </w:r>
    </w:p>
    <w:p>
      <w:pPr>
        <w:pageBreakBefore w:val="0"/>
        <w:numPr>
          <w:ilvl w:val="0"/>
          <w:numId w:val="2"/>
        </w:numPr>
        <w:kinsoku/>
        <w:wordWrap/>
        <w:overflowPunct/>
        <w:topLinePunct w:val="0"/>
        <w:bidi w:val="0"/>
        <w:adjustRightInd w:val="0"/>
        <w:snapToGrid w:val="0"/>
        <w:spacing w:line="360" w:lineRule="auto"/>
        <w:ind w:left="150" w:leftChars="0" w:firstLine="48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“备份响应文件”：“备份响应文件”是指与“电子加密响应文件”同时生成的数据电文形式的电子文件（备份标书），其他方式编制的“备份响应文件”视为无效的“备份响应文件”。</w:t>
      </w:r>
    </w:p>
    <w:p>
      <w:pPr>
        <w:pStyle w:val="4"/>
        <w:pageBreakBefore w:val="0"/>
        <w:kinsoku/>
        <w:wordWrap/>
        <w:overflowPunct/>
        <w:topLinePunct w:val="0"/>
        <w:bidi w:val="0"/>
        <w:adjustRightInd w:val="0"/>
        <w:snapToGrid w:val="0"/>
        <w:spacing w:line="360" w:lineRule="auto"/>
        <w:ind w:left="0" w:leftChars="0" w:firstLine="482" w:firstLineChars="200"/>
        <w:jc w:val="center"/>
        <w:rPr>
          <w:rFonts w:hint="eastAsia" w:ascii="仿宋" w:hAnsi="仿宋" w:eastAsia="仿宋" w:cs="仿宋"/>
          <w:b/>
          <w:bCs/>
          <w:color w:val="auto"/>
          <w:sz w:val="24"/>
          <w:szCs w:val="24"/>
          <w:highlight w:val="none"/>
        </w:rPr>
      </w:pPr>
      <w:bookmarkStart w:id="19" w:name="_Toc47951354"/>
      <w:r>
        <w:rPr>
          <w:rFonts w:hint="eastAsia" w:ascii="仿宋" w:hAnsi="仿宋" w:eastAsia="仿宋" w:cs="仿宋"/>
          <w:b/>
          <w:bCs/>
          <w:color w:val="auto"/>
          <w:sz w:val="24"/>
          <w:szCs w:val="24"/>
          <w:highlight w:val="none"/>
        </w:rPr>
        <w:t>四、响应文件的递交</w:t>
      </w:r>
      <w:bookmarkEnd w:id="18"/>
      <w:bookmarkEnd w:id="19"/>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13.响应文件递交</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13.1电子响应文件的上传和递交</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（1）“电子加密响应文件”的上传、递交：</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a.供应商应在响应截止时间前将“电子加密响应文件”成功上传递交至“政府采购云平台”，否则投标无效。</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b.“电子加密响应文件”成功上传递交后，供应商可自行打印响应文件接收回执。</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（2）“备份响应文件”的密封包装、递交：</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a.供应商在“政府采购云平台”完成“电子加密响应文件”的上传递交后，还可以（EMS邮寄形式）在响应截止时间前递交以介质（U盘）存储的 “备份响应文件”（一份）；</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b.“备份响应文件”应当密封包装，并在包装上标注投标项目名称、响应单位名称并加盖公章。没有密封包装或者逾期邮寄送达至投标地点的“备份响应文件”将不予接收；</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通过“政府采购云平台”成功上传递交的“电子加密响应文件”已按时解密的，“备份响应文件”自动失效。响应截止时间前，供应商仅递交了“备份响应文件”而未将“电子加密响应文件”成功上传至“政府采购云平台”的，投标无效。</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13.2“电子加密响应文件”解密和异常情况处理</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（1）响应截止时间后，采购组织机构将向各供应商发出“电子加密响应文件”的解密通知，各供应商代表应当在接到解密通知后30分钟内自行完成“电子加密响应文件”的在线解密。</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（3）响应截止时间前，供应商仅递交了“备份响应文件”而未将电子加密响应文件上传至“政府采购云平台”的，投标无效。</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14．磋商截止时间</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14.1在本磋商公告规定的磋商截止时间前，完成响应文件的递交。</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14.2采购人因故推迟磋商截止时间，将以书面形式通知所有供应商。在这种情况下，采购人和供应商的权利和义务将受到新的截止时间的约束。</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15．响应文件的修改与撤回</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府采购云平台”将予以拒收。</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15.2在响应截止期之后，供应商不得对其投标作任何修改、撤回。</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15.3从响应截止期至供应商在投标函格式中确定的投标有效期期满这段时间内，供应商不得撤回其投标，否则按扰乱招投标市场报采购监管部门。</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15.4采购人、采购代理机构可以视情况延长响应文件提交的截止时间。在上述情况下，采购代理机构与供应商以前在响应截止期方面的全部权利、责任和义务，将适用于延长至新的响应截止期。</w:t>
      </w:r>
    </w:p>
    <w:p>
      <w:pPr>
        <w:pageBreakBefore w:val="0"/>
        <w:kinsoku/>
        <w:wordWrap/>
        <w:overflowPunct/>
        <w:topLinePunct w:val="0"/>
        <w:bidi w:val="0"/>
        <w:adjustRightInd w:val="0"/>
        <w:snapToGrid w:val="0"/>
        <w:spacing w:line="360" w:lineRule="auto"/>
        <w:ind w:left="0" w:leftChars="0"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16.投标有效期</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16.1投标有效期为从提交响应文件的截止之日起90天。▲</w:t>
      </w:r>
      <w:r>
        <w:rPr>
          <w:rFonts w:hint="eastAsia" w:ascii="仿宋" w:hAnsi="仿宋" w:eastAsia="仿宋" w:cs="仿宋"/>
          <w:b/>
          <w:color w:val="auto"/>
          <w:sz w:val="24"/>
          <w:szCs w:val="24"/>
          <w:highlight w:val="none"/>
        </w:rPr>
        <w:t>供应商的响应文件中承诺的投标有效期少于磋商文件中载明的投标有效期的，投标无效。</w:t>
      </w:r>
    </w:p>
    <w:p>
      <w:pPr>
        <w:pStyle w:val="128"/>
        <w:pageBreakBefore w:val="0"/>
        <w:kinsoku/>
        <w:wordWrap/>
        <w:overflowPunct/>
        <w:topLinePunct w:val="0"/>
        <w:bidi w:val="0"/>
        <w:adjustRightInd w:val="0"/>
        <w:snapToGrid w:val="0"/>
        <w:spacing w:before="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16.2响应文件合格投递后，自响应截止日期起，在投标有效期内有效。</w:t>
      </w:r>
    </w:p>
    <w:p>
      <w:pPr>
        <w:pStyle w:val="128"/>
        <w:pageBreakBefore w:val="0"/>
        <w:kinsoku/>
        <w:wordWrap/>
        <w:overflowPunct/>
        <w:topLinePunct w:val="0"/>
        <w:bidi w:val="0"/>
        <w:adjustRightInd w:val="0"/>
        <w:snapToGrid w:val="0"/>
        <w:spacing w:before="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16.3在原定投标有效期满之前，如果出现特殊情况，采购代理机构可以以书面形式通知供应商延长投标有效期。供应商同意延长的，不得要求或被允许修改其响应文件，供应商拒绝延长的，其投标无效。</w:t>
      </w:r>
    </w:p>
    <w:p>
      <w:pPr>
        <w:pStyle w:val="4"/>
        <w:pageBreakBefore w:val="0"/>
        <w:kinsoku/>
        <w:wordWrap/>
        <w:overflowPunct/>
        <w:topLinePunct w:val="0"/>
        <w:bidi w:val="0"/>
        <w:adjustRightInd w:val="0"/>
        <w:snapToGrid w:val="0"/>
        <w:spacing w:line="360" w:lineRule="auto"/>
        <w:ind w:left="0" w:leftChars="0" w:firstLine="482" w:firstLineChars="200"/>
        <w:jc w:val="center"/>
        <w:rPr>
          <w:rFonts w:hint="eastAsia" w:ascii="仿宋" w:hAnsi="仿宋" w:eastAsia="仿宋" w:cs="仿宋"/>
          <w:b/>
          <w:bCs/>
          <w:color w:val="auto"/>
          <w:sz w:val="24"/>
          <w:szCs w:val="24"/>
          <w:highlight w:val="none"/>
        </w:rPr>
      </w:pPr>
      <w:bookmarkStart w:id="20" w:name="_Toc47951355"/>
      <w:bookmarkStart w:id="21" w:name="_Toc207550884"/>
      <w:bookmarkStart w:id="22" w:name="_Toc183786419"/>
      <w:r>
        <w:rPr>
          <w:rFonts w:hint="eastAsia" w:ascii="仿宋" w:hAnsi="仿宋" w:eastAsia="仿宋" w:cs="仿宋"/>
          <w:b/>
          <w:bCs/>
          <w:color w:val="auto"/>
          <w:sz w:val="24"/>
          <w:szCs w:val="24"/>
          <w:highlight w:val="none"/>
        </w:rPr>
        <w:t>五、开启响应文件</w:t>
      </w:r>
      <w:bookmarkEnd w:id="20"/>
      <w:bookmarkEnd w:id="21"/>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17.</w:t>
      </w:r>
      <w:r>
        <w:rPr>
          <w:rFonts w:hint="eastAsia" w:ascii="仿宋" w:hAnsi="仿宋" w:eastAsia="仿宋" w:cs="仿宋"/>
          <w:b/>
          <w:bCs/>
          <w:color w:val="auto"/>
          <w:sz w:val="24"/>
          <w:szCs w:val="24"/>
          <w:highlight w:val="none"/>
          <w:lang w:val="en-US" w:eastAsia="zh-CN"/>
        </w:rPr>
        <w:t>开启响应文件流程</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采购组织机构将按照磋商文件规定的时间通过“政府采购云平台”组织开标、开启响应文件，所有供应商均应当准时在线参加。</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供应商如不参加开标大会的，视同认可开标结果，事后不得对采购相关人员、开标过程和开标结果提出异议，同时供应商因未在线参加开标而导致响应文件无法按时解密等一切后果由供应商自己承担。</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解密结束，开启响应文件及第一轮商务报价文件，同时当场制作开标记录表，采购代理机构启动在线签字时段，供应商通过在线形式签字确认（不予确认的应说明理由，否则视为无异议），进入资格审查；</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3、采购人或采购代理机构将对依法对供应商的资格进行审查，资格审查结束后进入符合性审查和商务技术的评审工作，具体见本章节“供应商资格审查”相关规定。</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4、磋商小组</w:t>
      </w:r>
      <w:r>
        <w:rPr>
          <w:rFonts w:hint="eastAsia" w:ascii="仿宋" w:hAnsi="仿宋" w:eastAsia="仿宋" w:cs="仿宋"/>
          <w:color w:val="auto"/>
          <w:sz w:val="24"/>
          <w:szCs w:val="24"/>
          <w:highlight w:val="none"/>
          <w:lang w:val="zh-CN"/>
        </w:rPr>
        <w:t>对商务与技术文件进行评审</w:t>
      </w:r>
      <w:r>
        <w:rPr>
          <w:rFonts w:hint="eastAsia" w:ascii="仿宋" w:hAnsi="仿宋" w:eastAsia="仿宋" w:cs="仿宋"/>
          <w:color w:val="auto"/>
          <w:sz w:val="24"/>
          <w:szCs w:val="24"/>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5、磋商小组所有成员集中与单一供应商分别进行磋商，并给予所有参加磋商的供应商平等的磋商机会。</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过政府采购云平台通知所有参加磋商的供应商。供应商应当按照磋商文件的变动情况和磋商小组的要求重新提交响应文件，并加盖单位CA签章，上传政府采购云平台。</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7、磋商文件能够详细列明采购标的的技术、服务要求的，磋商结束后，磋商小组将要求所有实质性响应的供应商在规定时间内提交最后报价，最后报价是供应商响应文件的有效组成部分。 </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8、经磋商确定最终采购需求和提交最后报价的供应商后，由磋商小组采用综合评分法对提交最后报价的供应商的响应文件和最后报价进行综合评分。</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9、磋商小组根据综合评分情况，按照评审得分由高到低顺序确定预成交供应商，编写评审报告。</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10、采购组织机构对磋商小组专家成员进行评价；</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11、主持人到磋商采购会现场宣布磋商结果（含技术得分、最终报价、报价得分及总得分），磋商采购会议结束。</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特别说明：如遇“政府采购云平台”电子化开标或评审程序调整的，按调整后程序执行。</w:t>
      </w:r>
    </w:p>
    <w:p>
      <w:pPr>
        <w:pStyle w:val="4"/>
        <w:pageBreakBefore w:val="0"/>
        <w:kinsoku/>
        <w:wordWrap/>
        <w:overflowPunct/>
        <w:topLinePunct w:val="0"/>
        <w:bidi w:val="0"/>
        <w:adjustRightInd w:val="0"/>
        <w:snapToGrid w:val="0"/>
        <w:spacing w:line="360" w:lineRule="auto"/>
        <w:ind w:left="0" w:leftChars="0" w:firstLine="482" w:firstLineChars="200"/>
        <w:jc w:val="center"/>
        <w:rPr>
          <w:rFonts w:hint="eastAsia" w:ascii="仿宋" w:hAnsi="仿宋" w:eastAsia="仿宋" w:cs="仿宋"/>
          <w:b/>
          <w:bCs/>
          <w:color w:val="auto"/>
          <w:sz w:val="24"/>
          <w:szCs w:val="24"/>
          <w:highlight w:val="none"/>
        </w:rPr>
      </w:pPr>
      <w:bookmarkStart w:id="23" w:name="_Toc47951356"/>
      <w:r>
        <w:rPr>
          <w:rFonts w:hint="eastAsia" w:ascii="仿宋" w:hAnsi="仿宋" w:eastAsia="仿宋" w:cs="仿宋"/>
          <w:b/>
          <w:bCs/>
          <w:color w:val="auto"/>
          <w:sz w:val="24"/>
          <w:szCs w:val="24"/>
          <w:highlight w:val="none"/>
        </w:rPr>
        <w:t>六、</w:t>
      </w:r>
      <w:bookmarkEnd w:id="22"/>
      <w:r>
        <w:rPr>
          <w:rFonts w:hint="eastAsia" w:ascii="仿宋" w:hAnsi="仿宋" w:eastAsia="仿宋" w:cs="仿宋"/>
          <w:b/>
          <w:bCs/>
          <w:color w:val="auto"/>
          <w:sz w:val="24"/>
          <w:szCs w:val="24"/>
          <w:highlight w:val="none"/>
        </w:rPr>
        <w:t>磋商人员及相关原则</w:t>
      </w:r>
      <w:bookmarkEnd w:id="23"/>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bookmarkStart w:id="24" w:name="_Toc183786420"/>
      <w:r>
        <w:rPr>
          <w:rFonts w:hint="eastAsia" w:ascii="仿宋" w:hAnsi="仿宋" w:eastAsia="仿宋" w:cs="仿宋"/>
          <w:b/>
          <w:bCs/>
          <w:color w:val="auto"/>
          <w:sz w:val="24"/>
          <w:szCs w:val="24"/>
          <w:highlight w:val="none"/>
        </w:rPr>
        <w:t>18．磋商组织</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采购人或采购代理机构负责组织本项目的评审工作，并依据《政府采购货物和服务招标投标管理办法（财政部第87号令）》第四十五条的相关规定履行职责。</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19.磋商小组</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19.1磋商小组由采购人代表和评审专家共3人（含）以上单数组成，其中评审专家人数不少于磋商小组成员总数的2/3。</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19.2评审专家应当遵守评审工作纪律，不得泄露评审情况和评审中获悉的商业秘密。</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19.3磋商小组在评审过程中发现供应商有行贿、提供虚假材料或者串通等违法行为的，应当及时向财政部门报告。</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19.4评审专家在评审过程中受到非法干涉的，应当及时向财政、监察等部门举报。</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20．磋商评审原则</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20.1磋商小组成员应当按照客观、公正、审慎的原则，根据磋商文件规定的评审程序、评审方法和评审标准进行独立评审。</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20.2客观、公正的对待所有供应商，对所有供应商均采用相同的程序和标准，依据磋商评审程序列。</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20.3在磋商期间，供应商不得向磋商小组成员询问与其无关的磋商情况，不得进行旨在影响磋商结果的活动，否则将取消其磋商资格。</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20.4在磋商过程中，评审专家不得与供应商私下交换意见，在竞争性磋商工作结束后，评审专家或知情者应严格保密，不得将磋商评审情况告诉与之无关的人（包括供应商）。</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20.5在磋商和评定中标（成交）人的过程中，如有供应商联合故意抬高报价或其他不正当行为，采购人有权中止磋商。</w:t>
      </w:r>
      <w:bookmarkStart w:id="25" w:name="_Toc47951357"/>
    </w:p>
    <w:p>
      <w:pPr>
        <w:pStyle w:val="4"/>
        <w:pageBreakBefore w:val="0"/>
        <w:kinsoku/>
        <w:wordWrap/>
        <w:overflowPunct/>
        <w:topLinePunct w:val="0"/>
        <w:bidi w:val="0"/>
        <w:adjustRightInd w:val="0"/>
        <w:snapToGrid w:val="0"/>
        <w:spacing w:line="360" w:lineRule="auto"/>
        <w:ind w:left="0" w:leftChars="0"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七、磋商程序</w:t>
      </w:r>
      <w:bookmarkEnd w:id="25"/>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 对所有响应文件的初审</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初审包括资格条件、有效性和完整性进行审查。审查不合格的，其磋商响应将无效，不再进行后续磋商。</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21.1资格审查由采购人/采购代理机构审查，审查通过进入符合性审查环节。如有下列情形的，资格审查不通过：</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（1）被拒绝的响应文件；</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（2）未通过合法渠道获取的；</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（3）资格证明文件不全，或者不符合磋商文件标明的资格要求（参见竞争性磋商公告之“二 申请人的资格要求”）；</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（4）信用审查不通过的。</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21.2符合性审查由评标委员会审查，审查通过后进入评审环节。如有下列情形的，符合性审查不合格：</w:t>
      </w:r>
    </w:p>
    <w:p>
      <w:pPr>
        <w:pStyle w:val="529"/>
        <w:pageBreakBefore w:val="0"/>
        <w:numPr>
          <w:ilvl w:val="2"/>
          <w:numId w:val="3"/>
        </w:numPr>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响应文件未按照磋商文件要求签署、盖章的；</w:t>
      </w:r>
    </w:p>
    <w:p>
      <w:pPr>
        <w:pStyle w:val="529"/>
        <w:pageBreakBefore w:val="0"/>
        <w:numPr>
          <w:ilvl w:val="2"/>
          <w:numId w:val="3"/>
        </w:numPr>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采购人拟采购的产品属于政府强制采购的节能产品品目清单范围的，供应商未</w:t>
      </w:r>
    </w:p>
    <w:p>
      <w:pPr>
        <w:pStyle w:val="529"/>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按磋商文件要求提供国家确定的认证机构出具的、处于有效期之内的节能产品认证证书的；</w:t>
      </w:r>
    </w:p>
    <w:p>
      <w:pPr>
        <w:pStyle w:val="529"/>
        <w:pageBreakBefore w:val="0"/>
        <w:numPr>
          <w:ilvl w:val="2"/>
          <w:numId w:val="3"/>
        </w:numPr>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响应文件含有采购人不能接受的附加条件的；</w:t>
      </w:r>
    </w:p>
    <w:p>
      <w:pPr>
        <w:pStyle w:val="529"/>
        <w:pageBreakBefore w:val="0"/>
        <w:numPr>
          <w:ilvl w:val="2"/>
          <w:numId w:val="3"/>
        </w:numPr>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响应文件中承诺的投标有效期少于磋商文件中载明的投标有效期的；</w:t>
      </w:r>
    </w:p>
    <w:p>
      <w:pPr>
        <w:pStyle w:val="529"/>
        <w:pageBreakBefore w:val="0"/>
        <w:numPr>
          <w:ilvl w:val="2"/>
          <w:numId w:val="3"/>
        </w:numPr>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响应文件出现不是唯一的、有选择性投标报价的；</w:t>
      </w:r>
    </w:p>
    <w:p>
      <w:pPr>
        <w:pStyle w:val="529"/>
        <w:pageBreakBefore w:val="0"/>
        <w:numPr>
          <w:ilvl w:val="2"/>
          <w:numId w:val="3"/>
        </w:numPr>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投标报价超过磋商文件中规定的预算金额或者最高限价的；</w:t>
      </w:r>
    </w:p>
    <w:p>
      <w:pPr>
        <w:pStyle w:val="529"/>
        <w:pageBreakBefore w:val="0"/>
        <w:numPr>
          <w:ilvl w:val="2"/>
          <w:numId w:val="3"/>
        </w:numPr>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报价明显低于其他通过符合性审查供应商的报价，有可能影响产品质量或者不</w:t>
      </w:r>
    </w:p>
    <w:p>
      <w:pPr>
        <w:pStyle w:val="529"/>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能诚信履约的，未能按要求提供书面说明或者提交相关证明材料，不能证明其报价合理性的；</w:t>
      </w:r>
    </w:p>
    <w:p>
      <w:pPr>
        <w:pStyle w:val="529"/>
        <w:pageBreakBefore w:val="0"/>
        <w:numPr>
          <w:ilvl w:val="2"/>
          <w:numId w:val="3"/>
        </w:numPr>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供应商对根据修正原则修正后的报价不确认的；</w:t>
      </w:r>
    </w:p>
    <w:p>
      <w:pPr>
        <w:pStyle w:val="529"/>
        <w:pageBreakBefore w:val="0"/>
        <w:numPr>
          <w:ilvl w:val="2"/>
          <w:numId w:val="3"/>
        </w:numPr>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供应商提供虚假材料投标的；</w:t>
      </w:r>
    </w:p>
    <w:p>
      <w:pPr>
        <w:pStyle w:val="529"/>
        <w:pageBreakBefore w:val="0"/>
        <w:numPr>
          <w:ilvl w:val="2"/>
          <w:numId w:val="3"/>
        </w:numPr>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供应商有恶意串通、妨碍其他供应商的竞争行为、损害采购人或者其他供应</w:t>
      </w:r>
    </w:p>
    <w:p>
      <w:pPr>
        <w:pStyle w:val="529"/>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商的合法权益情形的；</w:t>
      </w:r>
    </w:p>
    <w:p>
      <w:pPr>
        <w:pStyle w:val="529"/>
        <w:pageBreakBefore w:val="0"/>
        <w:numPr>
          <w:ilvl w:val="2"/>
          <w:numId w:val="3"/>
        </w:numPr>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供应商仅提交备份响应文件，没有在电子交易平台传输递交响应文件的，投</w:t>
      </w:r>
    </w:p>
    <w:p>
      <w:pPr>
        <w:pStyle w:val="529"/>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标无效；</w:t>
      </w:r>
    </w:p>
    <w:p>
      <w:pPr>
        <w:pStyle w:val="529"/>
        <w:pageBreakBefore w:val="0"/>
        <w:numPr>
          <w:ilvl w:val="2"/>
          <w:numId w:val="3"/>
        </w:numPr>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响应文件不满足磋商文件的其它实质性要求的；</w:t>
      </w:r>
    </w:p>
    <w:p>
      <w:pPr>
        <w:pStyle w:val="529"/>
        <w:pageBreakBefore w:val="0"/>
        <w:numPr>
          <w:ilvl w:val="2"/>
          <w:numId w:val="3"/>
        </w:numPr>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法律、法规、规章（适用本市的）及省级以上规范性文件（适用本市的）规</w:t>
      </w:r>
    </w:p>
    <w:p>
      <w:pPr>
        <w:pStyle w:val="529"/>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定的其他无效情形。</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21.4磋商小组要求供应商澄清、说明或者更正响应文件应当以书面形式作出。供应商的澄清、说明或者更正应当由法定代表人或其授权代表签字或者加盖公章。由授权代表签字的，应当附法定代表人授权书。</w:t>
      </w:r>
    </w:p>
    <w:p>
      <w:pPr>
        <w:pageBreakBefore w:val="0"/>
        <w:kinsoku/>
        <w:wordWrap/>
        <w:overflowPunct/>
        <w:topLinePunct w:val="0"/>
        <w:bidi w:val="0"/>
        <w:adjustRightInd w:val="0"/>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21.5错误修正原则</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投标报价文件如果出现计算或表达上的错误，修正错误的原则如下：</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（1）开标一览表（报价表）内容与响应文件中相应内容不一致的，以开标一览表（报价表）为准；</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（3）单价金额小数点或者百分比有明显错位的，以开标一览表的总价为准，并修改单价；</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pPr>
        <w:pStyle w:val="2"/>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（5）开标一览表（报价表）与政采云系统不一致时，以开标一览表（报价表）为准。</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22.磋商</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初审合格的供应商进入下一步的磋商活动。</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22.2磋商小组所有成员应当集中与单一供应商分别进行磋商，并给予所有参加磋商的供应商平等的磋商机会。</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22.3在磋商过程中，磋商小组可以根据磋商文件和磋商情况实质性变动采购需求中的技术、服务要求以及合同草案条款。实质性变动的内容，须经采购人代表确认。</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22.4磋商文件作出的实质性变动是磋商文件的有效组成部分，磋商小组应当及时以书面形式同时通知所有参加磋商的供应商。</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22.5供应商应当按照磋商文件的变动情况和磋商小组的要求进行响应文件补充承诺或提交相应材料。</w:t>
      </w:r>
    </w:p>
    <w:p>
      <w:pPr>
        <w:pStyle w:val="26"/>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22.6澄清通知以书面形式或通过“政府采购云平台”在线询标，并电话通知授权代表，供应商在规定时间内做出澄清响应，逾期未回复视为主动放弃澄清机会，供应商澄清、说明或补正时间为30分钟。</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22.7磋商报价</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（1）磋商结束后，磋商小组应当要求所有实质性响应的供应商在规定时间内提交最后报价。</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（2）最后报价是供应商响应文件的有效组成部分。</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（3）已提交响应文件的供应商，在提交最后报价之前，若因磋商文件实质性变动导致供应商无法满足采购需求的，允许供应商退出磋商。</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报价分二次进行，首次报价在响应文件中体现；最终报价在本顶目磋商结束后由所有有效的磋商供应商在规定的时间时限内（最终报价时间时限根据评审情况另行通知）在平台上进行最终报价，最终报价不得高于初次报价，否则将导致无效标（磋商文件的采购需求发生实质性变动的情况除外）。 </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注：各供应商针对本项目最终报价工作应当事先作好充分准备，以避免在规定时间内未能完成最终报价，在规定时间内未能提完成最终报价，按供应商自动放弃处理，责任由供应商自负。</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23.综合评分</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23.1经磋商确定最终采购需求和提交最后报价的供应商后，由磋商小组采用综合评分法对提交最后报价的供应商的响应文件和最后报价进行综合评分。</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23.2综合评分法，是指响应文件满足磋商文件全部实质性要求且按评审因素的量化指标评审得分最高的供应商为中标（成交）候选人的评审方法。</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 磋商文件没有规定的评审标准不作为评审依据。</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 磋商小组成员独立对每个有效响应的文件进行评价、打分，所有磋商小组成员的打分平均值为每个供应商的得分。</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24.推荐中标（成交）候选人</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磋商小组应当根据综合评分情况，按照评审得分由高到低顺序推荐1名以上中标（成交）候选人，并编写评审报告。评审得分相同的，按照最后报价由低到高的顺序推荐。评审得分且最后报价相同的，按照技术指标优劣顺序推荐。</w:t>
      </w:r>
    </w:p>
    <w:p>
      <w:pPr>
        <w:pStyle w:val="4"/>
        <w:pageBreakBefore w:val="0"/>
        <w:kinsoku/>
        <w:wordWrap/>
        <w:overflowPunct/>
        <w:topLinePunct w:val="0"/>
        <w:bidi w:val="0"/>
        <w:adjustRightInd w:val="0"/>
        <w:snapToGrid w:val="0"/>
        <w:spacing w:line="360" w:lineRule="auto"/>
        <w:ind w:left="0" w:leftChars="0" w:firstLine="482" w:firstLineChars="200"/>
        <w:jc w:val="center"/>
        <w:rPr>
          <w:rFonts w:hint="eastAsia" w:ascii="仿宋" w:hAnsi="仿宋" w:eastAsia="仿宋" w:cs="仿宋"/>
          <w:b/>
          <w:bCs/>
          <w:color w:val="auto"/>
          <w:sz w:val="24"/>
          <w:szCs w:val="24"/>
          <w:highlight w:val="none"/>
        </w:rPr>
      </w:pPr>
      <w:bookmarkStart w:id="26" w:name="_Toc47951358"/>
      <w:r>
        <w:rPr>
          <w:rFonts w:hint="eastAsia" w:ascii="仿宋" w:hAnsi="仿宋" w:eastAsia="仿宋" w:cs="仿宋"/>
          <w:b/>
          <w:bCs/>
          <w:color w:val="auto"/>
          <w:sz w:val="24"/>
          <w:szCs w:val="24"/>
          <w:highlight w:val="none"/>
        </w:rPr>
        <w:t>八、确定</w:t>
      </w:r>
      <w:bookmarkEnd w:id="26"/>
      <w:r>
        <w:rPr>
          <w:rFonts w:hint="eastAsia" w:ascii="仿宋" w:hAnsi="仿宋" w:eastAsia="仿宋" w:cs="仿宋"/>
          <w:b/>
          <w:bCs/>
          <w:color w:val="auto"/>
          <w:sz w:val="24"/>
          <w:szCs w:val="24"/>
          <w:highlight w:val="none"/>
        </w:rPr>
        <w:t>中标（成交）人</w:t>
      </w:r>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25.确定中标（成交）人</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采购人应当在收到评审报告后5个工作日内，从评审报告提出的中标（成交）候选人中，按照排序由高到低的原则确定中标（成交）人，也可以书面授权磋商小组直接确定中标（成交）人。采购人逾期未确定中标（成交）人且不提出异议的，视为确定评审报告提出的排序第一的供应商为中标（成交）人。</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25.2采购人或者采购代理机构应当在中标（成交）人确定后2个工作日内，在省级以上财政部门指定的政府采购信息发布媒体上公告成交结果，同时向中标（成交）人发出中标（成交）通知书。</w:t>
      </w:r>
    </w:p>
    <w:p>
      <w:pPr>
        <w:pStyle w:val="4"/>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color w:val="auto"/>
          <w:sz w:val="24"/>
          <w:szCs w:val="24"/>
          <w:highlight w:val="none"/>
        </w:rPr>
      </w:pPr>
      <w:bookmarkStart w:id="27" w:name="_Toc207550888"/>
      <w:bookmarkStart w:id="28" w:name="_Toc47951359"/>
      <w:r>
        <w:rPr>
          <w:rFonts w:hint="eastAsia" w:ascii="仿宋" w:hAnsi="仿宋" w:eastAsia="仿宋" w:cs="仿宋"/>
          <w:color w:val="auto"/>
          <w:sz w:val="24"/>
          <w:szCs w:val="24"/>
          <w:highlight w:val="none"/>
        </w:rPr>
        <w:t>九、</w:t>
      </w:r>
      <w:bookmarkEnd w:id="27"/>
      <w:r>
        <w:rPr>
          <w:rFonts w:hint="eastAsia" w:ascii="仿宋" w:hAnsi="仿宋" w:eastAsia="仿宋" w:cs="仿宋"/>
          <w:color w:val="auto"/>
          <w:sz w:val="24"/>
          <w:szCs w:val="24"/>
          <w:highlight w:val="none"/>
        </w:rPr>
        <w:t>签订合同</w:t>
      </w:r>
      <w:bookmarkEnd w:id="28"/>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26.签订合同</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26.1采购人与中标（成交）人应当在中标（成交）通知书发出之日起30日内，按照磋商文件确定的合同文本以及采购标的和服务要求等事项签订政府采购合同。</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中标（成交）人拒绝签订政府采购合同的，采购人可以选择排名第二的候选供应商作为中标（成交）人并签订政府采购合同，也可以重新开展采购活动。排名第二的候选供应商拒绝签订政府采购合同的，采购人可以选择排名第三的候选供应商作为中标（成交）人并签订政府采购合同，也可以重新开展采购活动。拒绝签订政府采购合同的中标（成交）人不得参加对该项目重新开展的采购活动。</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26.3拒签合同的责任</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中标（成交）人接到中标（成交）通知书后，在规定时间内借故否认已经承诺的条件而拒签合同者，以磋商违约处理。中标（成交）人承担由此造成的直接经济损失，采购人保留向其索赔的权力。</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签订合同后，中标（成交）人不得将本项目进行转包。未经采购人同意，中标（成交）人不得采用分包的形式履行合同。否则，采购人有权终止合同。转包或分包造成采购人损失的，中标（成交）人还应承担相应的赔偿责任。</w:t>
      </w:r>
    </w:p>
    <w:p>
      <w:pPr>
        <w:pStyle w:val="26"/>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27.履约保证金</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本项目不适用</w:t>
      </w:r>
      <w:r>
        <w:rPr>
          <w:rFonts w:hint="eastAsia" w:ascii="仿宋" w:hAnsi="仿宋" w:eastAsia="仿宋" w:cs="仿宋"/>
          <w:b/>
          <w:bCs/>
          <w:color w:val="auto"/>
          <w:sz w:val="24"/>
          <w:szCs w:val="24"/>
          <w:highlight w:val="none"/>
          <w:lang w:eastAsia="zh-CN"/>
        </w:rPr>
        <w:t>）</w:t>
      </w:r>
    </w:p>
    <w:p>
      <w:pPr>
        <w:pStyle w:val="26"/>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27.1成交人在签订合同后按“供应商须知前附表”规定的缴纳履约保证金。</w:t>
      </w:r>
    </w:p>
    <w:p>
      <w:pPr>
        <w:pStyle w:val="26"/>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27.2履约保证金有效期按“供应商须知前附表”规定。</w:t>
      </w:r>
    </w:p>
    <w:p>
      <w:pPr>
        <w:pStyle w:val="26"/>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27.3如项目有质保金，项目验收合格之日起，履约保证金自动转为质保金，质保期满后，不计息退还剩余本金。</w:t>
      </w:r>
    </w:p>
    <w:p>
      <w:pPr>
        <w:pStyle w:val="4"/>
        <w:pageBreakBefore w:val="0"/>
        <w:kinsoku/>
        <w:wordWrap/>
        <w:overflowPunct/>
        <w:topLinePunct w:val="0"/>
        <w:bidi w:val="0"/>
        <w:adjustRightInd w:val="0"/>
        <w:snapToGrid w:val="0"/>
        <w:spacing w:line="360" w:lineRule="auto"/>
        <w:ind w:left="0" w:leftChars="0" w:firstLine="482" w:firstLineChars="200"/>
        <w:jc w:val="center"/>
        <w:rPr>
          <w:rFonts w:hint="eastAsia" w:ascii="仿宋" w:hAnsi="仿宋" w:eastAsia="仿宋" w:cs="仿宋"/>
          <w:b/>
          <w:bCs/>
          <w:color w:val="auto"/>
          <w:sz w:val="24"/>
          <w:szCs w:val="24"/>
          <w:highlight w:val="none"/>
        </w:rPr>
      </w:pPr>
      <w:bookmarkStart w:id="29" w:name="_Toc207550890"/>
      <w:bookmarkStart w:id="30" w:name="_Toc47951360"/>
      <w:r>
        <w:rPr>
          <w:rFonts w:hint="eastAsia" w:ascii="仿宋" w:hAnsi="仿宋" w:eastAsia="仿宋" w:cs="仿宋"/>
          <w:b/>
          <w:bCs/>
          <w:color w:val="auto"/>
          <w:sz w:val="24"/>
          <w:szCs w:val="24"/>
          <w:highlight w:val="none"/>
        </w:rPr>
        <w:t>十、</w:t>
      </w:r>
      <w:bookmarkEnd w:id="29"/>
      <w:r>
        <w:rPr>
          <w:rFonts w:hint="eastAsia" w:ascii="仿宋" w:hAnsi="仿宋" w:eastAsia="仿宋" w:cs="仿宋"/>
          <w:b/>
          <w:bCs/>
          <w:color w:val="auto"/>
          <w:sz w:val="24"/>
          <w:szCs w:val="24"/>
          <w:highlight w:val="none"/>
        </w:rPr>
        <w:t>终止竞争性磋商采购活动</w:t>
      </w:r>
      <w:bookmarkEnd w:id="30"/>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28. 终止竞争性磋商采购活动</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28.1在竞争性磋商采购活动过程中，出现下列情形之一的，采购人或者采购代理机构应当终止竞争性磋商采购活动，发布项目终止公告并说明原因，重新开展采购活动：</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（1）因情况变化，不再符合规定的竞争性磋商采购方式适用情形的；</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（3）因重大变故，采购任务取消的；</w:t>
      </w:r>
    </w:p>
    <w:p>
      <w:pPr>
        <w:pStyle w:val="26"/>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（4）参与最终竞争磋商的供应商不足2家。</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28.2在采购活动中因重大变故，采购任务取消的，采购人或者采购代理机构应当终止采购活动，通知所有参加采购活动的供应商，并将项目实施情况和采购任务取消原因报送本级财政部门。</w:t>
      </w:r>
      <w:bookmarkEnd w:id="24"/>
      <w:bookmarkStart w:id="31" w:name="_Toc118516218"/>
      <w:bookmarkStart w:id="32" w:name="_Toc171394922"/>
    </w:p>
    <w:p>
      <w:pPr>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29. 电子交易活动的中止</w:t>
      </w:r>
    </w:p>
    <w:p>
      <w:pPr>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采购过程中出现以下情形，导致电子交易平台无法正常运行，或者无法保证电子交易的公平、公正和安全时，采购代理机构可中止电子交易活动：</w:t>
      </w:r>
    </w:p>
    <w:p>
      <w:pPr>
        <w:pStyle w:val="128"/>
        <w:pageBreakBefore w:val="0"/>
        <w:kinsoku/>
        <w:wordWrap/>
        <w:overflowPunct/>
        <w:topLinePunct w:val="0"/>
        <w:bidi w:val="0"/>
        <w:adjustRightInd w:val="0"/>
        <w:snapToGrid w:val="0"/>
        <w:spacing w:before="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29.1电子交易平台发生故障而无法登录访问的； </w:t>
      </w:r>
    </w:p>
    <w:p>
      <w:pPr>
        <w:pStyle w:val="128"/>
        <w:pageBreakBefore w:val="0"/>
        <w:kinsoku/>
        <w:wordWrap/>
        <w:overflowPunct/>
        <w:topLinePunct w:val="0"/>
        <w:bidi w:val="0"/>
        <w:adjustRightInd w:val="0"/>
        <w:snapToGrid w:val="0"/>
        <w:spacing w:before="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29.2电子交易平台应用或数据库出现错误，不能进行正常操作的；</w:t>
      </w:r>
    </w:p>
    <w:p>
      <w:pPr>
        <w:pStyle w:val="128"/>
        <w:pageBreakBefore w:val="0"/>
        <w:kinsoku/>
        <w:wordWrap/>
        <w:overflowPunct/>
        <w:topLinePunct w:val="0"/>
        <w:bidi w:val="0"/>
        <w:adjustRightInd w:val="0"/>
        <w:snapToGrid w:val="0"/>
        <w:spacing w:before="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29.3电子交易平台发现严重安全漏洞，有潜在泄密危险的；</w:t>
      </w:r>
    </w:p>
    <w:p>
      <w:pPr>
        <w:pStyle w:val="128"/>
        <w:pageBreakBefore w:val="0"/>
        <w:kinsoku/>
        <w:wordWrap/>
        <w:overflowPunct/>
        <w:topLinePunct w:val="0"/>
        <w:bidi w:val="0"/>
        <w:adjustRightInd w:val="0"/>
        <w:snapToGrid w:val="0"/>
        <w:spacing w:before="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29.4病毒发作导致不能进行正常操作的； </w:t>
      </w:r>
    </w:p>
    <w:p>
      <w:pPr>
        <w:pStyle w:val="128"/>
        <w:pageBreakBefore w:val="0"/>
        <w:kinsoku/>
        <w:wordWrap/>
        <w:overflowPunct/>
        <w:topLinePunct w:val="0"/>
        <w:bidi w:val="0"/>
        <w:adjustRightInd w:val="0"/>
        <w:snapToGrid w:val="0"/>
        <w:spacing w:before="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29.5其他无法保证电子交易的公平、公正和安全的情况。</w:t>
      </w:r>
    </w:p>
    <w:p>
      <w:pPr>
        <w:pStyle w:val="128"/>
        <w:pageBreakBefore w:val="0"/>
        <w:kinsoku/>
        <w:wordWrap/>
        <w:overflowPunct/>
        <w:topLinePunct w:val="0"/>
        <w:bidi w:val="0"/>
        <w:adjustRightInd w:val="0"/>
        <w:snapToGrid w:val="0"/>
        <w:spacing w:before="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128"/>
        <w:pageBreakBefore w:val="0"/>
        <w:kinsoku/>
        <w:wordWrap/>
        <w:overflowPunct/>
        <w:topLinePunct w:val="0"/>
        <w:bidi w:val="0"/>
        <w:adjustRightInd w:val="0"/>
        <w:snapToGrid w:val="0"/>
        <w:spacing w:before="0" w:line="360" w:lineRule="auto"/>
        <w:ind w:left="0" w:leftChars="0"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十一、验收</w:t>
      </w:r>
    </w:p>
    <w:p>
      <w:pPr>
        <w:pStyle w:val="26"/>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pPr>
        <w:pageBreakBefore w:val="0"/>
        <w:tabs>
          <w:tab w:val="left" w:pos="0"/>
        </w:tabs>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采购人（或受托机构）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tabs>
          <w:tab w:val="left" w:pos="0"/>
        </w:tabs>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30.2采购人可以邀请参加本项目的其他供应商或者第三方机构参与验收。参与验收的供应商或者第三方机构的意见作为验收书的参考资料一并存档。</w:t>
      </w:r>
    </w:p>
    <w:p>
      <w:pPr>
        <w:pageBreakBefore w:val="0"/>
        <w:tabs>
          <w:tab w:val="left" w:pos="0"/>
        </w:tabs>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pPr>
        <w:pageBreakBefore w:val="0"/>
        <w:tabs>
          <w:tab w:val="left" w:pos="0"/>
        </w:tabs>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1"/>
      <w:bookmarkEnd w:id="32"/>
    </w:p>
    <w:p>
      <w:pPr>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br w:type="page"/>
      </w:r>
    </w:p>
    <w:p>
      <w:pPr>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第三部分   采购需求</w:t>
      </w:r>
    </w:p>
    <w:p>
      <w:pPr>
        <w:widowControl/>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（一）项目背景</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围绕自然资源“两统一”职责履行，为充分发挥自然资源监测引领性、保障性作用,提升自然资源和国土空间领域治理能力的现代化水平，为国土空间状况、国土空间安全、国土空间开发利用、国土空间治理等提供高质量的数据供给，2022年6月17日，自然资源部办公厅印发《关于开展2022年上半年自然资源监测工作的通知》（自然资办发〔2022〕21号），要求对现行国务院审批总体规划城市开展自然资源细化和补充监测、人文地理要素监测。</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为切实做好我省2022年自然资源监测工作，在自然资源部统一部署的基础上，结合我省实际，2022年7月25日，浙江省自然资源厅印发《关于切实做好2022年自然资源监测工作的通知》（浙自然资函〔2022〕68号），通知要求2022年对我省6个现行国务院审批总体规划城市以及衢州、丽水2市开展城市国土空间监测，鼓励各地开拓创新，加强监测关键技术攻关，不断提升服务自然资源管理和空间治理能力。</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为贯彻落实上级通知要求，西湖区决定在全区范围内开展城市国土空间监测工作。</w:t>
      </w:r>
    </w:p>
    <w:p>
      <w:pPr>
        <w:widowControl/>
        <w:spacing w:line="440" w:lineRule="exact"/>
        <w:ind w:left="548"/>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（二）项目目标</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2021年国土变更调查成果为底图，统筹利用卫星遥感、大数据等技术手段，开展城市国土空间监测工作，掌握监测区域自然资源和人文地理要素的类型、面积、范围、分布和变化等情况，支撑国土空间规划编制及实施监督、城市体检评估和用途管制等国土空间治理工作。</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（三）工作内容</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（1）数据资料搜集与整理</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集整理地籍调查、不动产登记、地理国情监测、城市大比例尺基础测绘、数字城市、智慧城市等工作成果，收集涉及民政、统计、应急、教育、环保、住建、交通、水利、卫生健康、市场监管、体育、文物、宗教等领域专题资料、POI数据（如咖啡馆等）、2022年高分辨率卫星遥感影像。</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（2）空间信息细化与补充</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1.城市空间信息细化调查</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全市2021年度国土变更调查成果为底图，针对商业服务业设施用地、城镇住宅用地、公共管理与公共服务用地（不含机关团体新闻出版用地）、特殊用地等类型开展细化调查。对于有独立用地的监测对象，以2021年变更调查成果为底图采集相关位置和范围；对于没有独立用地的监测对象，在指定的单独图层中采集其点位；对于监测期新增的需要细化与补充相关信息的地类，更新图斑后细化为三级类。</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2.房屋建筑调查</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城区监测范围内，按单体形式采集地上建筑物，并补充标注高度、占地面积、建筑总面积，城镇住宅还需标注套（间）数。该项工作3年完成。2022年，将所有达到面积指标的房屋建筑上图，并标注占地面积属性；2023年，完成已有房屋的建筑高度、建筑总面积，城镇住宅套（间）数属性调查；2024年，完成数据监测更新，补充新增房屋面并完善属性信息，将数据现势性统一到2024年。</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3.其他类要素调查更新</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对安全应急、历史文化保护、自然和文化遗产、分布式清洁能源、新增城市更新改造用地、绿道、行政村等7类50余项内容进行调查监测和信息更新。</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（3）水网路网要素监测更新</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全市域地理国情监测水网数据成果进行更新。内容包括：更新河湖岸线的位置、河流结构线、名称、代码，更新补充湖泊水质，水库坑塘用途、容积，河流类型、通航性质、等级,以及水渠的等级、流向等属性信息；采集更新与水网密切相关的堤、坝、闸、排灌站、泵站、重要机井等水利工程设施。</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全市域地理国情监测路网数据成果进行更新。内容包括:更新铁路的线路位置，补齐名称、编码、起讫点、类型、上下行、单双线等信息;更新城际公路的中心线，完善名称、代码、宽度、通行方向、车道数、技术等级、类型、铺设材料等属性信息；更新乡村通车道路的中心线，完善名称、宽度、类型等属性信息；更新城市道路路网，补齐名称、类型、路宽、车道数、高架情况等属性；同时采集更新与道路通达密切相关的车站、桥梁、隧道、车渡、高速出入口、服务区、立交桥、地铁站、机场、港口码头、交通枢纽等重要交通设施的位置与属性信息。</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（4）外业调查：中标单位应利用多种手段，内业结合外业实地调查，确定监测对象的位置、范围和属性。</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（5）实行“两级检查、一级验收”</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（6）数据库建设</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按要求完成数据库建设并按时向省级完成汇交。</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（7）监测成果分析</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根据城市国土资源监测成果，结合国土空间规划、用途管制等业务管理要求进行统计分析，满足自然资源管理和国土空间治理等工作需要。</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（四）项目成果</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（1）文档成果</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包括城市国土空间监测技术方案，工作报告等；</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（2）数据成果 </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包括空间信息细化与补充、水网路网要素监测更新监测等数据成果，以及遥感影像数据成果；</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（3）统计分析成果</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包括统计分析报告，以及开展分析评价形成的各类专题分析评价报告。</w:t>
      </w:r>
    </w:p>
    <w:p>
      <w:pPr>
        <w:widowControl/>
        <w:adjustRightInd/>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具体要求根据自然资源部、浙江省自然资源厅的相关通知文件及实施方案等执行。如在项目实施过程中，国家、省提出的新要求和新的工作内容，应按最新要求完成相应的工作。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（五）项目进度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2022年12月15日前，完成</w:t>
      </w:r>
      <w:r>
        <w:rPr>
          <w:rFonts w:hint="eastAsia" w:ascii="仿宋" w:hAnsi="仿宋" w:eastAsia="仿宋" w:cs="仿宋"/>
          <w:color w:val="auto"/>
          <w:kern w:val="0"/>
          <w:sz w:val="24"/>
          <w:highlight w:val="none"/>
          <w:lang w:val="en-US" w:eastAsia="zh-CN"/>
        </w:rPr>
        <w:t>核查验收后</w:t>
      </w:r>
      <w:bookmarkStart w:id="411" w:name="_GoBack"/>
      <w:r>
        <w:rPr>
          <w:rFonts w:hint="eastAsia" w:ascii="仿宋" w:hAnsi="仿宋" w:eastAsia="仿宋" w:cs="仿宋"/>
          <w:color w:val="auto"/>
          <w:kern w:val="0"/>
          <w:sz w:val="24"/>
          <w:highlight w:val="none"/>
        </w:rPr>
        <w:t>整改工作</w:t>
      </w:r>
      <w:bookmarkEnd w:id="411"/>
      <w:r>
        <w:rPr>
          <w:rFonts w:hint="eastAsia" w:ascii="仿宋" w:hAnsi="仿宋" w:eastAsia="仿宋" w:cs="仿宋"/>
          <w:color w:val="auto"/>
          <w:kern w:val="0"/>
          <w:sz w:val="24"/>
          <w:highlight w:val="none"/>
        </w:rPr>
        <w:t>，成果提交省级开展汇总整理。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若国家或省对监测时间安排有调整的，按照调整要求。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（六）项目验收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西湖区城市国土空间监测项目成果实行“两级检查、一级验收”制度，由监测作业单位负责监测成果质量的“两级检查”，由省测绘质量检验中心进行省级核查验收，最终上交国家基础地理信息中心质量抽查。此过程发现的质量问题，监测作业单位需按时进行整改。</w:t>
      </w:r>
    </w:p>
    <w:p>
      <w:pPr>
        <w:adjustRightInd/>
        <w:spacing w:line="360" w:lineRule="auto"/>
        <w:jc w:val="left"/>
        <w:rPr>
          <w:rFonts w:ascii="仿宋_GB2312" w:hAnsi="宋体" w:eastAsia="仿宋_GB2312"/>
          <w:b/>
          <w:color w:val="auto"/>
          <w:sz w:val="28"/>
          <w:szCs w:val="28"/>
          <w:highlight w:val="none"/>
        </w:rPr>
      </w:pPr>
    </w:p>
    <w:p>
      <w:pPr>
        <w:adjustRightInd/>
        <w:spacing w:line="360" w:lineRule="auto"/>
        <w:jc w:val="left"/>
        <w:rPr>
          <w:rFonts w:ascii="仿宋_GB2312" w:hAnsi="宋体" w:eastAsia="仿宋_GB2312"/>
          <w:b/>
          <w:color w:val="auto"/>
          <w:sz w:val="28"/>
          <w:szCs w:val="28"/>
          <w:highlight w:val="none"/>
        </w:rPr>
      </w:pPr>
    </w:p>
    <w:p>
      <w:pPr>
        <w:adjustRightInd/>
        <w:spacing w:line="360" w:lineRule="auto"/>
        <w:jc w:val="left"/>
        <w:rPr>
          <w:rFonts w:ascii="仿宋_GB2312" w:hAnsi="宋体" w:eastAsia="仿宋_GB2312"/>
          <w:b/>
          <w:color w:val="auto"/>
          <w:sz w:val="28"/>
          <w:szCs w:val="28"/>
          <w:highlight w:val="none"/>
        </w:rPr>
      </w:pPr>
    </w:p>
    <w:p>
      <w:pPr>
        <w:adjustRightInd/>
        <w:spacing w:line="360" w:lineRule="auto"/>
        <w:jc w:val="left"/>
        <w:rPr>
          <w:rFonts w:ascii="仿宋_GB2312" w:hAnsi="宋体" w:eastAsia="仿宋_GB2312"/>
          <w:b/>
          <w:color w:val="auto"/>
          <w:sz w:val="28"/>
          <w:szCs w:val="28"/>
          <w:highlight w:val="none"/>
        </w:rPr>
      </w:pPr>
    </w:p>
    <w:p>
      <w:pPr>
        <w:adjustRightInd/>
        <w:spacing w:line="360" w:lineRule="auto"/>
        <w:jc w:val="left"/>
        <w:rPr>
          <w:rFonts w:ascii="仿宋_GB2312" w:hAnsi="宋体" w:eastAsia="仿宋_GB2312"/>
          <w:b/>
          <w:color w:val="auto"/>
          <w:sz w:val="28"/>
          <w:szCs w:val="28"/>
          <w:highlight w:val="none"/>
        </w:rPr>
      </w:pPr>
    </w:p>
    <w:p>
      <w:pPr>
        <w:adjustRightInd/>
        <w:spacing w:line="360" w:lineRule="auto"/>
        <w:jc w:val="left"/>
        <w:rPr>
          <w:rFonts w:ascii="仿宋_GB2312" w:hAnsi="宋体" w:eastAsia="仿宋_GB2312"/>
          <w:b/>
          <w:color w:val="auto"/>
          <w:sz w:val="28"/>
          <w:szCs w:val="28"/>
          <w:highlight w:val="none"/>
        </w:rPr>
      </w:pPr>
    </w:p>
    <w:p>
      <w:pPr>
        <w:adjustRightInd/>
        <w:spacing w:line="360" w:lineRule="auto"/>
        <w:jc w:val="left"/>
        <w:rPr>
          <w:rFonts w:ascii="仿宋_GB2312" w:hAnsi="宋体" w:eastAsia="仿宋_GB2312"/>
          <w:b/>
          <w:color w:val="auto"/>
          <w:sz w:val="28"/>
          <w:szCs w:val="28"/>
          <w:highlight w:val="none"/>
        </w:rPr>
      </w:pPr>
    </w:p>
    <w:p>
      <w:pPr>
        <w:adjustRightInd/>
        <w:spacing w:line="360" w:lineRule="auto"/>
        <w:jc w:val="left"/>
        <w:rPr>
          <w:rFonts w:ascii="仿宋_GB2312" w:hAnsi="宋体" w:eastAsia="仿宋_GB2312"/>
          <w:b/>
          <w:color w:val="auto"/>
          <w:sz w:val="28"/>
          <w:szCs w:val="28"/>
          <w:highlight w:val="none"/>
        </w:rPr>
      </w:pPr>
    </w:p>
    <w:p>
      <w:pPr>
        <w:adjustRightInd/>
        <w:spacing w:line="360" w:lineRule="auto"/>
        <w:jc w:val="left"/>
        <w:rPr>
          <w:rFonts w:ascii="仿宋_GB2312" w:hAnsi="宋体" w:eastAsia="仿宋_GB2312"/>
          <w:b/>
          <w:color w:val="auto"/>
          <w:sz w:val="28"/>
          <w:szCs w:val="28"/>
          <w:highlight w:val="none"/>
        </w:rPr>
      </w:pPr>
    </w:p>
    <w:p>
      <w:pPr>
        <w:snapToGrid/>
        <w:spacing w:line="240" w:lineRule="auto"/>
        <w:jc w:val="left"/>
        <w:outlineLvl w:val="9"/>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br w:type="page"/>
      </w: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 xml:space="preserve">第四部分   </w:t>
      </w:r>
      <w:bookmarkStart w:id="33" w:name="_Toc184314455"/>
      <w:bookmarkEnd w:id="33"/>
      <w:bookmarkStart w:id="34" w:name="_Toc184312122"/>
      <w:bookmarkEnd w:id="34"/>
      <w:bookmarkStart w:id="35" w:name="_Toc184310339"/>
      <w:bookmarkEnd w:id="35"/>
      <w:bookmarkStart w:id="36" w:name="_Toc184314411"/>
      <w:bookmarkEnd w:id="36"/>
      <w:bookmarkStart w:id="37" w:name="_Toc184308087"/>
      <w:bookmarkEnd w:id="37"/>
      <w:bookmarkStart w:id="38" w:name="_Toc184312097"/>
      <w:bookmarkEnd w:id="38"/>
      <w:bookmarkStart w:id="39" w:name="_Toc184313256"/>
      <w:bookmarkEnd w:id="39"/>
      <w:bookmarkStart w:id="40" w:name="_Toc184314462"/>
      <w:bookmarkEnd w:id="40"/>
      <w:bookmarkStart w:id="41" w:name="_Toc184308058"/>
      <w:bookmarkEnd w:id="41"/>
      <w:bookmarkStart w:id="42" w:name="_Toc184310318"/>
      <w:bookmarkEnd w:id="42"/>
      <w:bookmarkStart w:id="43" w:name="_Toc184312071"/>
      <w:bookmarkEnd w:id="43"/>
      <w:bookmarkStart w:id="44" w:name="_Toc184308093"/>
      <w:bookmarkEnd w:id="44"/>
      <w:bookmarkStart w:id="45" w:name="_Toc184310297"/>
      <w:bookmarkEnd w:id="45"/>
      <w:bookmarkStart w:id="46" w:name="_Toc184308066"/>
      <w:bookmarkEnd w:id="46"/>
      <w:bookmarkStart w:id="47" w:name="_Toc184310331"/>
      <w:bookmarkEnd w:id="47"/>
      <w:bookmarkStart w:id="48" w:name="_Toc184310327"/>
      <w:bookmarkEnd w:id="48"/>
      <w:bookmarkStart w:id="49" w:name="_Toc184308078"/>
      <w:bookmarkEnd w:id="49"/>
      <w:bookmarkStart w:id="50" w:name="_Toc184314441"/>
      <w:bookmarkEnd w:id="50"/>
      <w:bookmarkStart w:id="51" w:name="_Toc184308044"/>
      <w:bookmarkEnd w:id="51"/>
      <w:bookmarkStart w:id="52" w:name="_Toc184314466"/>
      <w:bookmarkEnd w:id="52"/>
      <w:bookmarkStart w:id="53" w:name="_Toc184314472"/>
      <w:bookmarkEnd w:id="53"/>
      <w:bookmarkStart w:id="54" w:name="_Toc184313303"/>
      <w:bookmarkEnd w:id="54"/>
      <w:bookmarkStart w:id="55" w:name="_Toc184308041"/>
      <w:bookmarkEnd w:id="55"/>
      <w:bookmarkStart w:id="56" w:name="_Toc184310289"/>
      <w:bookmarkEnd w:id="56"/>
      <w:bookmarkStart w:id="57" w:name="_Toc184313301"/>
      <w:bookmarkEnd w:id="57"/>
      <w:bookmarkStart w:id="58" w:name="_Toc184313267"/>
      <w:bookmarkEnd w:id="58"/>
      <w:bookmarkStart w:id="59" w:name="_Toc184308101"/>
      <w:bookmarkEnd w:id="59"/>
      <w:bookmarkStart w:id="60" w:name="_Toc184310294"/>
      <w:bookmarkEnd w:id="60"/>
      <w:bookmarkStart w:id="61" w:name="_Toc184308095"/>
      <w:bookmarkEnd w:id="61"/>
      <w:bookmarkStart w:id="62" w:name="_Toc184308089"/>
      <w:bookmarkEnd w:id="62"/>
      <w:bookmarkStart w:id="63" w:name="_Toc184310325"/>
      <w:bookmarkEnd w:id="63"/>
      <w:bookmarkStart w:id="64" w:name="_Toc184314452"/>
      <w:bookmarkEnd w:id="64"/>
      <w:bookmarkStart w:id="65" w:name="_Toc184313298"/>
      <w:bookmarkEnd w:id="65"/>
      <w:bookmarkStart w:id="66" w:name="_Toc184308062"/>
      <w:bookmarkEnd w:id="66"/>
      <w:bookmarkStart w:id="67" w:name="_Toc184313244"/>
      <w:bookmarkEnd w:id="67"/>
      <w:bookmarkStart w:id="68" w:name="_Toc184313259"/>
      <w:bookmarkEnd w:id="68"/>
      <w:bookmarkStart w:id="69" w:name="_Toc184310285"/>
      <w:bookmarkEnd w:id="69"/>
      <w:bookmarkStart w:id="70" w:name="_Toc184312076"/>
      <w:bookmarkEnd w:id="70"/>
      <w:bookmarkStart w:id="71" w:name="_Toc184314432"/>
      <w:bookmarkEnd w:id="71"/>
      <w:bookmarkStart w:id="72" w:name="_Toc184313245"/>
      <w:bookmarkEnd w:id="72"/>
      <w:bookmarkStart w:id="73" w:name="_Toc184310315"/>
      <w:bookmarkEnd w:id="73"/>
      <w:bookmarkStart w:id="74" w:name="_Toc184314453"/>
      <w:bookmarkEnd w:id="74"/>
      <w:bookmarkStart w:id="75" w:name="_Toc184314457"/>
      <w:bookmarkEnd w:id="75"/>
      <w:bookmarkStart w:id="76" w:name="_Toc184308100"/>
      <w:bookmarkEnd w:id="76"/>
      <w:bookmarkStart w:id="77" w:name="_Toc184313273"/>
      <w:bookmarkEnd w:id="77"/>
      <w:bookmarkStart w:id="78" w:name="_Toc184308102"/>
      <w:bookmarkEnd w:id="78"/>
      <w:bookmarkStart w:id="79" w:name="_Toc184314420"/>
      <w:bookmarkEnd w:id="79"/>
      <w:bookmarkStart w:id="80" w:name="_Toc184312117"/>
      <w:bookmarkEnd w:id="80"/>
      <w:bookmarkStart w:id="81" w:name="_Toc184313253"/>
      <w:bookmarkEnd w:id="81"/>
      <w:bookmarkStart w:id="82" w:name="_Toc184312100"/>
      <w:bookmarkEnd w:id="82"/>
      <w:bookmarkStart w:id="83" w:name="_Toc184312105"/>
      <w:bookmarkEnd w:id="83"/>
      <w:bookmarkStart w:id="84" w:name="_Toc184312134"/>
      <w:bookmarkEnd w:id="84"/>
      <w:bookmarkStart w:id="85" w:name="_Toc184313285"/>
      <w:bookmarkEnd w:id="85"/>
      <w:bookmarkStart w:id="86" w:name="_Toc184312118"/>
      <w:bookmarkEnd w:id="86"/>
      <w:bookmarkStart w:id="87" w:name="_Toc184308037"/>
      <w:bookmarkEnd w:id="87"/>
      <w:bookmarkStart w:id="88" w:name="_Toc184312073"/>
      <w:bookmarkEnd w:id="88"/>
      <w:bookmarkStart w:id="89" w:name="_Toc184310303"/>
      <w:bookmarkEnd w:id="89"/>
      <w:bookmarkStart w:id="90" w:name="_Toc184314438"/>
      <w:bookmarkEnd w:id="90"/>
      <w:bookmarkStart w:id="91" w:name="_Toc184313309"/>
      <w:bookmarkEnd w:id="91"/>
      <w:bookmarkStart w:id="92" w:name="_Toc184314449"/>
      <w:bookmarkEnd w:id="92"/>
      <w:bookmarkStart w:id="93" w:name="_Toc184313294"/>
      <w:bookmarkEnd w:id="93"/>
      <w:bookmarkStart w:id="94" w:name="_Toc184313289"/>
      <w:bookmarkEnd w:id="94"/>
      <w:bookmarkStart w:id="95" w:name="_Toc184308063"/>
      <w:bookmarkEnd w:id="95"/>
      <w:bookmarkStart w:id="96" w:name="_Toc184313251"/>
      <w:bookmarkEnd w:id="96"/>
      <w:bookmarkStart w:id="97" w:name="_Toc184314430"/>
      <w:bookmarkEnd w:id="97"/>
      <w:bookmarkStart w:id="98" w:name="_Toc184308074"/>
      <w:bookmarkEnd w:id="98"/>
      <w:bookmarkStart w:id="99" w:name="_Toc184312128"/>
      <w:bookmarkEnd w:id="99"/>
      <w:bookmarkStart w:id="100" w:name="_Toc184314478"/>
      <w:bookmarkEnd w:id="100"/>
      <w:bookmarkStart w:id="101" w:name="_Toc184310283"/>
      <w:bookmarkEnd w:id="101"/>
      <w:bookmarkStart w:id="102" w:name="_Toc184310321"/>
      <w:bookmarkEnd w:id="102"/>
      <w:bookmarkStart w:id="103" w:name="_Toc184308038"/>
      <w:bookmarkEnd w:id="103"/>
      <w:bookmarkStart w:id="104" w:name="_Toc184314470"/>
      <w:bookmarkEnd w:id="104"/>
      <w:bookmarkStart w:id="105" w:name="_Toc184312092"/>
      <w:bookmarkEnd w:id="105"/>
      <w:bookmarkStart w:id="106" w:name="_Toc184308045"/>
      <w:bookmarkEnd w:id="106"/>
      <w:bookmarkStart w:id="107" w:name="_Toc184312125"/>
      <w:bookmarkEnd w:id="107"/>
      <w:bookmarkStart w:id="108" w:name="_Toc184313277"/>
      <w:bookmarkEnd w:id="108"/>
      <w:bookmarkStart w:id="109" w:name="_Toc184310344"/>
      <w:bookmarkEnd w:id="109"/>
      <w:bookmarkStart w:id="110" w:name="_Toc184314433"/>
      <w:bookmarkEnd w:id="110"/>
      <w:bookmarkStart w:id="111" w:name="_Toc184308094"/>
      <w:bookmarkEnd w:id="111"/>
      <w:bookmarkStart w:id="112" w:name="_Toc184313307"/>
      <w:bookmarkEnd w:id="112"/>
      <w:bookmarkStart w:id="113" w:name="_Toc184308076"/>
      <w:bookmarkEnd w:id="113"/>
      <w:bookmarkStart w:id="114" w:name="_Toc184308061"/>
      <w:bookmarkEnd w:id="114"/>
      <w:bookmarkStart w:id="115" w:name="_Toc184313250"/>
      <w:bookmarkEnd w:id="115"/>
      <w:bookmarkStart w:id="116" w:name="_Toc184314412"/>
      <w:bookmarkEnd w:id="116"/>
      <w:bookmarkStart w:id="117" w:name="_Toc184314421"/>
      <w:bookmarkEnd w:id="117"/>
      <w:bookmarkStart w:id="118" w:name="_Toc184308103"/>
      <w:bookmarkEnd w:id="118"/>
      <w:bookmarkStart w:id="119" w:name="_Toc184313286"/>
      <w:bookmarkEnd w:id="119"/>
      <w:bookmarkStart w:id="120" w:name="_Toc184312123"/>
      <w:bookmarkEnd w:id="120"/>
      <w:bookmarkStart w:id="121" w:name="_Toc184314446"/>
      <w:bookmarkEnd w:id="121"/>
      <w:bookmarkStart w:id="122" w:name="_Toc184313247"/>
      <w:bookmarkEnd w:id="122"/>
      <w:bookmarkStart w:id="123" w:name="_Toc184312098"/>
      <w:bookmarkEnd w:id="123"/>
      <w:bookmarkStart w:id="124" w:name="_Toc184314465"/>
      <w:bookmarkEnd w:id="124"/>
      <w:bookmarkStart w:id="125" w:name="_Toc184308080"/>
      <w:bookmarkEnd w:id="125"/>
      <w:bookmarkStart w:id="126" w:name="_Toc184314414"/>
      <w:bookmarkEnd w:id="126"/>
      <w:bookmarkStart w:id="127" w:name="_Toc184312068"/>
      <w:bookmarkEnd w:id="127"/>
      <w:bookmarkStart w:id="128" w:name="_Toc184308036"/>
      <w:bookmarkEnd w:id="128"/>
      <w:bookmarkStart w:id="129" w:name="_Toc184308039"/>
      <w:bookmarkEnd w:id="129"/>
      <w:bookmarkStart w:id="130" w:name="_Toc184314439"/>
      <w:bookmarkEnd w:id="130"/>
      <w:bookmarkStart w:id="131" w:name="_Toc184312119"/>
      <w:bookmarkEnd w:id="131"/>
      <w:bookmarkStart w:id="132" w:name="_Toc184310338"/>
      <w:bookmarkEnd w:id="132"/>
      <w:bookmarkStart w:id="133" w:name="_Toc184310306"/>
      <w:bookmarkEnd w:id="133"/>
      <w:bookmarkStart w:id="134" w:name="_Toc184308053"/>
      <w:bookmarkEnd w:id="134"/>
      <w:bookmarkStart w:id="135" w:name="_Toc184308056"/>
      <w:bookmarkEnd w:id="135"/>
      <w:bookmarkStart w:id="136" w:name="_Toc184308050"/>
      <w:bookmarkEnd w:id="136"/>
      <w:bookmarkStart w:id="137" w:name="_Toc184313278"/>
      <w:bookmarkEnd w:id="137"/>
      <w:bookmarkStart w:id="138" w:name="_Toc184313266"/>
      <w:bookmarkEnd w:id="138"/>
      <w:bookmarkStart w:id="139" w:name="_Toc184313242"/>
      <w:bookmarkEnd w:id="139"/>
      <w:bookmarkStart w:id="140" w:name="_Toc184313270"/>
      <w:bookmarkEnd w:id="140"/>
      <w:bookmarkStart w:id="141" w:name="_Toc184310316"/>
      <w:bookmarkEnd w:id="141"/>
      <w:bookmarkStart w:id="142" w:name="_Toc184310282"/>
      <w:bookmarkEnd w:id="142"/>
      <w:bookmarkStart w:id="143" w:name="_Toc184314425"/>
      <w:bookmarkEnd w:id="143"/>
      <w:bookmarkStart w:id="144" w:name="_Toc184314471"/>
      <w:bookmarkEnd w:id="144"/>
      <w:bookmarkStart w:id="145" w:name="_Toc184308047"/>
      <w:bookmarkEnd w:id="145"/>
      <w:bookmarkStart w:id="146" w:name="_Toc184312108"/>
      <w:bookmarkEnd w:id="146"/>
      <w:bookmarkStart w:id="147" w:name="_Toc184312136"/>
      <w:bookmarkEnd w:id="147"/>
      <w:bookmarkStart w:id="148" w:name="_Toc184312113"/>
      <w:bookmarkEnd w:id="148"/>
      <w:bookmarkStart w:id="149" w:name="_Toc184312088"/>
      <w:bookmarkEnd w:id="149"/>
      <w:bookmarkStart w:id="150" w:name="_Toc184313258"/>
      <w:bookmarkEnd w:id="150"/>
      <w:bookmarkStart w:id="151" w:name="_Toc184313288"/>
      <w:bookmarkEnd w:id="151"/>
      <w:bookmarkStart w:id="152" w:name="_Toc184313265"/>
      <w:bookmarkEnd w:id="152"/>
      <w:bookmarkStart w:id="153" w:name="_Toc184314475"/>
      <w:bookmarkEnd w:id="153"/>
      <w:bookmarkStart w:id="154" w:name="_Toc184314419"/>
      <w:bookmarkEnd w:id="154"/>
      <w:bookmarkStart w:id="155" w:name="_Toc184312099"/>
      <w:bookmarkEnd w:id="155"/>
      <w:bookmarkStart w:id="156" w:name="_Toc184308083"/>
      <w:bookmarkEnd w:id="156"/>
      <w:bookmarkStart w:id="157" w:name="_Toc184308046"/>
      <w:bookmarkEnd w:id="157"/>
      <w:bookmarkStart w:id="158" w:name="_Toc184310287"/>
      <w:bookmarkEnd w:id="158"/>
      <w:bookmarkStart w:id="159" w:name="_Toc184313282"/>
      <w:bookmarkEnd w:id="159"/>
      <w:bookmarkStart w:id="160" w:name="_Toc184308096"/>
      <w:bookmarkEnd w:id="160"/>
      <w:bookmarkStart w:id="161" w:name="_Toc184310340"/>
      <w:bookmarkEnd w:id="161"/>
      <w:bookmarkStart w:id="162" w:name="_Toc184310309"/>
      <w:bookmarkEnd w:id="162"/>
      <w:bookmarkStart w:id="163" w:name="_Toc184310335"/>
      <w:bookmarkEnd w:id="163"/>
      <w:bookmarkStart w:id="164" w:name="_Toc184310343"/>
      <w:bookmarkEnd w:id="164"/>
      <w:bookmarkStart w:id="165" w:name="_Toc184313274"/>
      <w:bookmarkEnd w:id="165"/>
      <w:bookmarkStart w:id="166" w:name="_Toc184313255"/>
      <w:bookmarkEnd w:id="166"/>
      <w:bookmarkStart w:id="167" w:name="_Toc184313257"/>
      <w:bookmarkEnd w:id="167"/>
      <w:bookmarkStart w:id="168" w:name="_Toc184314451"/>
      <w:bookmarkEnd w:id="168"/>
      <w:bookmarkStart w:id="169" w:name="_Toc184314424"/>
      <w:bookmarkEnd w:id="169"/>
      <w:bookmarkStart w:id="170" w:name="_Toc184312084"/>
      <w:bookmarkEnd w:id="170"/>
      <w:bookmarkStart w:id="171" w:name="_Toc184312124"/>
      <w:bookmarkEnd w:id="171"/>
      <w:bookmarkStart w:id="172" w:name="_Toc184313305"/>
      <w:bookmarkEnd w:id="172"/>
      <w:bookmarkStart w:id="173" w:name="_Toc184314442"/>
      <w:bookmarkEnd w:id="173"/>
      <w:bookmarkStart w:id="174" w:name="_Toc184308098"/>
      <w:bookmarkEnd w:id="174"/>
      <w:bookmarkStart w:id="175" w:name="_Toc184313252"/>
      <w:bookmarkEnd w:id="175"/>
      <w:bookmarkStart w:id="176" w:name="_Toc184312126"/>
      <w:bookmarkEnd w:id="176"/>
      <w:bookmarkStart w:id="177" w:name="_Toc184312081"/>
      <w:bookmarkEnd w:id="177"/>
      <w:bookmarkStart w:id="178" w:name="_Toc184313272"/>
      <w:bookmarkEnd w:id="178"/>
      <w:bookmarkStart w:id="179" w:name="_Toc184312127"/>
      <w:bookmarkEnd w:id="179"/>
      <w:bookmarkStart w:id="180" w:name="_Toc184313264"/>
      <w:bookmarkEnd w:id="180"/>
      <w:bookmarkStart w:id="181" w:name="_Toc184314415"/>
      <w:bookmarkEnd w:id="181"/>
      <w:bookmarkStart w:id="182" w:name="_Toc184313296"/>
      <w:bookmarkEnd w:id="182"/>
      <w:bookmarkStart w:id="183" w:name="_Toc184312083"/>
      <w:bookmarkEnd w:id="183"/>
      <w:bookmarkStart w:id="184" w:name="_Toc184310329"/>
      <w:bookmarkEnd w:id="184"/>
      <w:bookmarkStart w:id="185" w:name="_Toc184312102"/>
      <w:bookmarkEnd w:id="185"/>
      <w:bookmarkStart w:id="186" w:name="_Toc184313306"/>
      <w:bookmarkEnd w:id="186"/>
      <w:bookmarkStart w:id="187" w:name="_Toc184312131"/>
      <w:bookmarkEnd w:id="187"/>
      <w:bookmarkStart w:id="188" w:name="_Toc184312116"/>
      <w:bookmarkEnd w:id="188"/>
      <w:bookmarkStart w:id="189" w:name="_Toc184310291"/>
      <w:bookmarkEnd w:id="189"/>
      <w:bookmarkStart w:id="190" w:name="_Toc184310332"/>
      <w:bookmarkEnd w:id="190"/>
      <w:bookmarkStart w:id="191" w:name="_Toc184313240"/>
      <w:bookmarkEnd w:id="191"/>
      <w:bookmarkStart w:id="192" w:name="_Toc184312087"/>
      <w:bookmarkEnd w:id="192"/>
      <w:bookmarkStart w:id="193" w:name="_Toc184313279"/>
      <w:bookmarkEnd w:id="193"/>
      <w:bookmarkStart w:id="194" w:name="_Toc184313283"/>
      <w:bookmarkEnd w:id="194"/>
      <w:bookmarkStart w:id="195" w:name="_Toc184310337"/>
      <w:bookmarkEnd w:id="195"/>
      <w:bookmarkStart w:id="196" w:name="_Toc184313287"/>
      <w:bookmarkEnd w:id="196"/>
      <w:bookmarkStart w:id="197" w:name="_Toc184312106"/>
      <w:bookmarkEnd w:id="197"/>
      <w:bookmarkStart w:id="198" w:name="_Toc184310322"/>
      <w:bookmarkEnd w:id="198"/>
      <w:bookmarkStart w:id="199" w:name="_Toc184312091"/>
      <w:bookmarkEnd w:id="199"/>
      <w:bookmarkStart w:id="200" w:name="_Toc184308064"/>
      <w:bookmarkEnd w:id="200"/>
      <w:bookmarkStart w:id="201" w:name="_Toc184314417"/>
      <w:bookmarkEnd w:id="201"/>
      <w:bookmarkStart w:id="202" w:name="_Toc184313261"/>
      <w:bookmarkEnd w:id="202"/>
      <w:bookmarkStart w:id="203" w:name="_Toc184314435"/>
      <w:bookmarkEnd w:id="203"/>
      <w:bookmarkStart w:id="204" w:name="_Toc184312112"/>
      <w:bookmarkEnd w:id="204"/>
      <w:bookmarkStart w:id="205" w:name="_Toc184313249"/>
      <w:bookmarkEnd w:id="205"/>
      <w:bookmarkStart w:id="206" w:name="_Toc184312121"/>
      <w:bookmarkEnd w:id="206"/>
      <w:bookmarkStart w:id="207" w:name="_Toc184312110"/>
      <w:bookmarkEnd w:id="207"/>
      <w:bookmarkStart w:id="208" w:name="_Toc184314426"/>
      <w:bookmarkEnd w:id="208"/>
      <w:bookmarkStart w:id="209" w:name="_Toc184314482"/>
      <w:bookmarkEnd w:id="209"/>
      <w:bookmarkStart w:id="210" w:name="_Toc184308084"/>
      <w:bookmarkEnd w:id="210"/>
      <w:bookmarkStart w:id="211" w:name="_Toc184308086"/>
      <w:bookmarkEnd w:id="211"/>
      <w:bookmarkStart w:id="212" w:name="_Toc184313248"/>
      <w:bookmarkEnd w:id="212"/>
      <w:bookmarkStart w:id="213" w:name="_Toc184308070"/>
      <w:bookmarkEnd w:id="213"/>
      <w:bookmarkStart w:id="214" w:name="_Toc184308075"/>
      <w:bookmarkEnd w:id="214"/>
      <w:bookmarkStart w:id="215" w:name="_Toc184312115"/>
      <w:bookmarkEnd w:id="215"/>
      <w:bookmarkStart w:id="216" w:name="_Toc184312138"/>
      <w:bookmarkEnd w:id="216"/>
      <w:bookmarkStart w:id="217" w:name="_Toc184308059"/>
      <w:bookmarkEnd w:id="217"/>
      <w:bookmarkStart w:id="218" w:name="_Toc184310274"/>
      <w:bookmarkEnd w:id="218"/>
      <w:bookmarkStart w:id="219" w:name="_Toc184313268"/>
      <w:bookmarkEnd w:id="219"/>
      <w:bookmarkStart w:id="220" w:name="_Toc184313239"/>
      <w:bookmarkEnd w:id="220"/>
      <w:bookmarkStart w:id="221" w:name="_Toc184312074"/>
      <w:bookmarkEnd w:id="221"/>
      <w:bookmarkStart w:id="222" w:name="_Toc184313302"/>
      <w:bookmarkEnd w:id="222"/>
      <w:bookmarkStart w:id="223" w:name="_Toc184310281"/>
      <w:bookmarkEnd w:id="223"/>
      <w:bookmarkStart w:id="224" w:name="_Toc184314467"/>
      <w:bookmarkEnd w:id="224"/>
      <w:bookmarkStart w:id="225" w:name="_Toc184308048"/>
      <w:bookmarkEnd w:id="225"/>
      <w:bookmarkStart w:id="226" w:name="_Toc184314454"/>
      <w:bookmarkEnd w:id="226"/>
      <w:bookmarkStart w:id="227" w:name="_Toc184310320"/>
      <w:bookmarkEnd w:id="227"/>
      <w:bookmarkStart w:id="228" w:name="_Toc184314458"/>
      <w:bookmarkEnd w:id="228"/>
      <w:bookmarkStart w:id="229" w:name="_Toc184312111"/>
      <w:bookmarkEnd w:id="229"/>
      <w:bookmarkStart w:id="230" w:name="_Toc184312103"/>
      <w:bookmarkEnd w:id="230"/>
      <w:bookmarkStart w:id="231" w:name="_Toc184308092"/>
      <w:bookmarkEnd w:id="231"/>
      <w:bookmarkStart w:id="232" w:name="_Toc184314413"/>
      <w:bookmarkEnd w:id="232"/>
      <w:bookmarkStart w:id="233" w:name="_Toc184314418"/>
      <w:bookmarkEnd w:id="233"/>
      <w:bookmarkStart w:id="234" w:name="_Toc184314423"/>
      <w:bookmarkEnd w:id="234"/>
      <w:bookmarkStart w:id="235" w:name="_Toc184308088"/>
      <w:bookmarkEnd w:id="235"/>
      <w:bookmarkStart w:id="236" w:name="_Toc184308060"/>
      <w:bookmarkEnd w:id="236"/>
      <w:bookmarkStart w:id="237" w:name="_Toc184310342"/>
      <w:bookmarkEnd w:id="237"/>
      <w:bookmarkStart w:id="238" w:name="_Toc184308073"/>
      <w:bookmarkEnd w:id="238"/>
      <w:bookmarkStart w:id="239" w:name="_Toc184308072"/>
      <w:bookmarkEnd w:id="239"/>
      <w:bookmarkStart w:id="240" w:name="_Toc184310310"/>
      <w:bookmarkEnd w:id="240"/>
      <w:bookmarkStart w:id="241" w:name="_Toc184314422"/>
      <w:bookmarkEnd w:id="241"/>
      <w:bookmarkStart w:id="242" w:name="_Toc184308099"/>
      <w:bookmarkEnd w:id="242"/>
      <w:bookmarkStart w:id="243" w:name="_Toc184308049"/>
      <w:bookmarkEnd w:id="243"/>
      <w:bookmarkStart w:id="244" w:name="_Toc184313269"/>
      <w:bookmarkEnd w:id="244"/>
      <w:bookmarkStart w:id="245" w:name="_Toc184314463"/>
      <w:bookmarkEnd w:id="245"/>
      <w:bookmarkStart w:id="246" w:name="_Toc184312070"/>
      <w:bookmarkEnd w:id="246"/>
      <w:bookmarkStart w:id="247" w:name="_Toc184310308"/>
      <w:bookmarkEnd w:id="247"/>
      <w:bookmarkStart w:id="248" w:name="_Toc184312104"/>
      <w:bookmarkEnd w:id="248"/>
      <w:bookmarkStart w:id="249" w:name="_Toc184312077"/>
      <w:bookmarkEnd w:id="249"/>
      <w:bookmarkStart w:id="250" w:name="_Toc184314429"/>
      <w:bookmarkEnd w:id="250"/>
      <w:bookmarkStart w:id="251" w:name="_Toc184314427"/>
      <w:bookmarkEnd w:id="251"/>
      <w:bookmarkStart w:id="252" w:name="_Toc184313308"/>
      <w:bookmarkEnd w:id="252"/>
      <w:bookmarkStart w:id="253" w:name="_Toc184312085"/>
      <w:bookmarkEnd w:id="253"/>
      <w:bookmarkStart w:id="254" w:name="_Toc184314481"/>
      <w:bookmarkEnd w:id="254"/>
      <w:bookmarkStart w:id="255" w:name="_Toc184313260"/>
      <w:bookmarkEnd w:id="255"/>
      <w:bookmarkStart w:id="256" w:name="_Toc184313241"/>
      <w:bookmarkEnd w:id="256"/>
      <w:bookmarkStart w:id="257" w:name="_Toc184310319"/>
      <w:bookmarkEnd w:id="257"/>
      <w:bookmarkStart w:id="258" w:name="_Toc184308067"/>
      <w:bookmarkEnd w:id="258"/>
      <w:bookmarkStart w:id="259" w:name="_Toc184312135"/>
      <w:bookmarkEnd w:id="259"/>
      <w:bookmarkStart w:id="260" w:name="_Toc184310296"/>
      <w:bookmarkEnd w:id="260"/>
      <w:bookmarkStart w:id="261" w:name="_Toc184308090"/>
      <w:bookmarkEnd w:id="261"/>
      <w:bookmarkStart w:id="262" w:name="_Toc184308068"/>
      <w:bookmarkEnd w:id="262"/>
      <w:bookmarkStart w:id="263" w:name="_Toc184310313"/>
      <w:bookmarkEnd w:id="263"/>
      <w:bookmarkStart w:id="264" w:name="_Toc184313280"/>
      <w:bookmarkEnd w:id="264"/>
      <w:bookmarkStart w:id="265" w:name="_Toc184310276"/>
      <w:bookmarkEnd w:id="265"/>
      <w:bookmarkStart w:id="266" w:name="_Toc184312072"/>
      <w:bookmarkEnd w:id="266"/>
      <w:bookmarkStart w:id="267" w:name="_Toc184312086"/>
      <w:bookmarkEnd w:id="267"/>
      <w:bookmarkStart w:id="268" w:name="_Toc184310317"/>
      <w:bookmarkEnd w:id="268"/>
      <w:bookmarkStart w:id="269" w:name="_Toc184314450"/>
      <w:bookmarkEnd w:id="269"/>
      <w:bookmarkStart w:id="270" w:name="_Toc184310295"/>
      <w:bookmarkEnd w:id="270"/>
      <w:bookmarkStart w:id="271" w:name="_Toc184314479"/>
      <w:bookmarkEnd w:id="271"/>
      <w:bookmarkStart w:id="272" w:name="_Toc184314416"/>
      <w:bookmarkEnd w:id="272"/>
      <w:bookmarkStart w:id="273" w:name="_Toc184312137"/>
      <w:bookmarkEnd w:id="273"/>
      <w:bookmarkStart w:id="274" w:name="_Toc184310292"/>
      <w:bookmarkEnd w:id="274"/>
      <w:bookmarkStart w:id="275" w:name="_Toc184314469"/>
      <w:bookmarkEnd w:id="275"/>
      <w:bookmarkStart w:id="276" w:name="_Toc184313271"/>
      <w:bookmarkEnd w:id="276"/>
      <w:bookmarkStart w:id="277" w:name="_Toc184314476"/>
      <w:bookmarkEnd w:id="277"/>
      <w:bookmarkStart w:id="278" w:name="_Toc184314480"/>
      <w:bookmarkEnd w:id="278"/>
      <w:bookmarkStart w:id="279" w:name="_Toc184308097"/>
      <w:bookmarkEnd w:id="279"/>
      <w:bookmarkStart w:id="280" w:name="_Toc184310302"/>
      <w:bookmarkEnd w:id="280"/>
      <w:bookmarkStart w:id="281" w:name="_Toc184310314"/>
      <w:bookmarkEnd w:id="281"/>
      <w:bookmarkStart w:id="282" w:name="_Toc184310336"/>
      <w:bookmarkEnd w:id="282"/>
      <w:bookmarkStart w:id="283" w:name="_Toc184312107"/>
      <w:bookmarkEnd w:id="283"/>
      <w:bookmarkStart w:id="284" w:name="_Toc184310272"/>
      <w:bookmarkEnd w:id="284"/>
      <w:bookmarkStart w:id="285" w:name="_Toc184308081"/>
      <w:bookmarkEnd w:id="285"/>
      <w:bookmarkStart w:id="286" w:name="_Toc184308057"/>
      <w:bookmarkEnd w:id="286"/>
      <w:bookmarkStart w:id="287" w:name="_Toc184312095"/>
      <w:bookmarkEnd w:id="287"/>
      <w:bookmarkStart w:id="288" w:name="_Toc184314461"/>
      <w:bookmarkEnd w:id="288"/>
      <w:bookmarkStart w:id="289" w:name="_Toc184308071"/>
      <w:bookmarkEnd w:id="289"/>
      <w:bookmarkStart w:id="290" w:name="_Toc184312120"/>
      <w:bookmarkEnd w:id="290"/>
      <w:bookmarkStart w:id="291" w:name="_Toc184314448"/>
      <w:bookmarkEnd w:id="291"/>
      <w:bookmarkStart w:id="292" w:name="_Toc184313281"/>
      <w:bookmarkEnd w:id="292"/>
      <w:bookmarkStart w:id="293" w:name="_Toc184313238"/>
      <w:bookmarkEnd w:id="293"/>
      <w:bookmarkStart w:id="294" w:name="_Toc184314459"/>
      <w:bookmarkEnd w:id="294"/>
      <w:bookmarkStart w:id="295" w:name="_Toc184313262"/>
      <w:bookmarkEnd w:id="295"/>
      <w:bookmarkStart w:id="296" w:name="_Toc184313275"/>
      <w:bookmarkEnd w:id="296"/>
      <w:bookmarkStart w:id="297" w:name="_Toc184308085"/>
      <w:bookmarkEnd w:id="297"/>
      <w:bookmarkStart w:id="298" w:name="_Toc184308091"/>
      <w:bookmarkEnd w:id="298"/>
      <w:bookmarkStart w:id="299" w:name="_Toc184308054"/>
      <w:bookmarkEnd w:id="299"/>
      <w:bookmarkStart w:id="300" w:name="_Toc184314474"/>
      <w:bookmarkEnd w:id="300"/>
      <w:bookmarkStart w:id="301" w:name="_Toc184310290"/>
      <w:bookmarkEnd w:id="301"/>
      <w:bookmarkStart w:id="302" w:name="_Toc184308077"/>
      <w:bookmarkEnd w:id="302"/>
      <w:bookmarkStart w:id="303" w:name="_Toc184312093"/>
      <w:bookmarkEnd w:id="303"/>
      <w:bookmarkStart w:id="304" w:name="_Toc184310341"/>
      <w:bookmarkEnd w:id="304"/>
      <w:bookmarkStart w:id="305" w:name="_Toc184314464"/>
      <w:bookmarkEnd w:id="305"/>
      <w:bookmarkStart w:id="306" w:name="_Toc184308082"/>
      <w:bookmarkEnd w:id="306"/>
      <w:bookmarkStart w:id="307" w:name="_Toc184313292"/>
      <w:bookmarkEnd w:id="307"/>
      <w:bookmarkStart w:id="308" w:name="_Toc184314437"/>
      <w:bookmarkEnd w:id="308"/>
      <w:bookmarkStart w:id="309" w:name="_Toc184312069"/>
      <w:bookmarkEnd w:id="309"/>
      <w:bookmarkStart w:id="310" w:name="_Toc184308040"/>
      <w:bookmarkEnd w:id="310"/>
      <w:bookmarkStart w:id="311" w:name="_Toc184312080"/>
      <w:bookmarkEnd w:id="311"/>
      <w:bookmarkStart w:id="312" w:name="_Toc184314410"/>
      <w:bookmarkEnd w:id="312"/>
      <w:bookmarkStart w:id="313" w:name="_Toc184313290"/>
      <w:bookmarkEnd w:id="313"/>
      <w:bookmarkStart w:id="314" w:name="_Toc184310293"/>
      <w:bookmarkEnd w:id="314"/>
      <w:bookmarkStart w:id="315" w:name="_Toc184314447"/>
      <w:bookmarkEnd w:id="315"/>
      <w:bookmarkStart w:id="316" w:name="_Toc184312090"/>
      <w:bookmarkEnd w:id="316"/>
      <w:bookmarkStart w:id="317" w:name="_Toc184314434"/>
      <w:bookmarkEnd w:id="317"/>
      <w:bookmarkStart w:id="318" w:name="_Toc184312079"/>
      <w:bookmarkEnd w:id="318"/>
      <w:bookmarkStart w:id="319" w:name="_Toc184314431"/>
      <w:bookmarkEnd w:id="319"/>
      <w:bookmarkStart w:id="320" w:name="_Toc184308105"/>
      <w:bookmarkEnd w:id="320"/>
      <w:bookmarkStart w:id="321" w:name="_Toc184313297"/>
      <w:bookmarkEnd w:id="321"/>
      <w:bookmarkStart w:id="322" w:name="_Toc184308052"/>
      <w:bookmarkEnd w:id="322"/>
      <w:bookmarkStart w:id="323" w:name="_Toc184308055"/>
      <w:bookmarkEnd w:id="323"/>
      <w:bookmarkStart w:id="324" w:name="_Toc184314456"/>
      <w:bookmarkEnd w:id="324"/>
      <w:bookmarkStart w:id="325" w:name="_Toc184310273"/>
      <w:bookmarkEnd w:id="325"/>
      <w:bookmarkStart w:id="326" w:name="_Toc184313254"/>
      <w:bookmarkEnd w:id="326"/>
      <w:bookmarkStart w:id="327" w:name="_Toc184308051"/>
      <w:bookmarkEnd w:id="327"/>
      <w:bookmarkStart w:id="328" w:name="_Toc184310286"/>
      <w:bookmarkEnd w:id="328"/>
      <w:bookmarkStart w:id="329" w:name="_Toc184314473"/>
      <w:bookmarkEnd w:id="329"/>
      <w:bookmarkStart w:id="330" w:name="_Toc184312109"/>
      <w:bookmarkEnd w:id="330"/>
      <w:bookmarkStart w:id="331" w:name="_Toc184312082"/>
      <w:bookmarkEnd w:id="331"/>
      <w:bookmarkStart w:id="332" w:name="_Toc184312067"/>
      <w:bookmarkEnd w:id="332"/>
      <w:bookmarkStart w:id="333" w:name="_Toc184310300"/>
      <w:bookmarkEnd w:id="333"/>
      <w:bookmarkStart w:id="334" w:name="_Toc184310304"/>
      <w:bookmarkEnd w:id="334"/>
      <w:bookmarkStart w:id="335" w:name="_Toc184312133"/>
      <w:bookmarkEnd w:id="335"/>
      <w:bookmarkStart w:id="336" w:name="_Toc184310288"/>
      <w:bookmarkEnd w:id="336"/>
      <w:bookmarkStart w:id="337" w:name="_Toc184314477"/>
      <w:bookmarkEnd w:id="337"/>
      <w:bookmarkStart w:id="338" w:name="_Toc184313246"/>
      <w:bookmarkEnd w:id="338"/>
      <w:bookmarkStart w:id="339" w:name="_Toc184312132"/>
      <w:bookmarkEnd w:id="339"/>
      <w:bookmarkStart w:id="340" w:name="_Toc184314468"/>
      <w:bookmarkEnd w:id="340"/>
      <w:bookmarkStart w:id="341" w:name="_Toc184312129"/>
      <w:bookmarkEnd w:id="341"/>
      <w:bookmarkStart w:id="342" w:name="_Toc184314440"/>
      <w:bookmarkEnd w:id="342"/>
      <w:bookmarkStart w:id="343" w:name="_Toc184310277"/>
      <w:bookmarkEnd w:id="343"/>
      <w:bookmarkStart w:id="344" w:name="_Toc184314428"/>
      <w:bookmarkEnd w:id="344"/>
      <w:bookmarkStart w:id="345" w:name="_Toc184313243"/>
      <w:bookmarkEnd w:id="345"/>
      <w:bookmarkStart w:id="346" w:name="_Toc184308043"/>
      <w:bookmarkEnd w:id="346"/>
      <w:bookmarkStart w:id="347" w:name="_Toc184310280"/>
      <w:bookmarkEnd w:id="347"/>
      <w:bookmarkStart w:id="348" w:name="_Toc184310324"/>
      <w:bookmarkEnd w:id="348"/>
      <w:bookmarkStart w:id="349" w:name="_Toc184310298"/>
      <w:bookmarkEnd w:id="349"/>
      <w:bookmarkStart w:id="350" w:name="_Toc184310330"/>
      <w:bookmarkEnd w:id="350"/>
      <w:bookmarkStart w:id="351" w:name="_Toc184310312"/>
      <w:bookmarkEnd w:id="351"/>
      <w:bookmarkStart w:id="352" w:name="_Toc184310275"/>
      <w:bookmarkEnd w:id="352"/>
      <w:bookmarkStart w:id="353" w:name="_Toc184313300"/>
      <w:bookmarkEnd w:id="353"/>
      <w:bookmarkStart w:id="354" w:name="_Toc184310323"/>
      <w:bookmarkEnd w:id="354"/>
      <w:bookmarkStart w:id="355" w:name="_Toc184312075"/>
      <w:bookmarkEnd w:id="355"/>
      <w:bookmarkStart w:id="356" w:name="_Toc184308065"/>
      <w:bookmarkEnd w:id="356"/>
      <w:bookmarkStart w:id="357" w:name="_Toc184312139"/>
      <w:bookmarkEnd w:id="357"/>
      <w:bookmarkStart w:id="358" w:name="_Toc184312078"/>
      <w:bookmarkEnd w:id="358"/>
      <w:bookmarkStart w:id="359" w:name="_Toc184310299"/>
      <w:bookmarkEnd w:id="359"/>
      <w:bookmarkStart w:id="360" w:name="_Toc184308042"/>
      <w:bookmarkEnd w:id="360"/>
      <w:bookmarkStart w:id="361" w:name="_Toc184308069"/>
      <w:bookmarkEnd w:id="361"/>
      <w:bookmarkStart w:id="362" w:name="_Toc184308079"/>
      <w:bookmarkEnd w:id="362"/>
      <w:bookmarkStart w:id="363" w:name="_Toc184308106"/>
      <w:bookmarkEnd w:id="363"/>
      <w:bookmarkStart w:id="364" w:name="_Toc184314445"/>
      <w:bookmarkEnd w:id="364"/>
      <w:bookmarkStart w:id="365" w:name="_Toc184314460"/>
      <w:bookmarkEnd w:id="365"/>
      <w:bookmarkStart w:id="366" w:name="_Toc184313276"/>
      <w:bookmarkEnd w:id="366"/>
      <w:bookmarkStart w:id="367" w:name="_Toc184310279"/>
      <w:bookmarkEnd w:id="367"/>
      <w:bookmarkStart w:id="368" w:name="_Toc184312096"/>
      <w:bookmarkEnd w:id="368"/>
      <w:bookmarkStart w:id="369" w:name="_Toc184312101"/>
      <w:bookmarkEnd w:id="369"/>
      <w:bookmarkStart w:id="370" w:name="_Toc184313310"/>
      <w:bookmarkEnd w:id="370"/>
      <w:bookmarkStart w:id="371" w:name="_Toc184310326"/>
      <w:bookmarkEnd w:id="371"/>
      <w:bookmarkStart w:id="372" w:name="_Toc184310278"/>
      <w:bookmarkEnd w:id="372"/>
      <w:bookmarkStart w:id="373" w:name="_Toc184308108"/>
      <w:bookmarkEnd w:id="373"/>
      <w:bookmarkStart w:id="374" w:name="_Toc184310301"/>
      <w:bookmarkEnd w:id="374"/>
      <w:bookmarkStart w:id="375" w:name="_Toc184310328"/>
      <w:bookmarkEnd w:id="375"/>
      <w:bookmarkStart w:id="376" w:name="_Toc184314436"/>
      <w:bookmarkEnd w:id="376"/>
      <w:bookmarkStart w:id="377" w:name="_Toc184308104"/>
      <w:bookmarkEnd w:id="377"/>
      <w:bookmarkStart w:id="378" w:name="_Toc184313295"/>
      <w:bookmarkEnd w:id="378"/>
      <w:bookmarkStart w:id="379" w:name="_Toc184312130"/>
      <w:bookmarkEnd w:id="379"/>
      <w:bookmarkStart w:id="380" w:name="_Toc184312089"/>
      <w:bookmarkEnd w:id="380"/>
      <w:bookmarkStart w:id="381" w:name="_Toc184313293"/>
      <w:bookmarkEnd w:id="381"/>
      <w:bookmarkStart w:id="382" w:name="_Toc184310284"/>
      <w:bookmarkEnd w:id="382"/>
      <w:bookmarkStart w:id="383" w:name="_Toc184312094"/>
      <w:bookmarkEnd w:id="383"/>
      <w:bookmarkStart w:id="384" w:name="_Toc184308107"/>
      <w:bookmarkEnd w:id="384"/>
      <w:bookmarkStart w:id="385" w:name="_Toc184310334"/>
      <w:bookmarkEnd w:id="385"/>
      <w:bookmarkStart w:id="386" w:name="_Toc184314444"/>
      <w:bookmarkEnd w:id="386"/>
      <w:bookmarkStart w:id="387" w:name="_Toc184313299"/>
      <w:bookmarkEnd w:id="387"/>
      <w:bookmarkStart w:id="388" w:name="_Toc184310305"/>
      <w:bookmarkEnd w:id="388"/>
      <w:bookmarkStart w:id="389" w:name="_Toc184310311"/>
      <w:bookmarkEnd w:id="389"/>
      <w:bookmarkStart w:id="390" w:name="_Toc184313291"/>
      <w:bookmarkEnd w:id="390"/>
      <w:bookmarkStart w:id="391" w:name="_Toc184313304"/>
      <w:bookmarkEnd w:id="391"/>
      <w:bookmarkStart w:id="392" w:name="_Toc184313284"/>
      <w:bookmarkEnd w:id="392"/>
      <w:bookmarkStart w:id="393" w:name="_Toc184314443"/>
      <w:bookmarkEnd w:id="393"/>
      <w:bookmarkStart w:id="394" w:name="_Toc184312114"/>
      <w:bookmarkEnd w:id="394"/>
      <w:bookmarkStart w:id="395" w:name="_Toc184310333"/>
      <w:bookmarkEnd w:id="395"/>
      <w:bookmarkStart w:id="396" w:name="_Toc184313263"/>
      <w:bookmarkEnd w:id="396"/>
      <w:bookmarkStart w:id="397" w:name="_Toc184310307"/>
      <w:bookmarkEnd w:id="397"/>
      <w:r>
        <w:rPr>
          <w:rFonts w:hint="eastAsia" w:ascii="仿宋_GB2312" w:hAnsi="仿宋" w:eastAsia="仿宋_GB2312" w:cs="仿宋_GB2312"/>
          <w:b/>
          <w:color w:val="auto"/>
          <w:sz w:val="36"/>
          <w:szCs w:val="36"/>
          <w:highlight w:val="none"/>
        </w:rPr>
        <w:t>评标办法</w:t>
      </w:r>
    </w:p>
    <w:p>
      <w:pPr>
        <w:snapToGrid w:val="0"/>
        <w:spacing w:line="360" w:lineRule="auto"/>
        <w:jc w:val="center"/>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评标办法前附表</w:t>
      </w:r>
    </w:p>
    <w:tbl>
      <w:tblPr>
        <w:tblStyle w:val="62"/>
        <w:tblW w:w="10351" w:type="dxa"/>
        <w:jc w:val="center"/>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3"/>
        <w:gridCol w:w="1250"/>
        <w:gridCol w:w="6336"/>
        <w:gridCol w:w="702"/>
        <w:gridCol w:w="1240"/>
      </w:tblGrid>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823" w:type="dxa"/>
            <w:vAlign w:val="center"/>
          </w:tcPr>
          <w:p>
            <w:pPr>
              <w:spacing w:line="30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1250" w:type="dxa"/>
            <w:vAlign w:val="center"/>
          </w:tcPr>
          <w:p>
            <w:pPr>
              <w:spacing w:line="300" w:lineRule="exact"/>
              <w:ind w:firstLine="241" w:firstLineChars="1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项目</w:t>
            </w:r>
          </w:p>
        </w:tc>
        <w:tc>
          <w:tcPr>
            <w:tcW w:w="6336" w:type="dxa"/>
            <w:vAlign w:val="center"/>
          </w:tcPr>
          <w:p>
            <w:pPr>
              <w:spacing w:line="3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评标标准及分值</w:t>
            </w:r>
          </w:p>
        </w:tc>
        <w:tc>
          <w:tcPr>
            <w:tcW w:w="702" w:type="dxa"/>
            <w:vAlign w:val="center"/>
          </w:tcPr>
          <w:p>
            <w:pPr>
              <w:spacing w:line="300" w:lineRule="exact"/>
              <w:jc w:val="center"/>
              <w:rPr>
                <w:rFonts w:ascii="仿宋" w:hAnsi="仿宋" w:eastAsia="仿宋" w:cs="仿宋"/>
                <w:b/>
                <w:bCs/>
                <w:color w:val="auto"/>
                <w:kern w:val="0"/>
                <w:sz w:val="24"/>
                <w:highlight w:val="none"/>
              </w:rPr>
            </w:pPr>
            <w:r>
              <w:rPr>
                <w:rFonts w:hint="eastAsia" w:ascii="仿宋" w:hAnsi="仿宋" w:eastAsia="仿宋" w:cs="仿宋"/>
                <w:bCs/>
                <w:color w:val="auto"/>
                <w:sz w:val="24"/>
                <w:highlight w:val="none"/>
              </w:rPr>
              <w:t>权重</w:t>
            </w:r>
          </w:p>
        </w:tc>
        <w:tc>
          <w:tcPr>
            <w:tcW w:w="1240" w:type="dxa"/>
            <w:vAlign w:val="center"/>
          </w:tcPr>
          <w:p>
            <w:pPr>
              <w:spacing w:line="300" w:lineRule="exact"/>
              <w:jc w:val="center"/>
              <w:rPr>
                <w:rFonts w:ascii="仿宋" w:hAnsi="仿宋" w:eastAsia="仿宋" w:cs="仿宋"/>
                <w:b/>
                <w:bCs/>
                <w:color w:val="auto"/>
                <w:kern w:val="0"/>
                <w:sz w:val="24"/>
                <w:highlight w:val="none"/>
              </w:rPr>
            </w:pPr>
            <w:r>
              <w:rPr>
                <w:rFonts w:hint="eastAsia" w:ascii="仿宋" w:hAnsi="仿宋" w:eastAsia="仿宋" w:cs="仿宋"/>
                <w:bCs/>
                <w:color w:val="auto"/>
                <w:sz w:val="24"/>
                <w:highlight w:val="none"/>
                <w:lang w:eastAsia="zh-CN"/>
              </w:rPr>
              <w:t>响应文件</w:t>
            </w:r>
            <w:r>
              <w:rPr>
                <w:rFonts w:hint="eastAsia" w:ascii="仿宋" w:hAnsi="仿宋" w:eastAsia="仿宋" w:cs="仿宋"/>
                <w:bCs/>
                <w:color w:val="auto"/>
                <w:sz w:val="24"/>
                <w:highlight w:val="none"/>
              </w:rPr>
              <w:t>中评标标准相应的商务技术资料目录 *</w:t>
            </w: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jc w:val="center"/>
        </w:trPr>
        <w:tc>
          <w:tcPr>
            <w:tcW w:w="823" w:type="dxa"/>
            <w:vMerge w:val="restart"/>
            <w:tcBorders>
              <w:top w:val="single" w:color="auto" w:sz="4" w:space="0"/>
            </w:tcBorders>
            <w:vAlign w:val="center"/>
          </w:tcPr>
          <w:p>
            <w:pPr>
              <w:snapToGrid w:val="0"/>
              <w:spacing w:line="360" w:lineRule="auto"/>
              <w:jc w:val="center"/>
              <w:rPr>
                <w:rFonts w:ascii="仿宋" w:hAnsi="仿宋" w:eastAsia="仿宋" w:cs="仿宋"/>
                <w:bCs/>
                <w:color w:val="auto"/>
                <w:kern w:val="0"/>
                <w:sz w:val="24"/>
                <w:highlight w:val="none"/>
              </w:rPr>
            </w:pPr>
            <w:r>
              <w:rPr>
                <w:rFonts w:hint="eastAsia" w:ascii="仿宋" w:hAnsi="仿宋" w:eastAsia="仿宋" w:cs="仿宋"/>
                <w:color w:val="auto"/>
                <w:kern w:val="0"/>
                <w:sz w:val="24"/>
                <w:highlight w:val="none"/>
              </w:rPr>
              <w:t>1</w:t>
            </w:r>
          </w:p>
        </w:tc>
        <w:tc>
          <w:tcPr>
            <w:tcW w:w="1250" w:type="dxa"/>
            <w:vMerge w:val="restart"/>
            <w:tcBorders>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技术服务方案（49分）</w:t>
            </w:r>
          </w:p>
        </w:tc>
        <w:tc>
          <w:tcPr>
            <w:tcW w:w="6336" w:type="dxa"/>
            <w:tcBorders>
              <w:left w:val="single" w:color="auto" w:sz="4" w:space="0"/>
            </w:tcBorders>
            <w:vAlign w:val="center"/>
          </w:tcPr>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1、对本项目背景和需求的分析</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对</w:t>
            </w:r>
            <w:r>
              <w:rPr>
                <w:rFonts w:hint="eastAsia" w:ascii="仿宋" w:hAnsi="仿宋" w:eastAsia="仿宋" w:cs="仿宋"/>
                <w:color w:val="auto"/>
                <w:kern w:val="0"/>
                <w:sz w:val="24"/>
                <w:highlight w:val="none"/>
              </w:rPr>
              <w:t>项目背景</w:t>
            </w:r>
            <w:r>
              <w:rPr>
                <w:rFonts w:hint="eastAsia" w:ascii="仿宋" w:hAnsi="仿宋" w:eastAsia="仿宋" w:cs="仿宋"/>
                <w:color w:val="auto"/>
                <w:sz w:val="24"/>
                <w:highlight w:val="none"/>
              </w:rPr>
              <w:t>情况了解全面，</w:t>
            </w:r>
            <w:r>
              <w:rPr>
                <w:rFonts w:hint="eastAsia" w:ascii="仿宋" w:hAnsi="仿宋" w:eastAsia="仿宋" w:cs="仿宋"/>
                <w:color w:val="auto"/>
                <w:sz w:val="24"/>
                <w:highlight w:val="none"/>
                <w:shd w:val="clear" w:color="auto" w:fill="FFFFFF"/>
              </w:rPr>
              <w:t>对本项目需求</w:t>
            </w:r>
            <w:r>
              <w:rPr>
                <w:rFonts w:hint="eastAsia" w:ascii="仿宋" w:hAnsi="仿宋" w:eastAsia="仿宋" w:cs="仿宋"/>
                <w:color w:val="auto"/>
                <w:sz w:val="24"/>
                <w:highlight w:val="none"/>
              </w:rPr>
              <w:t>的</w:t>
            </w:r>
            <w:r>
              <w:rPr>
                <w:rFonts w:hint="eastAsia" w:ascii="仿宋" w:hAnsi="仿宋" w:eastAsia="仿宋" w:cs="仿宋"/>
                <w:bCs/>
                <w:color w:val="auto"/>
                <w:sz w:val="24"/>
                <w:highlight w:val="none"/>
              </w:rPr>
              <w:t>理解分析</w:t>
            </w:r>
            <w:r>
              <w:rPr>
                <w:rFonts w:hint="eastAsia" w:ascii="仿宋" w:hAnsi="仿宋" w:eastAsia="仿宋" w:cs="仿宋"/>
                <w:color w:val="auto"/>
                <w:sz w:val="24"/>
                <w:highlight w:val="none"/>
              </w:rPr>
              <w:t>准确、深入、到位的得4.1-5分；了解</w:t>
            </w:r>
            <w:r>
              <w:rPr>
                <w:rFonts w:hint="eastAsia" w:ascii="仿宋" w:hAnsi="仿宋" w:eastAsia="仿宋" w:cs="仿宋"/>
                <w:color w:val="auto"/>
                <w:sz w:val="24"/>
                <w:highlight w:val="none"/>
                <w:lang w:bidi="ar"/>
              </w:rPr>
              <w:t>基本到位，</w:t>
            </w:r>
            <w:r>
              <w:rPr>
                <w:rFonts w:hint="eastAsia" w:ascii="仿宋" w:hAnsi="仿宋" w:eastAsia="仿宋" w:cs="仿宋"/>
                <w:color w:val="auto"/>
                <w:kern w:val="0"/>
                <w:sz w:val="24"/>
                <w:highlight w:val="none"/>
              </w:rPr>
              <w:t>理解分析基本正确</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部分</w:t>
            </w:r>
            <w:r>
              <w:rPr>
                <w:rFonts w:hint="eastAsia" w:ascii="仿宋" w:hAnsi="仿宋" w:eastAsia="仿宋" w:cs="仿宋"/>
                <w:color w:val="auto"/>
                <w:sz w:val="24"/>
                <w:highlight w:val="none"/>
              </w:rPr>
              <w:t>稍有欠缺的的得2.1-4分；阐述</w:t>
            </w:r>
            <w:r>
              <w:rPr>
                <w:rFonts w:hint="eastAsia" w:ascii="仿宋" w:hAnsi="仿宋" w:eastAsia="仿宋" w:cs="仿宋"/>
                <w:color w:val="auto"/>
                <w:sz w:val="24"/>
                <w:highlight w:val="none"/>
                <w:lang w:bidi="ar"/>
              </w:rPr>
              <w:t>简单</w:t>
            </w:r>
            <w:r>
              <w:rPr>
                <w:rFonts w:hint="eastAsia" w:ascii="仿宋" w:hAnsi="仿宋" w:eastAsia="仿宋" w:cs="仿宋"/>
                <w:color w:val="auto"/>
                <w:sz w:val="24"/>
                <w:highlight w:val="none"/>
              </w:rPr>
              <w:t>欠缺的得0.1-2分；未提供不得分。</w:t>
            </w:r>
          </w:p>
        </w:tc>
        <w:tc>
          <w:tcPr>
            <w:tcW w:w="702"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240" w:type="dxa"/>
            <w:vAlign w:val="center"/>
          </w:tcPr>
          <w:p>
            <w:pPr>
              <w:spacing w:line="360" w:lineRule="auto"/>
              <w:jc w:val="center"/>
              <w:rPr>
                <w:rFonts w:ascii="仿宋" w:hAnsi="仿宋" w:eastAsia="仿宋" w:cs="仿宋"/>
                <w:color w:val="auto"/>
                <w:sz w:val="24"/>
                <w:highlight w:val="none"/>
              </w:rPr>
            </w:pP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jc w:val="center"/>
        </w:trPr>
        <w:tc>
          <w:tcPr>
            <w:tcW w:w="823" w:type="dxa"/>
            <w:vMerge w:val="continue"/>
            <w:vAlign w:val="center"/>
          </w:tcPr>
          <w:p>
            <w:pPr>
              <w:snapToGrid w:val="0"/>
              <w:spacing w:line="360" w:lineRule="auto"/>
              <w:jc w:val="center"/>
              <w:rPr>
                <w:rFonts w:ascii="仿宋" w:hAnsi="仿宋" w:eastAsia="仿宋" w:cs="仿宋"/>
                <w:color w:val="auto"/>
                <w:kern w:val="0"/>
                <w:sz w:val="24"/>
                <w:highlight w:val="none"/>
              </w:rPr>
            </w:pPr>
          </w:p>
        </w:tc>
        <w:tc>
          <w:tcPr>
            <w:tcW w:w="1250" w:type="dxa"/>
            <w:vMerge w:val="continue"/>
            <w:tcBorders>
              <w:right w:val="single" w:color="auto" w:sz="4" w:space="0"/>
            </w:tcBorders>
            <w:vAlign w:val="center"/>
          </w:tcPr>
          <w:p>
            <w:pPr>
              <w:spacing w:line="360" w:lineRule="auto"/>
              <w:rPr>
                <w:rFonts w:ascii="仿宋" w:hAnsi="仿宋" w:eastAsia="仿宋" w:cs="仿宋"/>
                <w:color w:val="auto"/>
                <w:sz w:val="24"/>
                <w:highlight w:val="none"/>
              </w:rPr>
            </w:pPr>
          </w:p>
        </w:tc>
        <w:tc>
          <w:tcPr>
            <w:tcW w:w="6336" w:type="dxa"/>
            <w:tcBorders>
              <w:left w:val="single" w:color="auto" w:sz="4" w:space="0"/>
            </w:tcBorders>
            <w:vAlign w:val="center"/>
          </w:tcPr>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2、对项目的重点、难点分析</w:t>
            </w:r>
          </w:p>
          <w:p>
            <w:pPr>
              <w:pStyle w:val="512"/>
              <w:spacing w:line="360" w:lineRule="auto"/>
              <w:ind w:firstLine="460"/>
              <w:rPr>
                <w:rFonts w:ascii="仿宋" w:hAnsi="仿宋" w:eastAsia="仿宋" w:cs="仿宋"/>
                <w:color w:val="auto"/>
                <w:szCs w:val="24"/>
                <w:highlight w:val="none"/>
              </w:rPr>
            </w:pPr>
            <w:r>
              <w:rPr>
                <w:rFonts w:hint="eastAsia" w:ascii="仿宋" w:hAnsi="仿宋" w:eastAsia="仿宋" w:cs="仿宋"/>
                <w:color w:val="auto"/>
                <w:szCs w:val="24"/>
                <w:highlight w:val="none"/>
              </w:rPr>
              <w:t>对重难点问题的分析全面合理、准确到位，针对性强，提出应对措施系统、科学、合理，可行性强的得4.1-5分；分析基本正确，应对措施的合理性可行性稍有欠缺的得2.1-4分；分析简单，应对措施的合理性可行性比较欠缺的得0.1-2分；未提供不得分。</w:t>
            </w:r>
          </w:p>
        </w:tc>
        <w:tc>
          <w:tcPr>
            <w:tcW w:w="702"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240" w:type="dxa"/>
            <w:vAlign w:val="center"/>
          </w:tcPr>
          <w:p>
            <w:pPr>
              <w:spacing w:line="360" w:lineRule="auto"/>
              <w:jc w:val="center"/>
              <w:rPr>
                <w:rFonts w:ascii="仿宋" w:hAnsi="仿宋" w:eastAsia="仿宋" w:cs="仿宋"/>
                <w:color w:val="auto"/>
                <w:sz w:val="24"/>
                <w:highlight w:val="none"/>
              </w:rPr>
            </w:pP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823" w:type="dxa"/>
            <w:vMerge w:val="continue"/>
            <w:vAlign w:val="center"/>
          </w:tcPr>
          <w:p>
            <w:pPr>
              <w:snapToGrid w:val="0"/>
              <w:spacing w:line="360" w:lineRule="auto"/>
              <w:jc w:val="center"/>
              <w:rPr>
                <w:rFonts w:ascii="仿宋" w:hAnsi="仿宋" w:eastAsia="仿宋" w:cs="仿宋"/>
                <w:color w:val="auto"/>
                <w:kern w:val="0"/>
                <w:sz w:val="24"/>
                <w:highlight w:val="none"/>
              </w:rPr>
            </w:pPr>
          </w:p>
        </w:tc>
        <w:tc>
          <w:tcPr>
            <w:tcW w:w="1250" w:type="dxa"/>
            <w:vMerge w:val="continue"/>
            <w:tcBorders>
              <w:right w:val="single" w:color="auto" w:sz="4" w:space="0"/>
            </w:tcBorders>
            <w:vAlign w:val="center"/>
          </w:tcPr>
          <w:p>
            <w:pPr>
              <w:spacing w:line="360" w:lineRule="auto"/>
              <w:rPr>
                <w:rFonts w:ascii="仿宋" w:hAnsi="仿宋" w:eastAsia="仿宋" w:cs="仿宋"/>
                <w:color w:val="auto"/>
                <w:sz w:val="24"/>
                <w:highlight w:val="none"/>
              </w:rPr>
            </w:pPr>
          </w:p>
        </w:tc>
        <w:tc>
          <w:tcPr>
            <w:tcW w:w="6336" w:type="dxa"/>
            <w:tcBorders>
              <w:left w:val="single" w:color="auto" w:sz="4" w:space="0"/>
            </w:tcBorders>
            <w:vAlign w:val="center"/>
          </w:tcPr>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3、项目相关基础资料的收集及分析方案</w:t>
            </w:r>
          </w:p>
          <w:p>
            <w:pPr>
              <w:pStyle w:val="512"/>
              <w:spacing w:line="360" w:lineRule="auto"/>
              <w:ind w:firstLine="460"/>
              <w:rPr>
                <w:rFonts w:ascii="仿宋" w:hAnsi="仿宋" w:eastAsia="仿宋" w:cs="仿宋"/>
                <w:color w:val="auto"/>
                <w:szCs w:val="24"/>
                <w:highlight w:val="none"/>
              </w:rPr>
            </w:pPr>
            <w:r>
              <w:rPr>
                <w:rFonts w:hint="eastAsia" w:ascii="仿宋" w:hAnsi="仿宋" w:eastAsia="仿宋" w:cs="仿宋"/>
                <w:color w:val="auto"/>
                <w:szCs w:val="24"/>
                <w:highlight w:val="none"/>
              </w:rPr>
              <w:t>方案内容具体完善、工作思路表述清晰</w:t>
            </w:r>
            <w:r>
              <w:rPr>
                <w:rFonts w:hint="eastAsia" w:ascii="仿宋" w:hAnsi="仿宋" w:eastAsia="仿宋" w:cs="仿宋"/>
                <w:bCs/>
                <w:color w:val="auto"/>
                <w:szCs w:val="24"/>
                <w:highlight w:val="none"/>
              </w:rPr>
              <w:t>明确</w:t>
            </w:r>
            <w:r>
              <w:rPr>
                <w:rFonts w:hint="eastAsia" w:ascii="仿宋" w:hAnsi="仿宋" w:eastAsia="仿宋" w:cs="仿宋"/>
                <w:color w:val="auto"/>
                <w:szCs w:val="24"/>
                <w:highlight w:val="none"/>
              </w:rPr>
              <w:t>、技术路线科学合理性、可操作性强，满足采购需求，有利于项目实施的得4.1-5分；方案内容基本</w:t>
            </w:r>
            <w:r>
              <w:rPr>
                <w:rFonts w:hint="eastAsia" w:ascii="仿宋" w:hAnsi="仿宋" w:eastAsia="仿宋" w:cs="仿宋"/>
                <w:bCs/>
                <w:color w:val="auto"/>
                <w:szCs w:val="24"/>
                <w:highlight w:val="none"/>
              </w:rPr>
              <w:t>完整</w:t>
            </w:r>
            <w:r>
              <w:rPr>
                <w:rFonts w:hint="eastAsia" w:ascii="仿宋" w:hAnsi="仿宋" w:eastAsia="仿宋" w:cs="仿宋"/>
                <w:color w:val="auto"/>
                <w:szCs w:val="24"/>
                <w:highlight w:val="none"/>
              </w:rPr>
              <w:t>，</w:t>
            </w:r>
            <w:r>
              <w:rPr>
                <w:rFonts w:hint="eastAsia" w:ascii="仿宋" w:hAnsi="仿宋" w:eastAsia="仿宋" w:cs="仿宋"/>
                <w:bCs/>
                <w:color w:val="auto"/>
                <w:szCs w:val="24"/>
                <w:highlight w:val="none"/>
              </w:rPr>
              <w:t>思路明确，</w:t>
            </w:r>
            <w:r>
              <w:rPr>
                <w:rFonts w:hint="eastAsia" w:ascii="仿宋" w:hAnsi="仿宋" w:eastAsia="仿宋" w:cs="仿宋"/>
                <w:color w:val="auto"/>
                <w:szCs w:val="24"/>
                <w:highlight w:val="none"/>
              </w:rPr>
              <w:t>技术路线</w:t>
            </w:r>
            <w:r>
              <w:rPr>
                <w:rFonts w:hint="eastAsia" w:ascii="仿宋" w:hAnsi="仿宋" w:eastAsia="仿宋" w:cs="仿宋"/>
                <w:bCs/>
                <w:color w:val="auto"/>
                <w:szCs w:val="24"/>
                <w:highlight w:val="none"/>
              </w:rPr>
              <w:t>合理</w:t>
            </w:r>
            <w:r>
              <w:rPr>
                <w:rFonts w:hint="eastAsia" w:ascii="仿宋" w:hAnsi="仿宋" w:eastAsia="仿宋" w:cs="仿宋"/>
                <w:color w:val="auto"/>
                <w:szCs w:val="24"/>
                <w:highlight w:val="none"/>
              </w:rPr>
              <w:t>可行的得2.1-4分；方案简单</w:t>
            </w:r>
            <w:r>
              <w:rPr>
                <w:rStyle w:val="975"/>
                <w:rFonts w:hint="eastAsia" w:ascii="仿宋" w:hAnsi="仿宋" w:eastAsia="仿宋" w:cs="仿宋"/>
                <w:color w:val="auto"/>
                <w:sz w:val="24"/>
                <w:szCs w:val="24"/>
                <w:highlight w:val="none"/>
              </w:rPr>
              <w:t>，</w:t>
            </w:r>
            <w:r>
              <w:rPr>
                <w:rFonts w:hint="eastAsia" w:ascii="仿宋" w:hAnsi="仿宋" w:eastAsia="仿宋" w:cs="仿宋"/>
                <w:bCs/>
                <w:color w:val="auto"/>
                <w:szCs w:val="24"/>
                <w:highlight w:val="none"/>
              </w:rPr>
              <w:t>思路及</w:t>
            </w:r>
            <w:r>
              <w:rPr>
                <w:rFonts w:hint="eastAsia" w:ascii="仿宋" w:hAnsi="仿宋" w:eastAsia="仿宋" w:cs="仿宋"/>
                <w:color w:val="auto"/>
                <w:szCs w:val="24"/>
                <w:highlight w:val="none"/>
              </w:rPr>
              <w:t>技术路线</w:t>
            </w:r>
            <w:r>
              <w:rPr>
                <w:rStyle w:val="975"/>
                <w:rFonts w:hint="eastAsia" w:ascii="仿宋" w:hAnsi="仿宋" w:eastAsia="仿宋" w:cs="仿宋"/>
                <w:color w:val="auto"/>
                <w:sz w:val="24"/>
                <w:szCs w:val="24"/>
                <w:highlight w:val="none"/>
              </w:rPr>
              <w:t>可行性较欠缺</w:t>
            </w:r>
            <w:r>
              <w:rPr>
                <w:rFonts w:hint="eastAsia" w:ascii="仿宋" w:hAnsi="仿宋" w:eastAsia="仿宋" w:cs="仿宋"/>
                <w:color w:val="auto"/>
                <w:szCs w:val="24"/>
                <w:highlight w:val="none"/>
              </w:rPr>
              <w:t>的得0.1-2分，</w:t>
            </w:r>
            <w:r>
              <w:rPr>
                <w:rStyle w:val="975"/>
                <w:rFonts w:hint="eastAsia" w:ascii="仿宋" w:hAnsi="仿宋" w:eastAsia="仿宋" w:cs="仿宋"/>
                <w:color w:val="auto"/>
                <w:sz w:val="24"/>
                <w:szCs w:val="24"/>
                <w:highlight w:val="none"/>
              </w:rPr>
              <w:t>未提供不得分</w:t>
            </w:r>
            <w:r>
              <w:rPr>
                <w:rFonts w:hint="eastAsia" w:ascii="仿宋" w:hAnsi="仿宋" w:eastAsia="仿宋" w:cs="仿宋"/>
                <w:color w:val="auto"/>
                <w:szCs w:val="24"/>
                <w:highlight w:val="none"/>
              </w:rPr>
              <w:t>。</w:t>
            </w:r>
          </w:p>
        </w:tc>
        <w:tc>
          <w:tcPr>
            <w:tcW w:w="702"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240" w:type="dxa"/>
            <w:vAlign w:val="center"/>
          </w:tcPr>
          <w:p>
            <w:pPr>
              <w:spacing w:line="360" w:lineRule="auto"/>
              <w:jc w:val="center"/>
              <w:rPr>
                <w:rFonts w:ascii="仿宋" w:hAnsi="仿宋" w:eastAsia="仿宋" w:cs="仿宋"/>
                <w:color w:val="auto"/>
                <w:sz w:val="24"/>
                <w:highlight w:val="none"/>
              </w:rPr>
            </w:pP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823" w:type="dxa"/>
            <w:vMerge w:val="continue"/>
            <w:vAlign w:val="center"/>
          </w:tcPr>
          <w:p>
            <w:pPr>
              <w:snapToGrid w:val="0"/>
              <w:spacing w:line="360" w:lineRule="auto"/>
              <w:jc w:val="center"/>
              <w:rPr>
                <w:rFonts w:ascii="仿宋" w:hAnsi="仿宋" w:eastAsia="仿宋" w:cs="仿宋"/>
                <w:color w:val="auto"/>
                <w:kern w:val="0"/>
                <w:sz w:val="24"/>
                <w:highlight w:val="none"/>
              </w:rPr>
            </w:pPr>
          </w:p>
        </w:tc>
        <w:tc>
          <w:tcPr>
            <w:tcW w:w="1250" w:type="dxa"/>
            <w:vMerge w:val="continue"/>
            <w:tcBorders>
              <w:right w:val="single" w:color="auto" w:sz="4" w:space="0"/>
            </w:tcBorders>
            <w:vAlign w:val="center"/>
          </w:tcPr>
          <w:p>
            <w:pPr>
              <w:spacing w:line="360" w:lineRule="auto"/>
              <w:rPr>
                <w:rFonts w:ascii="仿宋" w:hAnsi="仿宋" w:eastAsia="仿宋" w:cs="仿宋"/>
                <w:color w:val="auto"/>
                <w:sz w:val="24"/>
                <w:highlight w:val="none"/>
              </w:rPr>
            </w:pPr>
          </w:p>
        </w:tc>
        <w:tc>
          <w:tcPr>
            <w:tcW w:w="6336" w:type="dxa"/>
            <w:tcBorders>
              <w:left w:val="single" w:color="auto" w:sz="4" w:space="0"/>
            </w:tcBorders>
            <w:vAlign w:val="center"/>
          </w:tcPr>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4、城市空间信息细化调查服务方案</w:t>
            </w:r>
          </w:p>
          <w:p>
            <w:pPr>
              <w:pStyle w:val="512"/>
              <w:spacing w:line="360" w:lineRule="auto"/>
              <w:ind w:firstLine="460"/>
              <w:rPr>
                <w:rFonts w:ascii="仿宋" w:hAnsi="仿宋" w:eastAsia="仿宋" w:cs="仿宋"/>
                <w:color w:val="auto"/>
                <w:szCs w:val="24"/>
                <w:highlight w:val="none"/>
              </w:rPr>
            </w:pPr>
            <w:r>
              <w:rPr>
                <w:rFonts w:hint="eastAsia" w:ascii="仿宋" w:hAnsi="仿宋" w:eastAsia="仿宋" w:cs="仿宋"/>
                <w:color w:val="auto"/>
                <w:szCs w:val="24"/>
                <w:highlight w:val="none"/>
              </w:rPr>
              <w:t>方案内容具体完善、工作思路表述清晰</w:t>
            </w:r>
            <w:r>
              <w:rPr>
                <w:rFonts w:hint="eastAsia" w:ascii="仿宋" w:hAnsi="仿宋" w:eastAsia="仿宋" w:cs="仿宋"/>
                <w:bCs/>
                <w:color w:val="auto"/>
                <w:szCs w:val="24"/>
                <w:highlight w:val="none"/>
              </w:rPr>
              <w:t>明确</w:t>
            </w:r>
            <w:r>
              <w:rPr>
                <w:rFonts w:hint="eastAsia" w:ascii="仿宋" w:hAnsi="仿宋" w:eastAsia="仿宋" w:cs="仿宋"/>
                <w:color w:val="auto"/>
                <w:szCs w:val="24"/>
                <w:highlight w:val="none"/>
              </w:rPr>
              <w:t>、技术路线科学合理性、可操作性强，满足采购需求，有利于项目实施的得4.1-5分；方案内容基本</w:t>
            </w:r>
            <w:r>
              <w:rPr>
                <w:rFonts w:hint="eastAsia" w:ascii="仿宋" w:hAnsi="仿宋" w:eastAsia="仿宋" w:cs="仿宋"/>
                <w:bCs/>
                <w:color w:val="auto"/>
                <w:szCs w:val="24"/>
                <w:highlight w:val="none"/>
              </w:rPr>
              <w:t>完整</w:t>
            </w:r>
            <w:r>
              <w:rPr>
                <w:rFonts w:hint="eastAsia" w:ascii="仿宋" w:hAnsi="仿宋" w:eastAsia="仿宋" w:cs="仿宋"/>
                <w:color w:val="auto"/>
                <w:szCs w:val="24"/>
                <w:highlight w:val="none"/>
              </w:rPr>
              <w:t>，</w:t>
            </w:r>
            <w:r>
              <w:rPr>
                <w:rFonts w:hint="eastAsia" w:ascii="仿宋" w:hAnsi="仿宋" w:eastAsia="仿宋" w:cs="仿宋"/>
                <w:bCs/>
                <w:color w:val="auto"/>
                <w:szCs w:val="24"/>
                <w:highlight w:val="none"/>
              </w:rPr>
              <w:t>思路明确，</w:t>
            </w:r>
            <w:r>
              <w:rPr>
                <w:rFonts w:hint="eastAsia" w:ascii="仿宋" w:hAnsi="仿宋" w:eastAsia="仿宋" w:cs="仿宋"/>
                <w:color w:val="auto"/>
                <w:szCs w:val="24"/>
                <w:highlight w:val="none"/>
              </w:rPr>
              <w:t>技术路线</w:t>
            </w:r>
            <w:r>
              <w:rPr>
                <w:rFonts w:hint="eastAsia" w:ascii="仿宋" w:hAnsi="仿宋" w:eastAsia="仿宋" w:cs="仿宋"/>
                <w:bCs/>
                <w:color w:val="auto"/>
                <w:szCs w:val="24"/>
                <w:highlight w:val="none"/>
              </w:rPr>
              <w:t>合理</w:t>
            </w:r>
            <w:r>
              <w:rPr>
                <w:rFonts w:hint="eastAsia" w:ascii="仿宋" w:hAnsi="仿宋" w:eastAsia="仿宋" w:cs="仿宋"/>
                <w:color w:val="auto"/>
                <w:szCs w:val="24"/>
                <w:highlight w:val="none"/>
              </w:rPr>
              <w:t>可行的得2.1-4分；方案简单</w:t>
            </w:r>
            <w:r>
              <w:rPr>
                <w:rStyle w:val="975"/>
                <w:rFonts w:hint="eastAsia" w:ascii="仿宋" w:hAnsi="仿宋" w:eastAsia="仿宋" w:cs="仿宋"/>
                <w:color w:val="auto"/>
                <w:sz w:val="24"/>
                <w:szCs w:val="24"/>
                <w:highlight w:val="none"/>
              </w:rPr>
              <w:t>，</w:t>
            </w:r>
            <w:r>
              <w:rPr>
                <w:rFonts w:hint="eastAsia" w:ascii="仿宋" w:hAnsi="仿宋" w:eastAsia="仿宋" w:cs="仿宋"/>
                <w:bCs/>
                <w:color w:val="auto"/>
                <w:szCs w:val="24"/>
                <w:highlight w:val="none"/>
              </w:rPr>
              <w:t>思路及</w:t>
            </w:r>
            <w:r>
              <w:rPr>
                <w:rFonts w:hint="eastAsia" w:ascii="仿宋" w:hAnsi="仿宋" w:eastAsia="仿宋" w:cs="仿宋"/>
                <w:color w:val="auto"/>
                <w:szCs w:val="24"/>
                <w:highlight w:val="none"/>
              </w:rPr>
              <w:t>技术路线</w:t>
            </w:r>
            <w:r>
              <w:rPr>
                <w:rStyle w:val="975"/>
                <w:rFonts w:hint="eastAsia" w:ascii="仿宋" w:hAnsi="仿宋" w:eastAsia="仿宋" w:cs="仿宋"/>
                <w:color w:val="auto"/>
                <w:sz w:val="24"/>
                <w:szCs w:val="24"/>
                <w:highlight w:val="none"/>
              </w:rPr>
              <w:t>可行性较欠缺</w:t>
            </w:r>
            <w:r>
              <w:rPr>
                <w:rFonts w:hint="eastAsia" w:ascii="仿宋" w:hAnsi="仿宋" w:eastAsia="仿宋" w:cs="仿宋"/>
                <w:color w:val="auto"/>
                <w:szCs w:val="24"/>
                <w:highlight w:val="none"/>
              </w:rPr>
              <w:t>的得0.1-2分，</w:t>
            </w:r>
            <w:r>
              <w:rPr>
                <w:rStyle w:val="975"/>
                <w:rFonts w:hint="eastAsia" w:ascii="仿宋" w:hAnsi="仿宋" w:eastAsia="仿宋" w:cs="仿宋"/>
                <w:color w:val="auto"/>
                <w:sz w:val="24"/>
                <w:szCs w:val="24"/>
                <w:highlight w:val="none"/>
              </w:rPr>
              <w:t>未提供不得分</w:t>
            </w:r>
            <w:r>
              <w:rPr>
                <w:rFonts w:hint="eastAsia" w:ascii="仿宋" w:hAnsi="仿宋" w:eastAsia="仿宋" w:cs="仿宋"/>
                <w:color w:val="auto"/>
                <w:szCs w:val="24"/>
                <w:highlight w:val="none"/>
              </w:rPr>
              <w:t>。</w:t>
            </w:r>
          </w:p>
        </w:tc>
        <w:tc>
          <w:tcPr>
            <w:tcW w:w="702"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240" w:type="dxa"/>
            <w:vAlign w:val="center"/>
          </w:tcPr>
          <w:p>
            <w:pPr>
              <w:spacing w:line="360" w:lineRule="auto"/>
              <w:jc w:val="center"/>
              <w:rPr>
                <w:rFonts w:ascii="仿宋" w:hAnsi="仿宋" w:eastAsia="仿宋" w:cs="仿宋"/>
                <w:color w:val="auto"/>
                <w:sz w:val="24"/>
                <w:highlight w:val="none"/>
              </w:rPr>
            </w:pP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823" w:type="dxa"/>
            <w:vMerge w:val="continue"/>
            <w:vAlign w:val="center"/>
          </w:tcPr>
          <w:p>
            <w:pPr>
              <w:snapToGrid w:val="0"/>
              <w:spacing w:line="360" w:lineRule="auto"/>
              <w:jc w:val="center"/>
              <w:rPr>
                <w:rFonts w:ascii="仿宋" w:hAnsi="仿宋" w:eastAsia="仿宋" w:cs="仿宋"/>
                <w:color w:val="auto"/>
                <w:kern w:val="0"/>
                <w:sz w:val="24"/>
                <w:highlight w:val="none"/>
              </w:rPr>
            </w:pPr>
          </w:p>
        </w:tc>
        <w:tc>
          <w:tcPr>
            <w:tcW w:w="1250" w:type="dxa"/>
            <w:vMerge w:val="continue"/>
            <w:tcBorders>
              <w:right w:val="single" w:color="auto" w:sz="4" w:space="0"/>
            </w:tcBorders>
            <w:vAlign w:val="center"/>
          </w:tcPr>
          <w:p>
            <w:pPr>
              <w:spacing w:line="360" w:lineRule="auto"/>
              <w:rPr>
                <w:rFonts w:ascii="仿宋" w:hAnsi="仿宋" w:eastAsia="仿宋" w:cs="仿宋"/>
                <w:color w:val="auto"/>
                <w:sz w:val="24"/>
                <w:highlight w:val="none"/>
              </w:rPr>
            </w:pPr>
          </w:p>
        </w:tc>
        <w:tc>
          <w:tcPr>
            <w:tcW w:w="6336" w:type="dxa"/>
            <w:tcBorders>
              <w:left w:val="single" w:color="auto" w:sz="4" w:space="0"/>
            </w:tcBorders>
            <w:vAlign w:val="center"/>
          </w:tcPr>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5、单体房屋建筑调查服务方案</w:t>
            </w:r>
          </w:p>
          <w:p>
            <w:pPr>
              <w:pStyle w:val="512"/>
              <w:spacing w:line="360" w:lineRule="auto"/>
              <w:ind w:firstLine="460"/>
              <w:rPr>
                <w:rFonts w:ascii="仿宋" w:hAnsi="仿宋" w:eastAsia="仿宋" w:cs="仿宋"/>
                <w:color w:val="auto"/>
                <w:szCs w:val="24"/>
                <w:highlight w:val="none"/>
              </w:rPr>
            </w:pPr>
            <w:r>
              <w:rPr>
                <w:rFonts w:hint="eastAsia" w:ascii="仿宋" w:hAnsi="仿宋" w:eastAsia="仿宋" w:cs="仿宋"/>
                <w:color w:val="auto"/>
                <w:szCs w:val="24"/>
                <w:highlight w:val="none"/>
              </w:rPr>
              <w:t>方案内容具体完善、工作思路表述清晰</w:t>
            </w:r>
            <w:r>
              <w:rPr>
                <w:rFonts w:hint="eastAsia" w:ascii="仿宋" w:hAnsi="仿宋" w:eastAsia="仿宋" w:cs="仿宋"/>
                <w:bCs/>
                <w:color w:val="auto"/>
                <w:szCs w:val="24"/>
                <w:highlight w:val="none"/>
              </w:rPr>
              <w:t>明确</w:t>
            </w:r>
            <w:r>
              <w:rPr>
                <w:rFonts w:hint="eastAsia" w:ascii="仿宋" w:hAnsi="仿宋" w:eastAsia="仿宋" w:cs="仿宋"/>
                <w:color w:val="auto"/>
                <w:szCs w:val="24"/>
                <w:highlight w:val="none"/>
              </w:rPr>
              <w:t>、技术路线科学合理性、可操作性强，满足采购需求，有利于项目实施的得4.1-5分；方案内容基本</w:t>
            </w:r>
            <w:r>
              <w:rPr>
                <w:rFonts w:hint="eastAsia" w:ascii="仿宋" w:hAnsi="仿宋" w:eastAsia="仿宋" w:cs="仿宋"/>
                <w:bCs/>
                <w:color w:val="auto"/>
                <w:szCs w:val="24"/>
                <w:highlight w:val="none"/>
              </w:rPr>
              <w:t>完整</w:t>
            </w:r>
            <w:r>
              <w:rPr>
                <w:rFonts w:hint="eastAsia" w:ascii="仿宋" w:hAnsi="仿宋" w:eastAsia="仿宋" w:cs="仿宋"/>
                <w:color w:val="auto"/>
                <w:szCs w:val="24"/>
                <w:highlight w:val="none"/>
              </w:rPr>
              <w:t>，</w:t>
            </w:r>
            <w:r>
              <w:rPr>
                <w:rFonts w:hint="eastAsia" w:ascii="仿宋" w:hAnsi="仿宋" w:eastAsia="仿宋" w:cs="仿宋"/>
                <w:bCs/>
                <w:color w:val="auto"/>
                <w:szCs w:val="24"/>
                <w:highlight w:val="none"/>
              </w:rPr>
              <w:t>思路明确，</w:t>
            </w:r>
            <w:r>
              <w:rPr>
                <w:rFonts w:hint="eastAsia" w:ascii="仿宋" w:hAnsi="仿宋" w:eastAsia="仿宋" w:cs="仿宋"/>
                <w:color w:val="auto"/>
                <w:szCs w:val="24"/>
                <w:highlight w:val="none"/>
              </w:rPr>
              <w:t>技术路线</w:t>
            </w:r>
            <w:r>
              <w:rPr>
                <w:rFonts w:hint="eastAsia" w:ascii="仿宋" w:hAnsi="仿宋" w:eastAsia="仿宋" w:cs="仿宋"/>
                <w:bCs/>
                <w:color w:val="auto"/>
                <w:szCs w:val="24"/>
                <w:highlight w:val="none"/>
              </w:rPr>
              <w:t>合理</w:t>
            </w:r>
            <w:r>
              <w:rPr>
                <w:rFonts w:hint="eastAsia" w:ascii="仿宋" w:hAnsi="仿宋" w:eastAsia="仿宋" w:cs="仿宋"/>
                <w:color w:val="auto"/>
                <w:szCs w:val="24"/>
                <w:highlight w:val="none"/>
              </w:rPr>
              <w:t>可行的得2.1-4分；方案简单</w:t>
            </w:r>
            <w:r>
              <w:rPr>
                <w:rStyle w:val="975"/>
                <w:rFonts w:hint="eastAsia" w:ascii="仿宋" w:hAnsi="仿宋" w:eastAsia="仿宋" w:cs="仿宋"/>
                <w:color w:val="auto"/>
                <w:sz w:val="24"/>
                <w:szCs w:val="24"/>
                <w:highlight w:val="none"/>
              </w:rPr>
              <w:t>，</w:t>
            </w:r>
            <w:r>
              <w:rPr>
                <w:rFonts w:hint="eastAsia" w:ascii="仿宋" w:hAnsi="仿宋" w:eastAsia="仿宋" w:cs="仿宋"/>
                <w:bCs/>
                <w:color w:val="auto"/>
                <w:szCs w:val="24"/>
                <w:highlight w:val="none"/>
              </w:rPr>
              <w:t>思路及</w:t>
            </w:r>
            <w:r>
              <w:rPr>
                <w:rFonts w:hint="eastAsia" w:ascii="仿宋" w:hAnsi="仿宋" w:eastAsia="仿宋" w:cs="仿宋"/>
                <w:color w:val="auto"/>
                <w:szCs w:val="24"/>
                <w:highlight w:val="none"/>
              </w:rPr>
              <w:t>技术路线</w:t>
            </w:r>
            <w:r>
              <w:rPr>
                <w:rStyle w:val="975"/>
                <w:rFonts w:hint="eastAsia" w:ascii="仿宋" w:hAnsi="仿宋" w:eastAsia="仿宋" w:cs="仿宋"/>
                <w:color w:val="auto"/>
                <w:sz w:val="24"/>
                <w:szCs w:val="24"/>
                <w:highlight w:val="none"/>
              </w:rPr>
              <w:t>可行性较欠缺</w:t>
            </w:r>
            <w:r>
              <w:rPr>
                <w:rFonts w:hint="eastAsia" w:ascii="仿宋" w:hAnsi="仿宋" w:eastAsia="仿宋" w:cs="仿宋"/>
                <w:color w:val="auto"/>
                <w:szCs w:val="24"/>
                <w:highlight w:val="none"/>
              </w:rPr>
              <w:t>的得0.1-2分，</w:t>
            </w:r>
            <w:r>
              <w:rPr>
                <w:rStyle w:val="975"/>
                <w:rFonts w:hint="eastAsia" w:ascii="仿宋" w:hAnsi="仿宋" w:eastAsia="仿宋" w:cs="仿宋"/>
                <w:color w:val="auto"/>
                <w:sz w:val="24"/>
                <w:szCs w:val="24"/>
                <w:highlight w:val="none"/>
              </w:rPr>
              <w:t>未提供不得分</w:t>
            </w:r>
            <w:r>
              <w:rPr>
                <w:rFonts w:hint="eastAsia" w:ascii="仿宋" w:hAnsi="仿宋" w:eastAsia="仿宋" w:cs="仿宋"/>
                <w:color w:val="auto"/>
                <w:szCs w:val="24"/>
                <w:highlight w:val="none"/>
              </w:rPr>
              <w:t>。</w:t>
            </w:r>
          </w:p>
        </w:tc>
        <w:tc>
          <w:tcPr>
            <w:tcW w:w="702"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240" w:type="dxa"/>
            <w:vAlign w:val="center"/>
          </w:tcPr>
          <w:p>
            <w:pPr>
              <w:spacing w:line="360" w:lineRule="auto"/>
              <w:jc w:val="center"/>
              <w:rPr>
                <w:rFonts w:ascii="仿宋" w:hAnsi="仿宋" w:eastAsia="仿宋" w:cs="仿宋"/>
                <w:color w:val="auto"/>
                <w:sz w:val="24"/>
                <w:highlight w:val="none"/>
              </w:rPr>
            </w:pP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823" w:type="dxa"/>
            <w:vMerge w:val="continue"/>
            <w:vAlign w:val="center"/>
          </w:tcPr>
          <w:p>
            <w:pPr>
              <w:snapToGrid w:val="0"/>
              <w:spacing w:line="360" w:lineRule="auto"/>
              <w:jc w:val="center"/>
              <w:rPr>
                <w:rFonts w:ascii="仿宋" w:hAnsi="仿宋" w:eastAsia="仿宋" w:cs="仿宋"/>
                <w:color w:val="auto"/>
                <w:kern w:val="0"/>
                <w:sz w:val="24"/>
                <w:highlight w:val="none"/>
              </w:rPr>
            </w:pPr>
          </w:p>
        </w:tc>
        <w:tc>
          <w:tcPr>
            <w:tcW w:w="1250" w:type="dxa"/>
            <w:vMerge w:val="continue"/>
            <w:tcBorders>
              <w:right w:val="single" w:color="auto" w:sz="4" w:space="0"/>
            </w:tcBorders>
            <w:vAlign w:val="center"/>
          </w:tcPr>
          <w:p>
            <w:pPr>
              <w:spacing w:line="360" w:lineRule="auto"/>
              <w:rPr>
                <w:rFonts w:ascii="仿宋" w:hAnsi="仿宋" w:eastAsia="仿宋" w:cs="仿宋"/>
                <w:color w:val="auto"/>
                <w:sz w:val="24"/>
                <w:highlight w:val="none"/>
              </w:rPr>
            </w:pPr>
          </w:p>
        </w:tc>
        <w:tc>
          <w:tcPr>
            <w:tcW w:w="6336" w:type="dxa"/>
            <w:tcBorders>
              <w:left w:val="single" w:color="auto" w:sz="4" w:space="0"/>
            </w:tcBorders>
            <w:vAlign w:val="center"/>
          </w:tcPr>
          <w:p>
            <w:pPr>
              <w:pStyle w:val="512"/>
              <w:spacing w:line="360" w:lineRule="auto"/>
              <w:ind w:firstLine="0" w:firstLineChars="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6、安全应急，历史文化保护等要素调查更新服务方案</w:t>
            </w:r>
          </w:p>
          <w:p>
            <w:pPr>
              <w:pStyle w:val="24"/>
              <w:rPr>
                <w:rFonts w:ascii="仿宋" w:hAnsi="仿宋" w:eastAsia="仿宋" w:cs="仿宋"/>
                <w:color w:val="auto"/>
                <w:szCs w:val="24"/>
                <w:highlight w:val="none"/>
                <w:lang w:val="en-US"/>
              </w:rPr>
            </w:pPr>
            <w:r>
              <w:rPr>
                <w:rFonts w:hint="eastAsia" w:ascii="仿宋" w:hAnsi="仿宋" w:eastAsia="仿宋" w:cs="仿宋"/>
                <w:color w:val="auto"/>
                <w:szCs w:val="24"/>
                <w:highlight w:val="none"/>
              </w:rPr>
              <w:t>方案内容具体完善、工作思路表述清晰</w:t>
            </w:r>
            <w:r>
              <w:rPr>
                <w:rFonts w:hint="eastAsia" w:ascii="仿宋" w:hAnsi="仿宋" w:eastAsia="仿宋" w:cs="仿宋"/>
                <w:bCs/>
                <w:color w:val="auto"/>
                <w:szCs w:val="24"/>
                <w:highlight w:val="none"/>
              </w:rPr>
              <w:t>明确</w:t>
            </w:r>
            <w:r>
              <w:rPr>
                <w:rFonts w:hint="eastAsia" w:ascii="仿宋" w:hAnsi="仿宋" w:eastAsia="仿宋" w:cs="仿宋"/>
                <w:color w:val="auto"/>
                <w:szCs w:val="24"/>
                <w:highlight w:val="none"/>
              </w:rPr>
              <w:t>、技术路线科学合理性、可操作性强，满足采购需求，有利于项目实施的得</w:t>
            </w:r>
            <w:r>
              <w:rPr>
                <w:rFonts w:hint="eastAsia" w:ascii="仿宋" w:hAnsi="仿宋" w:eastAsia="仿宋" w:cs="仿宋"/>
                <w:color w:val="auto"/>
                <w:szCs w:val="24"/>
                <w:highlight w:val="none"/>
                <w:lang w:val="en-US"/>
              </w:rPr>
              <w:t>4</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rPr>
              <w:t>5</w:t>
            </w:r>
            <w:r>
              <w:rPr>
                <w:rFonts w:hint="eastAsia" w:ascii="仿宋" w:hAnsi="仿宋" w:eastAsia="仿宋" w:cs="仿宋"/>
                <w:color w:val="auto"/>
                <w:szCs w:val="24"/>
                <w:highlight w:val="none"/>
              </w:rPr>
              <w:t>分；方案内容基本</w:t>
            </w:r>
            <w:r>
              <w:rPr>
                <w:rFonts w:hint="eastAsia" w:ascii="仿宋" w:hAnsi="仿宋" w:eastAsia="仿宋" w:cs="仿宋"/>
                <w:bCs/>
                <w:color w:val="auto"/>
                <w:szCs w:val="24"/>
                <w:highlight w:val="none"/>
              </w:rPr>
              <w:t>完整</w:t>
            </w:r>
            <w:r>
              <w:rPr>
                <w:rFonts w:hint="eastAsia" w:ascii="仿宋" w:hAnsi="仿宋" w:eastAsia="仿宋" w:cs="仿宋"/>
                <w:color w:val="auto"/>
                <w:szCs w:val="24"/>
                <w:highlight w:val="none"/>
              </w:rPr>
              <w:t>，</w:t>
            </w:r>
            <w:r>
              <w:rPr>
                <w:rFonts w:hint="eastAsia" w:ascii="仿宋" w:hAnsi="仿宋" w:eastAsia="仿宋" w:cs="仿宋"/>
                <w:bCs/>
                <w:color w:val="auto"/>
                <w:szCs w:val="24"/>
                <w:highlight w:val="none"/>
              </w:rPr>
              <w:t>思路明确，</w:t>
            </w:r>
            <w:r>
              <w:rPr>
                <w:rFonts w:hint="eastAsia" w:ascii="仿宋" w:hAnsi="仿宋" w:eastAsia="仿宋" w:cs="仿宋"/>
                <w:color w:val="auto"/>
                <w:szCs w:val="24"/>
                <w:highlight w:val="none"/>
              </w:rPr>
              <w:t>技术路线</w:t>
            </w:r>
            <w:r>
              <w:rPr>
                <w:rFonts w:hint="eastAsia" w:ascii="仿宋" w:hAnsi="仿宋" w:eastAsia="仿宋" w:cs="仿宋"/>
                <w:bCs/>
                <w:color w:val="auto"/>
                <w:szCs w:val="24"/>
                <w:highlight w:val="none"/>
              </w:rPr>
              <w:t>合理</w:t>
            </w:r>
            <w:r>
              <w:rPr>
                <w:rFonts w:hint="eastAsia" w:ascii="仿宋" w:hAnsi="仿宋" w:eastAsia="仿宋" w:cs="仿宋"/>
                <w:color w:val="auto"/>
                <w:szCs w:val="24"/>
                <w:highlight w:val="none"/>
              </w:rPr>
              <w:t>可行的得</w:t>
            </w:r>
            <w:r>
              <w:rPr>
                <w:rFonts w:hint="eastAsia" w:ascii="仿宋" w:hAnsi="仿宋" w:eastAsia="仿宋" w:cs="仿宋"/>
                <w:color w:val="auto"/>
                <w:szCs w:val="24"/>
                <w:highlight w:val="none"/>
                <w:lang w:val="en-US"/>
              </w:rPr>
              <w:t>2</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rPr>
              <w:t>4</w:t>
            </w:r>
            <w:r>
              <w:rPr>
                <w:rFonts w:hint="eastAsia" w:ascii="仿宋" w:hAnsi="仿宋" w:eastAsia="仿宋" w:cs="仿宋"/>
                <w:color w:val="auto"/>
                <w:szCs w:val="24"/>
                <w:highlight w:val="none"/>
              </w:rPr>
              <w:t>分；方案简单</w:t>
            </w:r>
            <w:r>
              <w:rPr>
                <w:rStyle w:val="975"/>
                <w:rFonts w:hint="eastAsia" w:ascii="仿宋" w:hAnsi="仿宋" w:eastAsia="仿宋" w:cs="仿宋"/>
                <w:color w:val="auto"/>
                <w:sz w:val="24"/>
                <w:szCs w:val="24"/>
                <w:highlight w:val="none"/>
              </w:rPr>
              <w:t>，</w:t>
            </w:r>
            <w:r>
              <w:rPr>
                <w:rFonts w:hint="eastAsia" w:ascii="仿宋" w:hAnsi="仿宋" w:eastAsia="仿宋" w:cs="仿宋"/>
                <w:bCs/>
                <w:color w:val="auto"/>
                <w:szCs w:val="24"/>
                <w:highlight w:val="none"/>
              </w:rPr>
              <w:t>思路及</w:t>
            </w:r>
            <w:r>
              <w:rPr>
                <w:rFonts w:hint="eastAsia" w:ascii="仿宋" w:hAnsi="仿宋" w:eastAsia="仿宋" w:cs="仿宋"/>
                <w:color w:val="auto"/>
                <w:szCs w:val="24"/>
                <w:highlight w:val="none"/>
              </w:rPr>
              <w:t>技术路线</w:t>
            </w:r>
            <w:r>
              <w:rPr>
                <w:rStyle w:val="975"/>
                <w:rFonts w:hint="eastAsia" w:ascii="仿宋" w:hAnsi="仿宋" w:eastAsia="仿宋" w:cs="仿宋"/>
                <w:color w:val="auto"/>
                <w:sz w:val="24"/>
                <w:szCs w:val="24"/>
                <w:highlight w:val="none"/>
              </w:rPr>
              <w:t>可行性较欠缺</w:t>
            </w:r>
            <w:r>
              <w:rPr>
                <w:rFonts w:hint="eastAsia" w:ascii="仿宋" w:hAnsi="仿宋" w:eastAsia="仿宋" w:cs="仿宋"/>
                <w:color w:val="auto"/>
                <w:szCs w:val="24"/>
                <w:highlight w:val="none"/>
              </w:rPr>
              <w:t>的得0.1-</w:t>
            </w:r>
            <w:r>
              <w:rPr>
                <w:rFonts w:hint="eastAsia" w:ascii="仿宋" w:hAnsi="仿宋" w:eastAsia="仿宋" w:cs="仿宋"/>
                <w:color w:val="auto"/>
                <w:szCs w:val="24"/>
                <w:highlight w:val="none"/>
                <w:lang w:val="en-US"/>
              </w:rPr>
              <w:t>2</w:t>
            </w:r>
            <w:r>
              <w:rPr>
                <w:rFonts w:hint="eastAsia" w:ascii="仿宋" w:hAnsi="仿宋" w:eastAsia="仿宋" w:cs="仿宋"/>
                <w:color w:val="auto"/>
                <w:szCs w:val="24"/>
                <w:highlight w:val="none"/>
              </w:rPr>
              <w:t>分，</w:t>
            </w:r>
            <w:r>
              <w:rPr>
                <w:rStyle w:val="975"/>
                <w:rFonts w:hint="eastAsia" w:ascii="仿宋" w:hAnsi="仿宋" w:eastAsia="仿宋" w:cs="仿宋"/>
                <w:color w:val="auto"/>
                <w:sz w:val="24"/>
                <w:szCs w:val="24"/>
                <w:highlight w:val="none"/>
              </w:rPr>
              <w:t>未提供不得分</w:t>
            </w:r>
            <w:r>
              <w:rPr>
                <w:rFonts w:hint="eastAsia" w:ascii="仿宋" w:hAnsi="仿宋" w:eastAsia="仿宋" w:cs="仿宋"/>
                <w:color w:val="auto"/>
                <w:szCs w:val="24"/>
                <w:highlight w:val="none"/>
              </w:rPr>
              <w:t>。</w:t>
            </w:r>
          </w:p>
        </w:tc>
        <w:tc>
          <w:tcPr>
            <w:tcW w:w="702"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240" w:type="dxa"/>
            <w:vAlign w:val="center"/>
          </w:tcPr>
          <w:p>
            <w:pPr>
              <w:spacing w:line="360" w:lineRule="auto"/>
              <w:jc w:val="center"/>
              <w:rPr>
                <w:rFonts w:ascii="仿宋" w:hAnsi="仿宋" w:eastAsia="仿宋" w:cs="仿宋"/>
                <w:color w:val="auto"/>
                <w:sz w:val="24"/>
                <w:highlight w:val="none"/>
              </w:rPr>
            </w:pP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823" w:type="dxa"/>
            <w:vMerge w:val="continue"/>
            <w:vAlign w:val="center"/>
          </w:tcPr>
          <w:p>
            <w:pPr>
              <w:snapToGrid w:val="0"/>
              <w:spacing w:line="360" w:lineRule="auto"/>
              <w:jc w:val="center"/>
              <w:rPr>
                <w:rFonts w:ascii="仿宋" w:hAnsi="仿宋" w:eastAsia="仿宋" w:cs="仿宋"/>
                <w:color w:val="auto"/>
                <w:kern w:val="0"/>
                <w:sz w:val="24"/>
                <w:highlight w:val="none"/>
              </w:rPr>
            </w:pPr>
          </w:p>
        </w:tc>
        <w:tc>
          <w:tcPr>
            <w:tcW w:w="1250" w:type="dxa"/>
            <w:vMerge w:val="continue"/>
            <w:tcBorders>
              <w:right w:val="single" w:color="auto" w:sz="4" w:space="0"/>
            </w:tcBorders>
            <w:vAlign w:val="center"/>
          </w:tcPr>
          <w:p>
            <w:pPr>
              <w:spacing w:line="360" w:lineRule="auto"/>
              <w:rPr>
                <w:rFonts w:ascii="仿宋" w:hAnsi="仿宋" w:eastAsia="仿宋" w:cs="仿宋"/>
                <w:color w:val="auto"/>
                <w:sz w:val="24"/>
                <w:highlight w:val="none"/>
              </w:rPr>
            </w:pPr>
          </w:p>
        </w:tc>
        <w:tc>
          <w:tcPr>
            <w:tcW w:w="6336" w:type="dxa"/>
            <w:tcBorders>
              <w:left w:val="single" w:color="auto" w:sz="4" w:space="0"/>
            </w:tcBorders>
            <w:vAlign w:val="center"/>
          </w:tcPr>
          <w:p>
            <w:pPr>
              <w:pStyle w:val="24"/>
              <w:rPr>
                <w:rFonts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7、水网路网要素监测更新服务方案</w:t>
            </w:r>
          </w:p>
          <w:p>
            <w:pPr>
              <w:pStyle w:val="24"/>
              <w:rPr>
                <w:rFonts w:ascii="仿宋" w:hAnsi="仿宋" w:eastAsia="仿宋" w:cs="仿宋"/>
                <w:color w:val="auto"/>
                <w:szCs w:val="24"/>
                <w:highlight w:val="none"/>
                <w:lang w:val="en-US"/>
              </w:rPr>
            </w:pPr>
            <w:r>
              <w:rPr>
                <w:rFonts w:hint="eastAsia" w:ascii="仿宋" w:hAnsi="仿宋" w:eastAsia="仿宋" w:cs="仿宋"/>
                <w:color w:val="auto"/>
                <w:szCs w:val="24"/>
                <w:highlight w:val="none"/>
              </w:rPr>
              <w:t>方案内容具体完善、工作思路表述清晰</w:t>
            </w:r>
            <w:r>
              <w:rPr>
                <w:rFonts w:hint="eastAsia" w:ascii="仿宋" w:hAnsi="仿宋" w:eastAsia="仿宋" w:cs="仿宋"/>
                <w:bCs/>
                <w:color w:val="auto"/>
                <w:szCs w:val="24"/>
                <w:highlight w:val="none"/>
              </w:rPr>
              <w:t>明确</w:t>
            </w:r>
            <w:r>
              <w:rPr>
                <w:rFonts w:hint="eastAsia" w:ascii="仿宋" w:hAnsi="仿宋" w:eastAsia="仿宋" w:cs="仿宋"/>
                <w:color w:val="auto"/>
                <w:szCs w:val="24"/>
                <w:highlight w:val="none"/>
              </w:rPr>
              <w:t>、技术路线科学合理性、可操作性强，满足采购需求，有利于项目实施的得</w:t>
            </w:r>
            <w:r>
              <w:rPr>
                <w:rFonts w:hint="eastAsia" w:ascii="仿宋" w:hAnsi="仿宋" w:eastAsia="仿宋" w:cs="仿宋"/>
                <w:color w:val="auto"/>
                <w:szCs w:val="24"/>
                <w:highlight w:val="none"/>
                <w:lang w:val="en-US"/>
              </w:rPr>
              <w:t>4</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rPr>
              <w:t>5</w:t>
            </w:r>
            <w:r>
              <w:rPr>
                <w:rFonts w:hint="eastAsia" w:ascii="仿宋" w:hAnsi="仿宋" w:eastAsia="仿宋" w:cs="仿宋"/>
                <w:color w:val="auto"/>
                <w:szCs w:val="24"/>
                <w:highlight w:val="none"/>
              </w:rPr>
              <w:t>分；方案内容基本</w:t>
            </w:r>
            <w:r>
              <w:rPr>
                <w:rFonts w:hint="eastAsia" w:ascii="仿宋" w:hAnsi="仿宋" w:eastAsia="仿宋" w:cs="仿宋"/>
                <w:bCs/>
                <w:color w:val="auto"/>
                <w:szCs w:val="24"/>
                <w:highlight w:val="none"/>
              </w:rPr>
              <w:t>完整</w:t>
            </w:r>
            <w:r>
              <w:rPr>
                <w:rFonts w:hint="eastAsia" w:ascii="仿宋" w:hAnsi="仿宋" w:eastAsia="仿宋" w:cs="仿宋"/>
                <w:color w:val="auto"/>
                <w:szCs w:val="24"/>
                <w:highlight w:val="none"/>
              </w:rPr>
              <w:t>，</w:t>
            </w:r>
            <w:r>
              <w:rPr>
                <w:rFonts w:hint="eastAsia" w:ascii="仿宋" w:hAnsi="仿宋" w:eastAsia="仿宋" w:cs="仿宋"/>
                <w:bCs/>
                <w:color w:val="auto"/>
                <w:szCs w:val="24"/>
                <w:highlight w:val="none"/>
              </w:rPr>
              <w:t>思路明确，</w:t>
            </w:r>
            <w:r>
              <w:rPr>
                <w:rFonts w:hint="eastAsia" w:ascii="仿宋" w:hAnsi="仿宋" w:eastAsia="仿宋" w:cs="仿宋"/>
                <w:color w:val="auto"/>
                <w:szCs w:val="24"/>
                <w:highlight w:val="none"/>
              </w:rPr>
              <w:t>技术路线</w:t>
            </w:r>
            <w:r>
              <w:rPr>
                <w:rFonts w:hint="eastAsia" w:ascii="仿宋" w:hAnsi="仿宋" w:eastAsia="仿宋" w:cs="仿宋"/>
                <w:bCs/>
                <w:color w:val="auto"/>
                <w:szCs w:val="24"/>
                <w:highlight w:val="none"/>
              </w:rPr>
              <w:t>合理</w:t>
            </w:r>
            <w:r>
              <w:rPr>
                <w:rFonts w:hint="eastAsia" w:ascii="仿宋" w:hAnsi="仿宋" w:eastAsia="仿宋" w:cs="仿宋"/>
                <w:color w:val="auto"/>
                <w:szCs w:val="24"/>
                <w:highlight w:val="none"/>
              </w:rPr>
              <w:t>可行的得</w:t>
            </w:r>
            <w:r>
              <w:rPr>
                <w:rFonts w:hint="eastAsia" w:ascii="仿宋" w:hAnsi="仿宋" w:eastAsia="仿宋" w:cs="仿宋"/>
                <w:color w:val="auto"/>
                <w:szCs w:val="24"/>
                <w:highlight w:val="none"/>
                <w:lang w:val="en-US"/>
              </w:rPr>
              <w:t>2</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rPr>
              <w:t>4</w:t>
            </w:r>
            <w:r>
              <w:rPr>
                <w:rFonts w:hint="eastAsia" w:ascii="仿宋" w:hAnsi="仿宋" w:eastAsia="仿宋" w:cs="仿宋"/>
                <w:color w:val="auto"/>
                <w:szCs w:val="24"/>
                <w:highlight w:val="none"/>
              </w:rPr>
              <w:t>分；方案简单</w:t>
            </w:r>
            <w:r>
              <w:rPr>
                <w:rStyle w:val="975"/>
                <w:rFonts w:hint="eastAsia" w:ascii="仿宋" w:hAnsi="仿宋" w:eastAsia="仿宋" w:cs="仿宋"/>
                <w:color w:val="auto"/>
                <w:sz w:val="24"/>
                <w:szCs w:val="24"/>
                <w:highlight w:val="none"/>
              </w:rPr>
              <w:t>，</w:t>
            </w:r>
            <w:r>
              <w:rPr>
                <w:rFonts w:hint="eastAsia" w:ascii="仿宋" w:hAnsi="仿宋" w:eastAsia="仿宋" w:cs="仿宋"/>
                <w:bCs/>
                <w:color w:val="auto"/>
                <w:szCs w:val="24"/>
                <w:highlight w:val="none"/>
              </w:rPr>
              <w:t>思路及</w:t>
            </w:r>
            <w:r>
              <w:rPr>
                <w:rFonts w:hint="eastAsia" w:ascii="仿宋" w:hAnsi="仿宋" w:eastAsia="仿宋" w:cs="仿宋"/>
                <w:color w:val="auto"/>
                <w:szCs w:val="24"/>
                <w:highlight w:val="none"/>
              </w:rPr>
              <w:t>技术路线</w:t>
            </w:r>
            <w:r>
              <w:rPr>
                <w:rStyle w:val="975"/>
                <w:rFonts w:hint="eastAsia" w:ascii="仿宋" w:hAnsi="仿宋" w:eastAsia="仿宋" w:cs="仿宋"/>
                <w:color w:val="auto"/>
                <w:sz w:val="24"/>
                <w:szCs w:val="24"/>
                <w:highlight w:val="none"/>
              </w:rPr>
              <w:t>可行性较欠缺</w:t>
            </w:r>
            <w:r>
              <w:rPr>
                <w:rFonts w:hint="eastAsia" w:ascii="仿宋" w:hAnsi="仿宋" w:eastAsia="仿宋" w:cs="仿宋"/>
                <w:color w:val="auto"/>
                <w:szCs w:val="24"/>
                <w:highlight w:val="none"/>
              </w:rPr>
              <w:t>的得0.1-</w:t>
            </w:r>
            <w:r>
              <w:rPr>
                <w:rFonts w:hint="eastAsia" w:ascii="仿宋" w:hAnsi="仿宋" w:eastAsia="仿宋" w:cs="仿宋"/>
                <w:color w:val="auto"/>
                <w:szCs w:val="24"/>
                <w:highlight w:val="none"/>
                <w:lang w:val="en-US"/>
              </w:rPr>
              <w:t>2</w:t>
            </w:r>
            <w:r>
              <w:rPr>
                <w:rFonts w:hint="eastAsia" w:ascii="仿宋" w:hAnsi="仿宋" w:eastAsia="仿宋" w:cs="仿宋"/>
                <w:color w:val="auto"/>
                <w:szCs w:val="24"/>
                <w:highlight w:val="none"/>
              </w:rPr>
              <w:t>分，</w:t>
            </w:r>
            <w:r>
              <w:rPr>
                <w:rStyle w:val="975"/>
                <w:rFonts w:hint="eastAsia" w:ascii="仿宋" w:hAnsi="仿宋" w:eastAsia="仿宋" w:cs="仿宋"/>
                <w:color w:val="auto"/>
                <w:sz w:val="24"/>
                <w:szCs w:val="24"/>
                <w:highlight w:val="none"/>
              </w:rPr>
              <w:t>未提供不得分</w:t>
            </w:r>
            <w:r>
              <w:rPr>
                <w:rFonts w:hint="eastAsia" w:ascii="仿宋" w:hAnsi="仿宋" w:eastAsia="仿宋" w:cs="仿宋"/>
                <w:color w:val="auto"/>
                <w:szCs w:val="24"/>
                <w:highlight w:val="none"/>
              </w:rPr>
              <w:t>。</w:t>
            </w:r>
          </w:p>
        </w:tc>
        <w:tc>
          <w:tcPr>
            <w:tcW w:w="702"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240" w:type="dxa"/>
            <w:vAlign w:val="center"/>
          </w:tcPr>
          <w:p>
            <w:pPr>
              <w:spacing w:line="360" w:lineRule="auto"/>
              <w:jc w:val="center"/>
              <w:rPr>
                <w:rFonts w:ascii="仿宋" w:hAnsi="仿宋" w:eastAsia="仿宋" w:cs="仿宋"/>
                <w:color w:val="auto"/>
                <w:sz w:val="24"/>
                <w:highlight w:val="none"/>
              </w:rPr>
            </w:pP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823" w:type="dxa"/>
            <w:vMerge w:val="continue"/>
            <w:vAlign w:val="center"/>
          </w:tcPr>
          <w:p>
            <w:pPr>
              <w:snapToGrid w:val="0"/>
              <w:spacing w:line="360" w:lineRule="auto"/>
              <w:jc w:val="center"/>
              <w:rPr>
                <w:rFonts w:ascii="仿宋" w:hAnsi="仿宋" w:eastAsia="仿宋" w:cs="仿宋"/>
                <w:color w:val="auto"/>
                <w:kern w:val="0"/>
                <w:sz w:val="24"/>
                <w:highlight w:val="none"/>
              </w:rPr>
            </w:pPr>
          </w:p>
        </w:tc>
        <w:tc>
          <w:tcPr>
            <w:tcW w:w="1250" w:type="dxa"/>
            <w:vMerge w:val="continue"/>
            <w:tcBorders>
              <w:right w:val="single" w:color="auto" w:sz="4" w:space="0"/>
            </w:tcBorders>
            <w:vAlign w:val="center"/>
          </w:tcPr>
          <w:p>
            <w:pPr>
              <w:spacing w:line="360" w:lineRule="auto"/>
              <w:rPr>
                <w:rFonts w:ascii="仿宋" w:hAnsi="仿宋" w:eastAsia="仿宋" w:cs="仿宋"/>
                <w:color w:val="auto"/>
                <w:sz w:val="24"/>
                <w:highlight w:val="none"/>
              </w:rPr>
            </w:pPr>
          </w:p>
        </w:tc>
        <w:tc>
          <w:tcPr>
            <w:tcW w:w="6336" w:type="dxa"/>
            <w:tcBorders>
              <w:left w:val="single" w:color="auto" w:sz="4" w:space="0"/>
            </w:tcBorders>
            <w:vAlign w:val="center"/>
          </w:tcPr>
          <w:p>
            <w:pPr>
              <w:pStyle w:val="24"/>
              <w:numPr>
                <w:ilvl w:val="0"/>
                <w:numId w:val="4"/>
              </w:numPr>
              <w:rPr>
                <w:rFonts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合理化建议</w:t>
            </w:r>
          </w:p>
          <w:p>
            <w:pPr>
              <w:pStyle w:val="24"/>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针对本项目提出合理化建议，其中：基本合理可行、可操作性一般的2.1-4分，个别合理可行、操作性欠缺的得0-2分。</w:t>
            </w:r>
          </w:p>
        </w:tc>
        <w:tc>
          <w:tcPr>
            <w:tcW w:w="702"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4分</w:t>
            </w:r>
          </w:p>
        </w:tc>
        <w:tc>
          <w:tcPr>
            <w:tcW w:w="1240" w:type="dxa"/>
            <w:vAlign w:val="center"/>
          </w:tcPr>
          <w:p>
            <w:pPr>
              <w:spacing w:line="360" w:lineRule="auto"/>
              <w:jc w:val="center"/>
              <w:rPr>
                <w:rFonts w:ascii="仿宋" w:hAnsi="仿宋" w:eastAsia="仿宋" w:cs="仿宋"/>
                <w:color w:val="auto"/>
                <w:sz w:val="24"/>
                <w:highlight w:val="none"/>
              </w:rPr>
            </w:pP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823" w:type="dxa"/>
            <w:vMerge w:val="continue"/>
            <w:vAlign w:val="center"/>
          </w:tcPr>
          <w:p>
            <w:pPr>
              <w:snapToGrid w:val="0"/>
              <w:spacing w:line="360" w:lineRule="auto"/>
              <w:jc w:val="center"/>
              <w:rPr>
                <w:rFonts w:ascii="仿宋" w:hAnsi="仿宋" w:eastAsia="仿宋" w:cs="仿宋"/>
                <w:color w:val="auto"/>
                <w:kern w:val="0"/>
                <w:sz w:val="24"/>
                <w:highlight w:val="none"/>
              </w:rPr>
            </w:pPr>
          </w:p>
        </w:tc>
        <w:tc>
          <w:tcPr>
            <w:tcW w:w="1250" w:type="dxa"/>
            <w:vMerge w:val="continue"/>
            <w:tcBorders>
              <w:right w:val="single" w:color="auto" w:sz="4" w:space="0"/>
            </w:tcBorders>
            <w:vAlign w:val="center"/>
          </w:tcPr>
          <w:p>
            <w:pPr>
              <w:spacing w:line="360" w:lineRule="auto"/>
              <w:rPr>
                <w:rFonts w:ascii="仿宋" w:hAnsi="仿宋" w:eastAsia="仿宋" w:cs="仿宋"/>
                <w:color w:val="auto"/>
                <w:sz w:val="24"/>
                <w:highlight w:val="none"/>
              </w:rPr>
            </w:pPr>
          </w:p>
        </w:tc>
        <w:tc>
          <w:tcPr>
            <w:tcW w:w="6336" w:type="dxa"/>
            <w:tcBorders>
              <w:left w:val="single" w:color="auto" w:sz="4" w:space="0"/>
            </w:tcBorders>
            <w:vAlign w:val="center"/>
          </w:tcPr>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9、质量控制措施</w:t>
            </w:r>
          </w:p>
          <w:p>
            <w:pPr>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供应商质量控制制度齐全，实现项目全流程质量管控，保证措施得力的得4.1-5分；质量控制制度及保障措施基本完整、可行的得2.1-4分；质量控制制度及保障措施简单，明显欠缺不足的得0.1-2分，未提供不得分。</w:t>
            </w:r>
          </w:p>
        </w:tc>
        <w:tc>
          <w:tcPr>
            <w:tcW w:w="702"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Cs/>
                <w:color w:val="auto"/>
                <w:kern w:val="0"/>
                <w:sz w:val="24"/>
                <w:highlight w:val="none"/>
              </w:rPr>
              <w:t>分</w:t>
            </w:r>
          </w:p>
        </w:tc>
        <w:tc>
          <w:tcPr>
            <w:tcW w:w="1240" w:type="dxa"/>
            <w:vAlign w:val="center"/>
          </w:tcPr>
          <w:p>
            <w:pPr>
              <w:spacing w:line="360" w:lineRule="auto"/>
              <w:jc w:val="center"/>
              <w:rPr>
                <w:rFonts w:ascii="仿宋" w:hAnsi="仿宋" w:eastAsia="仿宋" w:cs="仿宋"/>
                <w:color w:val="auto"/>
                <w:sz w:val="24"/>
                <w:highlight w:val="none"/>
              </w:rPr>
            </w:pP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0" w:hRule="atLeast"/>
          <w:jc w:val="center"/>
        </w:trPr>
        <w:tc>
          <w:tcPr>
            <w:tcW w:w="823" w:type="dxa"/>
            <w:vMerge w:val="continue"/>
            <w:vAlign w:val="center"/>
          </w:tcPr>
          <w:p>
            <w:pPr>
              <w:snapToGrid w:val="0"/>
              <w:spacing w:line="360" w:lineRule="auto"/>
              <w:jc w:val="center"/>
              <w:rPr>
                <w:rFonts w:ascii="仿宋" w:hAnsi="仿宋" w:eastAsia="仿宋" w:cs="仿宋"/>
                <w:color w:val="auto"/>
                <w:kern w:val="0"/>
                <w:sz w:val="24"/>
                <w:highlight w:val="none"/>
              </w:rPr>
            </w:pPr>
          </w:p>
        </w:tc>
        <w:tc>
          <w:tcPr>
            <w:tcW w:w="1250" w:type="dxa"/>
            <w:vMerge w:val="continue"/>
            <w:tcBorders>
              <w:right w:val="single" w:color="auto" w:sz="4" w:space="0"/>
            </w:tcBorders>
            <w:vAlign w:val="center"/>
          </w:tcPr>
          <w:p>
            <w:pPr>
              <w:spacing w:line="360" w:lineRule="auto"/>
              <w:rPr>
                <w:rFonts w:ascii="仿宋" w:hAnsi="仿宋" w:eastAsia="仿宋" w:cs="仿宋"/>
                <w:color w:val="auto"/>
                <w:sz w:val="24"/>
                <w:highlight w:val="none"/>
              </w:rPr>
            </w:pPr>
          </w:p>
        </w:tc>
        <w:tc>
          <w:tcPr>
            <w:tcW w:w="6336" w:type="dxa"/>
            <w:tcBorders>
              <w:left w:val="single" w:color="auto" w:sz="4" w:space="0"/>
              <w:bottom w:val="single" w:color="auto" w:sz="4" w:space="0"/>
            </w:tcBorders>
            <w:vAlign w:val="center"/>
          </w:tcPr>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10、保密制度</w:t>
            </w:r>
          </w:p>
          <w:p>
            <w:pPr>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根据投标人对数据保密制度、措施是否完善，安全、保密等保障措施的完整性、合理性，制定明确的成果资料保密措施和安全保障手段。其中：非常科学合理全面、准确性高得4.1-5分；基本科学合理、准确性一般的2.1-4分；个别科学合理、不够准确的0.1-2分。 </w:t>
            </w:r>
          </w:p>
        </w:tc>
        <w:tc>
          <w:tcPr>
            <w:tcW w:w="702" w:type="dxa"/>
            <w:tcBorders>
              <w:bottom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Cs/>
                <w:color w:val="auto"/>
                <w:kern w:val="0"/>
                <w:sz w:val="24"/>
                <w:highlight w:val="none"/>
              </w:rPr>
              <w:t>分</w:t>
            </w:r>
          </w:p>
        </w:tc>
        <w:tc>
          <w:tcPr>
            <w:tcW w:w="1240" w:type="dxa"/>
            <w:tcBorders>
              <w:bottom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7" w:hRule="atLeast"/>
          <w:jc w:val="center"/>
        </w:trPr>
        <w:tc>
          <w:tcPr>
            <w:tcW w:w="823" w:type="dxa"/>
            <w:vMerge w:val="restart"/>
            <w:vAlign w:val="center"/>
          </w:tcPr>
          <w:p>
            <w:pPr>
              <w:widowControl/>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250" w:type="dxa"/>
            <w:vMerge w:val="restart"/>
            <w:tcBorders>
              <w:right w:val="single" w:color="auto" w:sz="4" w:space="0"/>
            </w:tcBorders>
            <w:vAlign w:val="center"/>
          </w:tcPr>
          <w:p>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项目组人员配置（20分）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注：所有人员必须是投标单位正式人员。</w:t>
            </w:r>
          </w:p>
        </w:tc>
        <w:tc>
          <w:tcPr>
            <w:tcW w:w="6336" w:type="dxa"/>
            <w:tcBorders>
              <w:left w:val="single" w:color="auto" w:sz="4" w:space="0"/>
              <w:bottom w:val="single" w:color="auto" w:sz="4" w:space="0"/>
            </w:tcBorders>
            <w:vAlign w:val="center"/>
          </w:tcPr>
          <w:p>
            <w:pPr>
              <w:widowControl/>
              <w:spacing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1、相关各负责人</w:t>
            </w:r>
          </w:p>
          <w:p>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项目总负责人：同时具备测绘地理信息类正高级职称证书和注册测绘师证书的得4分；同时具有测绘地理信息类高级工程师职称证书和注册测绘师证书的得到2分；同时具有测绘地理信息类工程师职称证书和注册测绘师证书的得1分，其他不得分。</w:t>
            </w:r>
          </w:p>
          <w:p>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项目技术负责人：同时具有测绘地理信息类高级工程师及以上职称证书和注册测绘师证书的得到4分；同时具有测绘地理信息类工程师职称证书和注册测绘师证书的得到2分；具有测绘地理信息类工程师职称证书或注册测绘师证书的得1分，其他不得分。</w:t>
            </w:r>
          </w:p>
          <w:p>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（3）拟投入本项目负责人参与制定测绘地理信息类国家标准或行业标准的，每个标准得0.5分，得3分，须提供相关证明原件扫描件并加盖单位公章。</w:t>
            </w:r>
          </w:p>
          <w:p>
            <w:pPr>
              <w:widowControl/>
              <w:spacing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注：须提供相关证书及开标前三个月任一个月本单位缴纳的社保证明，否则不得分。以上人员不重复计分。</w:t>
            </w:r>
          </w:p>
        </w:tc>
        <w:tc>
          <w:tcPr>
            <w:tcW w:w="702" w:type="dxa"/>
            <w:vAlign w:val="center"/>
          </w:tcPr>
          <w:p>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r>
              <w:rPr>
                <w:rFonts w:hint="eastAsia" w:ascii="仿宋" w:hAnsi="仿宋" w:eastAsia="仿宋" w:cs="仿宋"/>
                <w:bCs/>
                <w:color w:val="auto"/>
                <w:kern w:val="0"/>
                <w:sz w:val="24"/>
                <w:highlight w:val="none"/>
              </w:rPr>
              <w:t>分</w:t>
            </w:r>
          </w:p>
        </w:tc>
        <w:tc>
          <w:tcPr>
            <w:tcW w:w="1240" w:type="dxa"/>
            <w:vAlign w:val="center"/>
          </w:tcPr>
          <w:p>
            <w:pPr>
              <w:snapToGrid w:val="0"/>
              <w:spacing w:line="360" w:lineRule="auto"/>
              <w:jc w:val="center"/>
              <w:rPr>
                <w:rFonts w:ascii="仿宋" w:hAnsi="仿宋" w:eastAsia="仿宋" w:cs="仿宋"/>
                <w:color w:val="auto"/>
                <w:kern w:val="0"/>
                <w:sz w:val="24"/>
                <w:highlight w:val="none"/>
              </w:rPr>
            </w:pP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823" w:type="dxa"/>
            <w:vMerge w:val="continue"/>
            <w:vAlign w:val="center"/>
          </w:tcPr>
          <w:p>
            <w:pPr>
              <w:widowControl/>
              <w:snapToGrid w:val="0"/>
              <w:spacing w:line="360" w:lineRule="auto"/>
              <w:jc w:val="center"/>
              <w:rPr>
                <w:rFonts w:ascii="仿宋" w:hAnsi="仿宋" w:eastAsia="仿宋" w:cs="仿宋"/>
                <w:color w:val="auto"/>
                <w:kern w:val="0"/>
                <w:sz w:val="24"/>
                <w:highlight w:val="none"/>
              </w:rPr>
            </w:pPr>
          </w:p>
        </w:tc>
        <w:tc>
          <w:tcPr>
            <w:tcW w:w="1250" w:type="dxa"/>
            <w:vMerge w:val="continue"/>
            <w:tcBorders>
              <w:right w:val="single" w:color="auto" w:sz="4" w:space="0"/>
            </w:tcBorders>
            <w:vAlign w:val="center"/>
          </w:tcPr>
          <w:p>
            <w:pPr>
              <w:spacing w:line="360" w:lineRule="auto"/>
              <w:jc w:val="left"/>
              <w:rPr>
                <w:rFonts w:ascii="仿宋" w:hAnsi="仿宋" w:eastAsia="仿宋" w:cs="仿宋"/>
                <w:color w:val="auto"/>
                <w:sz w:val="24"/>
                <w:highlight w:val="none"/>
              </w:rPr>
            </w:pPr>
          </w:p>
        </w:tc>
        <w:tc>
          <w:tcPr>
            <w:tcW w:w="6336"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2、项目组人员</w:t>
            </w:r>
          </w:p>
          <w:p>
            <w:pPr>
              <w:pStyle w:val="24"/>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（1）项目组其他成员中（不含项目总负责人和项目技术负责人）具有测绘地理信息专业中级或以上技术人员10-14人得1分，15-19人得3分，20人及以上得6分，最高得6分。</w:t>
            </w:r>
          </w:p>
          <w:p>
            <w:pPr>
              <w:pStyle w:val="24"/>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（2）项目组其他成员中（不含项目总负责人和项目技术负责人）同时具有PMP认证和测绘地理信息保密知识培训证书的得3分，最高得3分。</w:t>
            </w:r>
          </w:p>
          <w:p>
            <w:pPr>
              <w:pStyle w:val="24"/>
              <w:rPr>
                <w:rFonts w:ascii="仿宋" w:hAnsi="仿宋" w:eastAsia="仿宋" w:cs="仿宋"/>
                <w:color w:val="auto"/>
                <w:szCs w:val="24"/>
                <w:highlight w:val="none"/>
                <w:lang w:val="en-US"/>
              </w:rPr>
            </w:pPr>
            <w:r>
              <w:rPr>
                <w:rFonts w:hint="eastAsia" w:ascii="仿宋" w:hAnsi="仿宋" w:eastAsia="仿宋" w:cs="仿宋"/>
                <w:b/>
                <w:bCs/>
                <w:color w:val="auto"/>
                <w:szCs w:val="24"/>
                <w:highlight w:val="none"/>
              </w:rPr>
              <w:t>注：须提供相关证书及开标前三个月任一个月本单位缴纳的社保证明，否则不得分。以上人员不重复计分。</w:t>
            </w:r>
          </w:p>
        </w:tc>
        <w:tc>
          <w:tcPr>
            <w:tcW w:w="702" w:type="dxa"/>
            <w:tcBorders>
              <w:top w:val="single" w:color="auto" w:sz="4" w:space="0"/>
            </w:tcBorders>
            <w:vAlign w:val="center"/>
          </w:tcPr>
          <w:p>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w:t>
            </w:r>
            <w:r>
              <w:rPr>
                <w:rFonts w:hint="eastAsia" w:ascii="仿宋" w:hAnsi="仿宋" w:eastAsia="仿宋" w:cs="仿宋"/>
                <w:bCs/>
                <w:color w:val="auto"/>
                <w:kern w:val="0"/>
                <w:sz w:val="24"/>
                <w:highlight w:val="none"/>
              </w:rPr>
              <w:t>分</w:t>
            </w:r>
          </w:p>
        </w:tc>
        <w:tc>
          <w:tcPr>
            <w:tcW w:w="1240" w:type="dxa"/>
            <w:tcBorders>
              <w:top w:val="single" w:color="auto" w:sz="4" w:space="0"/>
            </w:tcBorders>
            <w:vAlign w:val="center"/>
          </w:tcPr>
          <w:p>
            <w:pPr>
              <w:snapToGrid w:val="0"/>
              <w:spacing w:line="360" w:lineRule="auto"/>
              <w:jc w:val="center"/>
              <w:rPr>
                <w:rFonts w:ascii="仿宋" w:hAnsi="仿宋" w:eastAsia="仿宋" w:cs="仿宋"/>
                <w:color w:val="auto"/>
                <w:kern w:val="0"/>
                <w:sz w:val="24"/>
                <w:highlight w:val="none"/>
              </w:rPr>
            </w:pP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40" w:hRule="atLeast"/>
          <w:jc w:val="center"/>
        </w:trPr>
        <w:tc>
          <w:tcPr>
            <w:tcW w:w="823" w:type="dxa"/>
            <w:vAlign w:val="center"/>
          </w:tcPr>
          <w:p>
            <w:pPr>
              <w:widowControl/>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250" w:type="dxa"/>
            <w:tcBorders>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服务保障能力（6分）</w:t>
            </w:r>
          </w:p>
        </w:tc>
        <w:tc>
          <w:tcPr>
            <w:tcW w:w="6336" w:type="dxa"/>
            <w:tcBorders>
              <w:left w:val="single" w:color="auto" w:sz="4" w:space="0"/>
            </w:tcBorders>
            <w:vAlign w:val="center"/>
          </w:tcPr>
          <w:p>
            <w:pPr>
              <w:spacing w:line="360" w:lineRule="auto"/>
              <w:ind w:left="-50"/>
              <w:jc w:val="left"/>
              <w:rPr>
                <w:rFonts w:ascii="仿宋" w:hAnsi="仿宋" w:eastAsia="仿宋" w:cs="仿宋"/>
                <w:color w:val="auto"/>
                <w:sz w:val="24"/>
                <w:highlight w:val="none"/>
              </w:rPr>
            </w:pPr>
            <w:r>
              <w:rPr>
                <w:rFonts w:hint="eastAsia" w:ascii="仿宋" w:hAnsi="仿宋" w:eastAsia="仿宋" w:cs="仿宋"/>
                <w:color w:val="auto"/>
                <w:sz w:val="24"/>
                <w:highlight w:val="none"/>
              </w:rPr>
              <w:t>根据供应商服务力量的投入、售后服务方案等是否具有针对性和可操作性，是否有利于项目实施，是否能为采购人提供切实有效可行的售后服务保障等方面，由评委进行打分。</w:t>
            </w:r>
          </w:p>
          <w:p>
            <w:pPr>
              <w:spacing w:line="360" w:lineRule="auto"/>
              <w:ind w:left="-50"/>
              <w:jc w:val="left"/>
              <w:rPr>
                <w:rFonts w:ascii="仿宋" w:hAnsi="仿宋" w:eastAsia="仿宋" w:cs="仿宋"/>
                <w:color w:val="auto"/>
                <w:sz w:val="24"/>
                <w:highlight w:val="none"/>
              </w:rPr>
            </w:pPr>
            <w:r>
              <w:rPr>
                <w:rFonts w:hint="eastAsia" w:ascii="仿宋" w:hAnsi="仿宋" w:eastAsia="仿宋" w:cs="仿宋"/>
                <w:color w:val="auto"/>
                <w:sz w:val="24"/>
                <w:highlight w:val="none"/>
              </w:rPr>
              <w:t>其中：非常合理可行、操作性非常强得4.1-6分；基本合理可行、可操作性一般的2.1-4分，个别合理可行、操作性欠缺的得0-2分。</w:t>
            </w:r>
          </w:p>
        </w:tc>
        <w:tc>
          <w:tcPr>
            <w:tcW w:w="702" w:type="dxa"/>
            <w:vAlign w:val="center"/>
          </w:tcPr>
          <w:p>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r>
              <w:rPr>
                <w:rFonts w:hint="eastAsia" w:ascii="仿宋" w:hAnsi="仿宋" w:eastAsia="仿宋" w:cs="仿宋"/>
                <w:bCs/>
                <w:color w:val="auto"/>
                <w:kern w:val="0"/>
                <w:sz w:val="24"/>
                <w:highlight w:val="none"/>
              </w:rPr>
              <w:t>分</w:t>
            </w:r>
          </w:p>
        </w:tc>
        <w:tc>
          <w:tcPr>
            <w:tcW w:w="1240" w:type="dxa"/>
            <w:vAlign w:val="center"/>
          </w:tcPr>
          <w:p>
            <w:pPr>
              <w:snapToGrid w:val="0"/>
              <w:spacing w:line="360" w:lineRule="auto"/>
              <w:jc w:val="center"/>
              <w:rPr>
                <w:rFonts w:ascii="仿宋" w:hAnsi="仿宋" w:eastAsia="仿宋" w:cs="仿宋"/>
                <w:color w:val="auto"/>
                <w:kern w:val="0"/>
                <w:sz w:val="24"/>
                <w:highlight w:val="none"/>
              </w:rPr>
            </w:pP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823" w:type="dxa"/>
            <w:vMerge w:val="restart"/>
            <w:vAlign w:val="center"/>
          </w:tcPr>
          <w:p>
            <w:pPr>
              <w:widowControl/>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250" w:type="dxa"/>
            <w:vMerge w:val="restart"/>
            <w:tcBorders>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供应商证书情况（14分）</w:t>
            </w:r>
          </w:p>
        </w:tc>
        <w:tc>
          <w:tcPr>
            <w:tcW w:w="6336" w:type="dxa"/>
            <w:tcBorders>
              <w:left w:val="single" w:color="auto" w:sz="4" w:space="0"/>
              <w:bottom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供应商具有质量管理体系认证证书得1分、信息安全管理体系认证证书得1分、信息技术服务管理体系认证证书得1分、售后服务评价体系认证证书得1分、</w:t>
            </w:r>
            <w:bookmarkStart w:id="398" w:name="_Hlk101894741"/>
            <w:r>
              <w:rPr>
                <w:rFonts w:hint="eastAsia" w:ascii="仿宋" w:hAnsi="仿宋" w:eastAsia="仿宋" w:cs="仿宋"/>
                <w:color w:val="auto"/>
                <w:sz w:val="24"/>
                <w:highlight w:val="none"/>
              </w:rPr>
              <w:t>知识产权管理体系认证证书</w:t>
            </w:r>
            <w:bookmarkEnd w:id="398"/>
            <w:r>
              <w:rPr>
                <w:rFonts w:hint="eastAsia" w:ascii="仿宋" w:hAnsi="仿宋" w:eastAsia="仿宋" w:cs="仿宋"/>
                <w:color w:val="auto"/>
                <w:sz w:val="24"/>
                <w:highlight w:val="none"/>
              </w:rPr>
              <w:t>得1分、企业诚信管理体系认证证书得1分，最高得6分，没有不得分。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（提供相应证书复印件/扫描件。）</w:t>
            </w:r>
          </w:p>
        </w:tc>
        <w:tc>
          <w:tcPr>
            <w:tcW w:w="702" w:type="dxa"/>
            <w:vAlign w:val="center"/>
          </w:tcPr>
          <w:p>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r>
              <w:rPr>
                <w:rFonts w:hint="eastAsia" w:ascii="仿宋" w:hAnsi="仿宋" w:eastAsia="仿宋" w:cs="仿宋"/>
                <w:bCs/>
                <w:color w:val="auto"/>
                <w:kern w:val="0"/>
                <w:sz w:val="24"/>
                <w:highlight w:val="none"/>
              </w:rPr>
              <w:t>分</w:t>
            </w:r>
          </w:p>
        </w:tc>
        <w:tc>
          <w:tcPr>
            <w:tcW w:w="1240" w:type="dxa"/>
            <w:vAlign w:val="center"/>
          </w:tcPr>
          <w:p>
            <w:pPr>
              <w:snapToGrid w:val="0"/>
              <w:spacing w:line="360" w:lineRule="auto"/>
              <w:jc w:val="center"/>
              <w:rPr>
                <w:rFonts w:ascii="仿宋" w:hAnsi="仿宋" w:eastAsia="仿宋" w:cs="仿宋"/>
                <w:color w:val="auto"/>
                <w:kern w:val="0"/>
                <w:sz w:val="24"/>
                <w:highlight w:val="none"/>
              </w:rPr>
            </w:pP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823" w:type="dxa"/>
            <w:vMerge w:val="continue"/>
            <w:vAlign w:val="center"/>
          </w:tcPr>
          <w:p>
            <w:pPr>
              <w:widowControl/>
              <w:snapToGrid w:val="0"/>
              <w:spacing w:line="360" w:lineRule="auto"/>
              <w:jc w:val="center"/>
              <w:rPr>
                <w:rFonts w:ascii="仿宋" w:hAnsi="仿宋" w:eastAsia="仿宋" w:cs="仿宋"/>
                <w:color w:val="auto"/>
                <w:kern w:val="0"/>
                <w:sz w:val="24"/>
                <w:highlight w:val="none"/>
              </w:rPr>
            </w:pPr>
          </w:p>
        </w:tc>
        <w:tc>
          <w:tcPr>
            <w:tcW w:w="1250" w:type="dxa"/>
            <w:vMerge w:val="continue"/>
            <w:tcBorders>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6336" w:type="dxa"/>
            <w:tcBorders>
              <w:left w:val="single" w:color="auto" w:sz="4" w:space="0"/>
              <w:bottom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2019年1月1日以来供应商具有信用等级证书（以“全国行业信用公共服务平台”查询结果为准）AAA级的得3分，AA级的得2分，A级的得1分，没有不得分。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（提供相应证书复印件/扫描件。）</w:t>
            </w:r>
          </w:p>
        </w:tc>
        <w:tc>
          <w:tcPr>
            <w:tcW w:w="702" w:type="dxa"/>
            <w:vAlign w:val="center"/>
          </w:tcPr>
          <w:p>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3分</w:t>
            </w:r>
          </w:p>
        </w:tc>
        <w:tc>
          <w:tcPr>
            <w:tcW w:w="1240" w:type="dxa"/>
            <w:vAlign w:val="center"/>
          </w:tcPr>
          <w:p>
            <w:pPr>
              <w:snapToGrid w:val="0"/>
              <w:spacing w:line="360" w:lineRule="auto"/>
              <w:jc w:val="center"/>
              <w:rPr>
                <w:rFonts w:ascii="仿宋" w:hAnsi="仿宋" w:eastAsia="仿宋" w:cs="仿宋"/>
                <w:color w:val="auto"/>
                <w:kern w:val="0"/>
                <w:sz w:val="24"/>
                <w:highlight w:val="none"/>
              </w:rPr>
            </w:pP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823" w:type="dxa"/>
            <w:vMerge w:val="continue"/>
            <w:vAlign w:val="center"/>
          </w:tcPr>
          <w:p>
            <w:pPr>
              <w:widowControl/>
              <w:snapToGrid w:val="0"/>
              <w:spacing w:line="360" w:lineRule="auto"/>
              <w:jc w:val="center"/>
              <w:rPr>
                <w:rFonts w:ascii="仿宋" w:hAnsi="仿宋" w:eastAsia="仿宋" w:cs="仿宋"/>
                <w:color w:val="auto"/>
                <w:kern w:val="0"/>
                <w:sz w:val="24"/>
                <w:highlight w:val="none"/>
              </w:rPr>
            </w:pPr>
          </w:p>
        </w:tc>
        <w:tc>
          <w:tcPr>
            <w:tcW w:w="1250" w:type="dxa"/>
            <w:vMerge w:val="continue"/>
            <w:tcBorders>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6336"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供应商具有测绘成果及资料档案和保密工作合格（乙级及以上）证书的得2分，没有不得分。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（提供相应证书复印件/扫描件。）</w:t>
            </w:r>
          </w:p>
        </w:tc>
        <w:tc>
          <w:tcPr>
            <w:tcW w:w="702" w:type="dxa"/>
            <w:vAlign w:val="center"/>
          </w:tcPr>
          <w:p>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bCs/>
                <w:color w:val="auto"/>
                <w:kern w:val="0"/>
                <w:sz w:val="24"/>
                <w:highlight w:val="none"/>
              </w:rPr>
              <w:t>分</w:t>
            </w:r>
          </w:p>
        </w:tc>
        <w:tc>
          <w:tcPr>
            <w:tcW w:w="1240" w:type="dxa"/>
            <w:vAlign w:val="center"/>
          </w:tcPr>
          <w:p>
            <w:pPr>
              <w:snapToGrid w:val="0"/>
              <w:spacing w:line="360" w:lineRule="auto"/>
              <w:jc w:val="center"/>
              <w:rPr>
                <w:rFonts w:ascii="仿宋" w:hAnsi="仿宋" w:eastAsia="仿宋" w:cs="仿宋"/>
                <w:color w:val="auto"/>
                <w:kern w:val="0"/>
                <w:sz w:val="24"/>
                <w:highlight w:val="none"/>
              </w:rPr>
            </w:pP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2" w:hRule="atLeast"/>
          <w:jc w:val="center"/>
        </w:trPr>
        <w:tc>
          <w:tcPr>
            <w:tcW w:w="823" w:type="dxa"/>
            <w:vMerge w:val="continue"/>
            <w:vAlign w:val="center"/>
          </w:tcPr>
          <w:p>
            <w:pPr>
              <w:widowControl/>
              <w:snapToGrid w:val="0"/>
              <w:spacing w:line="360" w:lineRule="auto"/>
              <w:jc w:val="center"/>
              <w:rPr>
                <w:rFonts w:ascii="仿宋" w:hAnsi="仿宋" w:eastAsia="仿宋" w:cs="仿宋"/>
                <w:color w:val="auto"/>
                <w:kern w:val="0"/>
                <w:sz w:val="24"/>
                <w:highlight w:val="none"/>
              </w:rPr>
            </w:pPr>
          </w:p>
        </w:tc>
        <w:tc>
          <w:tcPr>
            <w:tcW w:w="1250" w:type="dxa"/>
            <w:vMerge w:val="continue"/>
            <w:tcBorders>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6336" w:type="dxa"/>
            <w:tcBorders>
              <w:top w:val="single" w:color="auto" w:sz="4" w:space="0"/>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供应商具有不动产调查登记服务机构等级证书得1分、土地勘测机构注册证书得1分、土地规划机构等级证书得1分，最高得3分，没有不得分。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（提供相应证书复印件/扫描件。）</w:t>
            </w:r>
          </w:p>
        </w:tc>
        <w:tc>
          <w:tcPr>
            <w:tcW w:w="702" w:type="dxa"/>
            <w:vAlign w:val="center"/>
          </w:tcPr>
          <w:p>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3分</w:t>
            </w:r>
          </w:p>
        </w:tc>
        <w:tc>
          <w:tcPr>
            <w:tcW w:w="1240" w:type="dxa"/>
            <w:vAlign w:val="center"/>
          </w:tcPr>
          <w:p>
            <w:pPr>
              <w:snapToGrid w:val="0"/>
              <w:spacing w:line="360" w:lineRule="auto"/>
              <w:jc w:val="center"/>
              <w:rPr>
                <w:rFonts w:ascii="仿宋" w:hAnsi="仿宋" w:eastAsia="仿宋" w:cs="仿宋"/>
                <w:color w:val="auto"/>
                <w:kern w:val="0"/>
                <w:sz w:val="24"/>
                <w:highlight w:val="none"/>
              </w:rPr>
            </w:pP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2" w:hRule="atLeast"/>
          <w:jc w:val="center"/>
        </w:trPr>
        <w:tc>
          <w:tcPr>
            <w:tcW w:w="823" w:type="dxa"/>
            <w:vAlign w:val="center"/>
          </w:tcPr>
          <w:p>
            <w:pPr>
              <w:widowControl/>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250" w:type="dxa"/>
            <w:tcBorders>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供应商业绩（1分）</w:t>
            </w:r>
          </w:p>
        </w:tc>
        <w:tc>
          <w:tcPr>
            <w:tcW w:w="6336" w:type="dxa"/>
            <w:tcBorders>
              <w:left w:val="single" w:color="auto" w:sz="4" w:space="0"/>
            </w:tcBorders>
            <w:vAlign w:val="center"/>
          </w:tcPr>
          <w:p>
            <w:pPr>
              <w:spacing w:line="360" w:lineRule="auto"/>
              <w:ind w:left="-50"/>
              <w:rPr>
                <w:rFonts w:ascii="仿宋" w:hAnsi="仿宋" w:eastAsia="仿宋" w:cs="仿宋"/>
                <w:color w:val="auto"/>
                <w:sz w:val="24"/>
                <w:highlight w:val="none"/>
              </w:rPr>
            </w:pPr>
            <w:r>
              <w:rPr>
                <w:rFonts w:hint="eastAsia" w:ascii="仿宋" w:hAnsi="仿宋" w:eastAsia="仿宋" w:cs="仿宋"/>
                <w:color w:val="auto"/>
                <w:sz w:val="24"/>
                <w:highlight w:val="none"/>
              </w:rPr>
              <w:t>供应商完成政府部门委托的同类项目业绩：</w:t>
            </w:r>
          </w:p>
          <w:p>
            <w:pPr>
              <w:snapToGrid w:val="0"/>
              <w:spacing w:line="360" w:lineRule="auto"/>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供应商提供城市国土空间监测业绩的，每个得0.5分，最高得1分；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shd w:val="clear" w:color="auto" w:fill="FFFFFF"/>
              </w:rPr>
              <w:t>业绩</w:t>
            </w:r>
            <w:r>
              <w:rPr>
                <w:rFonts w:hint="eastAsia" w:ascii="仿宋" w:hAnsi="仿宋" w:eastAsia="仿宋" w:cs="仿宋"/>
                <w:color w:val="auto"/>
                <w:sz w:val="24"/>
                <w:highlight w:val="none"/>
              </w:rPr>
              <w:t>以</w:t>
            </w:r>
            <w:r>
              <w:rPr>
                <w:rFonts w:hint="eastAsia" w:ascii="仿宋" w:hAnsi="仿宋" w:eastAsia="仿宋" w:cs="仿宋"/>
                <w:color w:val="auto"/>
                <w:kern w:val="0"/>
                <w:sz w:val="24"/>
                <w:highlight w:val="none"/>
              </w:rPr>
              <w:t>合同及中标通知书</w:t>
            </w:r>
            <w:r>
              <w:rPr>
                <w:rFonts w:hint="eastAsia" w:ascii="仿宋" w:hAnsi="仿宋" w:eastAsia="仿宋" w:cs="仿宋"/>
                <w:color w:val="auto"/>
                <w:sz w:val="24"/>
                <w:highlight w:val="none"/>
              </w:rPr>
              <w:t>为准，提供合同及中标通知书复印件/扫描件，否则不得分。）</w:t>
            </w:r>
          </w:p>
        </w:tc>
        <w:tc>
          <w:tcPr>
            <w:tcW w:w="702" w:type="dxa"/>
            <w:vAlign w:val="center"/>
          </w:tcPr>
          <w:p>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bCs/>
                <w:color w:val="auto"/>
                <w:kern w:val="0"/>
                <w:sz w:val="24"/>
                <w:highlight w:val="none"/>
              </w:rPr>
              <w:t>分</w:t>
            </w:r>
          </w:p>
        </w:tc>
        <w:tc>
          <w:tcPr>
            <w:tcW w:w="1240" w:type="dxa"/>
            <w:vAlign w:val="center"/>
          </w:tcPr>
          <w:p>
            <w:pPr>
              <w:snapToGrid w:val="0"/>
              <w:spacing w:line="360" w:lineRule="auto"/>
              <w:jc w:val="center"/>
              <w:rPr>
                <w:rFonts w:ascii="仿宋" w:hAnsi="仿宋" w:eastAsia="仿宋" w:cs="仿宋"/>
                <w:color w:val="auto"/>
                <w:kern w:val="0"/>
                <w:sz w:val="24"/>
                <w:highlight w:val="none"/>
              </w:rPr>
            </w:pPr>
          </w:p>
        </w:tc>
      </w:tr>
      <w:tr>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2" w:hRule="atLeast"/>
          <w:jc w:val="center"/>
        </w:trPr>
        <w:tc>
          <w:tcPr>
            <w:tcW w:w="823" w:type="dxa"/>
            <w:vAlign w:val="center"/>
          </w:tcPr>
          <w:p>
            <w:pPr>
              <w:adjustRightInd/>
              <w:spacing w:line="360" w:lineRule="auto"/>
              <w:jc w:val="center"/>
              <w:outlineLvl w:val="0"/>
              <w:rPr>
                <w:rFonts w:ascii="仿宋" w:hAnsi="仿宋" w:eastAsia="仿宋" w:cs="仿宋"/>
                <w:color w:val="auto"/>
                <w:kern w:val="0"/>
                <w:sz w:val="24"/>
                <w:highlight w:val="none"/>
              </w:rPr>
            </w:pPr>
            <w:r>
              <w:rPr>
                <w:rFonts w:hint="eastAsia" w:ascii="仿宋" w:hAnsi="仿宋" w:eastAsia="仿宋" w:cs="仿宋"/>
                <w:color w:val="auto"/>
                <w:sz w:val="24"/>
                <w:highlight w:val="none"/>
              </w:rPr>
              <w:t>6</w:t>
            </w:r>
          </w:p>
        </w:tc>
        <w:tc>
          <w:tcPr>
            <w:tcW w:w="1250" w:type="dxa"/>
            <w:tcBorders>
              <w:right w:val="single" w:color="auto" w:sz="4" w:space="0"/>
            </w:tcBorders>
            <w:vAlign w:val="center"/>
          </w:tcPr>
          <w:p>
            <w:pPr>
              <w:adjustRightInd/>
              <w:spacing w:line="36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商务部分</w:t>
            </w:r>
          </w:p>
          <w:p>
            <w:pPr>
              <w:adjustRightInd/>
              <w:spacing w:line="360" w:lineRule="auto"/>
              <w:jc w:val="center"/>
              <w:outlineLvl w:val="0"/>
              <w:rPr>
                <w:rFonts w:ascii="仿宋" w:hAnsi="仿宋" w:eastAsia="仿宋" w:cs="仿宋"/>
                <w:color w:val="auto"/>
                <w:sz w:val="24"/>
                <w:highlight w:val="none"/>
              </w:rPr>
            </w:pPr>
            <w:r>
              <w:rPr>
                <w:rFonts w:hint="eastAsia" w:ascii="仿宋" w:hAnsi="仿宋" w:eastAsia="仿宋" w:cs="仿宋"/>
                <w:bCs/>
                <w:color w:val="auto"/>
                <w:sz w:val="24"/>
                <w:highlight w:val="none"/>
              </w:rPr>
              <w:t>(10分)</w:t>
            </w:r>
          </w:p>
        </w:tc>
        <w:tc>
          <w:tcPr>
            <w:tcW w:w="6336" w:type="dxa"/>
            <w:tcBorders>
              <w:left w:val="single" w:color="auto" w:sz="4" w:space="0"/>
            </w:tcBorders>
            <w:vAlign w:val="center"/>
          </w:tcPr>
          <w:p>
            <w:pPr>
              <w:adjustRightInd/>
              <w:spacing w:line="360"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有效投标报价的最低价作为评标基准价，其最低报价为满分；按［投标报价得分=（评标基准价/投标报价）*10］的计算公式计算。</w:t>
            </w:r>
          </w:p>
          <w:p>
            <w:pPr>
              <w:adjustRightInd/>
              <w:spacing w:line="360"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spacing w:line="360" w:lineRule="auto"/>
              <w:rPr>
                <w:rFonts w:ascii="仿宋" w:hAnsi="仿宋" w:eastAsia="仿宋" w:cs="仿宋"/>
                <w:color w:val="auto"/>
                <w:sz w:val="24"/>
                <w:highlight w:val="none"/>
              </w:rPr>
            </w:pPr>
            <w:r>
              <w:rPr>
                <w:rFonts w:hint="eastAsia" w:ascii="仿宋_GB2312" w:hAnsi="仿宋" w:eastAsia="仿宋_GB2312" w:cs="宋体"/>
                <w:b/>
                <w:bCs/>
                <w:color w:val="auto"/>
                <w:sz w:val="24"/>
                <w:szCs w:val="20"/>
                <w:highlight w:val="none"/>
              </w:rPr>
              <w:t>本项目为专门面向中小企业采购的项目，不再执行价格评审优惠的扶持政策。</w:t>
            </w:r>
          </w:p>
        </w:tc>
        <w:tc>
          <w:tcPr>
            <w:tcW w:w="702" w:type="dxa"/>
            <w:vAlign w:val="center"/>
          </w:tcPr>
          <w:p>
            <w:pPr>
              <w:adjustRightInd/>
              <w:spacing w:line="360" w:lineRule="auto"/>
              <w:jc w:val="left"/>
              <w:outlineLvl w:val="0"/>
              <w:rPr>
                <w:rFonts w:ascii="仿宋" w:hAnsi="仿宋" w:eastAsia="仿宋" w:cs="仿宋"/>
                <w:color w:val="auto"/>
                <w:kern w:val="0"/>
                <w:sz w:val="24"/>
                <w:highlight w:val="none"/>
              </w:rPr>
            </w:pPr>
            <w:r>
              <w:rPr>
                <w:rFonts w:hint="eastAsia" w:ascii="仿宋" w:hAnsi="仿宋" w:eastAsia="仿宋" w:cs="仿宋"/>
                <w:color w:val="auto"/>
                <w:sz w:val="24"/>
                <w:highlight w:val="none"/>
              </w:rPr>
              <w:t>0-10</w:t>
            </w:r>
          </w:p>
        </w:tc>
        <w:tc>
          <w:tcPr>
            <w:tcW w:w="1240" w:type="dxa"/>
          </w:tcPr>
          <w:p>
            <w:pPr>
              <w:adjustRightInd/>
              <w:spacing w:line="360" w:lineRule="auto"/>
              <w:ind w:firstLine="249" w:firstLineChars="104"/>
              <w:jc w:val="left"/>
              <w:outlineLvl w:val="0"/>
              <w:rPr>
                <w:rFonts w:ascii="仿宋" w:hAnsi="仿宋" w:eastAsia="仿宋" w:cs="仿宋"/>
                <w:color w:val="auto"/>
                <w:kern w:val="0"/>
                <w:sz w:val="24"/>
                <w:highlight w:val="none"/>
              </w:rPr>
            </w:pPr>
          </w:p>
        </w:tc>
      </w:tr>
    </w:tbl>
    <w:p>
      <w:pPr>
        <w:snapToGrid w:val="0"/>
        <w:spacing w:line="360" w:lineRule="auto"/>
        <w:jc w:val="center"/>
        <w:rPr>
          <w:rFonts w:ascii="仿宋_GB2312" w:hAnsi="仿宋" w:eastAsia="仿宋_GB2312" w:cs="仿宋_GB2312"/>
          <w:b/>
          <w:color w:val="auto"/>
          <w:sz w:val="24"/>
          <w:highlight w:val="none"/>
        </w:rPr>
      </w:pPr>
      <w:r>
        <w:rPr>
          <w:rFonts w:hint="eastAsia" w:ascii="仿宋_GB2312" w:hAnsi="Arial" w:eastAsia="仿宋_GB2312" w:cs="Arial"/>
          <w:color w:val="auto"/>
          <w:sz w:val="20"/>
          <w:szCs w:val="20"/>
          <w:highlight w:val="none"/>
          <w:shd w:val="clear" w:color="auto" w:fill="FFFFFF"/>
        </w:rPr>
        <w:t> *</w:t>
      </w:r>
      <w:r>
        <w:rPr>
          <w:rFonts w:hint="eastAsia" w:ascii="仿宋_GB2312" w:hAnsi="仿宋" w:eastAsia="仿宋_GB2312" w:cs="仿宋_GB2312"/>
          <w:b/>
          <w:color w:val="auto"/>
          <w:sz w:val="24"/>
          <w:highlight w:val="none"/>
        </w:rPr>
        <w:t>备注：</w:t>
      </w:r>
      <w:r>
        <w:rPr>
          <w:rFonts w:hint="eastAsia" w:ascii="仿宋_GB2312" w:hAnsi="仿宋" w:eastAsia="仿宋_GB2312" w:cs="仿宋_GB2312"/>
          <w:color w:val="auto"/>
          <w:sz w:val="24"/>
          <w:highlight w:val="none"/>
        </w:rPr>
        <w:t>投标人编制</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（商务技术文件部分）时，建议按此目录（序号和内容）提供评标标准相应的商务技术资料。</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1.本项目采用综合评分法。</w:t>
      </w:r>
      <w:r>
        <w:rPr>
          <w:rFonts w:hint="eastAsia" w:ascii="仿宋_GB2312" w:hAnsi="仿宋" w:eastAsia="仿宋_GB2312" w:cs="Arial"/>
          <w:color w:val="auto"/>
          <w:kern w:val="0"/>
          <w:sz w:val="24"/>
          <w:highlight w:val="none"/>
        </w:rPr>
        <w:t>综合评分法，是指</w:t>
      </w:r>
      <w:r>
        <w:rPr>
          <w:rFonts w:hint="eastAsia" w:ascii="仿宋_GB2312" w:hAnsi="仿宋" w:eastAsia="仿宋_GB2312" w:cs="Arial"/>
          <w:color w:val="auto"/>
          <w:kern w:val="0"/>
          <w:sz w:val="24"/>
          <w:highlight w:val="none"/>
          <w:lang w:eastAsia="zh-CN"/>
        </w:rPr>
        <w:t>响应文件</w:t>
      </w:r>
      <w:r>
        <w:rPr>
          <w:rFonts w:hint="eastAsia" w:ascii="仿宋_GB2312" w:hAnsi="仿宋" w:eastAsia="仿宋_GB2312" w:cs="Arial"/>
          <w:color w:val="auto"/>
          <w:kern w:val="0"/>
          <w:sz w:val="24"/>
          <w:highlight w:val="none"/>
        </w:rPr>
        <w:t>满足</w:t>
      </w:r>
      <w:r>
        <w:rPr>
          <w:rFonts w:hint="eastAsia" w:ascii="仿宋_GB2312" w:hAnsi="仿宋" w:eastAsia="仿宋_GB2312" w:cs="Arial"/>
          <w:color w:val="auto"/>
          <w:kern w:val="0"/>
          <w:sz w:val="24"/>
          <w:highlight w:val="none"/>
          <w:lang w:eastAsia="zh-CN"/>
        </w:rPr>
        <w:t>磋商文件</w:t>
      </w:r>
      <w:r>
        <w:rPr>
          <w:rFonts w:hint="eastAsia" w:ascii="仿宋_GB2312" w:hAnsi="仿宋" w:eastAsia="仿宋_GB2312" w:cs="Arial"/>
          <w:color w:val="auto"/>
          <w:kern w:val="0"/>
          <w:sz w:val="24"/>
          <w:highlight w:val="none"/>
        </w:rPr>
        <w:t>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r>
        <w:rPr>
          <w:rFonts w:hint="eastAsia" w:ascii="仿宋_GB2312" w:eastAsia="仿宋_GB2312"/>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adjustRightInd/>
        <w:spacing w:line="360" w:lineRule="auto"/>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3.1符合性审查。</w:t>
      </w:r>
      <w:r>
        <w:rPr>
          <w:rFonts w:hint="eastAsia" w:ascii="仿宋_GB2312" w:hAnsi="仿宋" w:eastAsia="仿宋_GB2312" w:cs="Arial"/>
          <w:color w:val="auto"/>
          <w:kern w:val="0"/>
          <w:sz w:val="24"/>
          <w:highlight w:val="none"/>
        </w:rPr>
        <w:t>评标委员会应当对符合资格的投标人的</w:t>
      </w:r>
      <w:r>
        <w:rPr>
          <w:rFonts w:hint="eastAsia" w:ascii="仿宋_GB2312" w:hAnsi="仿宋" w:eastAsia="仿宋_GB2312" w:cs="Arial"/>
          <w:color w:val="auto"/>
          <w:kern w:val="0"/>
          <w:sz w:val="24"/>
          <w:highlight w:val="none"/>
          <w:lang w:eastAsia="zh-CN"/>
        </w:rPr>
        <w:t>响应文件</w:t>
      </w:r>
      <w:r>
        <w:rPr>
          <w:rFonts w:hint="eastAsia" w:ascii="仿宋_GB2312" w:hAnsi="仿宋" w:eastAsia="仿宋_GB2312" w:cs="Arial"/>
          <w:color w:val="auto"/>
          <w:kern w:val="0"/>
          <w:sz w:val="24"/>
          <w:highlight w:val="none"/>
        </w:rPr>
        <w:t>进行符合性审查，以确定其是否满足</w:t>
      </w:r>
      <w:r>
        <w:rPr>
          <w:rFonts w:hint="eastAsia" w:ascii="仿宋_GB2312" w:hAnsi="仿宋" w:eastAsia="仿宋_GB2312" w:cs="Arial"/>
          <w:color w:val="auto"/>
          <w:kern w:val="0"/>
          <w:sz w:val="24"/>
          <w:highlight w:val="none"/>
          <w:lang w:eastAsia="zh-CN"/>
        </w:rPr>
        <w:t>磋商文件</w:t>
      </w:r>
      <w:r>
        <w:rPr>
          <w:rFonts w:hint="eastAsia" w:ascii="仿宋_GB2312" w:hAnsi="仿宋" w:eastAsia="仿宋_GB2312" w:cs="Arial"/>
          <w:color w:val="auto"/>
          <w:kern w:val="0"/>
          <w:sz w:val="24"/>
          <w:highlight w:val="none"/>
        </w:rPr>
        <w:t>的实质性要求。不满足</w:t>
      </w:r>
      <w:r>
        <w:rPr>
          <w:rFonts w:hint="eastAsia" w:ascii="仿宋_GB2312" w:hAnsi="仿宋" w:eastAsia="仿宋_GB2312" w:cs="Arial"/>
          <w:color w:val="auto"/>
          <w:kern w:val="0"/>
          <w:sz w:val="24"/>
          <w:highlight w:val="none"/>
          <w:lang w:eastAsia="zh-CN"/>
        </w:rPr>
        <w:t>磋商文件</w:t>
      </w:r>
      <w:r>
        <w:rPr>
          <w:rFonts w:hint="eastAsia" w:ascii="仿宋_GB2312" w:hAnsi="仿宋" w:eastAsia="仿宋_GB2312" w:cs="Arial"/>
          <w:color w:val="auto"/>
          <w:kern w:val="0"/>
          <w:sz w:val="24"/>
          <w:highlight w:val="none"/>
        </w:rPr>
        <w:t>的实质性要求的，投标无效。</w:t>
      </w:r>
    </w:p>
    <w:p>
      <w:pPr>
        <w:spacing w:line="360" w:lineRule="auto"/>
        <w:ind w:firstLine="472" w:firstLineChars="196"/>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3.2 比较与评价。</w:t>
      </w:r>
      <w:r>
        <w:rPr>
          <w:rFonts w:hint="eastAsia" w:ascii="仿宋_GB2312" w:hAnsi="仿宋" w:eastAsia="仿宋_GB2312" w:cs="Arial"/>
          <w:color w:val="auto"/>
          <w:kern w:val="0"/>
          <w:sz w:val="24"/>
          <w:highlight w:val="none"/>
        </w:rPr>
        <w:t>评标委员会应当按照</w:t>
      </w:r>
      <w:r>
        <w:rPr>
          <w:rFonts w:hint="eastAsia" w:ascii="仿宋_GB2312" w:hAnsi="仿宋" w:eastAsia="仿宋_GB2312" w:cs="Arial"/>
          <w:color w:val="auto"/>
          <w:kern w:val="0"/>
          <w:sz w:val="24"/>
          <w:highlight w:val="none"/>
          <w:lang w:eastAsia="zh-CN"/>
        </w:rPr>
        <w:t>磋商文件</w:t>
      </w:r>
      <w:r>
        <w:rPr>
          <w:rFonts w:hint="eastAsia" w:ascii="仿宋_GB2312" w:hAnsi="仿宋" w:eastAsia="仿宋_GB2312" w:cs="Arial"/>
          <w:color w:val="auto"/>
          <w:kern w:val="0"/>
          <w:sz w:val="24"/>
          <w:highlight w:val="none"/>
        </w:rPr>
        <w:t>中规定的评标方法和标准，对符合性审查合格的</w:t>
      </w:r>
      <w:r>
        <w:rPr>
          <w:rFonts w:hint="eastAsia" w:ascii="仿宋_GB2312" w:hAnsi="仿宋" w:eastAsia="仿宋_GB2312" w:cs="Arial"/>
          <w:color w:val="auto"/>
          <w:kern w:val="0"/>
          <w:sz w:val="24"/>
          <w:highlight w:val="none"/>
          <w:lang w:eastAsia="zh-CN"/>
        </w:rPr>
        <w:t>响应文件</w:t>
      </w:r>
      <w:r>
        <w:rPr>
          <w:rFonts w:hint="eastAsia" w:ascii="仿宋_GB2312" w:hAnsi="仿宋" w:eastAsia="仿宋_GB2312" w:cs="Arial"/>
          <w:color w:val="auto"/>
          <w:kern w:val="0"/>
          <w:sz w:val="24"/>
          <w:highlight w:val="none"/>
        </w:rPr>
        <w:t>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hint="eastAsia" w:ascii="仿宋_GB2312" w:hAnsi="仿宋" w:eastAsia="仿宋_GB2312" w:cs="Arial"/>
          <w:b/>
          <w:color w:val="auto"/>
          <w:kern w:val="0"/>
          <w:sz w:val="24"/>
          <w:highlight w:val="none"/>
        </w:rPr>
        <w:t>3.4报价评审。</w:t>
      </w:r>
    </w:p>
    <w:p>
      <w:pPr>
        <w:pStyle w:val="128"/>
        <w:spacing w:before="0"/>
        <w:ind w:firstLine="508" w:firstLineChars="212"/>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3.4.1</w:t>
      </w:r>
      <w:r>
        <w:rPr>
          <w:rFonts w:hint="eastAsia" w:ascii="仿宋_GB2312" w:hAnsi="仿宋" w:eastAsia="仿宋_GB2312" w:cs="Arial"/>
          <w:color w:val="auto"/>
          <w:kern w:val="0"/>
          <w:highlight w:val="none"/>
          <w:lang w:eastAsia="zh-CN"/>
        </w:rPr>
        <w:t>响应文件</w:t>
      </w:r>
      <w:r>
        <w:rPr>
          <w:rFonts w:hint="eastAsia" w:ascii="仿宋_GB2312" w:hAnsi="仿宋" w:eastAsia="仿宋_GB2312" w:cs="Arial"/>
          <w:color w:val="auto"/>
          <w:kern w:val="0"/>
          <w:highlight w:val="none"/>
        </w:rPr>
        <w:t>报价出现前后不一致的，按照下列规定修正：</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3.4.1.1</w:t>
      </w:r>
      <w:r>
        <w:rPr>
          <w:rFonts w:hint="eastAsia" w:ascii="仿宋_GB2312" w:hAnsi="仿宋" w:eastAsia="仿宋_GB2312" w:cs="仿宋"/>
          <w:color w:val="auto"/>
          <w:kern w:val="0"/>
          <w:szCs w:val="24"/>
          <w:highlight w:val="none"/>
          <w:lang w:eastAsia="zh-CN"/>
        </w:rPr>
        <w:t>响应文件</w:t>
      </w:r>
      <w:r>
        <w:rPr>
          <w:rFonts w:hint="eastAsia" w:ascii="仿宋_GB2312" w:hAnsi="仿宋" w:eastAsia="仿宋_GB2312" w:cs="仿宋"/>
          <w:color w:val="auto"/>
          <w:kern w:val="0"/>
          <w:szCs w:val="24"/>
          <w:highlight w:val="none"/>
        </w:rPr>
        <w:t>中开标一览表(报价表)内容与</w:t>
      </w:r>
      <w:r>
        <w:rPr>
          <w:rFonts w:hint="eastAsia" w:ascii="仿宋_GB2312" w:hAnsi="仿宋" w:eastAsia="仿宋_GB2312" w:cs="仿宋"/>
          <w:color w:val="auto"/>
          <w:kern w:val="0"/>
          <w:szCs w:val="24"/>
          <w:highlight w:val="none"/>
          <w:lang w:eastAsia="zh-CN"/>
        </w:rPr>
        <w:t>响应文件</w:t>
      </w:r>
      <w:r>
        <w:rPr>
          <w:rFonts w:hint="eastAsia" w:ascii="仿宋_GB2312" w:hAnsi="仿宋" w:eastAsia="仿宋_GB2312" w:cs="仿宋"/>
          <w:color w:val="auto"/>
          <w:kern w:val="0"/>
          <w:szCs w:val="24"/>
          <w:highlight w:val="none"/>
        </w:rPr>
        <w:t>中相应内容不一致的，以开标一览表(报价表)为准;</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3.4.1.2大写金额和小写金额不一致的，以大写金额为准;</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3.4.1.3单价金额小数点或者百分比有明显错位的，以开标一览表的总价为准，并修改单价;</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3.4.1.4总价金额与按单价汇总金额不一致的，以单价金额计算结果为准。</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3.4.2</w:t>
      </w:r>
      <w:r>
        <w:rPr>
          <w:rFonts w:hint="eastAsia" w:ascii="仿宋_GB2312" w:hAnsi="仿宋" w:eastAsia="仿宋_GB2312" w:cs="仿宋"/>
          <w:color w:val="auto"/>
          <w:kern w:val="0"/>
          <w:sz w:val="24"/>
          <w:highlight w:val="none"/>
          <w:lang w:eastAsia="zh-CN"/>
        </w:rPr>
        <w:t>响应文件</w:t>
      </w:r>
      <w:r>
        <w:rPr>
          <w:rFonts w:hint="eastAsia" w:ascii="仿宋_GB2312" w:hAnsi="仿宋" w:eastAsia="仿宋_GB2312" w:cs="仿宋"/>
          <w:color w:val="auto"/>
          <w:kern w:val="0"/>
          <w:sz w:val="24"/>
          <w:highlight w:val="none"/>
        </w:rPr>
        <w:t>出现不是唯一的、有选择性投标报价的，投标无效。</w:t>
      </w:r>
    </w:p>
    <w:p>
      <w:pPr>
        <w:snapToGrid w:val="0"/>
        <w:spacing w:line="360" w:lineRule="auto"/>
        <w:ind w:firstLine="480" w:firstLineChars="200"/>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3.4.3投标报价超过</w:t>
      </w:r>
      <w:r>
        <w:rPr>
          <w:rFonts w:hint="eastAsia" w:ascii="仿宋_GB2312" w:hAnsi="仿宋" w:eastAsia="仿宋_GB2312" w:cs="仿宋"/>
          <w:color w:val="auto"/>
          <w:kern w:val="0"/>
          <w:sz w:val="24"/>
          <w:highlight w:val="none"/>
          <w:lang w:eastAsia="zh-CN"/>
        </w:rPr>
        <w:t>磋商文件</w:t>
      </w:r>
      <w:r>
        <w:rPr>
          <w:rFonts w:hint="eastAsia" w:ascii="仿宋_GB2312" w:hAnsi="仿宋" w:eastAsia="仿宋_GB2312" w:cs="仿宋"/>
          <w:color w:val="auto"/>
          <w:kern w:val="0"/>
          <w:sz w:val="24"/>
          <w:highlight w:val="none"/>
        </w:rPr>
        <w:t>中规定的预算金额或者最高限价的，投标无效。</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仿宋"/>
          <w:color w:val="auto"/>
          <w:kern w:val="0"/>
          <w:szCs w:val="24"/>
          <w:highlight w:val="none"/>
        </w:rPr>
        <w:t>2</w:t>
      </w:r>
      <w:r>
        <w:rPr>
          <w:rFonts w:hint="eastAsia" w:ascii="仿宋_GB2312" w:hAnsi="仿宋" w:eastAsia="仿宋_GB2312" w:cs="仿宋"/>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_GB2312" w:hAnsi="仿宋" w:eastAsia="仿宋_GB2312" w:cs="仿宋"/>
          <w:color w:val="auto"/>
          <w:kern w:val="0"/>
          <w:szCs w:val="24"/>
          <w:highlight w:val="none"/>
        </w:rPr>
        <w:t>6</w:t>
      </w:r>
      <w:r>
        <w:rPr>
          <w:rFonts w:hint="eastAsia" w:ascii="仿宋_GB2312" w:hAnsi="仿宋" w:eastAsia="仿宋_GB2312"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3.5排序与推荐。</w:t>
      </w:r>
      <w:r>
        <w:rPr>
          <w:rFonts w:hint="eastAsia"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w:t>
      </w:r>
      <w:r>
        <w:rPr>
          <w:rFonts w:hint="eastAsia" w:ascii="仿宋_GB2312" w:hAnsi="仿宋" w:eastAsia="仿宋_GB2312" w:cs="Arial"/>
          <w:color w:val="auto"/>
          <w:kern w:val="0"/>
          <w:sz w:val="24"/>
          <w:highlight w:val="none"/>
          <w:lang w:eastAsia="zh-CN"/>
        </w:rPr>
        <w:t>响应文件</w:t>
      </w:r>
      <w:r>
        <w:rPr>
          <w:rFonts w:hint="eastAsia" w:ascii="仿宋_GB2312" w:hAnsi="仿宋" w:eastAsia="仿宋_GB2312" w:cs="Arial"/>
          <w:color w:val="auto"/>
          <w:kern w:val="0"/>
          <w:sz w:val="24"/>
          <w:highlight w:val="none"/>
        </w:rPr>
        <w:t>满足</w:t>
      </w:r>
      <w:r>
        <w:rPr>
          <w:rFonts w:hint="eastAsia" w:ascii="仿宋_GB2312" w:hAnsi="仿宋" w:eastAsia="仿宋_GB2312" w:cs="Arial"/>
          <w:color w:val="auto"/>
          <w:kern w:val="0"/>
          <w:sz w:val="24"/>
          <w:highlight w:val="none"/>
          <w:lang w:eastAsia="zh-CN"/>
        </w:rPr>
        <w:t>磋商文件</w:t>
      </w:r>
      <w:r>
        <w:rPr>
          <w:rFonts w:hint="eastAsia" w:ascii="仿宋_GB2312" w:hAnsi="仿宋" w:eastAsia="仿宋_GB2312" w:cs="Arial"/>
          <w:color w:val="auto"/>
          <w:kern w:val="0"/>
          <w:sz w:val="24"/>
          <w:highlight w:val="none"/>
        </w:rPr>
        <w:t>全部实质性要求，且按照评审因素的量化指标评审得分最高的投标人为排名第一的中标候选人。</w:t>
      </w:r>
    </w:p>
    <w:p>
      <w:pPr>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3.6编写评标报告。</w:t>
      </w:r>
      <w:r>
        <w:rPr>
          <w:rFonts w:hint="eastAsia" w:ascii="仿宋_GB2312" w:hAnsi="仿宋" w:eastAsia="仿宋_GB2312" w:cs="Arial"/>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128"/>
        <w:spacing w:before="0"/>
        <w:ind w:firstLine="472" w:firstLineChars="196"/>
        <w:rPr>
          <w:rFonts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4.1投标人澄清、说明或者补正。</w:t>
      </w:r>
      <w:r>
        <w:rPr>
          <w:rFonts w:hint="eastAsia" w:ascii="仿宋_GB2312" w:hAnsi="仿宋" w:eastAsia="仿宋_GB2312" w:cs="Arial"/>
          <w:color w:val="auto"/>
          <w:kern w:val="0"/>
          <w:szCs w:val="24"/>
          <w:highlight w:val="none"/>
        </w:rPr>
        <w:t>对于</w:t>
      </w:r>
      <w:r>
        <w:rPr>
          <w:rFonts w:hint="eastAsia" w:ascii="仿宋_GB2312" w:hAnsi="仿宋" w:eastAsia="仿宋_GB2312" w:cs="Arial"/>
          <w:color w:val="auto"/>
          <w:kern w:val="0"/>
          <w:szCs w:val="24"/>
          <w:highlight w:val="none"/>
          <w:lang w:eastAsia="zh-CN"/>
        </w:rPr>
        <w:t>响应文件</w:t>
      </w:r>
      <w:r>
        <w:rPr>
          <w:rFonts w:hint="eastAsia" w:ascii="仿宋_GB2312" w:hAnsi="仿宋" w:eastAsia="仿宋_GB2312" w:cs="Arial"/>
          <w:color w:val="auto"/>
          <w:kern w:val="0"/>
          <w:szCs w:val="24"/>
          <w:highlight w:val="none"/>
        </w:rPr>
        <w:t>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w:t>
      </w:r>
      <w:r>
        <w:rPr>
          <w:rFonts w:hint="eastAsia" w:ascii="仿宋_GB2312" w:hAnsi="仿宋" w:eastAsia="仿宋_GB2312" w:cs="Arial"/>
          <w:color w:val="auto"/>
          <w:kern w:val="0"/>
          <w:szCs w:val="24"/>
          <w:highlight w:val="none"/>
          <w:lang w:eastAsia="zh-CN"/>
        </w:rPr>
        <w:t>响应文件</w:t>
      </w:r>
      <w:r>
        <w:rPr>
          <w:rFonts w:hint="eastAsia" w:ascii="仿宋_GB2312" w:hAnsi="仿宋" w:eastAsia="仿宋_GB2312" w:cs="Arial"/>
          <w:color w:val="auto"/>
          <w:kern w:val="0"/>
          <w:szCs w:val="24"/>
          <w:highlight w:val="none"/>
        </w:rPr>
        <w:t>的范围或者改变</w:t>
      </w:r>
      <w:r>
        <w:rPr>
          <w:rFonts w:hint="eastAsia" w:ascii="仿宋_GB2312" w:hAnsi="仿宋" w:eastAsia="仿宋_GB2312" w:cs="Arial"/>
          <w:color w:val="auto"/>
          <w:kern w:val="0"/>
          <w:szCs w:val="24"/>
          <w:highlight w:val="none"/>
          <w:lang w:eastAsia="zh-CN"/>
        </w:rPr>
        <w:t>响应文件</w:t>
      </w:r>
      <w:r>
        <w:rPr>
          <w:rFonts w:hint="eastAsia" w:ascii="仿宋_GB2312" w:hAnsi="仿宋" w:eastAsia="仿宋_GB2312" w:cs="Arial"/>
          <w:color w:val="auto"/>
          <w:kern w:val="0"/>
          <w:szCs w:val="24"/>
          <w:highlight w:val="none"/>
        </w:rPr>
        <w:t>的实质性内容。</w:t>
      </w:r>
    </w:p>
    <w:p>
      <w:pPr>
        <w:pStyle w:val="26"/>
        <w:spacing w:line="360" w:lineRule="auto"/>
        <w:ind w:left="954" w:leftChars="226" w:hanging="479" w:firstLineChars="0"/>
        <w:rPr>
          <w:rFonts w:ascii="仿宋_GB2312" w:hAnsi="仿宋" w:eastAsia="仿宋_GB2312" w:cs="仿宋_GB2312"/>
          <w:color w:val="auto"/>
          <w:szCs w:val="21"/>
          <w:highlight w:val="none"/>
        </w:rPr>
      </w:pPr>
      <w:r>
        <w:rPr>
          <w:rFonts w:hint="eastAsia"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4.2.1投标人不具备</w:t>
      </w:r>
      <w:r>
        <w:rPr>
          <w:rFonts w:hint="eastAsia" w:ascii="仿宋_GB2312" w:hAnsi="仿宋" w:eastAsia="仿宋_GB2312" w:cs="Arial"/>
          <w:color w:val="auto"/>
          <w:kern w:val="0"/>
          <w:sz w:val="24"/>
          <w:highlight w:val="none"/>
          <w:lang w:eastAsia="zh-CN"/>
        </w:rPr>
        <w:t>磋商文件</w:t>
      </w:r>
      <w:r>
        <w:rPr>
          <w:rFonts w:hint="eastAsia" w:ascii="仿宋_GB2312" w:hAnsi="仿宋" w:eastAsia="仿宋_GB2312" w:cs="Arial"/>
          <w:color w:val="auto"/>
          <w:kern w:val="0"/>
          <w:sz w:val="24"/>
          <w:highlight w:val="none"/>
        </w:rPr>
        <w:t>中规定的资格要求的（投标人未提供有效的资格文件的，视为投标人不具备</w:t>
      </w:r>
      <w:r>
        <w:rPr>
          <w:rFonts w:hint="eastAsia" w:ascii="仿宋_GB2312" w:hAnsi="仿宋" w:eastAsia="仿宋_GB2312" w:cs="Arial"/>
          <w:color w:val="auto"/>
          <w:kern w:val="0"/>
          <w:sz w:val="24"/>
          <w:highlight w:val="none"/>
          <w:lang w:eastAsia="zh-CN"/>
        </w:rPr>
        <w:t>磋商文件</w:t>
      </w:r>
      <w:r>
        <w:rPr>
          <w:rFonts w:hint="eastAsia" w:ascii="仿宋_GB2312" w:hAnsi="仿宋" w:eastAsia="仿宋_GB2312" w:cs="Arial"/>
          <w:color w:val="auto"/>
          <w:kern w:val="0"/>
          <w:sz w:val="24"/>
          <w:highlight w:val="none"/>
        </w:rPr>
        <w:t>中规定的资格要求）；</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4.2.2</w:t>
      </w:r>
      <w:r>
        <w:rPr>
          <w:rFonts w:hint="eastAsia" w:ascii="仿宋_GB2312" w:hAnsi="仿宋" w:eastAsia="仿宋_GB2312" w:cs="Arial"/>
          <w:color w:val="auto"/>
          <w:kern w:val="0"/>
          <w:sz w:val="24"/>
          <w:highlight w:val="none"/>
          <w:lang w:eastAsia="zh-CN"/>
        </w:rPr>
        <w:t>响应文件</w:t>
      </w:r>
      <w:r>
        <w:rPr>
          <w:rFonts w:hint="eastAsia" w:ascii="仿宋_GB2312" w:hAnsi="仿宋" w:eastAsia="仿宋_GB2312" w:cs="Arial"/>
          <w:color w:val="auto"/>
          <w:kern w:val="0"/>
          <w:sz w:val="24"/>
          <w:highlight w:val="none"/>
        </w:rPr>
        <w:t>未按照</w:t>
      </w:r>
      <w:r>
        <w:rPr>
          <w:rFonts w:hint="eastAsia" w:ascii="仿宋_GB2312" w:hAnsi="仿宋" w:eastAsia="仿宋_GB2312" w:cs="Arial"/>
          <w:color w:val="auto"/>
          <w:kern w:val="0"/>
          <w:sz w:val="24"/>
          <w:highlight w:val="none"/>
          <w:lang w:eastAsia="zh-CN"/>
        </w:rPr>
        <w:t>磋商文件</w:t>
      </w:r>
      <w:r>
        <w:rPr>
          <w:rFonts w:hint="eastAsia" w:ascii="仿宋_GB2312" w:hAnsi="仿宋" w:eastAsia="仿宋_GB2312" w:cs="Arial"/>
          <w:color w:val="auto"/>
          <w:kern w:val="0"/>
          <w:sz w:val="24"/>
          <w:highlight w:val="none"/>
        </w:rPr>
        <w:t>要求签署、盖章的；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4.2.3采购人拟采购的产品属于政府强制采购的节能产品品目清单范围的，投标人未按</w:t>
      </w:r>
      <w:r>
        <w:rPr>
          <w:rFonts w:hint="eastAsia" w:ascii="仿宋_GB2312" w:hAnsi="仿宋" w:eastAsia="仿宋_GB2312" w:cs="Arial"/>
          <w:color w:val="auto"/>
          <w:kern w:val="0"/>
          <w:sz w:val="24"/>
          <w:highlight w:val="none"/>
          <w:lang w:eastAsia="zh-CN"/>
        </w:rPr>
        <w:t>磋商文件</w:t>
      </w:r>
      <w:r>
        <w:rPr>
          <w:rFonts w:hint="eastAsia" w:ascii="仿宋_GB2312" w:hAnsi="仿宋" w:eastAsia="仿宋_GB2312" w:cs="Arial"/>
          <w:color w:val="auto"/>
          <w:kern w:val="0"/>
          <w:sz w:val="24"/>
          <w:highlight w:val="none"/>
        </w:rPr>
        <w:t>要求提供国家确定的认证机构出具的、处于有效期之内的节能产品认证证书的；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4.2.4</w:t>
      </w:r>
      <w:r>
        <w:rPr>
          <w:rFonts w:hint="eastAsia" w:ascii="仿宋_GB2312" w:hAnsi="仿宋" w:eastAsia="仿宋_GB2312" w:cs="Arial"/>
          <w:color w:val="auto"/>
          <w:kern w:val="0"/>
          <w:sz w:val="24"/>
          <w:highlight w:val="none"/>
          <w:lang w:eastAsia="zh-CN"/>
        </w:rPr>
        <w:t>响应文件</w:t>
      </w:r>
      <w:r>
        <w:rPr>
          <w:rFonts w:hint="eastAsia" w:ascii="仿宋_GB2312" w:hAnsi="仿宋" w:eastAsia="仿宋_GB2312" w:cs="Arial"/>
          <w:color w:val="auto"/>
          <w:kern w:val="0"/>
          <w:sz w:val="24"/>
          <w:highlight w:val="none"/>
        </w:rPr>
        <w:t>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4.2.5</w:t>
      </w:r>
      <w:r>
        <w:rPr>
          <w:rFonts w:hint="eastAsia" w:ascii="仿宋_GB2312" w:hAnsi="仿宋" w:eastAsia="仿宋_GB2312" w:cs="Arial"/>
          <w:color w:val="auto"/>
          <w:kern w:val="0"/>
          <w:sz w:val="24"/>
          <w:highlight w:val="none"/>
          <w:lang w:eastAsia="zh-CN"/>
        </w:rPr>
        <w:t>响应文件</w:t>
      </w:r>
      <w:r>
        <w:rPr>
          <w:rFonts w:hint="eastAsia" w:ascii="仿宋_GB2312" w:hAnsi="仿宋" w:eastAsia="仿宋_GB2312" w:cs="Arial"/>
          <w:color w:val="auto"/>
          <w:kern w:val="0"/>
          <w:sz w:val="24"/>
          <w:highlight w:val="none"/>
        </w:rPr>
        <w:t>中承诺的投标有效期少于</w:t>
      </w:r>
      <w:r>
        <w:rPr>
          <w:rFonts w:hint="eastAsia" w:ascii="仿宋_GB2312" w:hAnsi="仿宋" w:eastAsia="仿宋_GB2312" w:cs="Arial"/>
          <w:color w:val="auto"/>
          <w:kern w:val="0"/>
          <w:sz w:val="24"/>
          <w:highlight w:val="none"/>
          <w:lang w:eastAsia="zh-CN"/>
        </w:rPr>
        <w:t>磋商文件</w:t>
      </w:r>
      <w:r>
        <w:rPr>
          <w:rFonts w:hint="eastAsia" w:ascii="仿宋_GB2312" w:hAnsi="仿宋" w:eastAsia="仿宋_GB2312" w:cs="Arial"/>
          <w:color w:val="auto"/>
          <w:kern w:val="0"/>
          <w:sz w:val="24"/>
          <w:highlight w:val="none"/>
        </w:rPr>
        <w:t>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 xml:space="preserve">   4.2.6</w:t>
      </w:r>
      <w:r>
        <w:rPr>
          <w:rFonts w:hint="eastAsia" w:ascii="仿宋_GB2312" w:hAnsi="仿宋" w:eastAsia="仿宋_GB2312" w:cs="Arial"/>
          <w:color w:val="auto"/>
          <w:kern w:val="0"/>
          <w:sz w:val="24"/>
          <w:highlight w:val="none"/>
          <w:lang w:eastAsia="zh-CN"/>
        </w:rPr>
        <w:t>响应文件</w:t>
      </w:r>
      <w:r>
        <w:rPr>
          <w:rFonts w:hint="eastAsia" w:ascii="仿宋_GB2312" w:hAnsi="仿宋" w:eastAsia="仿宋_GB2312" w:cs="Arial"/>
          <w:color w:val="auto"/>
          <w:kern w:val="0"/>
          <w:sz w:val="24"/>
          <w:highlight w:val="none"/>
        </w:rPr>
        <w:t>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4.2.7投标报价超过</w:t>
      </w:r>
      <w:r>
        <w:rPr>
          <w:rFonts w:hint="eastAsia" w:ascii="仿宋_GB2312" w:hAnsi="仿宋" w:eastAsia="仿宋_GB2312" w:cs="Arial"/>
          <w:color w:val="auto"/>
          <w:kern w:val="0"/>
          <w:sz w:val="24"/>
          <w:highlight w:val="none"/>
          <w:lang w:eastAsia="zh-CN"/>
        </w:rPr>
        <w:t>磋商文件</w:t>
      </w:r>
      <w:r>
        <w:rPr>
          <w:rFonts w:hint="eastAsia" w:ascii="仿宋_GB2312" w:hAnsi="仿宋" w:eastAsia="仿宋_GB2312" w:cs="Arial"/>
          <w:color w:val="auto"/>
          <w:kern w:val="0"/>
          <w:sz w:val="24"/>
          <w:highlight w:val="none"/>
        </w:rPr>
        <w:t>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4.2.12投标人仅提交备份</w:t>
      </w:r>
      <w:r>
        <w:rPr>
          <w:rFonts w:hint="eastAsia" w:ascii="仿宋_GB2312" w:hAnsi="仿宋" w:eastAsia="仿宋_GB2312" w:cs="Arial"/>
          <w:color w:val="auto"/>
          <w:kern w:val="0"/>
          <w:sz w:val="24"/>
          <w:highlight w:val="none"/>
          <w:lang w:eastAsia="zh-CN"/>
        </w:rPr>
        <w:t>响应文件</w:t>
      </w:r>
      <w:r>
        <w:rPr>
          <w:rFonts w:hint="eastAsia" w:ascii="仿宋_GB2312" w:hAnsi="仿宋" w:eastAsia="仿宋_GB2312" w:cs="Arial"/>
          <w:color w:val="auto"/>
          <w:kern w:val="0"/>
          <w:sz w:val="24"/>
          <w:highlight w:val="none"/>
        </w:rPr>
        <w:t>，没有在电子交易平台传输递交</w:t>
      </w:r>
      <w:r>
        <w:rPr>
          <w:rFonts w:hint="eastAsia" w:ascii="仿宋_GB2312" w:hAnsi="仿宋" w:eastAsia="仿宋_GB2312" w:cs="Arial"/>
          <w:color w:val="auto"/>
          <w:kern w:val="0"/>
          <w:sz w:val="24"/>
          <w:highlight w:val="none"/>
          <w:lang w:eastAsia="zh-CN"/>
        </w:rPr>
        <w:t>响应文件</w:t>
      </w:r>
      <w:r>
        <w:rPr>
          <w:rFonts w:hint="eastAsia" w:ascii="仿宋_GB2312" w:hAnsi="仿宋" w:eastAsia="仿宋_GB2312" w:cs="Arial"/>
          <w:color w:val="auto"/>
          <w:kern w:val="0"/>
          <w:sz w:val="24"/>
          <w:highlight w:val="none"/>
        </w:rPr>
        <w:t>的，投标无效；</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 xml:space="preserve">4.2.13 </w:t>
      </w:r>
      <w:r>
        <w:rPr>
          <w:rFonts w:hint="eastAsia" w:ascii="仿宋_GB2312" w:hAnsi="仿宋" w:eastAsia="仿宋_GB2312" w:cs="Arial"/>
          <w:color w:val="auto"/>
          <w:kern w:val="0"/>
          <w:sz w:val="24"/>
          <w:highlight w:val="none"/>
          <w:lang w:eastAsia="zh-CN"/>
        </w:rPr>
        <w:t>响应文件</w:t>
      </w:r>
      <w:r>
        <w:rPr>
          <w:rFonts w:hint="eastAsia" w:ascii="仿宋_GB2312" w:hAnsi="仿宋" w:eastAsia="仿宋_GB2312" w:cs="Arial"/>
          <w:color w:val="auto"/>
          <w:kern w:val="0"/>
          <w:sz w:val="24"/>
          <w:highlight w:val="none"/>
        </w:rPr>
        <w:t>不满足</w:t>
      </w:r>
      <w:r>
        <w:rPr>
          <w:rFonts w:hint="eastAsia" w:ascii="仿宋_GB2312" w:hAnsi="仿宋" w:eastAsia="仿宋_GB2312" w:cs="Arial"/>
          <w:color w:val="auto"/>
          <w:kern w:val="0"/>
          <w:sz w:val="24"/>
          <w:highlight w:val="none"/>
          <w:lang w:eastAsia="zh-CN"/>
        </w:rPr>
        <w:t>磋商文件</w:t>
      </w:r>
      <w:r>
        <w:rPr>
          <w:rFonts w:hint="eastAsia" w:ascii="仿宋_GB2312" w:hAnsi="仿宋" w:eastAsia="仿宋_GB2312" w:cs="Arial"/>
          <w:color w:val="auto"/>
          <w:kern w:val="0"/>
          <w:sz w:val="24"/>
          <w:highlight w:val="none"/>
        </w:rPr>
        <w:t>的其它实质性要求的；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color w:val="auto"/>
          <w:highlight w:val="none"/>
        </w:rPr>
      </w:pPr>
      <w:r>
        <w:rPr>
          <w:rFonts w:hint="eastAsia"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5.1符合专业条件的供应商或者对</w:t>
      </w:r>
      <w:r>
        <w:rPr>
          <w:rFonts w:hint="eastAsia" w:ascii="仿宋_GB2312" w:hAnsi="仿宋" w:eastAsia="仿宋_GB2312" w:cs="仿宋_GB2312"/>
          <w:color w:val="auto"/>
          <w:highlight w:val="none"/>
          <w:lang w:eastAsia="zh-CN"/>
        </w:rPr>
        <w:t>磋商文件</w:t>
      </w:r>
      <w:r>
        <w:rPr>
          <w:rFonts w:hint="eastAsia" w:ascii="仿宋_GB2312" w:hAnsi="仿宋" w:eastAsia="仿宋_GB2312" w:cs="仿宋_GB2312"/>
          <w:color w:val="auto"/>
          <w:highlight w:val="none"/>
        </w:rPr>
        <w:t>作实质响应的供应商不足3家的；</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5.2出现影响采购公正的违法、违规行为的；</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5.3投标人的报价均超过了采购预算，采购人不能支付的；</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5.4因重大变故，采购任务取消的。</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6"/>
        <w:snapToGrid w:val="0"/>
        <w:spacing w:line="360" w:lineRule="auto"/>
        <w:ind w:firstLine="590" w:firstLineChars="245"/>
        <w:rPr>
          <w:rFonts w:ascii="仿宋_GB2312" w:hAnsi="仿宋" w:eastAsia="仿宋_GB2312" w:cs="仿宋_GB2312"/>
          <w:color w:val="auto"/>
          <w:highlight w:val="none"/>
        </w:rPr>
      </w:pPr>
      <w:r>
        <w:rPr>
          <w:rFonts w:hint="eastAsia" w:ascii="仿宋_GB2312" w:hAnsi="仿宋" w:eastAsia="仿宋_GB2312" w:cs="仿宋_GB2312"/>
          <w:b/>
          <w:color w:val="auto"/>
          <w:highlight w:val="none"/>
        </w:rPr>
        <w:t>6.修改</w:t>
      </w:r>
      <w:r>
        <w:rPr>
          <w:rFonts w:hint="eastAsia" w:ascii="仿宋_GB2312" w:hAnsi="仿宋" w:eastAsia="仿宋_GB2312" w:cs="仿宋_GB2312"/>
          <w:b/>
          <w:color w:val="auto"/>
          <w:highlight w:val="none"/>
          <w:lang w:eastAsia="zh-CN"/>
        </w:rPr>
        <w:t>磋商文件</w:t>
      </w:r>
      <w:r>
        <w:rPr>
          <w:rFonts w:hint="eastAsia" w:ascii="仿宋_GB2312" w:hAnsi="仿宋" w:eastAsia="仿宋_GB2312" w:cs="仿宋_GB2312"/>
          <w:b/>
          <w:color w:val="auto"/>
          <w:highlight w:val="none"/>
        </w:rPr>
        <w:t>，重新组织采购活动。</w:t>
      </w:r>
      <w:r>
        <w:rPr>
          <w:rFonts w:hint="eastAsia" w:ascii="仿宋_GB2312" w:hAnsi="仿宋" w:eastAsia="仿宋_GB2312" w:cs="仿宋_GB2312"/>
          <w:color w:val="auto"/>
          <w:highlight w:val="none"/>
        </w:rPr>
        <w:t>评标委员会发现</w:t>
      </w:r>
      <w:r>
        <w:rPr>
          <w:rFonts w:hint="eastAsia" w:ascii="仿宋_GB2312" w:hAnsi="仿宋" w:eastAsia="仿宋_GB2312" w:cs="仿宋_GB2312"/>
          <w:color w:val="auto"/>
          <w:highlight w:val="none"/>
          <w:lang w:eastAsia="zh-CN"/>
        </w:rPr>
        <w:t>磋商文件</w:t>
      </w:r>
      <w:r>
        <w:rPr>
          <w:rFonts w:hint="eastAsia" w:ascii="仿宋_GB2312" w:hAnsi="仿宋" w:eastAsia="仿宋_GB2312" w:cs="仿宋_GB2312"/>
          <w:color w:val="auto"/>
          <w:highlight w:val="none"/>
        </w:rPr>
        <w:t>存在歧义、重大缺陷导致评标工作无法进行，或者</w:t>
      </w:r>
      <w:r>
        <w:rPr>
          <w:rFonts w:hint="eastAsia" w:ascii="仿宋_GB2312" w:hAnsi="仿宋" w:eastAsia="仿宋_GB2312" w:cs="仿宋_GB2312"/>
          <w:color w:val="auto"/>
          <w:highlight w:val="none"/>
          <w:lang w:eastAsia="zh-CN"/>
        </w:rPr>
        <w:t>磋商文件</w:t>
      </w:r>
      <w:r>
        <w:rPr>
          <w:rFonts w:hint="eastAsia" w:ascii="仿宋_GB2312" w:hAnsi="仿宋" w:eastAsia="仿宋_GB2312" w:cs="仿宋_GB2312"/>
          <w:color w:val="auto"/>
          <w:highlight w:val="none"/>
        </w:rPr>
        <w:t>内容违反国家有关强制性规定的，将停止评标工作，并与采购人、采购机构沟通并作书面记录。采购人、采购机构确认后，将修改</w:t>
      </w:r>
      <w:r>
        <w:rPr>
          <w:rFonts w:hint="eastAsia" w:ascii="仿宋_GB2312" w:hAnsi="仿宋" w:eastAsia="仿宋_GB2312" w:cs="仿宋_GB2312"/>
          <w:color w:val="auto"/>
          <w:highlight w:val="none"/>
          <w:lang w:eastAsia="zh-CN"/>
        </w:rPr>
        <w:t>磋商文件</w:t>
      </w:r>
      <w:r>
        <w:rPr>
          <w:rFonts w:hint="eastAsia" w:ascii="仿宋_GB2312" w:hAnsi="仿宋" w:eastAsia="仿宋_GB2312" w:cs="仿宋_GB2312"/>
          <w:color w:val="auto"/>
          <w:highlight w:val="none"/>
        </w:rPr>
        <w:t>，重新组织采购活动。</w:t>
      </w:r>
    </w:p>
    <w:p>
      <w:pPr>
        <w:pStyle w:val="26"/>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7.1未确定中标或者中标人的，终止本次政府采购活动，重新开展政府采购活动。</w:t>
      </w:r>
    </w:p>
    <w:p>
      <w:pPr>
        <w:pStyle w:val="26"/>
        <w:snapToGrid w:val="0"/>
        <w:spacing w:line="360" w:lineRule="auto"/>
        <w:ind w:firstLine="600" w:firstLineChars="25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7.4政府采购合同已经履行，给采购人、供应商造成损失的，由责任人承担赔偿责任。</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7.5政府采购当事人有其他违反政府采购法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的行为，经改正后仍然影响或者可能影响中标、成交结果或者依法被认定为中标、成交无效的，依照7.1-7.4规定处理。</w:t>
      </w:r>
    </w:p>
    <w:bookmarkEnd w:id="13"/>
    <w:p>
      <w:pPr>
        <w:widowControl/>
        <w:adjustRightInd/>
        <w:jc w:val="left"/>
        <w:rPr>
          <w:rFonts w:ascii="仿宋_GB2312" w:hAnsi="仿宋" w:eastAsia="仿宋_GB2312" w:cs="仿宋_GB2312"/>
          <w:color w:val="auto"/>
          <w:sz w:val="24"/>
          <w:highlight w:val="none"/>
        </w:rPr>
      </w:pPr>
      <w:bookmarkStart w:id="399" w:name="第五部分"/>
      <w:bookmarkStart w:id="400" w:name="_Toc86217003"/>
      <w:r>
        <w:rPr>
          <w:rFonts w:hint="eastAsia" w:ascii="仿宋_GB2312" w:hAnsi="仿宋" w:eastAsia="仿宋_GB2312" w:cs="仿宋_GB2312"/>
          <w:color w:val="auto"/>
          <w:sz w:val="24"/>
          <w:highlight w:val="none"/>
        </w:rPr>
        <w:br w:type="page"/>
      </w: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 拟签订的合同文本</w:t>
      </w:r>
    </w:p>
    <w:p>
      <w:pPr>
        <w:pStyle w:val="768"/>
        <w:adjustRightInd w:val="0"/>
        <w:snapToGrid w:val="0"/>
        <w:spacing w:line="360" w:lineRule="auto"/>
        <w:ind w:left="-134" w:leftChars="-64"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pPr>
        <w:pStyle w:val="768"/>
        <w:adjustRightInd w:val="0"/>
        <w:snapToGrid w:val="0"/>
        <w:spacing w:line="360" w:lineRule="auto"/>
        <w:ind w:left="-134" w:leftChars="-64"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768"/>
        <w:adjustRightInd w:val="0"/>
        <w:snapToGrid w:val="0"/>
        <w:spacing w:line="360" w:lineRule="auto"/>
        <w:ind w:left="-134" w:leftChars="-64"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pPr>
        <w:pStyle w:val="768"/>
        <w:adjustRightInd w:val="0"/>
        <w:snapToGrid w:val="0"/>
        <w:spacing w:line="360" w:lineRule="auto"/>
        <w:ind w:left="-134" w:leftChars="-64"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pPr>
        <w:pStyle w:val="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竞争性磋商</w:t>
      </w:r>
      <w:r>
        <w:rPr>
          <w:rFonts w:hint="eastAsia" w:ascii="仿宋" w:hAnsi="仿宋" w:eastAsia="仿宋" w:cs="仿宋"/>
          <w:color w:val="auto"/>
          <w:sz w:val="24"/>
          <w:szCs w:val="24"/>
          <w:highlight w:val="none"/>
        </w:rPr>
        <w:t>的结果，签署本合同。</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1、服务时间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_GB2312" w:hAnsi="宋体" w:eastAsia="仿宋_GB2312"/>
          <w:color w:val="auto"/>
          <w:sz w:val="24"/>
          <w:highlight w:val="none"/>
        </w:rPr>
        <w:t>2022年12月15日前，完成核查验收后整改工作，成果提交省级开展汇总整理；</w:t>
      </w:r>
    </w:p>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原则上按照以上工期要求实施，如国家或省对监测时间安排有调整的，工期可做相应调整。</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2、总体目标</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2021年国土变更调查成果为底图，统筹利用卫星遥感、大数据等技术手段，开展城市国土空间监测工作，掌握监测区域自然资源和人文地理要素的类型、面积、范围、分布和变化等情况，支撑国土空间规划编制及实施监督、城市体检评估和用途管制等国土空间治理工作。</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3、技术要求</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（1）数据资料搜集与整理</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集整理地籍调查、不动产登记、地理国情监测、城市大比例尺基础测绘、数字城市、智慧城市等工作成果，收集涉及民政、统计、应急、教育、环保、住建、交通、水利、卫生健康、市场监管、体育、文物、宗教等领域专题资料、POI数据（如咖啡馆等）、2022年高分辨率卫星遥感影像。</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（2）空间信息细化与补充</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1.城市空间信息细化调查</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全市2021年度国土变更调查成果为底图，针对商业服务业设施用地、城镇住宅用地、公共管理与公共服务用地（不含机关团体新闻出版用地）、特殊用地等类型开展细化调查。对于有独立用地的监测对象，以2021年变更调查成果为底图采集相关位置和范围；对于没有独立用地的监测对象，在指定的单独图层中采集其点位；对于监测期新增的需要细化与补充相关信息的地类，更新图斑后细化为三级类。</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2.房屋建筑调查</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城区监测范围内，按单体形式采集地上建筑物，并补充标注高度、占地面积、建筑总面积，城镇住宅还需标注套（间）数。该项工作3年完成。2022年，将所有达到面积指标的房屋建筑上图，并标注占地面积属性；2023年，完成已有房屋的建筑高度、建筑总面积，城镇住宅套（间）数属性调查；2024年，完成数据监测更新，补充新增房屋面并完善属性信息，将数据现势性统一到2024年。</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3.其他类要素调查更新</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对安全应急、历史文化保护、自然和文化遗产、分布式清洁能源、新增城市更新改造用地、绿道、行政村等7类50余项内容进行调查监测和信息更新。</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（3）水网路网要素监测更新</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全市域地理国情监测水网数据成果进行更新。内容包括：更新河湖岸线的位置、河流结构线、名称、代码，更新补充湖泊水质，水库坑塘用途、容积，河流类型、通航性质、等级,以及水渠的等级、流向等属性信息；采集更新与水网密切相关的堤、坝、闸、排灌站、泵站、重要机井等水利工程设施。</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全市域地理国情监测路网数据成果进行更新。内容包括:更新铁路的线路位置，补齐名称、编码、起讫点、类型、上下行、单双线等信息;更新城际公路的中心线，完善名称、代码、宽度、通行方向、车道数、技术等级、类型、铺设材料等属性信息；更新乡村通车道路的中心线，完善名称、宽度、类型等属性信息；更新城市道路路网，补齐名称、类型、路宽、车道数、高架情况等属性；同时采集更新与道路通达密切相关的车站、桥梁、隧道、车渡、高速出入口、服务区、立交桥、地铁站、机场、港口码头、交通枢纽等重要交通设施的位置与属性信息。</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（4）外业调查：中标单位应利用多种手段，内业结合外业实地调查，确定监测对象的位置、范围和属性。</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（5）实行“两级检查、一级验收”</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（6）数据库建设</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按要求完成数据库建设并按时向省级完成汇交。</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（7）监测成果分析</w:t>
      </w:r>
    </w:p>
    <w:p>
      <w:pPr>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rPr>
        <w:t>根据城市国土资源监测成果，结合国土空间规划、用途管制等业务管理要求进行统计分析，满足自然资源管理和国土空间治理等工作需要。</w:t>
      </w:r>
    </w:p>
    <w:p>
      <w:pPr>
        <w:snapToGrid w:val="0"/>
        <w:spacing w:line="360" w:lineRule="auto"/>
        <w:rPr>
          <w:rFonts w:ascii="仿宋" w:hAnsi="仿宋" w:eastAsia="仿宋" w:cs="仿宋"/>
          <w:b/>
          <w:color w:val="auto"/>
          <w:sz w:val="24"/>
          <w:highlight w:val="none"/>
        </w:rPr>
      </w:pPr>
      <w:r>
        <w:rPr>
          <w:rFonts w:ascii="仿宋" w:hAnsi="仿宋" w:eastAsia="仿宋" w:cs="仿宋"/>
          <w:b/>
          <w:color w:val="auto"/>
          <w:sz w:val="24"/>
          <w:highlight w:val="none"/>
        </w:rPr>
        <w:t>4、</w:t>
      </w:r>
      <w:r>
        <w:rPr>
          <w:rFonts w:hint="eastAsia" w:ascii="仿宋" w:hAnsi="仿宋" w:eastAsia="仿宋" w:cs="仿宋"/>
          <w:b/>
          <w:color w:val="auto"/>
          <w:sz w:val="24"/>
          <w:highlight w:val="none"/>
        </w:rPr>
        <w:t>项目成果</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（1）文档成果</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包括城市国土空间监测技术方案，工作报告等；</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（2）数据成果 </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包括空间信息细化与补充、水网路网要素监测更新监测等数据成果，以及遥感影像数据成果；</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（3）统计分析成果</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包括统计分析报告，以及开展分析评价形成的各类专题分析评价报告。</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具体要求根据自然资源部、浙江省自然资源厅的相关通知文件及实施方案等执行。如在项目实施过程中，国家、省提出的新要求和新的工作内容，应按最新要求完成相应的工作。</w:t>
      </w:r>
    </w:p>
    <w:p>
      <w:pPr>
        <w:snapToGrid w:val="0"/>
        <w:spacing w:line="360" w:lineRule="auto"/>
        <w:rPr>
          <w:rFonts w:ascii="仿宋" w:hAnsi="仿宋" w:eastAsia="仿宋" w:cs="仿宋"/>
          <w:b/>
          <w:color w:val="auto"/>
          <w:sz w:val="24"/>
          <w:highlight w:val="none"/>
        </w:rPr>
      </w:pPr>
      <w:r>
        <w:rPr>
          <w:rFonts w:ascii="仿宋" w:hAnsi="仿宋" w:eastAsia="仿宋" w:cs="仿宋"/>
          <w:b/>
          <w:color w:val="auto"/>
          <w:sz w:val="24"/>
          <w:highlight w:val="none"/>
        </w:rPr>
        <w:t>5、</w:t>
      </w:r>
      <w:r>
        <w:rPr>
          <w:rFonts w:hint="eastAsia" w:ascii="仿宋" w:hAnsi="仿宋" w:eastAsia="仿宋" w:cs="仿宋"/>
          <w:b/>
          <w:color w:val="auto"/>
          <w:sz w:val="24"/>
          <w:highlight w:val="none"/>
        </w:rPr>
        <w:t>项目验收</w:t>
      </w:r>
    </w:p>
    <w:p>
      <w:pPr>
        <w:pStyle w:val="26"/>
        <w:snapToGrid w:val="0"/>
        <w:spacing w:line="360" w:lineRule="auto"/>
        <w:rPr>
          <w:rFonts w:ascii="仿宋_GB2312" w:eastAsia="仿宋_GB2312"/>
          <w:color w:val="auto"/>
          <w:highlight w:val="none"/>
        </w:rPr>
      </w:pPr>
      <w:r>
        <w:rPr>
          <w:rFonts w:hint="eastAsia" w:ascii="仿宋_GB2312" w:eastAsia="仿宋_GB2312"/>
          <w:color w:val="auto"/>
          <w:highlight w:val="none"/>
        </w:rPr>
        <w:t>西湖区城市国土空间监测项目成果实行“两级检查、一级验收”制度，由监测作业单位负责监测成果质量的“两级检查”，由省测绘质量检验中心进行省级核查验收，最终上交国家基础地理信息中心质量抽查。此过程发现的质量问题，监测作业单位需按时进行整改。</w:t>
      </w:r>
    </w:p>
    <w:p>
      <w:pPr>
        <w:pStyle w:val="26"/>
        <w:snapToGrid w:val="0"/>
        <w:spacing w:line="360" w:lineRule="auto"/>
        <w:rPr>
          <w:rFonts w:ascii="仿宋_GB2312" w:eastAsia="仿宋_GB2312"/>
          <w:color w:val="auto"/>
          <w:highlight w:val="none"/>
        </w:rPr>
      </w:pPr>
      <w:r>
        <w:rPr>
          <w:rFonts w:hint="eastAsia" w:ascii="仿宋_GB2312" w:eastAsia="仿宋_GB2312"/>
          <w:color w:val="auto"/>
          <w:highlight w:val="none"/>
        </w:rPr>
        <w:t>甲方组织对乙方履约的验收。如果发现与合同中要求不符，乙方须承担由此发生的一切损失和费用，并接受相应的处理。</w:t>
      </w:r>
    </w:p>
    <w:p>
      <w:pPr>
        <w:pStyle w:val="26"/>
        <w:snapToGrid w:val="0"/>
        <w:spacing w:line="360" w:lineRule="auto"/>
        <w:rPr>
          <w:rFonts w:ascii="仿宋_GB2312" w:eastAsia="仿宋_GB2312"/>
          <w:color w:val="auto"/>
          <w:highlight w:val="none"/>
        </w:rPr>
      </w:pPr>
      <w:r>
        <w:rPr>
          <w:rFonts w:hint="eastAsia" w:ascii="仿宋_GB2312" w:eastAsia="仿宋_GB2312"/>
          <w:color w:val="auto"/>
          <w:highlight w:val="none"/>
        </w:rPr>
        <w:t>验收合格的项目，甲方将根据采购合同的约定及时向乙方支付采购资金、退还履约保证金。验收不合格的项目，招标人将依法及时处理。采购合同的履行、违约责任和解决争议的方式等适用《中华人民共和国民法典》。乙方在履约过程中有政府采购法律法规规定的违法违规情形的，甲方应当及时报告本级财政部门。</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6、服务费用</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规定，本合同项下评估总价为人民币大写</w:t>
      </w:r>
      <w:r>
        <w:rPr>
          <w:rFonts w:hint="eastAsia" w:ascii="仿宋" w:hAnsi="仿宋" w:eastAsia="仿宋" w:cs="仿宋"/>
          <w:color w:val="auto"/>
          <w:sz w:val="24"/>
          <w:highlight w:val="none"/>
          <w:u w:val="single"/>
        </w:rPr>
        <w:t xml:space="preserve">     元整（￥   元）</w:t>
      </w:r>
      <w:r>
        <w:rPr>
          <w:rFonts w:hint="eastAsia" w:ascii="仿宋" w:hAnsi="仿宋" w:eastAsia="仿宋" w:cs="仿宋"/>
          <w:color w:val="auto"/>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合同签订后7个工作日内甲方向乙方支付合同金额的50%；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项目通过省级及以上检验机构验收及财政预算下达后甲方向乙方支付合同金额的50%。</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履约保证金：不收取。</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7．不可抗力</w:t>
      </w:r>
    </w:p>
    <w:p>
      <w:pPr>
        <w:autoSpaceDE w:val="0"/>
        <w:autoSpaceDN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签约双方任一方由于不可抗力事故的影响而不能执行合同时，履行合同的期限应予以延长。不可抗力事故系指甲乙双方在缔结合同时所不能预见的，并且它的发生及其后果无法避免和无法克服的事故。</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8、甲方的</w:t>
      </w:r>
      <w:r>
        <w:rPr>
          <w:rFonts w:hint="eastAsia" w:ascii="仿宋" w:hAnsi="仿宋" w:eastAsia="仿宋" w:cs="仿宋"/>
          <w:b/>
          <w:color w:val="auto"/>
          <w:kern w:val="0"/>
          <w:sz w:val="24"/>
          <w:highlight w:val="none"/>
          <w:lang w:val="zh-CN"/>
        </w:rPr>
        <w:t>责任与义务</w:t>
      </w:r>
      <w:r>
        <w:rPr>
          <w:rFonts w:hint="eastAsia" w:ascii="仿宋" w:hAnsi="仿宋" w:eastAsia="仿宋" w:cs="仿宋"/>
          <w:b/>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6.1负责本项目的组织协调，配合乙方做好相关资料收集和准备工作。</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6.2及时足额向乙方支付服务经费。</w:t>
      </w:r>
    </w:p>
    <w:p>
      <w:pPr>
        <w:autoSpaceDE w:val="0"/>
        <w:autoSpaceDN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6.3 甲方有与乙方订立补充合同的签订权。</w:t>
      </w:r>
    </w:p>
    <w:p>
      <w:pPr>
        <w:autoSpaceDE w:val="0"/>
        <w:autoSpaceDN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6.4 甲方有权要求乙方提交月度工作报告、年度工作报告及专项报告等。 </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9、乙方的</w:t>
      </w:r>
      <w:r>
        <w:rPr>
          <w:rFonts w:hint="eastAsia" w:ascii="仿宋" w:hAnsi="仿宋" w:eastAsia="仿宋" w:cs="仿宋"/>
          <w:b/>
          <w:color w:val="auto"/>
          <w:kern w:val="0"/>
          <w:sz w:val="24"/>
          <w:highlight w:val="none"/>
          <w:lang w:val="zh-CN"/>
        </w:rPr>
        <w:t>责任与义务</w:t>
      </w:r>
      <w:r>
        <w:rPr>
          <w:rFonts w:hint="eastAsia" w:ascii="仿宋" w:hAnsi="仿宋" w:eastAsia="仿宋" w:cs="仿宋"/>
          <w:b/>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7.1按照甲方委托要求按时保质保量完成服务。</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7.2配合甲方做好项目验收。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7.3接受甲方就评估（含口头评估、预评估）、信息的咨询。</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7.4认真完成甲方委托的其他合同范围内服务。</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7.5乙方应妥善保管甲方提供的资料和各类数据，不得向用地单位或利益相关人泄露评估结果及内容，自觉接受甲方监督和管理。</w:t>
      </w:r>
    </w:p>
    <w:p>
      <w:pPr>
        <w:autoSpaceDE w:val="0"/>
        <w:autoSpaceDN w:val="0"/>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10. 合同生效、变更和终止</w:t>
      </w:r>
    </w:p>
    <w:p>
      <w:pPr>
        <w:autoSpaceDE w:val="0"/>
        <w:autoSpaceDN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8．1 </w:t>
      </w:r>
      <w:r>
        <w:rPr>
          <w:rFonts w:hint="eastAsia" w:ascii="仿宋" w:hAnsi="仿宋" w:eastAsia="仿宋" w:cs="仿宋"/>
          <w:color w:val="auto"/>
          <w:sz w:val="24"/>
          <w:highlight w:val="none"/>
        </w:rPr>
        <w:t>本合同经甲乙双方法定代表人（或其委托人）签字（或盖章），签订合同时，中标人无须向采购人交纳履约保证金，但须按项目技术规范和服务要求中的规定考核。</w:t>
      </w:r>
    </w:p>
    <w:p>
      <w:pPr>
        <w:autoSpaceDE w:val="0"/>
        <w:autoSpaceDN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8．2 在甲乙双方的责任期即合同的有效期，经双方协商，如双方因国家政策、法规调整导致工作难以继续的，双方应重新约定，并视调整情况决定是否履行合同。</w:t>
      </w:r>
    </w:p>
    <w:p>
      <w:pPr>
        <w:autoSpaceDE w:val="0"/>
        <w:autoSpaceDN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8．3 在合同签订后，实际情况发生变化，使得乙方不能全部或部分执行项目时，乙方应当立即通知甲方，该项目的履约时间应调整。当乙方恢复执行能力时，是否由乙方重新承担甲方项目，由双方协商确定。</w:t>
      </w:r>
    </w:p>
    <w:p>
      <w:pPr>
        <w:autoSpaceDE w:val="0"/>
        <w:autoSpaceDN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8．4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autoSpaceDE w:val="0"/>
        <w:autoSpaceDN w:val="0"/>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11、违约责任</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乙方未严格按照甲方招标需求提供服务的，视执行情况核减费用。乙方超过约定日期10个工作日仍不能提供服务或提供的服务不符合</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及本合同约定的，甲方可以解除本合同。乙方因未能如期提供服务或因其他违约行为导致甲方解除合同的，乙方应向甲方支付合同总值百分之五的违约金，并退回甲方支付给乙方的所有费用，如造成甲方损失超过违约金的，超出部分由乙方继续承担赔偿责任。</w:t>
      </w:r>
    </w:p>
    <w:p>
      <w:pPr>
        <w:autoSpaceDE w:val="0"/>
        <w:autoSpaceDN w:val="0"/>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12. 争议处理</w:t>
      </w:r>
    </w:p>
    <w:p>
      <w:pPr>
        <w:autoSpaceDE w:val="0"/>
        <w:autoSpaceDN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10．1 合同在履行过程中发生争议时，甲方与乙方及时协商解决。协商不成时，提请杭州仲裁委员会根据仲裁规则仲裁。</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10．2 对于因违反或终止合同而引起的损失、损害的赔偿，由甲方与乙方友好</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协商解决，经协商仍未能达成一致的，提交杭州仲裁委员会仲裁。</w:t>
      </w:r>
    </w:p>
    <w:p>
      <w:pPr>
        <w:pStyle w:val="2"/>
        <w:snapToGrid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13.合同生效及其它</w:t>
      </w:r>
    </w:p>
    <w:p>
      <w:pPr>
        <w:pStyle w:val="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11.1合同经双方法定代表人或授权代表签字并加盖单位公章后生效。</w:t>
      </w:r>
    </w:p>
    <w:p>
      <w:pPr>
        <w:pStyle w:val="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11.2合同执行中涉及采购资金和采购内容修改或补充的，须经招标人备案，方可作为主合同不可分割的一部分。</w:t>
      </w:r>
    </w:p>
    <w:p>
      <w:pPr>
        <w:pStyle w:val="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11.3本项目的</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及评标过程中形成的文字资料、询标记录均作为本合同的组成部分，具有同等效力。本合同未尽事宜，遵照《民法典》有关条文执行。</w:t>
      </w:r>
    </w:p>
    <w:p>
      <w:pPr>
        <w:pStyle w:val="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11.4本合同一式肆份，具有同等法律效力，甲乙双方各执两份。</w:t>
      </w:r>
    </w:p>
    <w:p>
      <w:pPr>
        <w:pStyle w:val="2"/>
        <w:snapToGrid w:val="0"/>
        <w:spacing w:line="360" w:lineRule="auto"/>
        <w:ind w:firstLine="480" w:firstLineChars="200"/>
        <w:rPr>
          <w:rFonts w:ascii="仿宋" w:hAnsi="仿宋" w:eastAsia="仿宋" w:cs="仿宋"/>
          <w:color w:val="auto"/>
          <w:sz w:val="24"/>
          <w:szCs w:val="24"/>
          <w:highlight w:val="none"/>
        </w:rPr>
      </w:pP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或受委托人（签字）：                       或受委托人（签字）：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                                  联系人：</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电话：                                    电话：</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传真：                                    传真：</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帐号：                                    帐号：</w:t>
      </w:r>
    </w:p>
    <w:p>
      <w:pPr>
        <w:shd w:val="clear" w:color="auto" w:fill="FFFFFF"/>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合同签订日期：</w:t>
      </w:r>
    </w:p>
    <w:p>
      <w:pPr>
        <w:widowControl/>
        <w:snapToGrid w:val="0"/>
        <w:spacing w:line="360" w:lineRule="auto"/>
        <w:jc w:val="left"/>
        <w:rPr>
          <w:rFonts w:ascii="宋体" w:hAnsi="宋体"/>
          <w:color w:val="auto"/>
          <w:sz w:val="24"/>
          <w:highlight w:val="none"/>
        </w:rPr>
      </w:pPr>
      <w:r>
        <w:rPr>
          <w:color w:val="auto"/>
          <w:highlight w:val="none"/>
        </w:rPr>
        <w:br w:type="page"/>
      </w:r>
    </w:p>
    <w:bookmarkEnd w:id="399"/>
    <w:bookmarkEnd w:id="400"/>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应提交的有关格式范例</w:t>
      </w:r>
    </w:p>
    <w:p>
      <w:pPr>
        <w:spacing w:line="360" w:lineRule="auto"/>
        <w:jc w:val="center"/>
        <w:rPr>
          <w:rFonts w:ascii="仿宋_GB2312" w:hAnsi="仿宋" w:eastAsia="仿宋_GB2312" w:cs="仿宋_GB2312"/>
          <w:b/>
          <w:color w:val="auto"/>
          <w:kern w:val="0"/>
          <w:sz w:val="36"/>
          <w:szCs w:val="36"/>
          <w:highlight w:val="none"/>
        </w:rPr>
      </w:pPr>
    </w:p>
    <w:p>
      <w:pPr>
        <w:pStyle w:val="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pPr>
        <w:pStyle w:val="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1.响应文件由供应商根据磋商文件要求参照附件格式编制。</w:t>
      </w:r>
    </w:p>
    <w:p>
      <w:pPr>
        <w:pStyle w:val="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2.附件中有参考格式的，参照格式，没有参考格式的，自行编制。</w:t>
      </w:r>
    </w:p>
    <w:p>
      <w:pPr>
        <w:spacing w:line="360" w:lineRule="auto"/>
        <w:jc w:val="left"/>
        <w:rPr>
          <w:rFonts w:hint="eastAsia" w:ascii="仿宋" w:hAnsi="仿宋" w:eastAsia="仿宋" w:cs="仿宋"/>
          <w:color w:val="auto"/>
          <w:sz w:val="24"/>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360" w:lineRule="auto"/>
        <w:jc w:val="center"/>
        <w:outlineLvl w:val="1"/>
        <w:rPr>
          <w:rFonts w:hint="eastAsia" w:ascii="仿宋" w:hAnsi="仿宋" w:eastAsia="仿宋" w:cs="仿宋"/>
          <w:b/>
          <w:color w:val="auto"/>
          <w:sz w:val="36"/>
          <w:highlight w:val="none"/>
        </w:rPr>
      </w:pPr>
      <w:r>
        <w:rPr>
          <w:rFonts w:hint="eastAsia" w:ascii="仿宋" w:hAnsi="仿宋" w:eastAsia="仿宋" w:cs="仿宋"/>
          <w:b/>
          <w:color w:val="auto"/>
          <w:sz w:val="36"/>
          <w:highlight w:val="none"/>
        </w:rPr>
        <w:t>资格文件部分</w:t>
      </w:r>
    </w:p>
    <w:p>
      <w:pPr>
        <w:spacing w:line="360" w:lineRule="auto"/>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目录</w:t>
      </w:r>
    </w:p>
    <w:p>
      <w:pPr>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（2）落实政府采购政策需满足的资格要求………………………………（页码）</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sz w:val="32"/>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2"/>
          <w:szCs w:val="24"/>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杭州市规划和自然资源局西湖分局、中纬工程管理咨询有限公司：</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我方参与杭州市规划和自然资源局西湖分局的</w:t>
      </w:r>
      <w:r>
        <w:rPr>
          <w:rFonts w:hint="eastAsia" w:ascii="仿宋" w:hAnsi="仿宋" w:eastAsia="仿宋" w:cs="仿宋"/>
          <w:color w:val="auto"/>
          <w:sz w:val="24"/>
          <w:szCs w:val="24"/>
          <w:highlight w:val="none"/>
          <w:lang w:eastAsia="zh-CN"/>
        </w:rPr>
        <w:t>西湖区2022年城市国土空间监测项目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ZW-2022XHGZJ02</w:t>
      </w:r>
      <w:r>
        <w:rPr>
          <w:rFonts w:hint="eastAsia" w:ascii="仿宋" w:hAnsi="仿宋" w:eastAsia="仿宋" w:cs="仿宋"/>
          <w:color w:val="auto"/>
          <w:sz w:val="24"/>
          <w:szCs w:val="24"/>
          <w:highlight w:val="none"/>
        </w:rPr>
        <w:t>】政府采购活动，郑重承诺：</w:t>
      </w:r>
    </w:p>
    <w:p>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t>公益一类事业单位不属于政府购买服务的承接主体，不得参与承接购买服务。</w:t>
      </w:r>
    </w:p>
    <w:p>
      <w:pPr>
        <w:snapToGrid w:val="0"/>
        <w:spacing w:line="360" w:lineRule="auto"/>
        <w:ind w:firstLine="5520" w:firstLineChars="2300"/>
        <w:rPr>
          <w:rFonts w:hint="eastAsia" w:ascii="仿宋" w:hAnsi="仿宋" w:eastAsia="仿宋" w:cs="仿宋"/>
          <w:color w:val="auto"/>
          <w:sz w:val="24"/>
          <w:szCs w:val="24"/>
          <w:highlight w:val="none"/>
        </w:rPr>
      </w:pPr>
    </w:p>
    <w:p>
      <w:pPr>
        <w:snapToGrid w:val="0"/>
        <w:spacing w:line="360" w:lineRule="auto"/>
        <w:ind w:firstLine="5520" w:firstLineChars="2300"/>
        <w:rPr>
          <w:rFonts w:hint="eastAsia" w:ascii="仿宋" w:hAnsi="仿宋" w:eastAsia="仿宋" w:cs="仿宋"/>
          <w:color w:val="auto"/>
          <w:sz w:val="24"/>
          <w:szCs w:val="24"/>
          <w:highlight w:val="none"/>
        </w:rPr>
      </w:pPr>
    </w:p>
    <w:p>
      <w:pPr>
        <w:snapToGrid w:val="0"/>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供应商名称(电子签名)：</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pPr>
        <w:snapToGrid w:val="0"/>
        <w:spacing w:line="360" w:lineRule="auto"/>
        <w:ind w:right="480"/>
        <w:jc w:val="center"/>
        <w:rPr>
          <w:rFonts w:hint="eastAsia" w:ascii="仿宋" w:hAnsi="仿宋" w:eastAsia="仿宋" w:cs="仿宋"/>
          <w:b/>
          <w:color w:val="auto"/>
          <w:sz w:val="24"/>
          <w:szCs w:val="24"/>
          <w:highlight w:val="none"/>
        </w:rPr>
      </w:pPr>
    </w:p>
    <w:p>
      <w:pPr>
        <w:snapToGrid w:val="0"/>
        <w:spacing w:line="360" w:lineRule="auto"/>
        <w:ind w:right="480"/>
        <w:jc w:val="center"/>
        <w:rPr>
          <w:rFonts w:hint="eastAsia" w:ascii="仿宋" w:hAnsi="仿宋" w:eastAsia="仿宋" w:cs="仿宋"/>
          <w:b/>
          <w:color w:val="auto"/>
          <w:sz w:val="24"/>
          <w:szCs w:val="24"/>
          <w:highlight w:val="none"/>
        </w:rPr>
      </w:pPr>
    </w:p>
    <w:p>
      <w:pPr>
        <w:snapToGrid w:val="0"/>
        <w:spacing w:line="360"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szCs w:val="24"/>
          <w:highlight w:val="none"/>
        </w:rPr>
        <w:t>附：营业执照</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sz w:val="32"/>
          <w:highlight w:val="none"/>
        </w:rPr>
      </w:pPr>
    </w:p>
    <w:p>
      <w:pPr>
        <w:snapToGrid w:val="0"/>
        <w:spacing w:line="360" w:lineRule="auto"/>
        <w:ind w:right="48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二、落实政府采购政策需满足的资格要求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（根据竞争性磋商公告落实政府采购政策需满足的资格要求选择提供相应的材料；未要求的，无需提供）</w:t>
      </w:r>
    </w:p>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本项目专门面向中小企业，需提供中小企业声明函等</w:t>
      </w:r>
    </w:p>
    <w:p>
      <w:pPr>
        <w:snapToGrid w:val="0"/>
        <w:spacing w:before="50" w:after="50" w:line="360" w:lineRule="auto"/>
        <w:ind w:firstLine="472" w:firstLineChars="196"/>
        <w:jc w:val="left"/>
        <w:rPr>
          <w:rFonts w:hint="eastAsia" w:ascii="仿宋" w:hAnsi="仿宋" w:eastAsia="仿宋" w:cs="仿宋"/>
          <w:b/>
          <w:color w:val="auto"/>
          <w:sz w:val="24"/>
          <w:szCs w:val="24"/>
          <w:highlight w:val="none"/>
        </w:rPr>
      </w:pPr>
    </w:p>
    <w:p>
      <w:pPr>
        <w:snapToGrid w:val="0"/>
        <w:spacing w:before="50" w:after="50" w:line="360" w:lineRule="auto"/>
        <w:ind w:firstLine="472" w:firstLineChars="196"/>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A</w:t>
      </w:r>
      <w:r>
        <w:rPr>
          <w:rFonts w:hint="eastAsia" w:ascii="仿宋" w:hAnsi="仿宋" w:eastAsia="仿宋" w:cs="仿宋"/>
          <w:color w:val="auto"/>
          <w:sz w:val="24"/>
          <w:szCs w:val="24"/>
          <w:highlight w:val="none"/>
        </w:rPr>
        <w:t>.专门面向中小企业，货物全部由符合政策要求的中小企业（或小微企业）制造或者服务全部由符合政策要求的中小企业（或小微企业）承接的，提供相应的中小企业声明函（附件5）或</w:t>
      </w:r>
      <w:r>
        <w:rPr>
          <w:rFonts w:hint="eastAsia" w:ascii="仿宋" w:hAnsi="仿宋" w:eastAsia="仿宋" w:cs="仿宋"/>
          <w:b/>
          <w:color w:val="auto"/>
          <w:sz w:val="24"/>
          <w:szCs w:val="24"/>
          <w:highlight w:val="none"/>
        </w:rPr>
        <w:t>残疾人福利性单位声明函（附件1）</w:t>
      </w:r>
      <w:r>
        <w:rPr>
          <w:rFonts w:hint="eastAsia" w:ascii="仿宋" w:hAnsi="仿宋" w:eastAsia="仿宋" w:cs="仿宋"/>
          <w:color w:val="auto"/>
          <w:sz w:val="24"/>
          <w:szCs w:val="24"/>
          <w:highlight w:val="none"/>
        </w:rPr>
        <w:t xml:space="preserve">。 </w:t>
      </w:r>
    </w:p>
    <w:p>
      <w:pPr>
        <w:widowControl/>
        <w:spacing w:line="360" w:lineRule="auto"/>
        <w:ind w:firstLine="472" w:firstLineChars="196"/>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B.</w:t>
      </w:r>
      <w:r>
        <w:rPr>
          <w:rFonts w:hint="eastAsia" w:ascii="仿宋" w:hAnsi="仿宋" w:eastAsia="仿宋" w:cs="仿宋"/>
          <w:color w:val="auto"/>
          <w:sz w:val="24"/>
          <w:szCs w:val="24"/>
          <w:highlight w:val="none"/>
        </w:rPr>
        <w:t>要求以联合体形式参加的，提供联合协议和中小企业声明函（附件5），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C、</w:t>
      </w:r>
      <w:r>
        <w:rPr>
          <w:rFonts w:hint="eastAsia" w:ascii="仿宋" w:hAnsi="仿宋" w:eastAsia="仿宋" w:cs="仿宋"/>
          <w:color w:val="auto"/>
          <w:sz w:val="24"/>
          <w:szCs w:val="24"/>
          <w:highlight w:val="none"/>
        </w:rPr>
        <w:t>要求合同分包的，提供分包意向协议和中小企业声明函（附件5），分包意向协议中中小企业合同金额应当达到竞争性磋商公告载明的比例；如果供应商本身提供所有标的均由中小企业制造或承接，视同符合了资格条件，无需再向中小企业分包，无需提供分包意向协议。</w:t>
      </w:r>
    </w:p>
    <w:p>
      <w:pPr>
        <w:rPr>
          <w:rFonts w:hint="eastAsia" w:ascii="仿宋" w:hAnsi="仿宋" w:eastAsia="仿宋" w:cs="仿宋"/>
          <w:color w:val="auto"/>
          <w:highlight w:val="none"/>
        </w:rPr>
      </w:pPr>
    </w:p>
    <w:p>
      <w:pPr>
        <w:snapToGrid w:val="0"/>
        <w:spacing w:before="50" w:after="50"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pPr>
        <w:jc w:val="left"/>
        <w:rPr>
          <w:rFonts w:hint="eastAsia" w:ascii="仿宋" w:hAnsi="仿宋" w:eastAsia="仿宋" w:cs="仿宋"/>
          <w:color w:val="auto"/>
          <w:sz w:val="24"/>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4"/>
          <w:highlight w:val="none"/>
        </w:rPr>
        <w:t>格式一：</w:t>
      </w:r>
    </w:p>
    <w:p>
      <w:pPr>
        <w:snapToGrid w:val="0"/>
        <w:spacing w:before="50" w:after="50"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32"/>
          <w:highlight w:val="none"/>
        </w:rPr>
        <w:t>联合体协议</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（联合体所有成员名称）</w:t>
      </w:r>
      <w:r>
        <w:rPr>
          <w:rFonts w:hint="eastAsia" w:ascii="仿宋" w:hAnsi="仿宋" w:eastAsia="仿宋" w:cs="仿宋"/>
          <w:color w:val="auto"/>
          <w:sz w:val="24"/>
          <w:szCs w:val="24"/>
          <w:highlight w:val="none"/>
        </w:rPr>
        <w:t>自愿组成一个联合体，以一个供应商的身份参加杭州市规划和自然资源局西湖分局的</w:t>
      </w:r>
      <w:r>
        <w:rPr>
          <w:rFonts w:hint="eastAsia" w:ascii="仿宋" w:hAnsi="仿宋" w:eastAsia="仿宋" w:cs="仿宋"/>
          <w:color w:val="auto"/>
          <w:sz w:val="24"/>
          <w:szCs w:val="24"/>
          <w:highlight w:val="none"/>
          <w:lang w:eastAsia="zh-CN"/>
        </w:rPr>
        <w:t>西湖区2022年城市国土空间监测项目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ZW-2022XHGZJ02</w:t>
      </w:r>
      <w:r>
        <w:rPr>
          <w:rFonts w:hint="eastAsia" w:ascii="仿宋" w:hAnsi="仿宋" w:eastAsia="仿宋" w:cs="仿宋"/>
          <w:color w:val="auto"/>
          <w:sz w:val="24"/>
          <w:szCs w:val="24"/>
          <w:highlight w:val="none"/>
        </w:rPr>
        <w:t xml:space="preserve"> 】投标。 </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一、各方一致决定，</w:t>
      </w:r>
      <w:r>
        <w:rPr>
          <w:rFonts w:hint="eastAsia" w:ascii="仿宋" w:hAnsi="仿宋" w:eastAsia="仿宋" w:cs="仿宋"/>
          <w:color w:val="auto"/>
          <w:sz w:val="24"/>
          <w:szCs w:val="24"/>
          <w:highlight w:val="none"/>
          <w:u w:val="single"/>
        </w:rPr>
        <w:t>（某联合体成员名称）</w:t>
      </w:r>
      <w:r>
        <w:rPr>
          <w:rFonts w:hint="eastAsia" w:ascii="仿宋" w:hAnsi="仿宋" w:eastAsia="仿宋" w:cs="仿宋"/>
          <w:color w:val="auto"/>
          <w:sz w:val="24"/>
          <w:szCs w:val="24"/>
          <w:highlight w:val="none"/>
        </w:rPr>
        <w:t>为联合体牵头人，代表所有联合体成员负责投标和合同实施阶段的主办、协调工作。</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二、所有联合体成员各方签署授权书，授权书载明的授权代表根据磋商文件规定及投标内容而对采购人、采购代理机构所作的任何合法承诺，包括书面澄清及相应等均对联合投标各方产生约束力。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三、本次联合投标中，分工如下：</w:t>
      </w:r>
      <w:r>
        <w:rPr>
          <w:rFonts w:hint="eastAsia" w:ascii="仿宋" w:hAnsi="仿宋" w:eastAsia="仿宋" w:cs="仿宋"/>
          <w:color w:val="auto"/>
          <w:sz w:val="24"/>
          <w:szCs w:val="24"/>
          <w:highlight w:val="none"/>
          <w:u w:val="single"/>
        </w:rPr>
        <w:t>（联合体其中一方成员名称）</w:t>
      </w:r>
      <w:r>
        <w:rPr>
          <w:rFonts w:hint="eastAsia" w:ascii="仿宋" w:hAnsi="仿宋" w:eastAsia="仿宋" w:cs="仿宋"/>
          <w:color w:val="auto"/>
          <w:sz w:val="24"/>
          <w:szCs w:val="24"/>
          <w:highlight w:val="none"/>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（联合体其中一方成员名称）</w:t>
      </w:r>
      <w:r>
        <w:rPr>
          <w:rFonts w:hint="eastAsia" w:ascii="仿宋" w:hAnsi="仿宋" w:eastAsia="仿宋" w:cs="仿宋"/>
          <w:color w:val="auto"/>
          <w:sz w:val="24"/>
          <w:szCs w:val="24"/>
          <w:highlight w:val="none"/>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五、如果中标，联合体各成员方共同与采购人签订合同，并就采购合同约定的事项对采购人承担连带责任。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六、有关本次联合投标的其他事宜：</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联合体成员名称(电子签名/公章)：</w:t>
      </w:r>
    </w:p>
    <w:p>
      <w:pPr>
        <w:snapToGrid w:val="0"/>
        <w:spacing w:line="360" w:lineRule="auto"/>
        <w:ind w:firstLine="5040" w:firstLineChars="2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联合体成员名称(电子签名/公章)：</w:t>
      </w:r>
    </w:p>
    <w:p>
      <w:pPr>
        <w:snapToGrid w:val="0"/>
        <w:spacing w:line="360" w:lineRule="auto"/>
        <w:ind w:firstLine="5760" w:firstLine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pPr>
        <w:spacing w:line="360" w:lineRule="auto"/>
        <w:ind w:firstLine="482" w:firstLineChars="200"/>
        <w:rPr>
          <w:rFonts w:hint="eastAsia" w:ascii="仿宋" w:hAnsi="仿宋" w:eastAsia="仿宋" w:cs="仿宋"/>
          <w:b/>
          <w:color w:val="auto"/>
          <w:sz w:val="24"/>
          <w:highlight w:val="none"/>
        </w:rPr>
      </w:pPr>
    </w:p>
    <w:p>
      <w:pPr>
        <w:widowControl/>
        <w:jc w:val="left"/>
        <w:rPr>
          <w:rFonts w:hint="eastAsia" w:ascii="仿宋" w:hAnsi="仿宋" w:eastAsia="仿宋" w:cs="仿宋"/>
          <w:b/>
          <w:color w:val="auto"/>
          <w:sz w:val="24"/>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24"/>
          <w:highlight w:val="none"/>
        </w:rPr>
        <w:t>格式二：</w:t>
      </w:r>
    </w:p>
    <w:p>
      <w:pPr>
        <w:snapToGrid w:val="0"/>
        <w:spacing w:line="360" w:lineRule="auto"/>
        <w:ind w:firstLine="3534" w:firstLineChars="11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分包意向协议</w:t>
      </w:r>
    </w:p>
    <w:p>
      <w:pPr>
        <w:widowControl/>
        <w:spacing w:line="360" w:lineRule="auto"/>
        <w:ind w:firstLine="120" w:firstLineChar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中标后以分包方式履行合同的，提供分包意向协议；采购人不同意分包或者供应商中标后不以分包方式履行合同的，则不需要提供。</w:t>
      </w:r>
      <w:r>
        <w:rPr>
          <w:rFonts w:hint="eastAsia" w:ascii="仿宋" w:hAnsi="仿宋" w:eastAsia="仿宋" w:cs="仿宋"/>
          <w:color w:val="auto"/>
          <w:sz w:val="24"/>
          <w:szCs w:val="24"/>
          <w:highlight w:val="none"/>
        </w:rPr>
        <w:t>）</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若成为杭州市规划和自然资源局西湖分局的</w:t>
      </w:r>
      <w:r>
        <w:rPr>
          <w:rFonts w:hint="eastAsia" w:ascii="仿宋" w:hAnsi="仿宋" w:eastAsia="仿宋" w:cs="仿宋"/>
          <w:color w:val="auto"/>
          <w:sz w:val="24"/>
          <w:szCs w:val="24"/>
          <w:highlight w:val="none"/>
          <w:lang w:eastAsia="zh-CN"/>
        </w:rPr>
        <w:t>西湖区2022年城市国土空间监测项目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ZW-2022XHGZJ02</w:t>
      </w:r>
      <w:r>
        <w:rPr>
          <w:rFonts w:hint="eastAsia" w:ascii="仿宋" w:hAnsi="仿宋" w:eastAsia="仿宋" w:cs="仿宋"/>
          <w:color w:val="auto"/>
          <w:sz w:val="24"/>
          <w:szCs w:val="24"/>
          <w:highlight w:val="none"/>
        </w:rPr>
        <w:t xml:space="preserve">  】的中标（成交）人，将依法采取分包方式履行合同。</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u w:val="single"/>
        </w:rPr>
        <w:t>（所有分包供应商名称）</w:t>
      </w:r>
      <w:r>
        <w:rPr>
          <w:rFonts w:hint="eastAsia" w:ascii="仿宋" w:hAnsi="仿宋" w:eastAsia="仿宋" w:cs="仿宋"/>
          <w:color w:val="auto"/>
          <w:sz w:val="24"/>
          <w:szCs w:val="24"/>
          <w:highlight w:val="none"/>
        </w:rPr>
        <w:t xml:space="preserve">达成分包意向协议。 </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一、分包标的及数量</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将</w:t>
      </w:r>
      <w:r>
        <w:rPr>
          <w:rFonts w:hint="eastAsia" w:ascii="仿宋" w:hAnsi="仿宋" w:eastAsia="仿宋" w:cs="仿宋"/>
          <w:color w:val="auto"/>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sz w:val="24"/>
          <w:szCs w:val="24"/>
          <w:highlight w:val="none"/>
          <w:u w:val="single"/>
        </w:rPr>
        <w:t>（某分包供应商名称）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（某分包供应商名称），</w:t>
      </w:r>
      <w:r>
        <w:rPr>
          <w:rFonts w:hint="eastAsia" w:ascii="仿宋" w:hAnsi="仿宋" w:eastAsia="仿宋" w:cs="仿宋"/>
          <w:color w:val="auto"/>
          <w:sz w:val="24"/>
          <w:szCs w:val="24"/>
          <w:highlight w:val="none"/>
        </w:rPr>
        <w:t>具备承担</w:t>
      </w:r>
      <w:r>
        <w:rPr>
          <w:rFonts w:hint="eastAsia" w:ascii="仿宋" w:hAnsi="仿宋" w:eastAsia="仿宋" w:cs="仿宋"/>
          <w:color w:val="auto"/>
          <w:sz w:val="24"/>
          <w:szCs w:val="24"/>
          <w:highlight w:val="none"/>
          <w:u w:val="single"/>
        </w:rPr>
        <w:t>XX工作内容</w:t>
      </w:r>
      <w:r>
        <w:rPr>
          <w:rFonts w:hint="eastAsia" w:ascii="仿宋" w:hAnsi="仿宋" w:eastAsia="仿宋" w:cs="仿宋"/>
          <w:color w:val="auto"/>
          <w:sz w:val="24"/>
          <w:szCs w:val="24"/>
          <w:highlight w:val="none"/>
        </w:rPr>
        <w:t>相应资质条件且不得再次分包；</w:t>
      </w:r>
    </w:p>
    <w:p>
      <w:pPr>
        <w:ind w:left="664" w:leftChars="316" w:firstLine="199" w:firstLineChars="95"/>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二、分包工作履行期限、地点、方式</w:t>
      </w:r>
    </w:p>
    <w:p>
      <w:pPr>
        <w:snapToGrid w:val="0"/>
        <w:spacing w:line="360" w:lineRule="auto"/>
        <w:ind w:firstLine="576"/>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w:t>
      </w:r>
    </w:p>
    <w:p>
      <w:pPr>
        <w:snapToGrid w:val="0"/>
        <w:spacing w:line="360" w:lineRule="auto"/>
        <w:ind w:firstLine="576"/>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三、质量</w:t>
      </w:r>
    </w:p>
    <w:p>
      <w:pPr>
        <w:snapToGrid w:val="0"/>
        <w:spacing w:line="360" w:lineRule="auto"/>
        <w:ind w:firstLine="576"/>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四、价款或者报酬</w:t>
      </w:r>
    </w:p>
    <w:p>
      <w:pPr>
        <w:snapToGrid w:val="0"/>
        <w:spacing w:line="360" w:lineRule="auto"/>
        <w:ind w:left="573" w:leftChars="273"/>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p>
    <w:p>
      <w:pPr>
        <w:snapToGrid w:val="0"/>
        <w:spacing w:line="360" w:lineRule="auto"/>
        <w:ind w:left="573" w:leftChars="273"/>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五、违约责任</w:t>
      </w:r>
    </w:p>
    <w:p>
      <w:pPr>
        <w:snapToGrid w:val="0"/>
        <w:spacing w:line="360" w:lineRule="auto"/>
        <w:ind w:firstLine="576"/>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六、争议解决的办法</w:t>
      </w:r>
    </w:p>
    <w:p>
      <w:pPr>
        <w:snapToGrid w:val="0"/>
        <w:spacing w:line="360" w:lineRule="auto"/>
        <w:ind w:firstLine="576"/>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七、其他</w:t>
      </w:r>
    </w:p>
    <w:p>
      <w:pPr>
        <w:snapToGrid w:val="0"/>
        <w:spacing w:line="360" w:lineRule="auto"/>
        <w:ind w:left="5758" w:leftChars="342" w:hanging="5040" w:hangingChars="2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Cs w:val="21"/>
          <w:highlight w:val="none"/>
        </w:rPr>
        <w:t xml:space="preserve">。                                         </w:t>
      </w:r>
      <w:r>
        <w:rPr>
          <w:rFonts w:hint="eastAsia" w:ascii="仿宋" w:hAnsi="仿宋" w:eastAsia="仿宋" w:cs="仿宋"/>
          <w:color w:val="auto"/>
          <w:sz w:val="24"/>
          <w:szCs w:val="24"/>
          <w:highlight w:val="none"/>
        </w:rPr>
        <w:t>供应商名称(电子签名)：</w:t>
      </w:r>
    </w:p>
    <w:p>
      <w:pPr>
        <w:snapToGrid w:val="0"/>
        <w:spacing w:line="360" w:lineRule="auto"/>
        <w:ind w:firstLine="5760" w:firstLineChars="2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分包供应商名称：</w:t>
      </w:r>
    </w:p>
    <w:p>
      <w:pPr>
        <w:snapToGrid w:val="0"/>
        <w:spacing w:line="360" w:lineRule="auto"/>
        <w:ind w:firstLine="5760" w:firstLine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日期：  年  月   日</w:t>
      </w:r>
    </w:p>
    <w:p>
      <w:pPr>
        <w:widowControl/>
        <w:jc w:val="left"/>
        <w:rPr>
          <w:rFonts w:hint="eastAsia" w:ascii="仿宋" w:hAnsi="仿宋" w:eastAsia="仿宋" w:cs="仿宋"/>
          <w:b/>
          <w:color w:val="auto"/>
          <w:sz w:val="32"/>
          <w:highlight w:val="none"/>
        </w:rPr>
      </w:pPr>
      <w:r>
        <w:rPr>
          <w:rFonts w:hint="eastAsia" w:ascii="仿宋" w:hAnsi="仿宋" w:eastAsia="仿宋" w:cs="仿宋"/>
          <w:color w:val="auto"/>
          <w:highlight w:val="none"/>
        </w:rPr>
        <w:br w:type="page"/>
      </w:r>
    </w:p>
    <w:p>
      <w:pPr>
        <w:widowControl/>
        <w:spacing w:line="360" w:lineRule="auto"/>
        <w:ind w:left="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三、本项目的特定资格要求</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（根据竞争性磋商公告本项目的特定资格要求提供相应的材料；未要求的，无需提供）</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bookmarkStart w:id="401" w:name="_Toc47951365"/>
    </w:p>
    <w:p>
      <w:pPr>
        <w:rPr>
          <w:rFonts w:hint="eastAsia" w:ascii="仿宋" w:hAnsi="仿宋" w:eastAsia="仿宋" w:cs="仿宋"/>
          <w:color w:val="auto"/>
          <w:highlight w:val="none"/>
        </w:rPr>
      </w:pPr>
    </w:p>
    <w:p>
      <w:pPr>
        <w:spacing w:line="360" w:lineRule="auto"/>
        <w:ind w:right="420" w:firstLine="2978" w:firstLineChars="824"/>
        <w:outlineLvl w:val="1"/>
        <w:rPr>
          <w:rFonts w:hint="eastAsia" w:ascii="仿宋" w:hAnsi="仿宋" w:eastAsia="仿宋" w:cs="仿宋"/>
          <w:b/>
          <w:color w:val="auto"/>
          <w:sz w:val="36"/>
          <w:highlight w:val="none"/>
        </w:rPr>
      </w:pPr>
      <w:r>
        <w:rPr>
          <w:rFonts w:hint="eastAsia" w:ascii="仿宋" w:hAnsi="仿宋" w:eastAsia="仿宋" w:cs="仿宋"/>
          <w:b/>
          <w:color w:val="auto"/>
          <w:sz w:val="36"/>
          <w:highlight w:val="none"/>
        </w:rPr>
        <w:t>商务技术文件部分</w:t>
      </w:r>
    </w:p>
    <w:p>
      <w:pPr>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28"/>
          <w:highlight w:val="none"/>
        </w:rPr>
      </w:pPr>
      <w:r>
        <w:rPr>
          <w:rFonts w:hint="eastAsia" w:ascii="仿宋" w:hAnsi="仿宋" w:eastAsia="仿宋" w:cs="仿宋"/>
          <w:b/>
          <w:color w:val="auto"/>
          <w:sz w:val="28"/>
          <w:highlight w:val="none"/>
        </w:rPr>
        <w:t>目 录</w:t>
      </w:r>
    </w:p>
    <w:p>
      <w:pPr>
        <w:snapToGrid w:val="0"/>
        <w:spacing w:line="360" w:lineRule="auto"/>
        <w:ind w:left="477" w:leftChars="227"/>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（1）磋商响应函……………………………………………………………………………（页码）</w:t>
      </w:r>
    </w:p>
    <w:p>
      <w:pPr>
        <w:snapToGrid w:val="0"/>
        <w:spacing w:line="360" w:lineRule="auto"/>
        <w:ind w:left="477" w:leftChars="227"/>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（2）授权委托书或法定代表人（单位负责人、自然人本人）身份证明……………（页码）</w:t>
      </w:r>
    </w:p>
    <w:p>
      <w:pPr>
        <w:snapToGrid w:val="0"/>
        <w:spacing w:line="360" w:lineRule="auto"/>
        <w:ind w:left="477" w:leftChars="227"/>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（3）联合协议………………………………………………………………………………（页码）</w:t>
      </w:r>
    </w:p>
    <w:p>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（4）分包意向协议…………………………………………………………………………（页码）</w:t>
      </w:r>
    </w:p>
    <w:p>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（5）符合性审查资料………………………………………………………………………（页码）</w:t>
      </w:r>
    </w:p>
    <w:p>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（6）声明书…………………………………………………………………………………（页码）</w:t>
      </w:r>
    </w:p>
    <w:p>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（7）政府采购供应商廉洁自律承诺书…………………………………………………（页码）</w:t>
      </w:r>
    </w:p>
    <w:p>
      <w:pPr>
        <w:snapToGrid w:val="0"/>
        <w:spacing w:line="360" w:lineRule="auto"/>
        <w:ind w:left="477" w:leftChars="227"/>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（8）评标标准相应的商务技术资料……………………………………………………（页码）</w:t>
      </w:r>
    </w:p>
    <w:p>
      <w:pPr>
        <w:snapToGrid w:val="0"/>
        <w:spacing w:line="360" w:lineRule="auto"/>
        <w:ind w:left="477" w:leftChars="227"/>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（9）商务技术偏离说明表…………………………………………………………………（页码）</w:t>
      </w:r>
    </w:p>
    <w:p>
      <w:pPr>
        <w:snapToGrid w:val="0"/>
        <w:spacing w:line="360" w:lineRule="auto"/>
        <w:ind w:left="477" w:leftChars="227"/>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（10）供应商认为需要提供的其它文件及资料…………………………………………（页码）</w:t>
      </w:r>
    </w:p>
    <w:p>
      <w:pPr>
        <w:snapToGrid w:val="0"/>
        <w:spacing w:line="360" w:lineRule="auto"/>
        <w:jc w:val="center"/>
        <w:rPr>
          <w:rFonts w:hint="eastAsia" w:ascii="仿宋" w:hAnsi="仿宋" w:eastAsia="仿宋" w:cs="仿宋"/>
          <w:b/>
          <w:color w:val="auto"/>
          <w:sz w:val="32"/>
          <w:highlight w:val="none"/>
        </w:rPr>
      </w:pPr>
    </w:p>
    <w:p>
      <w:pPr>
        <w:snapToGrid w:val="0"/>
        <w:spacing w:line="360" w:lineRule="auto"/>
        <w:jc w:val="center"/>
        <w:rPr>
          <w:rFonts w:hint="eastAsia" w:ascii="仿宋" w:hAnsi="仿宋" w:eastAsia="仿宋" w:cs="仿宋"/>
          <w:b/>
          <w:color w:val="auto"/>
          <w:sz w:val="32"/>
          <w:highlight w:val="none"/>
        </w:rPr>
      </w:pPr>
    </w:p>
    <w:bookmarkEnd w:id="401"/>
    <w:p>
      <w:pPr>
        <w:rPr>
          <w:rFonts w:hint="eastAsia" w:ascii="仿宋" w:hAnsi="仿宋" w:eastAsia="仿宋" w:cs="仿宋"/>
          <w:color w:val="auto"/>
          <w:highlight w:val="none"/>
        </w:rPr>
      </w:pPr>
    </w:p>
    <w:p>
      <w:pPr>
        <w:rPr>
          <w:rFonts w:hint="eastAsia" w:ascii="仿宋" w:hAnsi="仿宋" w:eastAsia="仿宋" w:cs="仿宋"/>
          <w:color w:val="auto"/>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b/>
          <w:color w:val="auto"/>
          <w:sz w:val="36"/>
          <w:highlight w:val="none"/>
        </w:rPr>
      </w:pPr>
      <w:bookmarkStart w:id="402" w:name="_Toc47951366"/>
      <w:bookmarkStart w:id="403" w:name="_Toc47950915"/>
      <w:r>
        <w:rPr>
          <w:rFonts w:hint="eastAsia" w:ascii="仿宋" w:hAnsi="仿宋" w:eastAsia="仿宋" w:cs="仿宋"/>
          <w:b/>
          <w:color w:val="auto"/>
          <w:sz w:val="36"/>
          <w:highlight w:val="none"/>
        </w:rPr>
        <w:t>一、磋商响应函</w:t>
      </w:r>
      <w:bookmarkEnd w:id="402"/>
      <w:bookmarkEnd w:id="403"/>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杭州市规划和自然资源局西湖分局、中纬工程管理咨询有限公司：</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(供应商全称)</w:t>
      </w:r>
      <w:r>
        <w:rPr>
          <w:rFonts w:hint="eastAsia" w:ascii="仿宋" w:hAnsi="仿宋" w:eastAsia="仿宋" w:cs="仿宋"/>
          <w:color w:val="auto"/>
          <w:sz w:val="24"/>
          <w:szCs w:val="24"/>
          <w:highlight w:val="none"/>
        </w:rPr>
        <w:t>授权</w:t>
      </w:r>
      <w:r>
        <w:rPr>
          <w:rFonts w:hint="eastAsia" w:ascii="仿宋" w:hAnsi="仿宋" w:eastAsia="仿宋" w:cs="仿宋"/>
          <w:color w:val="auto"/>
          <w:sz w:val="24"/>
          <w:szCs w:val="24"/>
          <w:highlight w:val="none"/>
          <w:u w:val="single"/>
        </w:rPr>
        <w:t>(全权代表姓名)(职务、职称)</w:t>
      </w:r>
      <w:r>
        <w:rPr>
          <w:rFonts w:hint="eastAsia" w:ascii="仿宋" w:hAnsi="仿宋" w:eastAsia="仿宋" w:cs="仿宋"/>
          <w:color w:val="auto"/>
          <w:sz w:val="24"/>
          <w:szCs w:val="24"/>
          <w:highlight w:val="none"/>
        </w:rPr>
        <w:t>为全权代表，参加贵方组织的</w:t>
      </w:r>
      <w:r>
        <w:rPr>
          <w:rFonts w:hint="eastAsia" w:ascii="仿宋" w:hAnsi="仿宋" w:eastAsia="仿宋" w:cs="仿宋"/>
          <w:color w:val="auto"/>
          <w:sz w:val="24"/>
          <w:szCs w:val="24"/>
          <w:highlight w:val="none"/>
          <w:u w:val="single"/>
          <w:lang w:eastAsia="zh-CN"/>
        </w:rPr>
        <w:t>西湖区2022年城市国土空间监测项目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ZW-2022XHGZJ02</w:t>
      </w:r>
      <w:r>
        <w:rPr>
          <w:rFonts w:hint="eastAsia" w:ascii="仿宋" w:hAnsi="仿宋" w:eastAsia="仿宋" w:cs="仿宋"/>
          <w:color w:val="auto"/>
          <w:sz w:val="24"/>
          <w:szCs w:val="24"/>
          <w:highlight w:val="none"/>
        </w:rPr>
        <w:t>）招标的有关活动，并对此项目进行投标。为此：</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1、我方同意在供应商编制和提交采购响应文件须知规定的开标日期起遵守本响应文件中的承诺且在投标有效期（90天）满之前均具有约束力。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(2)遵守国家法律、行政法规，具有良好的信誉和商业道德；</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(3)具有履行合同的能力和良好的履行合同记录；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(4)良好的资金、财务状况；</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(5)产品及生产所需装备符合中国政府规定的相应技术标准和环保标准；</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(6)没有违反政府采购法规、政策的记录；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(7)没有发生重大经济纠纷和走私犯罪记录。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3、提供编制和提交采购响应文件须知规定的全部响应文件，具体内容为：</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(1)开标一览表及投标报价明细清单；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(2)投标商务技术文件和报价文件；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(3)编制和提交响应文件须知要求供应商提交的全部文件；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(4)按磋商文件要求提供和交付的货物和服务的投标报价详见开标一览表；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(5)保证忠实地执行双方所签订的合同，并承担合同规定的责任和义务；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(6)保证遵守磋商文件中的其他有关规定。</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4、我方完全理解贵方不一定要接受最低价的投标。</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5、我方愿意向贵方提供任何与该项投标有关的数据、情况和技术资料。若贵方需要，我方愿意提供我方作出的一切承诺的证明材料。</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6、我方已详细审核全部磋商文件，包括磋商文件修改书(如果有)、参考资料及有关附件，确认无误。</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pPr>
        <w:snapToGrid w:val="0"/>
        <w:spacing w:line="360" w:lineRule="auto"/>
        <w:ind w:left="420" w:leftChars="200" w:firstLine="4200" w:firstLineChars="1750"/>
        <w:jc w:val="left"/>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供应商名称（电子签名）：  </w:t>
      </w:r>
    </w:p>
    <w:p>
      <w:pPr>
        <w:snapToGrid w:val="0"/>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                  联系电话： </w:t>
      </w:r>
    </w:p>
    <w:p>
      <w:pPr>
        <w:snapToGrid w:val="0"/>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联系地址：</w:t>
      </w:r>
    </w:p>
    <w:p>
      <w:pPr>
        <w:snapToGrid w:val="0"/>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                传真号码：</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月    日</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注：未按照本投标响应函要求填报的将被视为非实质性响应投标，从而可能导致该投标被拒绝。</w:t>
      </w:r>
    </w:p>
    <w:p>
      <w:pPr>
        <w:snapToGrid w:val="0"/>
        <w:spacing w:line="360" w:lineRule="auto"/>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highlight w:val="none"/>
        </w:rPr>
      </w:pPr>
    </w:p>
    <w:p>
      <w:pPr>
        <w:jc w:val="center"/>
        <w:rPr>
          <w:rFonts w:hint="eastAsia" w:ascii="仿宋" w:hAnsi="仿宋" w:eastAsia="仿宋" w:cs="仿宋"/>
          <w:b/>
          <w:color w:val="auto"/>
          <w:sz w:val="32"/>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highlight w:val="none"/>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sz w:val="32"/>
          <w:highlight w:val="none"/>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杭州市规划和自然资源局西湖分局、中纬工程管理咨询有限公司：</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（姓名）为我方代理人（身份证号码：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，手机：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），以我方名义处理杭州市规划和自然资源局西湖分局的</w:t>
      </w:r>
      <w:r>
        <w:rPr>
          <w:rFonts w:hint="eastAsia" w:ascii="仿宋" w:hAnsi="仿宋" w:eastAsia="仿宋" w:cs="仿宋"/>
          <w:color w:val="auto"/>
          <w:sz w:val="24"/>
          <w:szCs w:val="24"/>
          <w:highlight w:val="none"/>
          <w:lang w:eastAsia="zh-CN"/>
        </w:rPr>
        <w:t>西湖区2022年城市国土空间监测项目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ZW-2022XHGZJ02</w:t>
      </w:r>
      <w:r>
        <w:rPr>
          <w:rFonts w:hint="eastAsia" w:ascii="仿宋" w:hAnsi="仿宋" w:eastAsia="仿宋" w:cs="仿宋"/>
          <w:color w:val="auto"/>
          <w:sz w:val="24"/>
          <w:szCs w:val="24"/>
          <w:highlight w:val="none"/>
        </w:rPr>
        <w:t>】竞争性磋商响应的一切事项，其法律后果由我方承担。</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委托期限：自   年 月  日起至  年  月  日止。</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特此告知。</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供应商名称(电子签名)：</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 xml:space="preserve">       授权委托书（适用于联合体投标）</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杭州市规划和自然资源局西湖分局、中纬工程管理咨询有限公司：</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（姓名）为我方代理人（身份证号码：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，手机：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），以我方名义处理杭州市规划和自然资源局西湖分局的</w:t>
      </w:r>
      <w:r>
        <w:rPr>
          <w:rFonts w:hint="eastAsia" w:ascii="仿宋" w:hAnsi="仿宋" w:eastAsia="仿宋" w:cs="仿宋"/>
          <w:color w:val="auto"/>
          <w:sz w:val="24"/>
          <w:szCs w:val="24"/>
          <w:highlight w:val="none"/>
          <w:lang w:eastAsia="zh-CN"/>
        </w:rPr>
        <w:t>西湖区2022年城市国土空间监测项目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ZW-2022XHGZJ02</w:t>
      </w:r>
      <w:r>
        <w:rPr>
          <w:rFonts w:hint="eastAsia" w:ascii="仿宋" w:hAnsi="仿宋" w:eastAsia="仿宋" w:cs="仿宋"/>
          <w:color w:val="auto"/>
          <w:sz w:val="24"/>
          <w:szCs w:val="24"/>
          <w:highlight w:val="none"/>
        </w:rPr>
        <w:t>】竞争性磋商响应的一切事项，其法律后果由我方承担。</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委托期限：自   年 月  日起至  年  月  日止。</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特此告知。</w:t>
      </w:r>
    </w:p>
    <w:p>
      <w:pPr>
        <w:rPr>
          <w:rFonts w:hint="eastAsia" w:ascii="仿宋" w:hAnsi="仿宋" w:eastAsia="仿宋" w:cs="仿宋"/>
          <w:color w:val="auto"/>
          <w:sz w:val="24"/>
          <w:szCs w:val="24"/>
          <w:highlight w:val="none"/>
        </w:rPr>
      </w:pPr>
    </w:p>
    <w:p>
      <w:pPr>
        <w:snapToGrid w:val="0"/>
        <w:spacing w:line="360" w:lineRule="auto"/>
        <w:ind w:firstLine="5040" w:firstLineChars="2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联合体成员名称(电子签名/公章)：</w:t>
      </w:r>
    </w:p>
    <w:p>
      <w:pPr>
        <w:snapToGrid w:val="0"/>
        <w:spacing w:line="360" w:lineRule="auto"/>
        <w:ind w:firstLine="5040" w:firstLineChars="2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联合体成员名称(电子签名/公章)：</w:t>
      </w:r>
    </w:p>
    <w:p>
      <w:pPr>
        <w:snapToGrid w:val="0"/>
        <w:spacing w:line="360" w:lineRule="auto"/>
        <w:ind w:firstLine="5040" w:firstLineChars="2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 xml:space="preserve">                                          日期：  年  月   日</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br w:type="page"/>
      </w:r>
      <w:r>
        <w:rPr>
          <w:rFonts w:hint="eastAsia" w:ascii="仿宋" w:hAnsi="仿宋" w:eastAsia="仿宋" w:cs="仿宋"/>
          <w:b/>
          <w:color w:val="auto"/>
          <w:sz w:val="32"/>
          <w:highlight w:val="none"/>
        </w:rPr>
        <w:t>法定代表人、单位负责人或自然人本人</w:t>
      </w:r>
      <w:r>
        <w:rPr>
          <w:rFonts w:hint="eastAsia" w:ascii="仿宋" w:hAnsi="仿宋" w:eastAsia="仿宋" w:cs="仿宋"/>
          <w:b/>
          <w:color w:val="auto"/>
          <w:sz w:val="30"/>
          <w:highlight w:val="none"/>
        </w:rPr>
        <w:t>的身份证明（适用于法定代表人、单位负责人或者自然人本人代表供应商参加投标）</w:t>
      </w:r>
    </w:p>
    <w:p>
      <w:pPr>
        <w:pStyle w:val="1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pStyle w:val="146"/>
              <w:adjustRightInd w:val="0"/>
              <w:spacing w:line="360" w:lineRule="auto"/>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正面：</w:t>
            </w:r>
            <w:r>
              <w:rPr>
                <w:rFonts w:hint="eastAsia" w:ascii="仿宋" w:hAnsi="仿宋" w:eastAsia="仿宋" w:cs="仿宋"/>
                <w:color w:val="auto"/>
                <w:szCs w:val="21"/>
                <w:highlight w:val="none"/>
              </w:rPr>
              <w:t xml:space="preserve">                                 </w:t>
            </w:r>
            <w:r>
              <w:rPr>
                <w:rFonts w:hint="eastAsia" w:ascii="仿宋" w:hAnsi="仿宋" w:eastAsia="仿宋" w:cs="仿宋"/>
                <w:color w:val="auto"/>
                <w:sz w:val="24"/>
                <w:szCs w:val="24"/>
                <w:highlight w:val="none"/>
              </w:rPr>
              <w:t>反面：</w:t>
            </w:r>
          </w:p>
          <w:p>
            <w:pPr>
              <w:pStyle w:val="146"/>
              <w:adjustRightInd w:val="0"/>
              <w:spacing w:line="360" w:lineRule="auto"/>
              <w:rPr>
                <w:rFonts w:hint="eastAsia" w:ascii="仿宋" w:hAnsi="仿宋" w:eastAsia="仿宋" w:cs="仿宋"/>
                <w:color w:val="auto"/>
                <w:szCs w:val="21"/>
                <w:highlight w:val="none"/>
              </w:rPr>
            </w:pPr>
          </w:p>
        </w:tc>
      </w:tr>
    </w:tbl>
    <w:p>
      <w:pPr>
        <w:snapToGrid w:val="0"/>
        <w:spacing w:line="360" w:lineRule="auto"/>
        <w:ind w:firstLine="576"/>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snapToGrid w:val="0"/>
        <w:spacing w:line="360" w:lineRule="auto"/>
        <w:ind w:firstLine="576"/>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 w:val="24"/>
          <w:szCs w:val="24"/>
          <w:highlight w:val="none"/>
        </w:rPr>
        <w:t>供应商名称(电子签名)：</w:t>
      </w:r>
      <w:r>
        <w:rPr>
          <w:rFonts w:hint="eastAsia" w:ascii="仿宋" w:hAnsi="仿宋" w:eastAsia="仿宋" w:cs="仿宋"/>
          <w:color w:val="auto"/>
          <w:szCs w:val="21"/>
          <w:highlight w:val="none"/>
        </w:rPr>
        <w:t xml:space="preserve">                              </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 w:val="24"/>
          <w:szCs w:val="24"/>
          <w:highlight w:val="none"/>
        </w:rPr>
        <w:t>日期：  年  月  日</w:t>
      </w:r>
    </w:p>
    <w:p>
      <w:pPr>
        <w:jc w:val="center"/>
        <w:rPr>
          <w:rFonts w:hint="eastAsia" w:ascii="仿宋" w:hAnsi="仿宋" w:eastAsia="仿宋" w:cs="仿宋"/>
          <w:b/>
          <w:color w:val="auto"/>
          <w:sz w:val="32"/>
          <w:highlight w:val="none"/>
        </w:rPr>
      </w:pPr>
    </w:p>
    <w:p>
      <w:pPr>
        <w:jc w:val="center"/>
        <w:rPr>
          <w:rFonts w:hint="eastAsia" w:ascii="仿宋" w:hAnsi="仿宋" w:eastAsia="仿宋" w:cs="仿宋"/>
          <w:b/>
          <w:color w:val="auto"/>
          <w:sz w:val="32"/>
          <w:highlight w:val="none"/>
        </w:rPr>
      </w:pPr>
    </w:p>
    <w:p>
      <w:pPr>
        <w:jc w:val="center"/>
        <w:rPr>
          <w:rFonts w:hint="eastAsia" w:ascii="仿宋" w:hAnsi="仿宋" w:eastAsia="仿宋" w:cs="仿宋"/>
          <w:b/>
          <w:color w:val="auto"/>
          <w:sz w:val="32"/>
          <w:highlight w:val="none"/>
        </w:rPr>
      </w:pPr>
    </w:p>
    <w:p>
      <w:pPr>
        <w:jc w:val="center"/>
        <w:rPr>
          <w:rFonts w:hint="eastAsia" w:ascii="仿宋" w:hAnsi="仿宋" w:eastAsia="仿宋" w:cs="仿宋"/>
          <w:b/>
          <w:color w:val="auto"/>
          <w:sz w:val="32"/>
          <w:highlight w:val="none"/>
        </w:rPr>
      </w:pPr>
    </w:p>
    <w:p>
      <w:pPr>
        <w:jc w:val="center"/>
        <w:rPr>
          <w:rFonts w:hint="eastAsia" w:ascii="仿宋" w:hAnsi="仿宋" w:eastAsia="仿宋" w:cs="仿宋"/>
          <w:b/>
          <w:color w:val="auto"/>
          <w:sz w:val="32"/>
          <w:highlight w:val="none"/>
        </w:rPr>
      </w:pPr>
    </w:p>
    <w:p>
      <w:pPr>
        <w:jc w:val="center"/>
        <w:rPr>
          <w:rFonts w:hint="eastAsia" w:ascii="仿宋" w:hAnsi="仿宋" w:eastAsia="仿宋" w:cs="仿宋"/>
          <w:b/>
          <w:color w:val="auto"/>
          <w:sz w:val="32"/>
          <w:highlight w:val="none"/>
        </w:rPr>
      </w:pPr>
    </w:p>
    <w:p>
      <w:pPr>
        <w:jc w:val="center"/>
        <w:rPr>
          <w:rFonts w:hint="eastAsia" w:ascii="仿宋" w:hAnsi="仿宋" w:eastAsia="仿宋" w:cs="仿宋"/>
          <w:b/>
          <w:color w:val="auto"/>
          <w:sz w:val="32"/>
          <w:highlight w:val="none"/>
        </w:rPr>
      </w:pPr>
    </w:p>
    <w:p>
      <w:pPr>
        <w:jc w:val="center"/>
        <w:rPr>
          <w:rFonts w:hint="eastAsia" w:ascii="仿宋" w:hAnsi="仿宋" w:eastAsia="仿宋" w:cs="仿宋"/>
          <w:b/>
          <w:color w:val="auto"/>
          <w:sz w:val="32"/>
          <w:highlight w:val="none"/>
        </w:rPr>
      </w:pPr>
    </w:p>
    <w:p>
      <w:pPr>
        <w:widowControl/>
        <w:jc w:val="center"/>
        <w:rPr>
          <w:rFonts w:hint="eastAsia" w:ascii="仿宋" w:hAnsi="仿宋" w:eastAsia="仿宋" w:cs="仿宋"/>
          <w:b/>
          <w:color w:val="auto"/>
          <w:sz w:val="32"/>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highlight w:val="none"/>
        </w:rPr>
        <w:t>三、联合协议</w:t>
      </w:r>
    </w:p>
    <w:p>
      <w:pPr>
        <w:widowControl/>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（以联合体形式投标的，提供联合协议；本项目不接受联合体投标或者供应商不以联合体形式投标的，则不需要提供）</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（联合体所有成员名称）</w:t>
      </w:r>
      <w:r>
        <w:rPr>
          <w:rFonts w:hint="eastAsia" w:ascii="仿宋" w:hAnsi="仿宋" w:eastAsia="仿宋" w:cs="仿宋"/>
          <w:color w:val="auto"/>
          <w:sz w:val="24"/>
          <w:szCs w:val="24"/>
          <w:highlight w:val="none"/>
        </w:rPr>
        <w:t>自愿组成一个联合体，以一个供应商的身份参加杭州市规划和自然资源局西湖分局的</w:t>
      </w:r>
      <w:r>
        <w:rPr>
          <w:rFonts w:hint="eastAsia" w:ascii="仿宋" w:hAnsi="仿宋" w:eastAsia="仿宋" w:cs="仿宋"/>
          <w:color w:val="auto"/>
          <w:sz w:val="24"/>
          <w:szCs w:val="24"/>
          <w:highlight w:val="none"/>
          <w:lang w:eastAsia="zh-CN"/>
        </w:rPr>
        <w:t>西湖区2022年城市国土空间监测项目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ZW-2022XHGZJ02</w:t>
      </w:r>
      <w:r>
        <w:rPr>
          <w:rFonts w:hint="eastAsia" w:ascii="仿宋" w:hAnsi="仿宋" w:eastAsia="仿宋" w:cs="仿宋"/>
          <w:color w:val="auto"/>
          <w:sz w:val="24"/>
          <w:szCs w:val="24"/>
          <w:highlight w:val="none"/>
        </w:rPr>
        <w:t xml:space="preserve">】投标。 </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一、各方一致决定，</w:t>
      </w:r>
      <w:r>
        <w:rPr>
          <w:rFonts w:hint="eastAsia" w:ascii="仿宋" w:hAnsi="仿宋" w:eastAsia="仿宋" w:cs="仿宋"/>
          <w:color w:val="auto"/>
          <w:sz w:val="24"/>
          <w:szCs w:val="24"/>
          <w:highlight w:val="none"/>
          <w:u w:val="single"/>
        </w:rPr>
        <w:t>（某联合体成员名称）</w:t>
      </w:r>
      <w:r>
        <w:rPr>
          <w:rFonts w:hint="eastAsia" w:ascii="仿宋" w:hAnsi="仿宋" w:eastAsia="仿宋" w:cs="仿宋"/>
          <w:color w:val="auto"/>
          <w:sz w:val="24"/>
          <w:szCs w:val="24"/>
          <w:highlight w:val="none"/>
        </w:rPr>
        <w:t>为联合体牵头人，代表所有联合体成员负责投标和合同实施阶段的主办、协调工作。</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二、所有联合体成员各方签署授权书，授权书载明的授权代表根据磋商文件规定及投标内容而对采购人、采购代理机构所作的任何合法承诺，包括书面澄清及相应等均对联合投标各方产生约束力。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三、本次联合投标中，分工如下：</w:t>
      </w:r>
      <w:r>
        <w:rPr>
          <w:rFonts w:hint="eastAsia" w:ascii="仿宋" w:hAnsi="仿宋" w:eastAsia="仿宋" w:cs="仿宋"/>
          <w:color w:val="auto"/>
          <w:sz w:val="24"/>
          <w:szCs w:val="24"/>
          <w:highlight w:val="none"/>
          <w:u w:val="single"/>
        </w:rPr>
        <w:t>（联合体其中一方成员名称）</w:t>
      </w:r>
      <w:r>
        <w:rPr>
          <w:rFonts w:hint="eastAsia" w:ascii="仿宋" w:hAnsi="仿宋" w:eastAsia="仿宋" w:cs="仿宋"/>
          <w:color w:val="auto"/>
          <w:sz w:val="24"/>
          <w:szCs w:val="24"/>
          <w:highlight w:val="none"/>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napToGrid w:val="0"/>
        <w:spacing w:line="360" w:lineRule="auto"/>
        <w:ind w:firstLine="576"/>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u w:val="single"/>
        </w:rPr>
        <w:t>（联合体其中一方成员名称）</w:t>
      </w:r>
      <w:r>
        <w:rPr>
          <w:rFonts w:hint="eastAsia" w:ascii="仿宋" w:hAnsi="仿宋" w:eastAsia="仿宋" w:cs="仿宋"/>
          <w:color w:val="auto"/>
          <w:sz w:val="24"/>
          <w:szCs w:val="24"/>
          <w:highlight w:val="none"/>
        </w:rPr>
        <w:t>提供的全部货物由小微企业制造，其合同份额占到合同总金额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%以上；……。</w:t>
      </w:r>
      <w:r>
        <w:rPr>
          <w:rFonts w:hint="eastAsia" w:ascii="仿宋" w:hAnsi="仿宋" w:eastAsia="仿宋" w:cs="仿宋"/>
          <w:b/>
          <w:color w:val="auto"/>
          <w:sz w:val="24"/>
          <w:szCs w:val="24"/>
          <w:highlight w:val="none"/>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五、如果中标，联合体各成员方共同与采购人签订合同，并就采购合同约定的事项对采购人承担连带责任。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六、有关本次联合投标的其他事宜：</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联合体成员名称(电子签名/公章)：</w:t>
      </w:r>
    </w:p>
    <w:p>
      <w:pPr>
        <w:snapToGrid w:val="0"/>
        <w:spacing w:line="360" w:lineRule="auto"/>
        <w:ind w:firstLine="5040" w:firstLineChars="2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 xml:space="preserve">                                          日期：  年  月   日</w:t>
      </w:r>
    </w:p>
    <w:p>
      <w:pPr>
        <w:snapToGrid w:val="0"/>
        <w:spacing w:line="360" w:lineRule="auto"/>
        <w:ind w:firstLine="3534" w:firstLineChars="11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四、分包意向协议</w:t>
      </w:r>
    </w:p>
    <w:p>
      <w:pPr>
        <w:widowControl/>
        <w:spacing w:line="360" w:lineRule="auto"/>
        <w:ind w:firstLine="120" w:firstLineChar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中标后以分包方式履行合同的，提供分包意向协议；采购人不同意分包或者供应商中标后不以分包方式履行合同的，则不需要提供。</w:t>
      </w:r>
      <w:r>
        <w:rPr>
          <w:rFonts w:hint="eastAsia" w:ascii="仿宋" w:hAnsi="仿宋" w:eastAsia="仿宋" w:cs="仿宋"/>
          <w:color w:val="auto"/>
          <w:sz w:val="24"/>
          <w:szCs w:val="24"/>
          <w:highlight w:val="none"/>
        </w:rPr>
        <w:t>）</w:t>
      </w:r>
    </w:p>
    <w:p>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若成为杭州市规划和自然资源局西湖分局的</w:t>
      </w:r>
      <w:r>
        <w:rPr>
          <w:rFonts w:hint="eastAsia" w:ascii="仿宋" w:hAnsi="仿宋" w:eastAsia="仿宋" w:cs="仿宋"/>
          <w:color w:val="auto"/>
          <w:sz w:val="24"/>
          <w:szCs w:val="24"/>
          <w:highlight w:val="none"/>
          <w:lang w:eastAsia="zh-CN"/>
        </w:rPr>
        <w:t>西湖区2022年城市国土空间监测项目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ZW-2022XHGZJ02</w:t>
      </w:r>
      <w:r>
        <w:rPr>
          <w:rFonts w:hint="eastAsia" w:ascii="仿宋" w:hAnsi="仿宋" w:eastAsia="仿宋" w:cs="仿宋"/>
          <w:color w:val="auto"/>
          <w:sz w:val="24"/>
          <w:szCs w:val="24"/>
          <w:highlight w:val="none"/>
        </w:rPr>
        <w:t>】的中标（成交）人，将依法采取分包方式履行合同。</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u w:val="single"/>
        </w:rPr>
        <w:t>（所有分包供应商名称）</w:t>
      </w:r>
      <w:r>
        <w:rPr>
          <w:rFonts w:hint="eastAsia" w:ascii="仿宋" w:hAnsi="仿宋" w:eastAsia="仿宋" w:cs="仿宋"/>
          <w:color w:val="auto"/>
          <w:sz w:val="24"/>
          <w:szCs w:val="24"/>
          <w:highlight w:val="none"/>
        </w:rPr>
        <w:t xml:space="preserve">达成分包意向协议。 </w:t>
      </w:r>
    </w:p>
    <w:p>
      <w:pPr>
        <w:snapToGrid w:val="0"/>
        <w:spacing w:line="336"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一、分包标的及数量</w:t>
      </w:r>
    </w:p>
    <w:p>
      <w:pPr>
        <w:snapToGrid w:val="0"/>
        <w:spacing w:line="336"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将</w:t>
      </w:r>
      <w:r>
        <w:rPr>
          <w:rFonts w:hint="eastAsia" w:ascii="仿宋" w:hAnsi="仿宋" w:eastAsia="仿宋" w:cs="仿宋"/>
          <w:color w:val="auto"/>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sz w:val="24"/>
          <w:szCs w:val="24"/>
          <w:highlight w:val="none"/>
          <w:u w:val="single"/>
        </w:rPr>
        <w:t>（某分包供应商名称）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（某分包供应商名称），</w:t>
      </w:r>
      <w:r>
        <w:rPr>
          <w:rFonts w:hint="eastAsia" w:ascii="仿宋" w:hAnsi="仿宋" w:eastAsia="仿宋" w:cs="仿宋"/>
          <w:color w:val="auto"/>
          <w:sz w:val="24"/>
          <w:szCs w:val="24"/>
          <w:highlight w:val="none"/>
        </w:rPr>
        <w:t>具备承担</w:t>
      </w:r>
      <w:r>
        <w:rPr>
          <w:rFonts w:hint="eastAsia" w:ascii="仿宋" w:hAnsi="仿宋" w:eastAsia="仿宋" w:cs="仿宋"/>
          <w:color w:val="auto"/>
          <w:sz w:val="24"/>
          <w:szCs w:val="24"/>
          <w:highlight w:val="none"/>
          <w:u w:val="single"/>
        </w:rPr>
        <w:t>XX工作内容</w:t>
      </w:r>
      <w:r>
        <w:rPr>
          <w:rFonts w:hint="eastAsia" w:ascii="仿宋" w:hAnsi="仿宋" w:eastAsia="仿宋" w:cs="仿宋"/>
          <w:color w:val="auto"/>
          <w:sz w:val="24"/>
          <w:szCs w:val="24"/>
          <w:highlight w:val="none"/>
        </w:rPr>
        <w:t>相应资质条件且不得再次分包；</w:t>
      </w:r>
    </w:p>
    <w:p>
      <w:pPr>
        <w:snapToGrid w:val="0"/>
        <w:spacing w:line="336"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napToGrid w:val="0"/>
        <w:spacing w:line="336"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二、分包工作履行期限、地点、方式</w:t>
      </w:r>
    </w:p>
    <w:p>
      <w:pPr>
        <w:snapToGrid w:val="0"/>
        <w:spacing w:line="336" w:lineRule="auto"/>
        <w:ind w:firstLine="576"/>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pPr>
        <w:snapToGrid w:val="0"/>
        <w:spacing w:line="336"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三、质量</w:t>
      </w:r>
    </w:p>
    <w:p>
      <w:pPr>
        <w:snapToGrid w:val="0"/>
        <w:spacing w:line="336"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pPr>
        <w:snapToGrid w:val="0"/>
        <w:spacing w:line="336"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四、价款或者报酬</w:t>
      </w:r>
    </w:p>
    <w:p>
      <w:pPr>
        <w:snapToGrid w:val="0"/>
        <w:spacing w:line="336" w:lineRule="auto"/>
        <w:ind w:left="573" w:leftChars="2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pPr>
        <w:snapToGrid w:val="0"/>
        <w:spacing w:line="336" w:lineRule="auto"/>
        <w:ind w:left="573" w:leftChars="2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五、违约责任</w:t>
      </w:r>
    </w:p>
    <w:p>
      <w:pPr>
        <w:snapToGrid w:val="0"/>
        <w:spacing w:line="336"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pPr>
        <w:snapToGrid w:val="0"/>
        <w:spacing w:line="336"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六、争议解决的办法</w:t>
      </w:r>
    </w:p>
    <w:p>
      <w:pPr>
        <w:snapToGrid w:val="0"/>
        <w:spacing w:line="336"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pPr>
        <w:snapToGrid w:val="0"/>
        <w:spacing w:line="336"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七、其他</w:t>
      </w:r>
    </w:p>
    <w:p>
      <w:pPr>
        <w:snapToGrid w:val="0"/>
        <w:spacing w:line="360" w:lineRule="auto"/>
        <w:ind w:firstLine="576"/>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single"/>
        </w:rPr>
        <w:t>（分包供应商名称）提供的货物全部由小微企业制造，</w:t>
      </w:r>
      <w:r>
        <w:rPr>
          <w:rFonts w:hint="eastAsia" w:ascii="仿宋" w:hAnsi="仿宋" w:eastAsia="仿宋" w:cs="仿宋"/>
          <w:color w:val="auto"/>
          <w:sz w:val="24"/>
          <w:szCs w:val="24"/>
          <w:highlight w:val="none"/>
        </w:rPr>
        <w:t>其合同份额占到合同总金额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%以上。</w:t>
      </w:r>
      <w:r>
        <w:rPr>
          <w:rFonts w:hint="eastAsia" w:ascii="仿宋" w:hAnsi="仿宋" w:eastAsia="仿宋" w:cs="仿宋"/>
          <w:b/>
          <w:color w:val="auto"/>
          <w:sz w:val="24"/>
          <w:szCs w:val="24"/>
          <w:highlight w:val="none"/>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供应商名称(电子签名)：</w:t>
      </w:r>
    </w:p>
    <w:p>
      <w:pPr>
        <w:snapToGrid w:val="0"/>
        <w:spacing w:line="360" w:lineRule="auto"/>
        <w:ind w:firstLine="5640" w:firstLineChars="2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分包供应商名称：</w:t>
      </w:r>
    </w:p>
    <w:p>
      <w:pPr>
        <w:snapToGrid w:val="0"/>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highlight w:val="none"/>
        </w:rPr>
        <w:t>五、符合性审查资料</w:t>
      </w:r>
    </w:p>
    <w:p>
      <w:pPr>
        <w:jc w:val="center"/>
        <w:rPr>
          <w:rFonts w:hint="eastAsia" w:ascii="仿宋" w:hAnsi="仿宋" w:eastAsia="仿宋" w:cs="仿宋"/>
          <w:b/>
          <w:color w:val="auto"/>
          <w:sz w:val="32"/>
          <w:highlight w:val="none"/>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99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实质性要求</w:t>
            </w:r>
          </w:p>
        </w:tc>
        <w:tc>
          <w:tcPr>
            <w:tcW w:w="25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需要提供的符合性审查资料</w:t>
            </w:r>
          </w:p>
        </w:tc>
        <w:tc>
          <w:tcPr>
            <w:tcW w:w="14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响应文件中的</w:t>
            </w:r>
          </w:p>
          <w:p>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99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响应文件按照磋商文件要求签署、盖章。</w:t>
            </w:r>
          </w:p>
        </w:tc>
        <w:tc>
          <w:tcPr>
            <w:tcW w:w="25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需要使用电子签名或者签字盖章的响应文件的组成部分</w:t>
            </w:r>
          </w:p>
        </w:tc>
        <w:tc>
          <w:tcPr>
            <w:tcW w:w="14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99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采购人拟采购的产品属于政府强制采购的节能产品品目清单范围的，供应商按磋商文件要求提供国家确定的认证机构出具的、处于有效期之内的节能产品认证证书。</w:t>
            </w:r>
          </w:p>
        </w:tc>
        <w:tc>
          <w:tcPr>
            <w:tcW w:w="25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节能产品认证证书（本项目拟采购的产品不属于政府强制采购的节能产品品目清单范围的，无需提供）</w:t>
            </w:r>
          </w:p>
        </w:tc>
        <w:tc>
          <w:tcPr>
            <w:tcW w:w="14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w:t>
            </w:r>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99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响应文件中承诺的投标有效期不少于磋商文件中载明的投标有效期。</w:t>
            </w:r>
          </w:p>
        </w:tc>
        <w:tc>
          <w:tcPr>
            <w:tcW w:w="25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磋商响应</w:t>
            </w:r>
            <w:r>
              <w:rPr>
                <w:rFonts w:hint="eastAsia" w:ascii="仿宋" w:hAnsi="仿宋" w:eastAsia="仿宋" w:cs="仿宋"/>
                <w:color w:val="auto"/>
                <w:sz w:val="24"/>
                <w:szCs w:val="24"/>
                <w:highlight w:val="none"/>
              </w:rPr>
              <w:t>函</w:t>
            </w:r>
          </w:p>
        </w:tc>
        <w:tc>
          <w:tcPr>
            <w:tcW w:w="14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99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响应文件满足磋商文件的其它实质性要求。</w:t>
            </w:r>
          </w:p>
        </w:tc>
        <w:tc>
          <w:tcPr>
            <w:tcW w:w="25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磋商文件其它实质性要求相应的材料（“▲” 系指实质性要求条款，磋商文件无其它实质性要求的，无需提供）</w:t>
            </w:r>
          </w:p>
        </w:tc>
        <w:tc>
          <w:tcPr>
            <w:tcW w:w="14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bl>
    <w:p>
      <w:pPr>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 xml:space="preserve">            </w:t>
      </w:r>
    </w:p>
    <w:p>
      <w:pPr>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r>
        <w:rPr>
          <w:rFonts w:hint="eastAsia" w:ascii="仿宋" w:hAnsi="仿宋" w:eastAsia="仿宋" w:cs="仿宋"/>
          <w:b/>
          <w:color w:val="auto"/>
          <w:sz w:val="32"/>
          <w:highlight w:val="none"/>
        </w:rPr>
        <w:t>六、声明书</w:t>
      </w:r>
    </w:p>
    <w:p>
      <w:pPr>
        <w:adjustRightInd w:val="0"/>
        <w:snapToGrid w:val="0"/>
        <w:spacing w:line="360" w:lineRule="auto"/>
        <w:rPr>
          <w:rFonts w:hint="eastAsia" w:ascii="仿宋" w:hAnsi="仿宋" w:eastAsia="仿宋" w:cs="仿宋"/>
          <w:color w:val="auto"/>
          <w:sz w:val="22"/>
          <w:szCs w:val="24"/>
          <w:highlight w:val="none"/>
        </w:rPr>
      </w:pPr>
      <w:r>
        <w:rPr>
          <w:rFonts w:hint="eastAsia" w:ascii="仿宋" w:hAnsi="仿宋" w:eastAsia="仿宋" w:cs="仿宋"/>
          <w:color w:val="auto"/>
          <w:sz w:val="22"/>
          <w:szCs w:val="24"/>
          <w:highlight w:val="none"/>
        </w:rPr>
        <w:t>杭州市规划和自然资源局西湖分局、中纬工程管理咨询有限公司：</w:t>
      </w:r>
    </w:p>
    <w:p>
      <w:pP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本单位自愿参加贵单位的</w:t>
      </w:r>
      <w:r>
        <w:rPr>
          <w:rFonts w:hint="eastAsia" w:ascii="仿宋" w:hAnsi="仿宋" w:eastAsia="仿宋" w:cs="仿宋"/>
          <w:color w:val="auto"/>
          <w:sz w:val="24"/>
          <w:szCs w:val="24"/>
          <w:highlight w:val="none"/>
          <w:lang w:eastAsia="zh-CN"/>
        </w:rPr>
        <w:t>西湖区2022年城市国土空间监测项目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ZW-2022XHGZJ02</w:t>
      </w:r>
      <w:r>
        <w:rPr>
          <w:rFonts w:hint="eastAsia" w:ascii="仿宋" w:hAnsi="仿宋" w:eastAsia="仿宋" w:cs="仿宋"/>
          <w:color w:val="auto"/>
          <w:sz w:val="24"/>
          <w:szCs w:val="24"/>
          <w:highlight w:val="none"/>
        </w:rPr>
        <w:t>）竞争性磋商项目的投标，并保证响应文件中所列举的投标报价文件及相关资料和公司基本情况资料是真实的、合法的。</w:t>
      </w:r>
    </w:p>
    <w:p>
      <w:pP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同意此次磋商文件中的各项内容。</w:t>
      </w:r>
    </w:p>
    <w:p>
      <w:pP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同意提供按照贵方可能要求的与投标有关的一切数据或资料等。</w:t>
      </w:r>
    </w:p>
    <w:p>
      <w:pP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本单位如中标，保证按照响应文件的承诺与贵方签订合同，保证履行合同条款。</w:t>
      </w:r>
    </w:p>
    <w:p>
      <w:pPr>
        <w:pStyle w:val="26"/>
        <w:rPr>
          <w:rFonts w:hint="eastAsia" w:ascii="仿宋" w:hAnsi="仿宋" w:eastAsia="仿宋" w:cs="仿宋"/>
          <w:color w:val="auto"/>
          <w:szCs w:val="24"/>
          <w:highlight w:val="none"/>
        </w:rPr>
      </w:pP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供应商名称（电子签名）：</w:t>
      </w:r>
    </w:p>
    <w:p>
      <w:pPr>
        <w:adjustRightInd w:val="0"/>
        <w:snapToGrid w:val="0"/>
        <w:spacing w:line="360" w:lineRule="auto"/>
        <w:ind w:left="4800" w:hanging="4800" w:hangingChars="20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br w:type="page"/>
      </w:r>
      <w:r>
        <w:rPr>
          <w:rFonts w:hint="eastAsia" w:ascii="仿宋" w:hAnsi="仿宋" w:eastAsia="仿宋" w:cs="仿宋"/>
          <w:b/>
          <w:color w:val="auto"/>
          <w:sz w:val="32"/>
          <w:highlight w:val="none"/>
        </w:rPr>
        <w:t>七、</w:t>
      </w:r>
      <w:r>
        <w:rPr>
          <w:rFonts w:hint="eastAsia" w:ascii="仿宋" w:hAnsi="仿宋" w:eastAsia="仿宋" w:cs="仿宋"/>
          <w:b/>
          <w:color w:val="auto"/>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2"/>
          <w:szCs w:val="24"/>
          <w:highlight w:val="none"/>
        </w:rPr>
      </w:pPr>
      <w:r>
        <w:rPr>
          <w:rFonts w:hint="eastAsia" w:ascii="仿宋" w:hAnsi="仿宋" w:eastAsia="仿宋" w:cs="仿宋"/>
          <w:color w:val="auto"/>
          <w:sz w:val="22"/>
          <w:szCs w:val="24"/>
          <w:highlight w:val="none"/>
        </w:rPr>
        <w:t>杭州市规划和自然资源局西湖分局、中纬工程管理咨询有限公司</w:t>
      </w:r>
      <w:r>
        <w:rPr>
          <w:rFonts w:hint="eastAsia" w:ascii="仿宋" w:hAnsi="仿宋" w:eastAsia="仿宋" w:cs="仿宋"/>
          <w:color w:val="auto"/>
          <w:sz w:val="22"/>
          <w:szCs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磋商</w:t>
      </w:r>
      <w:r>
        <w:rPr>
          <w:rFonts w:hint="eastAsia" w:ascii="仿宋" w:hAnsi="仿宋" w:eastAsia="仿宋" w:cs="仿宋"/>
          <w:color w:val="auto"/>
          <w:sz w:val="24"/>
          <w:szCs w:val="24"/>
          <w:highlight w:val="none"/>
          <w:lang w:val="zh-CN"/>
        </w:rPr>
        <w:t>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好处；</w:t>
      </w:r>
    </w:p>
    <w:p>
      <w:pPr>
        <w:numPr>
          <w:ilvl w:val="0"/>
          <w:numId w:val="5"/>
        </w:numPr>
        <w:autoSpaceDE w:val="0"/>
        <w:autoSpaceDN w:val="0"/>
        <w:spacing w:line="360" w:lineRule="auto"/>
        <w:ind w:left="481" w:leftChars="229"/>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严格遵守《中华人民共和国政府采购法》《中华人民共和国招标投标法》《中华人民共和</w:t>
      </w:r>
    </w:p>
    <w:p>
      <w:pPr>
        <w:autoSpaceDE w:val="0"/>
        <w:autoSpaceDN w:val="0"/>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国民法典》等法律法规，诚实守信，合法经营，坚决抵制各种违法违纪行为。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szCs w:val="21"/>
          <w:highlight w:val="none"/>
          <w:lang w:val="zh-CN"/>
        </w:rPr>
      </w:pPr>
    </w:p>
    <w:p>
      <w:pPr>
        <w:autoSpaceDE w:val="0"/>
        <w:autoSpaceDN w:val="0"/>
        <w:spacing w:line="360" w:lineRule="auto"/>
        <w:ind w:left="2"/>
        <w:jc w:val="left"/>
        <w:rPr>
          <w:rFonts w:hint="eastAsia" w:ascii="仿宋" w:hAnsi="仿宋" w:eastAsia="仿宋" w:cs="仿宋"/>
          <w:color w:val="auto"/>
          <w:szCs w:val="21"/>
          <w:highlight w:val="none"/>
          <w:lang w:val="zh-CN"/>
        </w:rPr>
      </w:pPr>
    </w:p>
    <w:p>
      <w:pPr>
        <w:autoSpaceDE w:val="0"/>
        <w:autoSpaceDN w:val="0"/>
        <w:spacing w:line="360" w:lineRule="auto"/>
        <w:ind w:left="2"/>
        <w:jc w:val="left"/>
        <w:rPr>
          <w:rFonts w:hint="eastAsia" w:ascii="仿宋" w:hAnsi="仿宋" w:eastAsia="仿宋" w:cs="仿宋"/>
          <w:color w:val="auto"/>
          <w:szCs w:val="21"/>
          <w:highlight w:val="none"/>
          <w:lang w:val="zh-CN"/>
        </w:rPr>
      </w:pPr>
    </w:p>
    <w:p>
      <w:pPr>
        <w:autoSpaceDE w:val="0"/>
        <w:autoSpaceDN w:val="0"/>
        <w:spacing w:line="360" w:lineRule="auto"/>
        <w:ind w:left="2" w:leftChars="1" w:right="1120" w:firstLine="5280" w:firstLineChars="2200"/>
        <w:jc w:val="left"/>
        <w:rPr>
          <w:rFonts w:hint="eastAsia" w:ascii="仿宋" w:hAnsi="仿宋" w:eastAsia="仿宋" w:cs="仿宋"/>
          <w:color w:val="auto"/>
          <w:szCs w:val="21"/>
          <w:highlight w:val="none"/>
          <w:lang w:val="zh-CN"/>
        </w:rPr>
      </w:pPr>
      <w:r>
        <w:rPr>
          <w:rFonts w:hint="eastAsia" w:ascii="仿宋" w:hAnsi="仿宋" w:eastAsia="仿宋" w:cs="仿宋"/>
          <w:color w:val="auto"/>
          <w:sz w:val="24"/>
          <w:szCs w:val="24"/>
          <w:highlight w:val="none"/>
          <w:lang w:val="zh-CN"/>
        </w:rPr>
        <w:t>供应商名称（</w:t>
      </w:r>
      <w:r>
        <w:rPr>
          <w:rFonts w:hint="eastAsia" w:ascii="仿宋" w:hAnsi="仿宋" w:eastAsia="仿宋" w:cs="仿宋"/>
          <w:color w:val="auto"/>
          <w:sz w:val="24"/>
          <w:szCs w:val="24"/>
          <w:highlight w:val="none"/>
        </w:rPr>
        <w:t>电子签名</w:t>
      </w:r>
      <w:r>
        <w:rPr>
          <w:rFonts w:hint="eastAsia" w:ascii="仿宋" w:hAnsi="仿宋" w:eastAsia="仿宋" w:cs="仿宋"/>
          <w:color w:val="auto"/>
          <w:sz w:val="24"/>
          <w:szCs w:val="24"/>
          <w:highlight w:val="none"/>
          <w:lang w:val="zh-CN"/>
        </w:rPr>
        <w:t>）：</w:t>
      </w:r>
      <w:r>
        <w:rPr>
          <w:rFonts w:hint="eastAsia" w:ascii="仿宋" w:hAnsi="仿宋" w:eastAsia="仿宋" w:cs="仿宋"/>
          <w:color w:val="auto"/>
          <w:szCs w:val="21"/>
          <w:highlight w:val="none"/>
          <w:lang w:val="zh-CN"/>
        </w:rPr>
        <w:t xml:space="preserve">                                                                                                                                                                                                               </w:t>
      </w:r>
    </w:p>
    <w:p>
      <w:pPr>
        <w:spacing w:line="360" w:lineRule="auto"/>
        <w:ind w:left="4620" w:leftChars="220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日期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 xml:space="preserve">   年   月   日</w:t>
      </w:r>
    </w:p>
    <w:p>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widowControl/>
        <w:spacing w:line="360" w:lineRule="auto"/>
        <w:jc w:val="center"/>
        <w:rPr>
          <w:rFonts w:hint="eastAsia" w:ascii="仿宋" w:hAnsi="仿宋" w:eastAsia="仿宋" w:cs="仿宋"/>
          <w:color w:val="auto"/>
          <w:highlight w:val="none"/>
        </w:rPr>
      </w:pPr>
      <w:r>
        <w:rPr>
          <w:rFonts w:hint="eastAsia" w:ascii="仿宋" w:hAnsi="仿宋" w:eastAsia="仿宋" w:cs="仿宋"/>
          <w:b/>
          <w:color w:val="auto"/>
          <w:sz w:val="32"/>
          <w:highlight w:val="none"/>
        </w:rPr>
        <w:t>八、评标标准相应的商务技术资料</w:t>
      </w:r>
    </w:p>
    <w:p>
      <w:pPr>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（按磋商文件第四部分评标办法前附表中“响应文件中评标标准相应的商务技术资料目录”提供资料）</w:t>
      </w:r>
    </w:p>
    <w:p>
      <w:pPr>
        <w:jc w:val="left"/>
        <w:rPr>
          <w:rFonts w:hint="eastAsia" w:ascii="仿宋" w:hAnsi="仿宋" w:eastAsia="仿宋" w:cs="仿宋"/>
          <w:b/>
          <w:color w:val="auto"/>
          <w:sz w:val="24"/>
          <w:szCs w:val="24"/>
          <w:highlight w:val="none"/>
        </w:rPr>
      </w:pPr>
    </w:p>
    <w:p>
      <w:pPr>
        <w:jc w:val="left"/>
        <w:rPr>
          <w:rFonts w:hint="eastAsia" w:ascii="仿宋" w:hAnsi="仿宋" w:eastAsia="仿宋" w:cs="仿宋"/>
          <w:b/>
          <w:color w:val="auto"/>
          <w:sz w:val="24"/>
          <w:szCs w:val="24"/>
          <w:highlight w:val="none"/>
        </w:rPr>
      </w:pPr>
    </w:p>
    <w:p>
      <w:pPr>
        <w:jc w:val="left"/>
        <w:rPr>
          <w:rFonts w:hint="eastAsia" w:ascii="仿宋" w:hAnsi="仿宋" w:eastAsia="仿宋" w:cs="仿宋"/>
          <w:b/>
          <w:color w:val="auto"/>
          <w:sz w:val="24"/>
          <w:szCs w:val="24"/>
          <w:highlight w:val="none"/>
        </w:rPr>
      </w:pPr>
    </w:p>
    <w:p>
      <w:pPr>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参考格式1：</w:t>
      </w:r>
    </w:p>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供应商简况表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tc>
        <w:tc>
          <w:tcPr>
            <w:tcW w:w="5143"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center"/>
              <w:rPr>
                <w:rFonts w:hint="eastAsia" w:ascii="仿宋" w:hAnsi="仿宋" w:eastAsia="仿宋" w:cs="仿宋"/>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15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资质等级</w:t>
            </w:r>
          </w:p>
        </w:tc>
        <w:tc>
          <w:tcPr>
            <w:tcW w:w="160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center"/>
              <w:rPr>
                <w:rFonts w:hint="eastAsia" w:ascii="仿宋" w:hAnsi="仿宋" w:eastAsia="仿宋" w:cs="仿宋"/>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经营方式</w:t>
            </w:r>
          </w:p>
        </w:tc>
        <w:tc>
          <w:tcPr>
            <w:tcW w:w="2409"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□有限责任公司</w:t>
            </w:r>
          </w:p>
          <w:p>
            <w:pPr>
              <w:autoSpaceDE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□个人独立经营方式</w:t>
            </w:r>
          </w:p>
          <w:p>
            <w:pPr>
              <w:autoSpaceDE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□合伙经营方式</w:t>
            </w:r>
          </w:p>
          <w:p>
            <w:pPr>
              <w:autoSpaceDE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141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w:t>
            </w:r>
          </w:p>
        </w:tc>
        <w:tc>
          <w:tcPr>
            <w:tcW w:w="15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□事业单位</w:t>
            </w:r>
          </w:p>
          <w:p>
            <w:pPr>
              <w:autoSpaceDE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□国企</w:t>
            </w:r>
          </w:p>
          <w:p>
            <w:pPr>
              <w:autoSpaceDE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□民营</w:t>
            </w:r>
          </w:p>
          <w:p>
            <w:pPr>
              <w:autoSpaceDE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□个体经营者</w:t>
            </w:r>
          </w:p>
          <w:p>
            <w:pPr>
              <w:autoSpaceDE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□自然人</w:t>
            </w:r>
          </w:p>
          <w:p>
            <w:pPr>
              <w:autoSpaceDE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160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center"/>
              <w:rPr>
                <w:rFonts w:hint="eastAsia" w:ascii="仿宋" w:hAnsi="仿宋" w:eastAsia="仿宋" w:cs="仿宋"/>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5342"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8076"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rPr>
                <w:rFonts w:hint="eastAsia" w:ascii="仿宋" w:hAnsi="仿宋" w:eastAsia="仿宋" w:cs="仿宋"/>
                <w:color w:val="auto"/>
                <w:sz w:val="24"/>
                <w:szCs w:val="24"/>
                <w:highlight w:val="none"/>
              </w:rPr>
            </w:pPr>
          </w:p>
          <w:p>
            <w:pPr>
              <w:autoSpaceDE w:val="0"/>
              <w:snapToGrid w:val="0"/>
              <w:spacing w:line="360" w:lineRule="auto"/>
              <w:rPr>
                <w:rFonts w:hint="eastAsia" w:ascii="仿宋" w:hAnsi="仿宋" w:eastAsia="仿宋" w:cs="仿宋"/>
                <w:color w:val="auto"/>
                <w:sz w:val="24"/>
                <w:szCs w:val="24"/>
                <w:highlight w:val="none"/>
              </w:rPr>
            </w:pPr>
          </w:p>
          <w:p>
            <w:pPr>
              <w:autoSpaceDE w:val="0"/>
              <w:snapToGrid w:val="0"/>
              <w:spacing w:line="360" w:lineRule="auto"/>
              <w:rPr>
                <w:rFonts w:hint="eastAsia" w:ascii="仿宋" w:hAnsi="仿宋" w:eastAsia="仿宋" w:cs="仿宋"/>
                <w:color w:val="auto"/>
                <w:sz w:val="24"/>
                <w:szCs w:val="24"/>
                <w:highlight w:val="none"/>
              </w:rPr>
            </w:pPr>
          </w:p>
          <w:p>
            <w:pPr>
              <w:autoSpaceDE w:val="0"/>
              <w:snapToGrid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p>
            <w:pPr>
              <w:autoSpaceDE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职工</w:t>
            </w:r>
          </w:p>
        </w:tc>
        <w:tc>
          <w:tcPr>
            <w:tcW w:w="434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人数</w:t>
            </w:r>
          </w:p>
        </w:tc>
        <w:tc>
          <w:tcPr>
            <w:tcW w:w="372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具有执业资格的管理人员人数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434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center"/>
              <w:rPr>
                <w:rFonts w:hint="eastAsia" w:ascii="仿宋" w:hAnsi="仿宋" w:eastAsia="仿宋" w:cs="仿宋"/>
                <w:color w:val="auto"/>
                <w:sz w:val="24"/>
                <w:szCs w:val="24"/>
                <w:highlight w:val="none"/>
              </w:rPr>
            </w:pPr>
          </w:p>
        </w:tc>
        <w:tc>
          <w:tcPr>
            <w:tcW w:w="372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企业规模</w:t>
            </w:r>
          </w:p>
        </w:tc>
        <w:tc>
          <w:tcPr>
            <w:tcW w:w="434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【客房】数量：  间；其中</w:t>
            </w:r>
          </w:p>
          <w:p>
            <w:pPr>
              <w:autoSpaceDE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双人标准间：    间；</w:t>
            </w:r>
          </w:p>
          <w:p>
            <w:pPr>
              <w:autoSpaceDE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单人标准间：    间；</w:t>
            </w:r>
          </w:p>
          <w:p>
            <w:pPr>
              <w:autoSpaceDE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其他房间：      间；</w:t>
            </w:r>
          </w:p>
        </w:tc>
        <w:tc>
          <w:tcPr>
            <w:tcW w:w="372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【会议室】数量：   间；其中</w:t>
            </w:r>
          </w:p>
          <w:p>
            <w:pPr>
              <w:autoSpaceDE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规模（800人以上）</w:t>
            </w:r>
          </w:p>
          <w:p>
            <w:pPr>
              <w:autoSpaceDE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规模（300人以上）：  间；</w:t>
            </w:r>
          </w:p>
          <w:p>
            <w:pPr>
              <w:autoSpaceDE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规模（40人以上）：   间；</w:t>
            </w:r>
          </w:p>
          <w:p>
            <w:pPr>
              <w:autoSpaceDE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规模（30人以上）：   间；</w:t>
            </w:r>
          </w:p>
          <w:p>
            <w:pPr>
              <w:autoSpaceDE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434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【餐厅】：   处；其中</w:t>
            </w:r>
          </w:p>
          <w:p>
            <w:pPr>
              <w:autoSpaceDE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自助餐厅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平方；餐桌数量：   张；</w:t>
            </w:r>
          </w:p>
          <w:p>
            <w:pPr>
              <w:autoSpaceDE w:val="0"/>
              <w:snapToGrid w:val="0"/>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可接待就餐人数规模：   人；</w:t>
            </w:r>
          </w:p>
        </w:tc>
        <w:tc>
          <w:tcPr>
            <w:tcW w:w="372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【停车场】情况：其中</w:t>
            </w:r>
          </w:p>
          <w:p>
            <w:pPr>
              <w:autoSpaceDE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大巴车车位   个；</w:t>
            </w:r>
          </w:p>
          <w:p>
            <w:pPr>
              <w:autoSpaceDE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私家车车位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获奖情况</w:t>
            </w:r>
          </w:p>
          <w:p>
            <w:pPr>
              <w:autoSpaceDE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(荣誉)</w:t>
            </w:r>
          </w:p>
        </w:tc>
        <w:tc>
          <w:tcPr>
            <w:tcW w:w="8076"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23" w:hRule="atLeast"/>
          <w:jc w:val="center"/>
        </w:trPr>
        <w:tc>
          <w:tcPr>
            <w:tcW w:w="119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w:t>
            </w:r>
          </w:p>
          <w:p>
            <w:pPr>
              <w:autoSpaceDE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位</w:t>
            </w:r>
          </w:p>
          <w:p>
            <w:pPr>
              <w:autoSpaceDE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w:t>
            </w:r>
          </w:p>
          <w:p>
            <w:pPr>
              <w:autoSpaceDE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历</w:t>
            </w:r>
          </w:p>
        </w:tc>
        <w:tc>
          <w:tcPr>
            <w:tcW w:w="8076"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autoSpaceDE w:val="0"/>
              <w:snapToGrid w:val="0"/>
              <w:spacing w:line="360" w:lineRule="auto"/>
              <w:jc w:val="center"/>
              <w:rPr>
                <w:rFonts w:hint="eastAsia" w:ascii="仿宋" w:hAnsi="仿宋" w:eastAsia="仿宋" w:cs="仿宋"/>
                <w:color w:val="auto"/>
                <w:sz w:val="24"/>
                <w:szCs w:val="24"/>
                <w:highlight w:val="none"/>
              </w:rPr>
            </w:pPr>
          </w:p>
        </w:tc>
      </w:tr>
    </w:tbl>
    <w:p>
      <w:pPr>
        <w:autoSpaceDE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附企业、人员的相关证书复印件。如有其它补充材料，格式自拟。（文本中已提供的资料无需重复提供）</w:t>
      </w:r>
    </w:p>
    <w:p>
      <w:pPr>
        <w:snapToGrid w:val="0"/>
        <w:spacing w:line="360" w:lineRule="auto"/>
        <w:ind w:firstLine="57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供应商名称(电子签名)：                </w:t>
      </w:r>
    </w:p>
    <w:p>
      <w:pPr>
        <w:snapToGrid w:val="0"/>
        <w:spacing w:line="360" w:lineRule="auto"/>
        <w:ind w:firstLine="576"/>
        <w:jc w:val="center"/>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 xml:space="preserve">                   日期：  年  月  日</w:t>
      </w:r>
    </w:p>
    <w:p>
      <w:pPr>
        <w:jc w:val="left"/>
        <w:rPr>
          <w:rFonts w:hint="eastAsia" w:ascii="仿宋" w:hAnsi="仿宋" w:eastAsia="仿宋" w:cs="仿宋"/>
          <w:b/>
          <w:color w:val="auto"/>
          <w:sz w:val="32"/>
          <w:highlight w:val="none"/>
        </w:rPr>
      </w:pPr>
      <w:r>
        <w:rPr>
          <w:rFonts w:hint="eastAsia" w:ascii="仿宋" w:hAnsi="仿宋" w:eastAsia="仿宋" w:cs="仿宋"/>
          <w:b/>
          <w:color w:val="auto"/>
          <w:sz w:val="28"/>
          <w:szCs w:val="28"/>
          <w:highlight w:val="none"/>
        </w:rPr>
        <w:t>参考格式2</w:t>
      </w:r>
    </w:p>
    <w:p>
      <w:pPr>
        <w:rPr>
          <w:rFonts w:hint="eastAsia" w:ascii="仿宋" w:hAnsi="仿宋" w:eastAsia="仿宋" w:cs="仿宋"/>
          <w:color w:val="auto"/>
          <w:highlight w:val="none"/>
        </w:rPr>
      </w:pPr>
    </w:p>
    <w:p>
      <w:pPr>
        <w:autoSpaceDE w:val="0"/>
        <w:spacing w:line="360" w:lineRule="auto"/>
        <w:ind w:firstLine="120"/>
        <w:jc w:val="center"/>
        <w:rPr>
          <w:rFonts w:hint="eastAsia" w:ascii="仿宋" w:hAnsi="仿宋" w:eastAsia="仿宋" w:cs="仿宋"/>
          <w:color w:val="auto"/>
          <w:highlight w:val="none"/>
        </w:rPr>
      </w:pPr>
      <w:r>
        <w:rPr>
          <w:rFonts w:hint="eastAsia" w:ascii="仿宋" w:hAnsi="仿宋" w:eastAsia="仿宋" w:cs="仿宋"/>
          <w:b/>
          <w:color w:val="auto"/>
          <w:sz w:val="30"/>
          <w:highlight w:val="none"/>
        </w:rPr>
        <w:t>主要业绩证明</w:t>
      </w:r>
    </w:p>
    <w:p>
      <w:pPr>
        <w:autoSpaceDE w:val="0"/>
        <w:spacing w:line="360" w:lineRule="auto"/>
        <w:ind w:firstLine="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 :相关项目业绩一览表</w:t>
      </w:r>
    </w:p>
    <w:tbl>
      <w:tblPr>
        <w:tblStyle w:val="62"/>
        <w:tblW w:w="0" w:type="auto"/>
        <w:tblInd w:w="-7" w:type="dxa"/>
        <w:tblLayout w:type="fixed"/>
        <w:tblCellMar>
          <w:top w:w="0" w:type="dxa"/>
          <w:left w:w="108" w:type="dxa"/>
          <w:bottom w:w="0" w:type="dxa"/>
          <w:right w:w="108" w:type="dxa"/>
        </w:tblCellMar>
      </w:tblPr>
      <w:tblGrid>
        <w:gridCol w:w="1828"/>
        <w:gridCol w:w="839"/>
        <w:gridCol w:w="1507"/>
        <w:gridCol w:w="1163"/>
        <w:gridCol w:w="1174"/>
        <w:gridCol w:w="1540"/>
        <w:gridCol w:w="1250"/>
      </w:tblGrid>
      <w:tr>
        <w:tblPrEx>
          <w:tblCellMar>
            <w:top w:w="0" w:type="dxa"/>
            <w:left w:w="108" w:type="dxa"/>
            <w:bottom w:w="0" w:type="dxa"/>
            <w:right w:w="108" w:type="dxa"/>
          </w:tblCellMar>
        </w:tblPrEx>
        <w:trPr>
          <w:trHeight w:val="1177" w:hRule="atLeast"/>
        </w:trPr>
        <w:tc>
          <w:tcPr>
            <w:tcW w:w="182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83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p>
            <w:pPr>
              <w:autoSpaceDE w:val="0"/>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类型</w:t>
            </w:r>
          </w:p>
        </w:tc>
        <w:tc>
          <w:tcPr>
            <w:tcW w:w="1507"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简要描述</w:t>
            </w:r>
          </w:p>
        </w:tc>
        <w:tc>
          <w:tcPr>
            <w:tcW w:w="116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p>
            <w:pPr>
              <w:autoSpaceDE w:val="0"/>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投资</w:t>
            </w:r>
          </w:p>
          <w:p>
            <w:pPr>
              <w:autoSpaceDE w:val="0"/>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17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合同签订日期</w:t>
            </w:r>
          </w:p>
        </w:tc>
        <w:tc>
          <w:tcPr>
            <w:tcW w:w="154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项目地址与采购人联系电话</w:t>
            </w:r>
          </w:p>
        </w:tc>
        <w:tc>
          <w:tcPr>
            <w:tcW w:w="125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所在页码</w:t>
            </w:r>
          </w:p>
        </w:tc>
      </w:tr>
      <w:tr>
        <w:tblPrEx>
          <w:tblCellMar>
            <w:top w:w="0" w:type="dxa"/>
            <w:left w:w="108" w:type="dxa"/>
            <w:bottom w:w="0" w:type="dxa"/>
            <w:right w:w="108" w:type="dxa"/>
          </w:tblCellMar>
        </w:tblPrEx>
        <w:trPr>
          <w:trHeight w:val="894" w:hRule="atLeast"/>
        </w:trPr>
        <w:tc>
          <w:tcPr>
            <w:tcW w:w="182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c>
          <w:tcPr>
            <w:tcW w:w="83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c>
          <w:tcPr>
            <w:tcW w:w="1507"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c>
          <w:tcPr>
            <w:tcW w:w="117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c>
          <w:tcPr>
            <w:tcW w:w="154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c>
          <w:tcPr>
            <w:tcW w:w="125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920" w:hRule="atLeast"/>
        </w:trPr>
        <w:tc>
          <w:tcPr>
            <w:tcW w:w="182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c>
          <w:tcPr>
            <w:tcW w:w="83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c>
          <w:tcPr>
            <w:tcW w:w="1507"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c>
          <w:tcPr>
            <w:tcW w:w="117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c>
          <w:tcPr>
            <w:tcW w:w="154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c>
          <w:tcPr>
            <w:tcW w:w="125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920" w:hRule="atLeast"/>
        </w:trPr>
        <w:tc>
          <w:tcPr>
            <w:tcW w:w="182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c>
          <w:tcPr>
            <w:tcW w:w="83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c>
          <w:tcPr>
            <w:tcW w:w="1507"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c>
          <w:tcPr>
            <w:tcW w:w="117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c>
          <w:tcPr>
            <w:tcW w:w="154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c>
          <w:tcPr>
            <w:tcW w:w="125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autoSpaceDE w:val="0"/>
              <w:snapToGrid w:val="0"/>
              <w:spacing w:line="360" w:lineRule="auto"/>
              <w:rPr>
                <w:rFonts w:hint="eastAsia" w:ascii="仿宋" w:hAnsi="仿宋" w:eastAsia="仿宋" w:cs="仿宋"/>
                <w:color w:val="auto"/>
                <w:sz w:val="24"/>
                <w:szCs w:val="24"/>
                <w:highlight w:val="none"/>
              </w:rPr>
            </w:pPr>
          </w:p>
        </w:tc>
      </w:tr>
    </w:tbl>
    <w:p>
      <w:pPr>
        <w:autoSpaceDE w:val="0"/>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Cs w:val="21"/>
          <w:highlight w:val="none"/>
        </w:rPr>
        <w:t xml:space="preserve"> </w:t>
      </w:r>
      <w:r>
        <w:rPr>
          <w:rFonts w:hint="eastAsia" w:ascii="仿宋" w:hAnsi="仿宋" w:eastAsia="仿宋" w:cs="仿宋"/>
          <w:b/>
          <w:color w:val="auto"/>
          <w:sz w:val="24"/>
          <w:szCs w:val="24"/>
          <w:highlight w:val="none"/>
        </w:rPr>
        <w:t xml:space="preserve"> 注：供应商可按上述的格式自行编制，须随表提交相应的合同复印件并注明所在投标商务技术文件页码。</w:t>
      </w:r>
    </w:p>
    <w:p>
      <w:pPr>
        <w:snapToGrid w:val="0"/>
        <w:spacing w:line="360" w:lineRule="auto"/>
        <w:ind w:firstLine="57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供应商名称(电子签名)：                </w:t>
      </w:r>
    </w:p>
    <w:p>
      <w:pPr>
        <w:snapToGrid w:val="0"/>
        <w:spacing w:line="360" w:lineRule="auto"/>
        <w:ind w:firstLine="576"/>
        <w:jc w:val="center"/>
        <w:rPr>
          <w:rFonts w:hint="eastAsia" w:ascii="仿宋" w:hAnsi="仿宋" w:eastAsia="仿宋" w:cs="仿宋"/>
          <w:b/>
          <w:color w:val="auto"/>
          <w:sz w:val="32"/>
          <w:highlight w:val="none"/>
        </w:rPr>
      </w:pPr>
      <w:r>
        <w:rPr>
          <w:rFonts w:hint="eastAsia" w:ascii="仿宋" w:hAnsi="仿宋" w:eastAsia="仿宋" w:cs="仿宋"/>
          <w:color w:val="auto"/>
          <w:sz w:val="24"/>
          <w:szCs w:val="24"/>
          <w:highlight w:val="none"/>
        </w:rPr>
        <w:t xml:space="preserve">                   日期：  年  月  日</w:t>
      </w:r>
      <w:r>
        <w:rPr>
          <w:rFonts w:hint="eastAsia" w:ascii="仿宋" w:hAnsi="仿宋" w:eastAsia="仿宋" w:cs="仿宋"/>
          <w:color w:val="auto"/>
          <w:highlight w:val="none"/>
        </w:rPr>
        <w:br w:type="page"/>
      </w:r>
    </w:p>
    <w:p>
      <w:pPr>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九、商务技术偏离说明表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5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6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磋商文件章节及具体内容</w:t>
            </w:r>
          </w:p>
        </w:tc>
        <w:tc>
          <w:tcPr>
            <w:tcW w:w="35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响应文件章节及具体内容</w:t>
            </w:r>
          </w:p>
        </w:tc>
        <w:tc>
          <w:tcPr>
            <w:tcW w:w="12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5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6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color w:val="auto"/>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5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color w:val="auto"/>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5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6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color w:val="auto"/>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color w:val="auto"/>
                <w:sz w:val="24"/>
                <w:szCs w:val="24"/>
                <w:highlight w:val="none"/>
              </w:rPr>
            </w:pPr>
          </w:p>
        </w:tc>
      </w:tr>
    </w:tbl>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供应商保证：除商务技术偏离表列出的偏离外，供应商响应磋商文件的全部要求</w:t>
      </w:r>
    </w:p>
    <w:p>
      <w:pPr>
        <w:widowControl/>
        <w:jc w:val="left"/>
        <w:rPr>
          <w:rFonts w:hint="eastAsia" w:ascii="仿宋" w:hAnsi="仿宋" w:eastAsia="仿宋" w:cs="仿宋"/>
          <w:b/>
          <w:color w:val="auto"/>
          <w:sz w:val="32"/>
          <w:highlight w:val="none"/>
        </w:rPr>
      </w:pPr>
      <w:r>
        <w:rPr>
          <w:rFonts w:hint="eastAsia" w:ascii="仿宋" w:hAnsi="仿宋" w:eastAsia="仿宋" w:cs="仿宋"/>
          <w:color w:val="auto"/>
          <w:highlight w:val="none"/>
        </w:rPr>
        <w:br w:type="page"/>
      </w:r>
    </w:p>
    <w:p>
      <w:pPr>
        <w:rPr>
          <w:rFonts w:hint="eastAsia" w:ascii="仿宋" w:hAnsi="仿宋" w:eastAsia="仿宋" w:cs="仿宋"/>
          <w:color w:val="auto"/>
          <w:highlight w:val="none"/>
        </w:rPr>
      </w:pPr>
    </w:p>
    <w:p>
      <w:pPr>
        <w:spacing w:line="360" w:lineRule="auto"/>
        <w:jc w:val="center"/>
        <w:outlineLvl w:val="1"/>
        <w:rPr>
          <w:rFonts w:hint="eastAsia" w:ascii="仿宋" w:hAnsi="仿宋" w:eastAsia="仿宋" w:cs="仿宋"/>
          <w:b/>
          <w:color w:val="auto"/>
          <w:sz w:val="36"/>
          <w:highlight w:val="none"/>
        </w:rPr>
      </w:pPr>
      <w:r>
        <w:rPr>
          <w:rFonts w:hint="eastAsia" w:ascii="仿宋" w:hAnsi="仿宋" w:eastAsia="仿宋" w:cs="仿宋"/>
          <w:b/>
          <w:color w:val="auto"/>
          <w:sz w:val="36"/>
          <w:highlight w:val="none"/>
        </w:rPr>
        <w:t>报价文件部分</w:t>
      </w:r>
    </w:p>
    <w:p>
      <w:pPr>
        <w:spacing w:line="360" w:lineRule="auto"/>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目录</w:t>
      </w:r>
    </w:p>
    <w:p>
      <w:pPr>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highlight w:val="none"/>
        </w:rPr>
        <w:sectPr>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highlight w:val="none"/>
        </w:rPr>
      </w:pPr>
      <w:r>
        <w:rPr>
          <w:rFonts w:hint="eastAsia" w:ascii="仿宋" w:hAnsi="仿宋" w:eastAsia="仿宋" w:cs="仿宋"/>
          <w:color w:val="auto"/>
          <w:kern w:val="2"/>
          <w:sz w:val="32"/>
          <w:highlight w:val="none"/>
        </w:rPr>
        <w:t>一、开标一览表（报价表）</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杭州市规划和自然资源局西湖分局、中纬工程管理咨询有限公司：</w:t>
      </w:r>
    </w:p>
    <w:p>
      <w:pPr>
        <w:snapToGrid w:val="0"/>
        <w:spacing w:line="360" w:lineRule="auto"/>
        <w:ind w:firstLine="482"/>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按你方磋商文件要求，我们</w:t>
      </w:r>
      <w:r>
        <w:rPr>
          <w:rFonts w:hint="eastAsia" w:ascii="仿宋" w:hAnsi="仿宋" w:eastAsia="仿宋" w:cs="仿宋"/>
          <w:color w:val="auto"/>
          <w:sz w:val="24"/>
          <w:szCs w:val="24"/>
          <w:highlight w:val="none"/>
          <w:u w:val="single"/>
          <w:lang w:val="zh-CN"/>
        </w:rPr>
        <w:t>本响应文件签字方</w:t>
      </w:r>
      <w:r>
        <w:rPr>
          <w:rFonts w:hint="eastAsia" w:ascii="仿宋" w:hAnsi="仿宋" w:eastAsia="仿宋" w:cs="仿宋"/>
          <w:color w:val="auto"/>
          <w:sz w:val="24"/>
          <w:szCs w:val="24"/>
          <w:highlight w:val="none"/>
          <w:lang w:val="zh-CN"/>
        </w:rPr>
        <w:t>，谨此向你方发出要约如下：如你方接受本响应，我方承诺按照如下初始报价一览表的价格完成</w:t>
      </w:r>
      <w:r>
        <w:rPr>
          <w:rFonts w:hint="eastAsia" w:ascii="仿宋" w:hAnsi="仿宋" w:eastAsia="仿宋" w:cs="仿宋"/>
          <w:color w:val="auto"/>
          <w:sz w:val="24"/>
          <w:szCs w:val="24"/>
          <w:highlight w:val="none"/>
          <w:lang w:eastAsia="zh-CN"/>
        </w:rPr>
        <w:t>西湖区2022年城市国土空间监测项目</w:t>
      </w:r>
      <w:r>
        <w:rPr>
          <w:rFonts w:hint="eastAsia" w:ascii="仿宋" w:hAnsi="仿宋" w:eastAsia="仿宋" w:cs="仿宋"/>
          <w:color w:val="auto"/>
          <w:sz w:val="24"/>
          <w:szCs w:val="24"/>
          <w:highlight w:val="none"/>
          <w:lang w:val="zh-CN"/>
        </w:rPr>
        <w:t>【编号：</w:t>
      </w:r>
      <w:r>
        <w:rPr>
          <w:rFonts w:hint="eastAsia" w:ascii="仿宋" w:hAnsi="仿宋" w:eastAsia="仿宋" w:cs="仿宋"/>
          <w:color w:val="auto"/>
          <w:sz w:val="24"/>
          <w:szCs w:val="24"/>
          <w:highlight w:val="none"/>
          <w:lang w:eastAsia="zh-CN"/>
        </w:rPr>
        <w:t>ZW-2022XHGZJ02</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 标项号</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，标项名称：</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rPr>
        <w:t>】的实施</w:t>
      </w:r>
      <w:r>
        <w:rPr>
          <w:rFonts w:hint="eastAsia" w:ascii="仿宋" w:hAnsi="仿宋" w:eastAsia="仿宋" w:cs="仿宋"/>
          <w:color w:val="auto"/>
          <w:sz w:val="24"/>
          <w:szCs w:val="24"/>
          <w:highlight w:val="none"/>
          <w:lang w:val="zh-CN"/>
        </w:rPr>
        <w:t>。</w:t>
      </w:r>
    </w:p>
    <w:p>
      <w:pPr>
        <w:spacing w:line="360" w:lineRule="auto"/>
        <w:jc w:val="center"/>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初始报价一览表(单位均为人民币元)</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96"/>
        <w:gridCol w:w="402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top"/>
          </w:tcPr>
          <w:p>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196" w:type="dxa"/>
            <w:noWrap w:val="0"/>
            <w:vAlign w:val="top"/>
          </w:tcPr>
          <w:p>
            <w:pPr>
              <w:snapToGrid w:val="0"/>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4026" w:type="dxa"/>
            <w:noWrap w:val="0"/>
            <w:vAlign w:val="top"/>
          </w:tcPr>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w:t>
            </w:r>
          </w:p>
        </w:tc>
        <w:tc>
          <w:tcPr>
            <w:tcW w:w="2336" w:type="dxa"/>
            <w:noWrap w:val="0"/>
            <w:vAlign w:val="top"/>
          </w:tcPr>
          <w:p>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snapToGrid w:val="0"/>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2196" w:type="dxa"/>
            <w:noWrap w:val="0"/>
            <w:vAlign w:val="top"/>
          </w:tcPr>
          <w:p>
            <w:pPr>
              <w:snapToGrid w:val="0"/>
              <w:spacing w:line="360" w:lineRule="auto"/>
              <w:rPr>
                <w:rFonts w:hint="eastAsia" w:ascii="仿宋" w:hAnsi="仿宋" w:eastAsia="仿宋" w:cs="仿宋"/>
                <w:b/>
                <w:color w:val="auto"/>
                <w:sz w:val="24"/>
                <w:szCs w:val="24"/>
                <w:highlight w:val="none"/>
                <w:lang w:val="zh-CN"/>
              </w:rPr>
            </w:pPr>
          </w:p>
        </w:tc>
        <w:tc>
          <w:tcPr>
            <w:tcW w:w="4026" w:type="dxa"/>
            <w:noWrap w:val="0"/>
            <w:vAlign w:val="top"/>
          </w:tcPr>
          <w:p>
            <w:pPr>
              <w:widowControl/>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lang w:bidi="ar"/>
              </w:rPr>
              <w:t>投标报价（大写）</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w:t>
            </w:r>
          </w:p>
          <w:p>
            <w:pPr>
              <w:widowControl/>
              <w:spacing w:line="360" w:lineRule="auto"/>
              <w:jc w:val="left"/>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lang w:bidi="ar"/>
              </w:rPr>
              <w:t>投标报价（小写）</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w:t>
            </w:r>
          </w:p>
        </w:tc>
        <w:tc>
          <w:tcPr>
            <w:tcW w:w="2336" w:type="dxa"/>
            <w:noWrap w:val="0"/>
            <w:vAlign w:val="top"/>
          </w:tcPr>
          <w:p>
            <w:pPr>
              <w:snapToGrid w:val="0"/>
              <w:spacing w:line="360" w:lineRule="auto"/>
              <w:rPr>
                <w:rFonts w:hint="eastAsia" w:ascii="仿宋" w:hAnsi="仿宋" w:eastAsia="仿宋" w:cs="仿宋"/>
                <w:b/>
                <w:color w:val="auto"/>
                <w:sz w:val="24"/>
                <w:szCs w:val="24"/>
                <w:highlight w:val="none"/>
                <w:lang w:val="zh-CN"/>
              </w:rPr>
            </w:pPr>
          </w:p>
        </w:tc>
      </w:tr>
    </w:tbl>
    <w:p>
      <w:pPr>
        <w:snapToGrid w:val="0"/>
        <w:spacing w:line="360" w:lineRule="auto"/>
        <w:ind w:left="480"/>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注：</w:t>
      </w:r>
    </w:p>
    <w:p>
      <w:pPr>
        <w:snapToGrid w:val="0"/>
        <w:spacing w:line="360" w:lineRule="auto"/>
        <w:ind w:left="-2" w:leftChars="-1"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1、供应商需按本表格式填写，不得自行更改。</w:t>
      </w:r>
    </w:p>
    <w:p>
      <w:pPr>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2、有关本项目实施所涉及的一切费用均计入报价。</w:t>
      </w:r>
      <w:r>
        <w:rPr>
          <w:rFonts w:hint="eastAsia" w:ascii="仿宋" w:hAnsi="仿宋" w:eastAsia="仿宋" w:cs="仿宋"/>
          <w:b/>
          <w:color w:val="auto"/>
          <w:sz w:val="24"/>
          <w:szCs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sz w:val="24"/>
          <w:szCs w:val="24"/>
          <w:highlight w:val="none"/>
          <w:lang w:val="zh-CN"/>
        </w:rPr>
        <w:t>，</w:t>
      </w:r>
      <w:r>
        <w:rPr>
          <w:rFonts w:hint="eastAsia" w:ascii="仿宋" w:hAnsi="仿宋" w:eastAsia="仿宋" w:cs="仿宋"/>
          <w:b/>
          <w:color w:val="auto"/>
          <w:sz w:val="24"/>
          <w:szCs w:val="24"/>
          <w:highlight w:val="none"/>
          <w:lang w:val="zh-CN"/>
        </w:rPr>
        <w:t>不得出现“0元”“免费赠送”等形式的无偿报价，</w:t>
      </w:r>
      <w:r>
        <w:rPr>
          <w:rFonts w:hint="eastAsia" w:ascii="仿宋" w:hAnsi="仿宋" w:eastAsia="仿宋" w:cs="仿宋"/>
          <w:b/>
          <w:color w:val="auto"/>
          <w:sz w:val="24"/>
          <w:szCs w:val="24"/>
          <w:highlight w:val="none"/>
        </w:rPr>
        <w:t>否则视为响应文件含有采购人不能接受的附加条件的，响应无效</w:t>
      </w:r>
      <w:r>
        <w:rPr>
          <w:rFonts w:hint="eastAsia" w:ascii="仿宋" w:hAnsi="仿宋" w:eastAsia="仿宋" w:cs="仿宋"/>
          <w:b/>
          <w:color w:val="auto"/>
          <w:sz w:val="24"/>
          <w:szCs w:val="24"/>
          <w:highlight w:val="none"/>
          <w:lang w:val="zh-CN"/>
        </w:rPr>
        <w:t>。</w:t>
      </w:r>
    </w:p>
    <w:p>
      <w:pPr>
        <w:snapToGrid w:val="0"/>
        <w:spacing w:line="360" w:lineRule="auto"/>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、特别提示：采购代理机构将对项目名称和项目编号，成交供应商名称、地址和中标金额，主要中标标的的名称、规格型号、数量、单价、服务要求等予以公示。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61"/>
        <w:ind w:left="420" w:firstLine="480"/>
        <w:rPr>
          <w:rFonts w:hint="eastAsia" w:ascii="仿宋" w:hAnsi="仿宋" w:eastAsia="仿宋" w:cs="仿宋"/>
          <w:color w:val="auto"/>
          <w:sz w:val="24"/>
          <w:szCs w:val="24"/>
          <w:highlight w:val="none"/>
          <w:lang w:val="zh-CN"/>
        </w:rPr>
      </w:pPr>
    </w:p>
    <w:p>
      <w:pPr>
        <w:spacing w:line="360" w:lineRule="auto"/>
        <w:ind w:right="-874" w:rightChars="-416" w:firstLine="5280" w:firstLineChars="2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供应商名称（电子签名）：</w:t>
      </w:r>
    </w:p>
    <w:p>
      <w:pPr>
        <w:autoSpaceDE w:val="0"/>
        <w:autoSpaceDN w:val="0"/>
        <w:spacing w:line="360" w:lineRule="auto"/>
        <w:ind w:left="5040" w:hanging="5040" w:hangingChars="2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日期：    年  月   日</w:t>
      </w: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sz w:val="32"/>
          <w:highlight w:val="none"/>
        </w:rPr>
      </w:pPr>
      <w:r>
        <w:rPr>
          <w:rFonts w:hint="eastAsia" w:ascii="仿宋" w:hAnsi="仿宋" w:eastAsia="仿宋" w:cs="仿宋"/>
          <w:color w:val="auto"/>
          <w:kern w:val="2"/>
          <w:sz w:val="32"/>
          <w:highlight w:val="none"/>
        </w:rPr>
        <w:br w:type="page"/>
      </w:r>
      <w:r>
        <w:rPr>
          <w:rFonts w:hint="eastAsia" w:ascii="仿宋" w:hAnsi="仿宋" w:eastAsia="仿宋" w:cs="仿宋"/>
          <w:color w:val="auto"/>
          <w:kern w:val="2"/>
          <w:sz w:val="32"/>
          <w:highlight w:val="none"/>
        </w:rPr>
        <w:t>二、</w:t>
      </w:r>
      <w:r>
        <w:rPr>
          <w:rFonts w:hint="eastAsia" w:ascii="仿宋" w:hAnsi="仿宋" w:eastAsia="仿宋" w:cs="仿宋"/>
          <w:color w:val="auto"/>
          <w:sz w:val="32"/>
          <w:highlight w:val="none"/>
        </w:rPr>
        <w:t>中小企业声明函（若有）</w:t>
      </w:r>
    </w:p>
    <w:p>
      <w:pPr>
        <w:widowControl/>
        <w:spacing w:line="360" w:lineRule="auto"/>
        <w:ind w:firstLine="120" w:firstLineChars="5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widowControl/>
        <w:spacing w:line="360" w:lineRule="auto"/>
        <w:jc w:val="center"/>
        <w:rPr>
          <w:rFonts w:hint="eastAsia" w:ascii="仿宋" w:hAnsi="仿宋" w:eastAsia="仿宋" w:cs="仿宋"/>
          <w:b/>
          <w:color w:val="auto"/>
          <w:sz w:val="28"/>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28"/>
          <w:highlight w:val="none"/>
        </w:rPr>
        <w:t>政府采购支持中小企业信用融资相关事项通知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一、适用对象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二、相关信息获取方式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　政府采购信用融资操作流程</w:t>
      </w:r>
    </w:p>
    <w:p>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（一）线上融资模式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1.供应商根据合作银行提供的方案，自行选择金融产品，并办理开户等手续；</w:t>
      </w:r>
    </w:p>
    <w:p>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2.供应商中标后，可通过杭州市政府采购网或“浙里办”测算授信额度；</w:t>
      </w:r>
    </w:p>
    <w:p>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3.采购合同签订后，供应商在杭州市政府采购网或“浙里办”向合作银行发出融资申请；</w:t>
      </w:r>
    </w:p>
    <w:p>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4.审批通过后，在线办理放贷手续。</w:t>
      </w:r>
    </w:p>
    <w:p>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（二）线下融资模式</w:t>
      </w:r>
    </w:p>
    <w:p>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1.供应商根据合作银行提供的方案，自行选择金融产品，向合作银行提出信用资格预审，并办理开户等手续；</w:t>
      </w:r>
    </w:p>
    <w:p>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2.采购合同签订后，供应商在杭州市政府采购网或“浙里办”向合作银行发出融资申请；</w:t>
      </w:r>
    </w:p>
    <w:p>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4.审批通过后，合作银行应按照合作备忘录中约定的审批放款期限和优惠利率及时予以放款。</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（三）杭州e融平台申请融资</w:t>
      </w:r>
    </w:p>
    <w:p>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四、注意事项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pStyle w:val="26"/>
        <w:ind w:firstLine="0"/>
        <w:rPr>
          <w:rFonts w:hint="eastAsia" w:ascii="仿宋" w:hAnsi="仿宋" w:eastAsia="仿宋" w:cs="仿宋"/>
          <w:color w:val="auto"/>
          <w:highlight w:val="none"/>
        </w:rPr>
        <w:sectPr>
          <w:footerReference r:id="rId7" w:type="default"/>
          <w:pgSz w:w="11907" w:h="16840"/>
          <w:pgMar w:top="1418" w:right="1361" w:bottom="1418" w:left="1418" w:header="851" w:footer="992" w:gutter="0"/>
          <w:cols w:space="720" w:num="1"/>
          <w:docGrid w:linePitch="312" w:charSpace="0"/>
        </w:sectPr>
      </w:pPr>
    </w:p>
    <w:p>
      <w:pPr>
        <w:pageBreakBefore/>
        <w:widowControl/>
        <w:spacing w:beforeAutospacing="1" w:afterAutospacing="1"/>
        <w:ind w:left="1"/>
        <w:rPr>
          <w:rFonts w:hint="eastAsia" w:ascii="仿宋" w:hAnsi="仿宋" w:eastAsia="仿宋" w:cs="仿宋"/>
          <w:color w:val="auto"/>
          <w:highlight w:val="none"/>
        </w:rPr>
      </w:pPr>
      <w:bookmarkStart w:id="404" w:name="_Toc465665161"/>
      <w:r>
        <w:rPr>
          <w:rFonts w:hint="eastAsia" w:ascii="仿宋" w:hAnsi="仿宋" w:eastAsia="仿宋" w:cs="仿宋"/>
          <w:color w:val="auto"/>
          <w:highlight w:val="none"/>
        </w:rPr>
        <w:t>附件</w:t>
      </w:r>
      <w:bookmarkEnd w:id="404"/>
    </w:p>
    <w:p>
      <w:pPr>
        <w:spacing w:line="360" w:lineRule="auto"/>
        <w:rPr>
          <w:rFonts w:hint="eastAsia" w:ascii="仿宋" w:hAnsi="仿宋" w:eastAsia="仿宋" w:cs="仿宋"/>
          <w:b/>
          <w:color w:val="auto"/>
          <w:spacing w:val="6"/>
          <w:sz w:val="32"/>
          <w:highlight w:val="none"/>
        </w:rPr>
      </w:pPr>
      <w:r>
        <w:rPr>
          <w:rFonts w:hint="eastAsia" w:ascii="仿宋" w:hAnsi="仿宋" w:eastAsia="仿宋" w:cs="仿宋"/>
          <w:b/>
          <w:color w:val="auto"/>
          <w:spacing w:val="6"/>
          <w:sz w:val="32"/>
          <w:highlight w:val="none"/>
        </w:rPr>
        <w:t>附件1：</w:t>
      </w:r>
    </w:p>
    <w:p>
      <w:pPr>
        <w:spacing w:line="360" w:lineRule="auto"/>
        <w:jc w:val="center"/>
        <w:rPr>
          <w:rFonts w:hint="eastAsia" w:ascii="仿宋" w:hAnsi="仿宋" w:eastAsia="仿宋" w:cs="仿宋"/>
          <w:b/>
          <w:color w:val="auto"/>
          <w:spacing w:val="6"/>
          <w:sz w:val="32"/>
          <w:highlight w:val="none"/>
        </w:rPr>
      </w:pPr>
      <w:bookmarkStart w:id="405" w:name="OLE_LINK14"/>
      <w:bookmarkStart w:id="406" w:name="OLE_LINK13"/>
      <w:r>
        <w:rPr>
          <w:rFonts w:hint="eastAsia" w:ascii="仿宋" w:hAnsi="仿宋" w:eastAsia="仿宋" w:cs="仿宋"/>
          <w:b/>
          <w:color w:val="auto"/>
          <w:spacing w:val="6"/>
          <w:sz w:val="32"/>
          <w:highlight w:val="none"/>
        </w:rPr>
        <w:t>残疾人福利性单位声明函</w:t>
      </w:r>
    </w:p>
    <w:bookmarkEnd w:id="405"/>
    <w:bookmarkEnd w:id="406"/>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西湖区2022年城市国土空间监测项目</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u w:val="single"/>
          <w:lang w:eastAsia="zh-CN"/>
        </w:rPr>
        <w:t>ZW-2022XHGZJ02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tabs>
          <w:tab w:val="left" w:pos="4860"/>
        </w:tabs>
        <w:spacing w:line="360" w:lineRule="auto"/>
        <w:ind w:right="1560"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供应商名称（电子签名）：</w:t>
      </w:r>
    </w:p>
    <w:p>
      <w:pPr>
        <w:tabs>
          <w:tab w:val="left" w:pos="4860"/>
        </w:tabs>
        <w:spacing w:line="360" w:lineRule="auto"/>
        <w:ind w:right="1560"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pPr>
        <w:spacing w:line="360" w:lineRule="auto"/>
        <w:rPr>
          <w:rFonts w:hint="eastAsia" w:ascii="仿宋" w:hAnsi="仿宋" w:eastAsia="仿宋" w:cs="仿宋"/>
          <w:color w:val="auto"/>
          <w:szCs w:val="21"/>
          <w:highlight w:val="none"/>
        </w:rPr>
      </w:pPr>
    </w:p>
    <w:p>
      <w:pPr>
        <w:pStyle w:val="25"/>
        <w:rPr>
          <w:rFonts w:hint="eastAsia" w:ascii="仿宋" w:hAnsi="仿宋" w:eastAsia="仿宋" w:cs="仿宋"/>
          <w:color w:val="auto"/>
          <w:szCs w:val="21"/>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监狱企业声明函</w:t>
      </w:r>
    </w:p>
    <w:p>
      <w:pPr>
        <w:widowControl/>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本公司郑重声明，根据《关于政府采购支持监狱企业发展有关问题的通知》 （财库[2014]68 号）的规定，本公司为监狱企业。</w:t>
      </w:r>
    </w:p>
    <w:p>
      <w:pPr>
        <w:widowControl/>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根据上述标准，我公司属于监狱企业的理由为：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widowControl/>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本公司为参加（</w:t>
      </w:r>
      <w:r>
        <w:rPr>
          <w:rFonts w:hint="eastAsia" w:ascii="仿宋" w:hAnsi="仿宋" w:eastAsia="仿宋" w:cs="仿宋"/>
          <w:color w:val="auto"/>
          <w:sz w:val="24"/>
          <w:szCs w:val="24"/>
          <w:highlight w:val="none"/>
          <w:lang w:eastAsia="zh-CN"/>
        </w:rPr>
        <w:t>西湖区2022年城市国土空间监测项目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ZW-2022XHGZJ02</w:t>
      </w:r>
      <w:r>
        <w:rPr>
          <w:rFonts w:hint="eastAsia" w:ascii="仿宋" w:hAnsi="仿宋" w:eastAsia="仿宋" w:cs="仿宋"/>
          <w:color w:val="auto"/>
          <w:sz w:val="24"/>
          <w:szCs w:val="24"/>
          <w:highlight w:val="none"/>
        </w:rPr>
        <w:t>）采购活动提供本企业提供服务。</w:t>
      </w:r>
    </w:p>
    <w:p>
      <w:pPr>
        <w:widowControl/>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本公司对上述声明的真实性负责。如有虚假，将依法承担相应责任。</w:t>
      </w:r>
    </w:p>
    <w:p>
      <w:pPr>
        <w:tabs>
          <w:tab w:val="left" w:pos="4860"/>
        </w:tabs>
        <w:spacing w:line="360" w:lineRule="auto"/>
        <w:ind w:right="1560" w:firstLine="3542" w:firstLineChars="147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供应商名称（电子签名）</w:t>
      </w:r>
      <w:r>
        <w:rPr>
          <w:rFonts w:hint="eastAsia" w:ascii="仿宋" w:hAnsi="仿宋" w:eastAsia="仿宋" w:cs="仿宋"/>
          <w:color w:val="auto"/>
          <w:sz w:val="24"/>
          <w:szCs w:val="24"/>
          <w:highlight w:val="none"/>
        </w:rPr>
        <w:t>：</w:t>
      </w:r>
    </w:p>
    <w:p>
      <w:pPr>
        <w:tabs>
          <w:tab w:val="left" w:pos="4860"/>
        </w:tabs>
        <w:spacing w:line="360" w:lineRule="auto"/>
        <w:ind w:right="1560" w:firstLine="3542" w:firstLineChars="147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left"/>
        <w:rPr>
          <w:rFonts w:hint="eastAsia" w:ascii="仿宋" w:hAnsi="仿宋" w:eastAsia="仿宋" w:cs="仿宋"/>
          <w:b/>
          <w:color w:val="auto"/>
          <w:spacing w:val="6"/>
          <w:sz w:val="32"/>
          <w:highlight w:val="none"/>
        </w:rPr>
      </w:pPr>
      <w:r>
        <w:rPr>
          <w:rFonts w:hint="eastAsia" w:ascii="仿宋" w:hAnsi="仿宋" w:eastAsia="仿宋" w:cs="仿宋"/>
          <w:b/>
          <w:color w:val="auto"/>
          <w:spacing w:val="6"/>
          <w:sz w:val="32"/>
          <w:highlight w:val="none"/>
        </w:rPr>
        <w:br w:type="page"/>
      </w:r>
      <w:r>
        <w:rPr>
          <w:rFonts w:hint="eastAsia" w:ascii="仿宋" w:hAnsi="仿宋" w:eastAsia="仿宋" w:cs="仿宋"/>
          <w:b/>
          <w:color w:val="auto"/>
          <w:spacing w:val="6"/>
          <w:sz w:val="32"/>
          <w:highlight w:val="none"/>
        </w:rPr>
        <w:t>附件2：质疑函范本及制作说明</w:t>
      </w:r>
    </w:p>
    <w:p>
      <w:pPr>
        <w:spacing w:line="360" w:lineRule="auto"/>
        <w:jc w:val="center"/>
        <w:rPr>
          <w:rFonts w:hint="eastAsia" w:ascii="仿宋" w:hAnsi="仿宋" w:eastAsia="仿宋" w:cs="仿宋"/>
          <w:b/>
          <w:color w:val="auto"/>
          <w:spacing w:val="6"/>
          <w:sz w:val="32"/>
          <w:highlight w:val="none"/>
        </w:rPr>
      </w:pPr>
    </w:p>
    <w:p>
      <w:pPr>
        <w:spacing w:line="360" w:lineRule="auto"/>
        <w:jc w:val="center"/>
        <w:rPr>
          <w:rFonts w:hint="eastAsia" w:ascii="仿宋" w:hAnsi="仿宋" w:eastAsia="仿宋" w:cs="仿宋"/>
          <w:b/>
          <w:color w:val="auto"/>
          <w:spacing w:val="6"/>
          <w:sz w:val="32"/>
          <w:highlight w:val="none"/>
        </w:rPr>
      </w:pPr>
      <w:r>
        <w:rPr>
          <w:rFonts w:hint="eastAsia" w:ascii="仿宋" w:hAnsi="仿宋" w:eastAsia="仿宋" w:cs="仿宋"/>
          <w:b/>
          <w:color w:val="auto"/>
          <w:spacing w:val="6"/>
          <w:sz w:val="32"/>
          <w:highlight w:val="none"/>
        </w:rPr>
        <w:t>质疑函范本</w:t>
      </w:r>
    </w:p>
    <w:p>
      <w:pPr>
        <w:snapToGrid w:val="0"/>
        <w:spacing w:before="240" w:beforeLines="10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一、质疑供应商基本信息</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二、质疑项目基本情况</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磋商文件获取日期：</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三、质疑事项具体内容</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四、与质疑事项相关的质疑请求</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pPr>
        <w:spacing w:line="360" w:lineRule="auto"/>
        <w:jc w:val="center"/>
        <w:rPr>
          <w:rFonts w:hint="eastAsia" w:ascii="仿宋" w:hAnsi="仿宋" w:eastAsia="仿宋" w:cs="仿宋"/>
          <w:b/>
          <w:color w:val="auto"/>
          <w:szCs w:val="21"/>
          <w:highlight w:val="none"/>
        </w:rPr>
      </w:pPr>
    </w:p>
    <w:p>
      <w:pPr>
        <w:spacing w:line="360" w:lineRule="auto"/>
        <w:rPr>
          <w:rFonts w:hint="eastAsia" w:ascii="仿宋" w:hAnsi="仿宋" w:eastAsia="仿宋" w:cs="仿宋"/>
          <w:b/>
          <w:color w:val="auto"/>
          <w:szCs w:val="21"/>
          <w:highlight w:val="none"/>
        </w:rPr>
      </w:pP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ascii="仿宋" w:hAnsi="仿宋" w:eastAsia="仿宋" w:cs="仿宋"/>
          <w:b/>
          <w:color w:val="auto"/>
          <w:spacing w:val="6"/>
          <w:sz w:val="32"/>
          <w:highlight w:val="none"/>
        </w:rPr>
      </w:pPr>
      <w:r>
        <w:rPr>
          <w:rFonts w:hint="eastAsia" w:ascii="仿宋" w:hAnsi="仿宋" w:eastAsia="仿宋" w:cs="仿宋"/>
          <w:b/>
          <w:color w:val="auto"/>
          <w:spacing w:val="6"/>
          <w:sz w:val="32"/>
          <w:highlight w:val="none"/>
        </w:rPr>
        <w:br w:type="page"/>
      </w:r>
      <w:r>
        <w:rPr>
          <w:rFonts w:hint="eastAsia" w:ascii="仿宋" w:hAnsi="仿宋" w:eastAsia="仿宋" w:cs="仿宋"/>
          <w:b/>
          <w:color w:val="auto"/>
          <w:spacing w:val="6"/>
          <w:sz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highlight w:val="none"/>
        </w:rPr>
      </w:pPr>
      <w:r>
        <w:rPr>
          <w:rFonts w:hint="eastAsia" w:ascii="仿宋" w:hAnsi="仿宋" w:eastAsia="仿宋" w:cs="仿宋"/>
          <w:b/>
          <w:color w:val="auto"/>
          <w:spacing w:val="6"/>
          <w:sz w:val="32"/>
          <w:highlight w:val="none"/>
        </w:rPr>
        <w:t>投诉书范本</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一、投诉相关主体基本情况</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tabs>
          <w:tab w:val="left" w:pos="6510"/>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tabs>
          <w:tab w:val="left" w:pos="6510"/>
        </w:tabs>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被投诉人1：</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相关供应商：</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二、投诉项目基本情况</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磋商文件公告: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三、质疑基本情况</w:t>
      </w:r>
    </w:p>
    <w:p>
      <w:pPr>
        <w:spacing w:line="360" w:lineRule="auto"/>
        <w:ind w:firstLine="480" w:firstLineChars="200"/>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提出质疑，质疑事项为：</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采购人/代理机构</w:t>
      </w:r>
      <w:r>
        <w:rPr>
          <w:rFonts w:hint="eastAsia" w:ascii="仿宋" w:hAnsi="仿宋" w:eastAsia="仿宋" w:cs="仿宋"/>
          <w:color w:val="auto"/>
          <w:sz w:val="24"/>
          <w:szCs w:val="24"/>
          <w:highlight w:val="none"/>
        </w:rPr>
        <w:t>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日,就质疑事项作出了答复/没有在法定期限内作出答复。</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四、投诉事项具体内容</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投诉事项 1：</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五、与投诉事项相关的投诉请求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pPr>
        <w:spacing w:line="360" w:lineRule="auto"/>
        <w:rPr>
          <w:rFonts w:hint="eastAsia" w:ascii="仿宋" w:hAnsi="仿宋" w:eastAsia="仿宋" w:cs="仿宋"/>
          <w:b/>
          <w:color w:val="auto"/>
          <w:szCs w:val="21"/>
          <w:highlight w:val="none"/>
        </w:rPr>
      </w:pPr>
    </w:p>
    <w:p>
      <w:pPr>
        <w:spacing w:line="360" w:lineRule="auto"/>
        <w:rPr>
          <w:rFonts w:hint="eastAsia" w:ascii="仿宋" w:hAnsi="仿宋" w:eastAsia="仿宋" w:cs="仿宋"/>
          <w:b/>
          <w:color w:val="auto"/>
          <w:szCs w:val="21"/>
          <w:highlight w:val="none"/>
        </w:rPr>
      </w:pP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投诉书制作说明：</w:t>
      </w:r>
    </w:p>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widowControl/>
        <w:jc w:val="left"/>
        <w:rPr>
          <w:rFonts w:hint="eastAsia" w:ascii="仿宋" w:hAnsi="仿宋" w:eastAsia="仿宋" w:cs="仿宋"/>
          <w:b/>
          <w:color w:val="auto"/>
          <w:spacing w:val="6"/>
          <w:sz w:val="32"/>
          <w:highlight w:val="none"/>
        </w:rPr>
      </w:pPr>
      <w:r>
        <w:rPr>
          <w:rFonts w:hint="eastAsia" w:ascii="仿宋" w:hAnsi="仿宋" w:eastAsia="仿宋" w:cs="仿宋"/>
          <w:color w:val="auto"/>
          <w:highlight w:val="none"/>
        </w:rPr>
        <w:br w:type="page"/>
      </w:r>
    </w:p>
    <w:p>
      <w:pPr>
        <w:autoSpaceDE w:val="0"/>
        <w:autoSpaceDN w:val="0"/>
        <w:jc w:val="center"/>
        <w:rPr>
          <w:rFonts w:hint="eastAsia" w:ascii="仿宋" w:hAnsi="仿宋" w:eastAsia="仿宋" w:cs="仿宋"/>
          <w:b/>
          <w:color w:val="auto"/>
          <w:sz w:val="32"/>
          <w:highlight w:val="none"/>
        </w:rPr>
      </w:pPr>
      <w:r>
        <w:rPr>
          <w:rFonts w:hint="eastAsia" w:ascii="仿宋" w:hAnsi="仿宋" w:eastAsia="仿宋" w:cs="仿宋"/>
          <w:b/>
          <w:color w:val="auto"/>
          <w:spacing w:val="6"/>
          <w:sz w:val="32"/>
          <w:highlight w:val="none"/>
        </w:rPr>
        <w:t>附件4：</w:t>
      </w:r>
      <w:r>
        <w:rPr>
          <w:rFonts w:hint="eastAsia" w:ascii="仿宋" w:hAnsi="仿宋" w:eastAsia="仿宋" w:cs="仿宋"/>
          <w:b/>
          <w:color w:val="auto"/>
          <w:sz w:val="32"/>
          <w:highlight w:val="none"/>
        </w:rPr>
        <w:t>业务专用章使用说明函</w:t>
      </w:r>
    </w:p>
    <w:p>
      <w:pPr>
        <w:snapToGrid w:val="0"/>
        <w:spacing w:line="360" w:lineRule="auto"/>
        <w:rPr>
          <w:rFonts w:hint="eastAsia" w:ascii="仿宋" w:hAnsi="仿宋" w:eastAsia="仿宋" w:cs="仿宋"/>
          <w:color w:val="auto"/>
          <w:sz w:val="24"/>
          <w:highlight w:val="none"/>
          <w:u w:val="singl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杭州市规划和自然资源局西湖分局、中纬工程管理咨询有限公司</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(供应商全称)是中华人民共和国依法登记注册的合法企业，在参加你方组织的</w:t>
      </w:r>
      <w:r>
        <w:rPr>
          <w:rFonts w:hint="eastAsia" w:ascii="仿宋" w:hAnsi="仿宋" w:eastAsia="仿宋" w:cs="仿宋"/>
          <w:color w:val="auto"/>
          <w:sz w:val="24"/>
          <w:szCs w:val="24"/>
          <w:highlight w:val="none"/>
          <w:lang w:eastAsia="zh-CN"/>
        </w:rPr>
        <w:t>西湖区2022年城市国土空间监测项目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ZW-2022XHGZJ02</w:t>
      </w:r>
      <w:r>
        <w:rPr>
          <w:rFonts w:hint="eastAsia" w:ascii="仿宋" w:hAnsi="仿宋" w:eastAsia="仿宋" w:cs="仿宋"/>
          <w:color w:val="auto"/>
          <w:sz w:val="24"/>
          <w:szCs w:val="24"/>
          <w:highlight w:val="none"/>
        </w:rPr>
        <w:t xml:space="preserve">】投标活动中作如下说明：我方所使用的“XX专用章”与法定名称章具有同等的法律效力，对使用“XX专用章”的行为予以完全承认，并愿意承担相应责任。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特此说明。</w:t>
      </w:r>
    </w:p>
    <w:p>
      <w:pPr>
        <w:snapToGrid w:val="0"/>
        <w:spacing w:line="360" w:lineRule="auto"/>
        <w:ind w:firstLine="494"/>
        <w:rPr>
          <w:rFonts w:hint="eastAsia" w:ascii="仿宋" w:hAnsi="仿宋" w:eastAsia="仿宋" w:cs="仿宋"/>
          <w:color w:val="auto"/>
          <w:sz w:val="24"/>
          <w:szCs w:val="24"/>
          <w:highlight w:val="none"/>
        </w:rPr>
      </w:pPr>
    </w:p>
    <w:p>
      <w:pPr>
        <w:snapToGrid w:val="0"/>
        <w:spacing w:line="360" w:lineRule="auto"/>
        <w:ind w:firstLine="494"/>
        <w:rPr>
          <w:rFonts w:hint="eastAsia" w:ascii="仿宋" w:hAnsi="仿宋" w:eastAsia="仿宋" w:cs="仿宋"/>
          <w:color w:val="auto"/>
          <w:sz w:val="24"/>
          <w:szCs w:val="24"/>
          <w:highlight w:val="none"/>
        </w:rPr>
      </w:pPr>
    </w:p>
    <w:p>
      <w:pPr>
        <w:snapToGrid w:val="0"/>
        <w:spacing w:line="360" w:lineRule="auto"/>
        <w:ind w:firstLine="494"/>
        <w:rPr>
          <w:rFonts w:hint="eastAsia" w:ascii="仿宋" w:hAnsi="仿宋" w:eastAsia="仿宋" w:cs="仿宋"/>
          <w:color w:val="auto"/>
          <w:sz w:val="24"/>
          <w:szCs w:val="24"/>
          <w:highlight w:val="none"/>
        </w:rPr>
      </w:pPr>
    </w:p>
    <w:p>
      <w:pPr>
        <w:snapToGrid w:val="0"/>
        <w:spacing w:line="360" w:lineRule="auto"/>
        <w:ind w:firstLine="494"/>
        <w:rPr>
          <w:rFonts w:hint="eastAsia" w:ascii="仿宋" w:hAnsi="仿宋" w:eastAsia="仿宋" w:cs="仿宋"/>
          <w:color w:val="auto"/>
          <w:sz w:val="24"/>
          <w:szCs w:val="24"/>
          <w:highlight w:val="none"/>
        </w:rPr>
      </w:pPr>
    </w:p>
    <w:p>
      <w:pPr>
        <w:snapToGrid w:val="0"/>
        <w:spacing w:line="360" w:lineRule="auto"/>
        <w:ind w:right="480"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响应单位（法定名称章）：</w:t>
      </w:r>
    </w:p>
    <w:p>
      <w:pPr>
        <w:snapToGrid w:val="0"/>
        <w:spacing w:line="360" w:lineRule="auto"/>
        <w:ind w:right="1440" w:firstLine="49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附：</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7" name="矩形 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4wdgAAAAKAQAADwAAAAAAAAABACAAAAAiAAAAZHJzL2Rv&#10;d25yZXYueG1sUEsBAhQAFAAAAAgAh07iQOUrnaUBAgAAKgQAAA4AAAAAAAAAAQAgAAAAJwEAAGRy&#10;cy9lMm9Eb2MueG1sUEsFBgAAAAAGAAYAWQEAAJoFAAAAAA==&#10;">
                <v:fill on="t" focussize="0,0"/>
                <v:stroke color="#000000" joinstyle="miter"/>
                <v:imagedata o:title=""/>
                <o:lock v:ext="edit" aspectratio="f"/>
                <v:textbox>
                  <w:txbxContent>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384810</wp:posOffset>
                </wp:positionV>
                <wp:extent cx="2052955" cy="2253615"/>
                <wp:effectExtent l="5080" t="4445" r="14605" b="12700"/>
                <wp:wrapNone/>
                <wp:docPr id="9" name="矩形 9"/>
                <wp:cNvGraphicFramePr/>
                <a:graphic xmlns:a="http://schemas.openxmlformats.org/drawingml/2006/main">
                  <a:graphicData uri="http://schemas.microsoft.com/office/word/2010/wordprocessingShape">
                    <wps:wsp>
                      <wps:cNvSpPr/>
                      <wps:spPr>
                        <a:xfrm>
                          <a:off x="0" y="0"/>
                          <a:ext cx="205295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pt;margin-top:30.3pt;height:177.45pt;width:161.65pt;z-index:-251655168;mso-width-relative:page;mso-height-relative:page;" fillcolor="#FFFFFF" filled="t" stroked="t" coordsize="21600,21600" o:gfxdata="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wRQm1gAAAAcBAAAPAAAAAAAAAAEAIAAAACIAAABkcnMvZG93bnJl&#10;di54bWxQSwECFAAUAAAACACHTuJAcg7S4/8BAAAqBAAADgAAAAAAAAABACAAAAAlAQAAZHJzL2Uy&#10;b0RvYy54bWxQSwUGAAAAAAYABgBZAQAAlgUAAAAA&#10;">
                <v:fill on="t" focussize="0,0"/>
                <v:stroke color="#000000" joinstyle="miter"/>
                <v:imagedata o:title=""/>
                <o:lock v:ext="edit" aspectratio="f"/>
                <v:textbox>
                  <w:txbxContent>
                    <w:p/>
                  </w:txbxContent>
                </v:textbox>
              </v:rect>
            </w:pict>
          </mc:Fallback>
        </mc:AlternateContent>
      </w:r>
      <w:r>
        <w:rPr>
          <w:rFonts w:hint="eastAsia" w:ascii="仿宋" w:hAnsi="仿宋" w:eastAsia="仿宋" w:cs="仿宋"/>
          <w:color w:val="auto"/>
          <w:sz w:val="24"/>
          <w:szCs w:val="24"/>
          <w:highlight w:val="none"/>
        </w:rPr>
        <w:t>响应单位法定名称章（印模）                响应单位“XX专用章”（印模）</w:t>
      </w:r>
    </w:p>
    <w:p>
      <w:pPr>
        <w:autoSpaceDE w:val="0"/>
        <w:autoSpaceDN w:val="0"/>
        <w:jc w:val="center"/>
        <w:rPr>
          <w:rFonts w:hint="eastAsia" w:ascii="仿宋" w:hAnsi="仿宋" w:eastAsia="仿宋" w:cs="仿宋"/>
          <w:b/>
          <w:color w:val="auto"/>
          <w:spacing w:val="6"/>
          <w:szCs w:val="21"/>
          <w:highlight w:val="none"/>
        </w:rPr>
      </w:pPr>
    </w:p>
    <w:p>
      <w:pPr>
        <w:autoSpaceDE w:val="0"/>
        <w:autoSpaceDN w:val="0"/>
        <w:jc w:val="center"/>
        <w:rPr>
          <w:rFonts w:hint="eastAsia" w:ascii="仿宋" w:hAnsi="仿宋" w:eastAsia="仿宋" w:cs="仿宋"/>
          <w:b/>
          <w:color w:val="auto"/>
          <w:spacing w:val="6"/>
          <w:szCs w:val="21"/>
          <w:highlight w:val="none"/>
        </w:rPr>
      </w:pPr>
    </w:p>
    <w:p>
      <w:pPr>
        <w:autoSpaceDE w:val="0"/>
        <w:autoSpaceDN w:val="0"/>
        <w:jc w:val="center"/>
        <w:rPr>
          <w:rFonts w:hint="eastAsia" w:ascii="仿宋" w:hAnsi="仿宋" w:eastAsia="仿宋" w:cs="仿宋"/>
          <w:b/>
          <w:color w:val="auto"/>
          <w:spacing w:val="6"/>
          <w:szCs w:val="21"/>
          <w:highlight w:val="none"/>
        </w:rPr>
      </w:pPr>
    </w:p>
    <w:p>
      <w:pPr>
        <w:autoSpaceDE w:val="0"/>
        <w:autoSpaceDN w:val="0"/>
        <w:jc w:val="center"/>
        <w:rPr>
          <w:rFonts w:hint="eastAsia" w:ascii="仿宋" w:hAnsi="仿宋" w:eastAsia="仿宋" w:cs="仿宋"/>
          <w:b/>
          <w:color w:val="auto"/>
          <w:spacing w:val="6"/>
          <w:szCs w:val="21"/>
          <w:highlight w:val="none"/>
        </w:rPr>
      </w:pPr>
    </w:p>
    <w:p>
      <w:pPr>
        <w:autoSpaceDE w:val="0"/>
        <w:autoSpaceDN w:val="0"/>
        <w:jc w:val="center"/>
        <w:rPr>
          <w:rFonts w:hint="eastAsia" w:ascii="仿宋" w:hAnsi="仿宋" w:eastAsia="仿宋" w:cs="仿宋"/>
          <w:b/>
          <w:color w:val="auto"/>
          <w:spacing w:val="6"/>
          <w:szCs w:val="21"/>
          <w:highlight w:val="none"/>
        </w:rPr>
      </w:pPr>
    </w:p>
    <w:p>
      <w:pPr>
        <w:autoSpaceDE w:val="0"/>
        <w:autoSpaceDN w:val="0"/>
        <w:jc w:val="center"/>
        <w:rPr>
          <w:rFonts w:hint="eastAsia" w:ascii="仿宋" w:hAnsi="仿宋" w:eastAsia="仿宋" w:cs="仿宋"/>
          <w:b/>
          <w:color w:val="auto"/>
          <w:spacing w:val="6"/>
          <w:szCs w:val="21"/>
          <w:highlight w:val="none"/>
        </w:rPr>
      </w:pPr>
    </w:p>
    <w:p>
      <w:pPr>
        <w:autoSpaceDE w:val="0"/>
        <w:autoSpaceDN w:val="0"/>
        <w:jc w:val="center"/>
        <w:rPr>
          <w:rFonts w:hint="eastAsia" w:ascii="仿宋" w:hAnsi="仿宋" w:eastAsia="仿宋" w:cs="仿宋"/>
          <w:b/>
          <w:color w:val="auto"/>
          <w:spacing w:val="6"/>
          <w:szCs w:val="21"/>
          <w:highlight w:val="none"/>
        </w:rPr>
      </w:pPr>
    </w:p>
    <w:p>
      <w:pPr>
        <w:autoSpaceDE w:val="0"/>
        <w:autoSpaceDN w:val="0"/>
        <w:jc w:val="center"/>
        <w:rPr>
          <w:rFonts w:hint="eastAsia" w:ascii="仿宋" w:hAnsi="仿宋" w:eastAsia="仿宋" w:cs="仿宋"/>
          <w:b/>
          <w:color w:val="auto"/>
          <w:spacing w:val="6"/>
          <w:sz w:val="32"/>
          <w:highlight w:val="none"/>
        </w:rPr>
      </w:pPr>
    </w:p>
    <w:p>
      <w:pPr>
        <w:autoSpaceDE w:val="0"/>
        <w:autoSpaceDN w:val="0"/>
        <w:jc w:val="center"/>
        <w:rPr>
          <w:rFonts w:hint="eastAsia" w:ascii="仿宋" w:hAnsi="仿宋" w:eastAsia="仿宋" w:cs="仿宋"/>
          <w:b/>
          <w:color w:val="auto"/>
          <w:spacing w:val="6"/>
          <w:sz w:val="32"/>
          <w:highlight w:val="none"/>
        </w:rPr>
      </w:pPr>
    </w:p>
    <w:p>
      <w:pPr>
        <w:autoSpaceDE w:val="0"/>
        <w:autoSpaceDN w:val="0"/>
        <w:jc w:val="center"/>
        <w:rPr>
          <w:rFonts w:hint="eastAsia" w:ascii="仿宋" w:hAnsi="仿宋" w:eastAsia="仿宋" w:cs="仿宋"/>
          <w:b/>
          <w:color w:val="auto"/>
          <w:spacing w:val="6"/>
          <w:sz w:val="32"/>
          <w:highlight w:val="none"/>
        </w:rPr>
      </w:pPr>
    </w:p>
    <w:p>
      <w:pPr>
        <w:autoSpaceDE w:val="0"/>
        <w:autoSpaceDN w:val="0"/>
        <w:jc w:val="center"/>
        <w:rPr>
          <w:rFonts w:hint="eastAsia" w:ascii="仿宋" w:hAnsi="仿宋" w:eastAsia="仿宋" w:cs="仿宋"/>
          <w:b/>
          <w:color w:val="auto"/>
          <w:spacing w:val="6"/>
          <w:sz w:val="32"/>
          <w:highlight w:val="none"/>
        </w:rPr>
      </w:pPr>
    </w:p>
    <w:p>
      <w:pPr>
        <w:autoSpaceDE w:val="0"/>
        <w:autoSpaceDN w:val="0"/>
        <w:jc w:val="center"/>
        <w:rPr>
          <w:rFonts w:hint="eastAsia" w:ascii="仿宋" w:hAnsi="仿宋" w:eastAsia="仿宋" w:cs="仿宋"/>
          <w:b/>
          <w:color w:val="auto"/>
          <w:spacing w:val="6"/>
          <w:sz w:val="32"/>
          <w:highlight w:val="none"/>
        </w:rPr>
      </w:pPr>
    </w:p>
    <w:p>
      <w:pPr>
        <w:autoSpaceDE w:val="0"/>
        <w:autoSpaceDN w:val="0"/>
        <w:jc w:val="center"/>
        <w:rPr>
          <w:rFonts w:hint="eastAsia" w:ascii="仿宋" w:hAnsi="仿宋" w:eastAsia="仿宋" w:cs="仿宋"/>
          <w:b/>
          <w:color w:val="auto"/>
          <w:spacing w:val="6"/>
          <w:sz w:val="32"/>
          <w:highlight w:val="none"/>
        </w:rPr>
      </w:pPr>
    </w:p>
    <w:p>
      <w:pPr>
        <w:jc w:val="center"/>
        <w:rPr>
          <w:rFonts w:hint="eastAsia" w:ascii="仿宋" w:hAnsi="仿宋" w:eastAsia="仿宋" w:cs="仿宋"/>
          <w:b/>
          <w:color w:val="auto"/>
          <w:sz w:val="32"/>
          <w:highlight w:val="none"/>
        </w:rPr>
      </w:pPr>
      <w:r>
        <w:rPr>
          <w:rFonts w:hint="eastAsia" w:ascii="仿宋" w:hAnsi="仿宋" w:eastAsia="仿宋" w:cs="仿宋"/>
          <w:b/>
          <w:color w:val="auto"/>
          <w:spacing w:val="6"/>
          <w:sz w:val="32"/>
          <w:highlight w:val="none"/>
        </w:rPr>
        <w:br w:type="page"/>
      </w:r>
      <w:r>
        <w:rPr>
          <w:rFonts w:hint="eastAsia" w:ascii="仿宋" w:hAnsi="仿宋" w:eastAsia="仿宋" w:cs="仿宋"/>
          <w:b/>
          <w:color w:val="auto"/>
          <w:spacing w:val="6"/>
          <w:sz w:val="32"/>
          <w:highlight w:val="none"/>
        </w:rPr>
        <w:t>附件5：</w:t>
      </w:r>
      <w:r>
        <w:rPr>
          <w:rFonts w:hint="eastAsia" w:ascii="仿宋" w:hAnsi="仿宋" w:eastAsia="仿宋" w:cs="仿宋"/>
          <w:b/>
          <w:color w:val="auto"/>
          <w:sz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color w:val="auto"/>
          <w:sz w:val="24"/>
          <w:szCs w:val="24"/>
          <w:highlight w:val="none"/>
          <w:lang w:eastAsia="zh-CN"/>
        </w:rPr>
        <w:t>西湖区2022年城市国土空间监测项目</w:t>
      </w:r>
      <w:r>
        <w:rPr>
          <w:rFonts w:hint="eastAsia" w:ascii="仿宋" w:hAnsi="仿宋" w:eastAsia="仿宋" w:cs="仿宋"/>
          <w:color w:val="auto"/>
          <w:sz w:val="24"/>
          <w:szCs w:val="24"/>
          <w:highlight w:val="none"/>
        </w:rPr>
        <w:t xml:space="preserve"> 采购活动，提供的服务全部由符合政策要求的中小企业承接。相关企业（含联合体中的中小企业、签订分包意向协议的中小企业）的具体情况如下：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 ，属于 </w:t>
      </w:r>
      <w:r>
        <w:rPr>
          <w:rFonts w:hint="eastAsia" w:ascii="仿宋" w:hAnsi="仿宋" w:eastAsia="仿宋" w:cs="仿宋"/>
          <w:color w:val="auto"/>
          <w:sz w:val="24"/>
          <w:szCs w:val="24"/>
          <w:highlight w:val="none"/>
          <w:u w:val="single"/>
        </w:rPr>
        <w:t>（竞争性磋商文件中明确的所属行业）</w:t>
      </w:r>
      <w:r>
        <w:rPr>
          <w:rFonts w:hint="eastAsia" w:ascii="仿宋" w:hAnsi="仿宋" w:eastAsia="仿宋" w:cs="仿宋"/>
          <w:color w:val="auto"/>
          <w:sz w:val="24"/>
          <w:szCs w:val="24"/>
          <w:highlight w:val="none"/>
        </w:rPr>
        <w:t>行业 ；承接企业为</w:t>
      </w:r>
      <w:r>
        <w:rPr>
          <w:rFonts w:hint="eastAsia" w:ascii="仿宋" w:hAnsi="仿宋" w:eastAsia="仿宋" w:cs="仿宋"/>
          <w:color w:val="auto"/>
          <w:sz w:val="24"/>
          <w:szCs w:val="24"/>
          <w:highlight w:val="none"/>
          <w:u w:val="single"/>
        </w:rPr>
        <w:t xml:space="preserve"> （企业名称）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 ，属于 </w:t>
      </w:r>
      <w:r>
        <w:rPr>
          <w:rFonts w:hint="eastAsia" w:ascii="仿宋" w:hAnsi="仿宋" w:eastAsia="仿宋" w:cs="仿宋"/>
          <w:color w:val="auto"/>
          <w:sz w:val="24"/>
          <w:szCs w:val="24"/>
          <w:highlight w:val="none"/>
          <w:u w:val="single"/>
        </w:rPr>
        <w:t>（竞争性磋商文件中明确的所属行业）</w:t>
      </w:r>
      <w:r>
        <w:rPr>
          <w:rFonts w:hint="eastAsia" w:ascii="仿宋" w:hAnsi="仿宋" w:eastAsia="仿宋" w:cs="仿宋"/>
          <w:color w:val="auto"/>
          <w:sz w:val="24"/>
          <w:szCs w:val="24"/>
          <w:highlight w:val="none"/>
        </w:rPr>
        <w:t>行业 ；承接企业为</w:t>
      </w:r>
      <w:r>
        <w:rPr>
          <w:rFonts w:hint="eastAsia" w:ascii="仿宋" w:hAnsi="仿宋" w:eastAsia="仿宋" w:cs="仿宋"/>
          <w:color w:val="auto"/>
          <w:sz w:val="24"/>
          <w:szCs w:val="24"/>
          <w:highlight w:val="none"/>
          <w:u w:val="single"/>
        </w:rPr>
        <w:t xml:space="preserve"> （企业名称）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供应商名称(电子签名)：</w:t>
      </w:r>
    </w:p>
    <w:p>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日期</w:t>
      </w:r>
      <w:r>
        <w:rPr>
          <w:rFonts w:hint="eastAsia" w:ascii="仿宋" w:hAnsi="仿宋" w:eastAsia="仿宋" w:cs="仿宋"/>
          <w:color w:val="auto"/>
          <w:sz w:val="24"/>
          <w:szCs w:val="24"/>
          <w:highlight w:val="none"/>
        </w:rPr>
        <w:t xml:space="preserve">：  年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日</w:t>
      </w:r>
    </w:p>
    <w:p>
      <w:pPr>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pStyle w:val="26"/>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注：从业人员、营业收入、资产总额填报上一年度数据，无上一年度数据的新成立企业可不填报。</w:t>
      </w:r>
    </w:p>
    <w:p>
      <w:pPr>
        <w:pStyle w:val="26"/>
        <w:ind w:firstLine="720" w:firstLineChars="3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请登录</w:t>
      </w: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"http://gks.mof.gov.cn/guizhangzhidu/202012/t20201228_3637419.htm" </w:instrText>
      </w:r>
      <w:r>
        <w:rPr>
          <w:rFonts w:hint="eastAsia" w:ascii="仿宋" w:hAnsi="仿宋" w:eastAsia="仿宋" w:cs="仿宋"/>
          <w:bCs/>
          <w:color w:val="auto"/>
          <w:szCs w:val="24"/>
          <w:highlight w:val="none"/>
        </w:rPr>
        <w:fldChar w:fldCharType="separate"/>
      </w:r>
      <w:r>
        <w:rPr>
          <w:rStyle w:val="76"/>
          <w:rFonts w:hint="eastAsia" w:ascii="仿宋" w:hAnsi="仿宋" w:eastAsia="仿宋" w:cs="仿宋"/>
          <w:bCs/>
          <w:color w:val="auto"/>
          <w:szCs w:val="24"/>
          <w:highlight w:val="none"/>
        </w:rPr>
        <w:t>http://gks.mof.gov.cn/guizhangzhidu/202012/t20201228_3637419.htm</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t>认真阅读理解财库〔2020〕46号关于印发《政府采购促进中小企业发展管理办法》的通知。</w:t>
      </w:r>
    </w:p>
    <w:p>
      <w:pPr>
        <w:pStyle w:val="26"/>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可登录http://www.ccgp.gov.cn/zcfg/mof/201310/t20131029_3587674.htm查阅工信部联企业〔2011〕300号《关于印发中小企业划型标准规定的通知》。</w:t>
      </w:r>
    </w:p>
    <w:p>
      <w:pPr>
        <w:pStyle w:val="26"/>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企业从业人员、营业收入、资产总额确定后，如何认定是否属于投标产品所属行业中的中小微企业请登录工业和信息化部</w:t>
      </w:r>
      <w:r>
        <w:rPr>
          <w:rFonts w:hint="eastAsia" w:ascii="仿宋" w:hAnsi="仿宋" w:eastAsia="仿宋" w:cs="仿宋"/>
          <w:bCs/>
          <w:color w:val="auto"/>
          <w:szCs w:val="24"/>
          <w:highlight w:val="none"/>
        </w:rPr>
        <w:drawing>
          <wp:inline distT="0" distB="0" distL="114300" distR="114300">
            <wp:extent cx="190500" cy="142875"/>
            <wp:effectExtent l="0" t="0" r="7620" b="9525"/>
            <wp:docPr id="3"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5UQ[BL(6~BS2JV6W}N6[%S"/>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Cs/>
          <w:color w:val="auto"/>
          <w:szCs w:val="24"/>
          <w:highlight w:val="none"/>
        </w:rPr>
        <w:t>https://www.miit.gov.cn/网站；</w:t>
      </w:r>
    </w:p>
    <w:p>
      <w:pPr>
        <w:pStyle w:val="26"/>
        <w:rPr>
          <w:rFonts w:hint="eastAsia" w:ascii="仿宋" w:hAnsi="仿宋" w:eastAsia="仿宋" w:cs="仿宋"/>
          <w:bCs/>
          <w:color w:val="auto"/>
          <w:szCs w:val="24"/>
          <w:highlight w:val="none"/>
        </w:rPr>
      </w:pPr>
    </w:p>
    <w:p>
      <w:pPr>
        <w:pStyle w:val="26"/>
        <w:rPr>
          <w:rFonts w:hint="eastAsia" w:ascii="仿宋" w:hAnsi="仿宋" w:eastAsia="仿宋" w:cs="仿宋"/>
          <w:bCs/>
          <w:color w:val="auto"/>
          <w:szCs w:val="24"/>
          <w:highlight w:val="none"/>
        </w:rPr>
      </w:pPr>
    </w:p>
    <w:p>
      <w:pPr>
        <w:rPr>
          <w:rFonts w:hint="eastAsia" w:ascii="仿宋" w:hAnsi="仿宋" w:eastAsia="仿宋" w:cs="仿宋"/>
          <w:bCs/>
          <w:color w:val="auto"/>
          <w:szCs w:val="24"/>
          <w:highlight w:val="none"/>
        </w:rPr>
      </w:pPr>
    </w:p>
    <w:p>
      <w:pPr>
        <w:pStyle w:val="2"/>
        <w:rPr>
          <w:rFonts w:hint="eastAsia" w:ascii="仿宋" w:hAnsi="仿宋" w:eastAsia="仿宋" w:cs="仿宋"/>
          <w:color w:val="auto"/>
          <w:highlight w:val="none"/>
        </w:rPr>
      </w:pPr>
      <w:r>
        <w:rPr>
          <w:rFonts w:hint="eastAsia" w:ascii="仿宋" w:hAnsi="仿宋" w:eastAsia="仿宋" w:cs="仿宋"/>
          <w:color w:val="auto"/>
          <w:sz w:val="21"/>
          <w:szCs w:val="21"/>
          <w:highlight w:val="none"/>
        </w:rPr>
        <w:drawing>
          <wp:anchor distT="0" distB="0" distL="114300" distR="114300" simplePos="0" relativeHeight="251660288" behindDoc="1" locked="0" layoutInCell="1" allowOverlap="1">
            <wp:simplePos x="0" y="0"/>
            <wp:positionH relativeFrom="column">
              <wp:posOffset>142240</wp:posOffset>
            </wp:positionH>
            <wp:positionV relativeFrom="paragraph">
              <wp:posOffset>48260</wp:posOffset>
            </wp:positionV>
            <wp:extent cx="5505450" cy="1304925"/>
            <wp:effectExtent l="0" t="0" r="11430" b="5715"/>
            <wp:wrapTight wrapText="bothSides">
              <wp:wrapPolygon>
                <wp:start x="0" y="0"/>
                <wp:lineTo x="0" y="21442"/>
                <wp:lineTo x="21525" y="21442"/>
                <wp:lineTo x="21525" y="0"/>
                <wp:lineTo x="0" y="0"/>
              </wp:wrapPolygon>
            </wp:wrapTight>
            <wp:docPr id="10"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6NK6[U(5_DT(HU5(T4EZ222"/>
                    <pic:cNvPicPr>
                      <a:picLocks noChangeAspect="1"/>
                    </pic:cNvPicPr>
                  </pic:nvPicPr>
                  <pic:blipFill>
                    <a:blip r:embed="rId15"/>
                    <a:stretch>
                      <a:fillRect/>
                    </a:stretch>
                  </pic:blipFill>
                  <pic:spPr>
                    <a:xfrm>
                      <a:off x="0" y="0"/>
                      <a:ext cx="5505450" cy="1304925"/>
                    </a:xfrm>
                    <a:prstGeom prst="rect">
                      <a:avLst/>
                    </a:prstGeom>
                    <a:noFill/>
                    <a:ln>
                      <a:noFill/>
                    </a:ln>
                  </pic:spPr>
                </pic:pic>
              </a:graphicData>
            </a:graphic>
          </wp:anchor>
        </w:drawing>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点开“中小企业规模类型自测小程序”，填写投标产品所属的行业和投标企业从业人员交社保职工人数及上年末资产总额指标数据自动生成企业规模类型测试结果。</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
          <w:bCs/>
          <w:color w:val="auto"/>
          <w:sz w:val="24"/>
          <w:szCs w:val="24"/>
          <w:highlight w:val="none"/>
        </w:rPr>
        <w:t>供应商提供的《中小企业声明函》与事实不符的，依照《政府采购法》第七十七条第一款的规定追究法律责任。</w:t>
      </w:r>
    </w:p>
    <w:p>
      <w:pPr>
        <w:spacing w:line="360" w:lineRule="auto"/>
        <w:ind w:right="420"/>
        <w:rPr>
          <w:rFonts w:ascii="仿宋_GB2312" w:hAnsi="仿宋" w:eastAsia="仿宋_GB2312" w:cs="仿宋_GB2312"/>
          <w:color w:val="auto"/>
          <w:sz w:val="24"/>
          <w:highlight w:val="none"/>
        </w:rPr>
      </w:pPr>
    </w:p>
    <w:sectPr>
      <w:headerReference r:id="rId9" w:type="first"/>
      <w:footerReference r:id="rId12" w:type="first"/>
      <w:headerReference r:id="rId8" w:type="default"/>
      <w:footerReference r:id="rId10" w:type="default"/>
      <w:footerReference r:id="rId11" w:type="even"/>
      <w:pgSz w:w="11906" w:h="16838"/>
      <w:pgMar w:top="993" w:right="1418" w:bottom="993" w:left="1418" w:header="680" w:footer="68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hAns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0"/>
                          </w:pPr>
                          <w:r>
                            <w:fldChar w:fldCharType="begin"/>
                          </w:r>
                          <w:r>
                            <w:instrText xml:space="preserve"> PAGE  \* MERGEFORMAT </w:instrText>
                          </w:r>
                          <w:r>
                            <w:fldChar w:fldCharType="separate"/>
                          </w:r>
                          <w:r>
                            <w:t>34</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n9ETe0QEAAKIDAAAOAAAAAAAAAAEAIAAAAB8BAABk&#10;cnMvZTJvRG9jLnhtbFBLBQYAAAAABgAGAFkBAABi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34</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p>
    <w:pPr>
      <w:rPr>
        <w:rFonts w:ascii="仿宋_GB2312" w:hAns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hAns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0"/>
                          </w:pPr>
                          <w:r>
                            <w:fldChar w:fldCharType="begin"/>
                          </w:r>
                          <w:r>
                            <w:instrText xml:space="preserve"> PAGE  \* MERGEFORMAT </w:instrText>
                          </w:r>
                          <w:r>
                            <w:fldChar w:fldCharType="separate"/>
                          </w:r>
                          <w:r>
                            <w:t>33</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33</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p>
    <w:pPr>
      <w:rPr>
        <w:rFonts w:ascii="仿宋_GB2312" w:hAns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0"/>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Ccexf0QEAAKIDAAAOAAAAAAAAAAEAIAAAAB8BAABk&#10;cnMvZTJvRG9jLnhtbFBLBQYAAAAABgAGAFkBAABi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p>
    <w:pPr>
      <w:pStyle w:val="4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bookmarkStart w:id="407" w:name="_Toc131845147"/>
    <w:bookmarkStart w:id="408" w:name="_Toc164085800"/>
    <w:bookmarkStart w:id="409" w:name="_Toc36110187"/>
    <w:bookmarkStart w:id="410" w:name="_Toc91899912"/>
    <w:r>
      <w:rPr>
        <w:rFonts w:hint="eastAsia" w:ascii="仿宋_GB2312" w:eastAsia="仿宋_GB2312"/>
        <w:kern w:val="0"/>
        <w:szCs w:val="21"/>
      </w:rPr>
      <w:t xml:space="preserve"> 页</w:t>
    </w:r>
    <w:bookmarkEnd w:id="407"/>
    <w:bookmarkEnd w:id="408"/>
    <w:bookmarkEnd w:id="409"/>
    <w:bookmarkEnd w:id="41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hAnsi="仿宋_GB2312" w:eastAsia="仿宋_GB2312"/>
        <w:b/>
        <w:i/>
        <w:u w:val="single"/>
      </w:rPr>
    </w:pPr>
    <w:r>
      <w:rPr>
        <w:rFonts w:hint="eastAsia"/>
      </w:rPr>
      <w:t xml:space="preserve">                                  中纬工程管理咨询有限公司</w:t>
    </w:r>
    <w:r>
      <w:t>竞争性磋商文件</w:t>
    </w:r>
  </w:p>
  <w:p>
    <w:pPr>
      <w:rPr>
        <w:rFonts w:ascii="仿宋_GB2312" w:hAns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中纬工程管理咨询有限公司</w:t>
    </w:r>
    <w: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iCs/>
        <w:u w:val="single"/>
        <w:lang w:eastAsia="zh-CN"/>
      </w:rPr>
    </w:pPr>
    <w:r>
      <w:t>杭州市政府采购</w:t>
    </w:r>
    <w:r>
      <w:rPr>
        <w:rFonts w:hint="eastAsia"/>
        <w:lang w:eastAsia="zh-CN"/>
      </w:rPr>
      <w:t>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宋体"/>
        <w:lang w:eastAsia="zh-CN"/>
      </w:rPr>
    </w:pPr>
    <w:r>
      <w:t></w:t>
    </w:r>
    <w:r>
      <w:rPr>
        <w:rFonts w:hint="eastAsia"/>
      </w:rPr>
      <w:t xml:space="preserve">                                             </w:t>
    </w:r>
    <w:r>
      <w:t>杭州市政府采购</w:t>
    </w:r>
    <w:r>
      <w:rPr>
        <w:rFonts w:hint="eastAsia"/>
        <w:lang w:eastAsia="zh-CN"/>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3D0DE"/>
    <w:multiLevelType w:val="singleLevel"/>
    <w:tmpl w:val="AF53D0DE"/>
    <w:lvl w:ilvl="0" w:tentative="0">
      <w:start w:val="6"/>
      <w:numFmt w:val="chineseCounting"/>
      <w:suff w:val="nothing"/>
      <w:lvlText w:val="%1、"/>
      <w:lvlJc w:val="left"/>
      <w:rPr>
        <w:rFonts w:hint="eastAsia"/>
      </w:rPr>
    </w:lvl>
  </w:abstractNum>
  <w:abstractNum w:abstractNumId="1">
    <w:nsid w:val="E546C5C4"/>
    <w:multiLevelType w:val="singleLevel"/>
    <w:tmpl w:val="E546C5C4"/>
    <w:lvl w:ilvl="0" w:tentative="0">
      <w:start w:val="8"/>
      <w:numFmt w:val="decimal"/>
      <w:suff w:val="nothing"/>
      <w:lvlText w:val="%1、"/>
      <w:lvlJc w:val="left"/>
    </w:lvl>
  </w:abstractNum>
  <w:abstractNum w:abstractNumId="2">
    <w:nsid w:val="00000007"/>
    <w:multiLevelType w:val="singleLevel"/>
    <w:tmpl w:val="00000007"/>
    <w:lvl w:ilvl="0" w:tentative="0">
      <w:start w:val="1"/>
      <w:numFmt w:val="decimal"/>
      <w:lvlText w:val="(%1)"/>
      <w:lvlJc w:val="left"/>
      <w:pPr>
        <w:ind w:left="575" w:hanging="425"/>
      </w:pPr>
      <w:rPr>
        <w:rFonts w:hint="default"/>
      </w:rPr>
    </w:lvl>
  </w:abstractNum>
  <w:abstractNum w:abstractNumId="3">
    <w:nsid w:val="00000008"/>
    <w:multiLevelType w:val="singleLevel"/>
    <w:tmpl w:val="00000008"/>
    <w:lvl w:ilvl="0" w:tentative="0">
      <w:start w:val="1"/>
      <w:numFmt w:val="decimal"/>
      <w:lvlText w:val="(%1)"/>
      <w:lvlJc w:val="left"/>
      <w:pPr>
        <w:ind w:left="575" w:hanging="425"/>
      </w:pPr>
      <w:rPr>
        <w:rFonts w:hint="default"/>
      </w:rPr>
    </w:lvl>
  </w:abstractNum>
  <w:abstractNum w:abstractNumId="4">
    <w:nsid w:val="0000000D"/>
    <w:multiLevelType w:val="multilevel"/>
    <w:tmpl w:val="0000000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988"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zODZjMDMwYTAxZmVkY2QzODk0MTA3NTdkYjk3NzcifQ=="/>
  </w:docVars>
  <w:rsids>
    <w:rsidRoot w:val="00172A27"/>
    <w:rsid w:val="00000451"/>
    <w:rsid w:val="0000108B"/>
    <w:rsid w:val="0000133D"/>
    <w:rsid w:val="00001509"/>
    <w:rsid w:val="00001DC5"/>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D28"/>
    <w:rsid w:val="00013F31"/>
    <w:rsid w:val="000140D8"/>
    <w:rsid w:val="00014530"/>
    <w:rsid w:val="00014BBC"/>
    <w:rsid w:val="000150EE"/>
    <w:rsid w:val="00015784"/>
    <w:rsid w:val="000168D8"/>
    <w:rsid w:val="000170C8"/>
    <w:rsid w:val="000173F4"/>
    <w:rsid w:val="0001740C"/>
    <w:rsid w:val="00020287"/>
    <w:rsid w:val="000202FE"/>
    <w:rsid w:val="000203E1"/>
    <w:rsid w:val="00020B5F"/>
    <w:rsid w:val="000211BC"/>
    <w:rsid w:val="0002207B"/>
    <w:rsid w:val="000232FD"/>
    <w:rsid w:val="00023323"/>
    <w:rsid w:val="000233E4"/>
    <w:rsid w:val="00023495"/>
    <w:rsid w:val="00023777"/>
    <w:rsid w:val="00023CCD"/>
    <w:rsid w:val="00024130"/>
    <w:rsid w:val="00024584"/>
    <w:rsid w:val="00024962"/>
    <w:rsid w:val="000249AA"/>
    <w:rsid w:val="00024E07"/>
    <w:rsid w:val="00025350"/>
    <w:rsid w:val="000253E5"/>
    <w:rsid w:val="00025776"/>
    <w:rsid w:val="00026EAC"/>
    <w:rsid w:val="000270F2"/>
    <w:rsid w:val="00027540"/>
    <w:rsid w:val="00027CC5"/>
    <w:rsid w:val="00030572"/>
    <w:rsid w:val="00030A97"/>
    <w:rsid w:val="00030CB3"/>
    <w:rsid w:val="0003206A"/>
    <w:rsid w:val="000326A7"/>
    <w:rsid w:val="00032EA0"/>
    <w:rsid w:val="000331B0"/>
    <w:rsid w:val="000336D4"/>
    <w:rsid w:val="00033802"/>
    <w:rsid w:val="00034FA7"/>
    <w:rsid w:val="0003533D"/>
    <w:rsid w:val="00035601"/>
    <w:rsid w:val="000357E4"/>
    <w:rsid w:val="00035ACA"/>
    <w:rsid w:val="00037714"/>
    <w:rsid w:val="00040447"/>
    <w:rsid w:val="00040494"/>
    <w:rsid w:val="00040B70"/>
    <w:rsid w:val="00042441"/>
    <w:rsid w:val="00042533"/>
    <w:rsid w:val="00042DBB"/>
    <w:rsid w:val="00042E65"/>
    <w:rsid w:val="0004347C"/>
    <w:rsid w:val="00043907"/>
    <w:rsid w:val="00044F48"/>
    <w:rsid w:val="00045CE1"/>
    <w:rsid w:val="00047354"/>
    <w:rsid w:val="00047709"/>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9D6"/>
    <w:rsid w:val="00060C48"/>
    <w:rsid w:val="00060DFB"/>
    <w:rsid w:val="00061A3C"/>
    <w:rsid w:val="00061C48"/>
    <w:rsid w:val="00062AEF"/>
    <w:rsid w:val="00064278"/>
    <w:rsid w:val="000646CA"/>
    <w:rsid w:val="00066035"/>
    <w:rsid w:val="000665C4"/>
    <w:rsid w:val="00067821"/>
    <w:rsid w:val="0006785E"/>
    <w:rsid w:val="00067F92"/>
    <w:rsid w:val="00067FA7"/>
    <w:rsid w:val="0007038E"/>
    <w:rsid w:val="0007077C"/>
    <w:rsid w:val="000707E2"/>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222"/>
    <w:rsid w:val="000763B5"/>
    <w:rsid w:val="000763F3"/>
    <w:rsid w:val="000766D2"/>
    <w:rsid w:val="00076801"/>
    <w:rsid w:val="0007723E"/>
    <w:rsid w:val="00077577"/>
    <w:rsid w:val="00077607"/>
    <w:rsid w:val="00077711"/>
    <w:rsid w:val="00077756"/>
    <w:rsid w:val="00077B7F"/>
    <w:rsid w:val="000808C1"/>
    <w:rsid w:val="00080970"/>
    <w:rsid w:val="00081671"/>
    <w:rsid w:val="00082AD4"/>
    <w:rsid w:val="0008310A"/>
    <w:rsid w:val="00083343"/>
    <w:rsid w:val="00083965"/>
    <w:rsid w:val="00083E07"/>
    <w:rsid w:val="00084D27"/>
    <w:rsid w:val="00084ED6"/>
    <w:rsid w:val="0008580E"/>
    <w:rsid w:val="00085A0E"/>
    <w:rsid w:val="00085C4F"/>
    <w:rsid w:val="00086EFD"/>
    <w:rsid w:val="00086F8A"/>
    <w:rsid w:val="00087031"/>
    <w:rsid w:val="000900E0"/>
    <w:rsid w:val="00090243"/>
    <w:rsid w:val="000904F6"/>
    <w:rsid w:val="00090918"/>
    <w:rsid w:val="00090ED8"/>
    <w:rsid w:val="00090F9F"/>
    <w:rsid w:val="0009143E"/>
    <w:rsid w:val="0009145F"/>
    <w:rsid w:val="0009184E"/>
    <w:rsid w:val="00091B4E"/>
    <w:rsid w:val="00092467"/>
    <w:rsid w:val="00092FE9"/>
    <w:rsid w:val="000936BF"/>
    <w:rsid w:val="0009382F"/>
    <w:rsid w:val="00093A30"/>
    <w:rsid w:val="00094342"/>
    <w:rsid w:val="000945BA"/>
    <w:rsid w:val="000952D9"/>
    <w:rsid w:val="00095795"/>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5E6D"/>
    <w:rsid w:val="000A7299"/>
    <w:rsid w:val="000A752E"/>
    <w:rsid w:val="000B0E04"/>
    <w:rsid w:val="000B1B52"/>
    <w:rsid w:val="000B268D"/>
    <w:rsid w:val="000B291B"/>
    <w:rsid w:val="000B456C"/>
    <w:rsid w:val="000B45B9"/>
    <w:rsid w:val="000B47CE"/>
    <w:rsid w:val="000B4B56"/>
    <w:rsid w:val="000B4C62"/>
    <w:rsid w:val="000B541D"/>
    <w:rsid w:val="000B54C1"/>
    <w:rsid w:val="000B5553"/>
    <w:rsid w:val="000B5FE8"/>
    <w:rsid w:val="000B666E"/>
    <w:rsid w:val="000B7E23"/>
    <w:rsid w:val="000C0A43"/>
    <w:rsid w:val="000C0CB1"/>
    <w:rsid w:val="000C1411"/>
    <w:rsid w:val="000C1ADE"/>
    <w:rsid w:val="000C1C38"/>
    <w:rsid w:val="000C21DC"/>
    <w:rsid w:val="000C2264"/>
    <w:rsid w:val="000C248C"/>
    <w:rsid w:val="000C256B"/>
    <w:rsid w:val="000C3970"/>
    <w:rsid w:val="000C3B1A"/>
    <w:rsid w:val="000C4727"/>
    <w:rsid w:val="000C47AE"/>
    <w:rsid w:val="000C51AD"/>
    <w:rsid w:val="000C5374"/>
    <w:rsid w:val="000C5EC0"/>
    <w:rsid w:val="000C6162"/>
    <w:rsid w:val="000C635C"/>
    <w:rsid w:val="000C64CC"/>
    <w:rsid w:val="000C6688"/>
    <w:rsid w:val="000C692E"/>
    <w:rsid w:val="000C6B28"/>
    <w:rsid w:val="000C7BEB"/>
    <w:rsid w:val="000D0124"/>
    <w:rsid w:val="000D11E5"/>
    <w:rsid w:val="000D19E8"/>
    <w:rsid w:val="000D1FA1"/>
    <w:rsid w:val="000D2834"/>
    <w:rsid w:val="000D2CAC"/>
    <w:rsid w:val="000D2ED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5AE"/>
    <w:rsid w:val="000E2742"/>
    <w:rsid w:val="000E2785"/>
    <w:rsid w:val="000E27BB"/>
    <w:rsid w:val="000E3153"/>
    <w:rsid w:val="000E3386"/>
    <w:rsid w:val="000E3484"/>
    <w:rsid w:val="000E386F"/>
    <w:rsid w:val="000E4051"/>
    <w:rsid w:val="000E4139"/>
    <w:rsid w:val="000E4765"/>
    <w:rsid w:val="000E5B7E"/>
    <w:rsid w:val="000E5FF9"/>
    <w:rsid w:val="000E6AE1"/>
    <w:rsid w:val="000E7142"/>
    <w:rsid w:val="000E7632"/>
    <w:rsid w:val="000E7737"/>
    <w:rsid w:val="000E7739"/>
    <w:rsid w:val="000E77EE"/>
    <w:rsid w:val="000F0C05"/>
    <w:rsid w:val="000F1593"/>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046"/>
    <w:rsid w:val="001020FF"/>
    <w:rsid w:val="00103251"/>
    <w:rsid w:val="00103509"/>
    <w:rsid w:val="0010393D"/>
    <w:rsid w:val="00103EBD"/>
    <w:rsid w:val="0010456A"/>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4D4D"/>
    <w:rsid w:val="00114EEB"/>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036"/>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46E"/>
    <w:rsid w:val="00147EA7"/>
    <w:rsid w:val="00151820"/>
    <w:rsid w:val="00151B2F"/>
    <w:rsid w:val="001524DC"/>
    <w:rsid w:val="001525E5"/>
    <w:rsid w:val="0015282A"/>
    <w:rsid w:val="00153859"/>
    <w:rsid w:val="00153915"/>
    <w:rsid w:val="001539F0"/>
    <w:rsid w:val="00154BBA"/>
    <w:rsid w:val="00155B95"/>
    <w:rsid w:val="00156853"/>
    <w:rsid w:val="00157432"/>
    <w:rsid w:val="00161185"/>
    <w:rsid w:val="001620BA"/>
    <w:rsid w:val="001623AC"/>
    <w:rsid w:val="00162BAA"/>
    <w:rsid w:val="00163C40"/>
    <w:rsid w:val="0016488B"/>
    <w:rsid w:val="00165357"/>
    <w:rsid w:val="00165758"/>
    <w:rsid w:val="00165A65"/>
    <w:rsid w:val="00166317"/>
    <w:rsid w:val="0016639C"/>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D09"/>
    <w:rsid w:val="001827B7"/>
    <w:rsid w:val="001827EF"/>
    <w:rsid w:val="00182982"/>
    <w:rsid w:val="001829BC"/>
    <w:rsid w:val="00182D68"/>
    <w:rsid w:val="00183031"/>
    <w:rsid w:val="00183468"/>
    <w:rsid w:val="0018397E"/>
    <w:rsid w:val="00184466"/>
    <w:rsid w:val="00184DBF"/>
    <w:rsid w:val="001852A8"/>
    <w:rsid w:val="0018575D"/>
    <w:rsid w:val="0018620A"/>
    <w:rsid w:val="00186DD9"/>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545"/>
    <w:rsid w:val="00192991"/>
    <w:rsid w:val="00193470"/>
    <w:rsid w:val="00193B94"/>
    <w:rsid w:val="001940A7"/>
    <w:rsid w:val="00194BB1"/>
    <w:rsid w:val="00194BC6"/>
    <w:rsid w:val="00195070"/>
    <w:rsid w:val="00195245"/>
    <w:rsid w:val="0019526D"/>
    <w:rsid w:val="0019553F"/>
    <w:rsid w:val="001956BE"/>
    <w:rsid w:val="0019602C"/>
    <w:rsid w:val="00196127"/>
    <w:rsid w:val="001969F2"/>
    <w:rsid w:val="00196CD6"/>
    <w:rsid w:val="0019756A"/>
    <w:rsid w:val="001A06B5"/>
    <w:rsid w:val="001A07F8"/>
    <w:rsid w:val="001A086B"/>
    <w:rsid w:val="001A0A23"/>
    <w:rsid w:val="001A0C98"/>
    <w:rsid w:val="001A128B"/>
    <w:rsid w:val="001A1475"/>
    <w:rsid w:val="001A1F0E"/>
    <w:rsid w:val="001A3335"/>
    <w:rsid w:val="001A473A"/>
    <w:rsid w:val="001A482B"/>
    <w:rsid w:val="001A4ED9"/>
    <w:rsid w:val="001A5785"/>
    <w:rsid w:val="001A5B97"/>
    <w:rsid w:val="001A5FD7"/>
    <w:rsid w:val="001A66A6"/>
    <w:rsid w:val="001A6BAC"/>
    <w:rsid w:val="001A6BAF"/>
    <w:rsid w:val="001A6BBB"/>
    <w:rsid w:val="001A79A2"/>
    <w:rsid w:val="001B06A6"/>
    <w:rsid w:val="001B13BF"/>
    <w:rsid w:val="001B16F5"/>
    <w:rsid w:val="001B1C1F"/>
    <w:rsid w:val="001B219B"/>
    <w:rsid w:val="001B2703"/>
    <w:rsid w:val="001B3DCD"/>
    <w:rsid w:val="001B45B9"/>
    <w:rsid w:val="001B469A"/>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8F3"/>
    <w:rsid w:val="001C10BD"/>
    <w:rsid w:val="001C1F01"/>
    <w:rsid w:val="001C2092"/>
    <w:rsid w:val="001C232F"/>
    <w:rsid w:val="001C2544"/>
    <w:rsid w:val="001C275F"/>
    <w:rsid w:val="001C2A17"/>
    <w:rsid w:val="001C31F5"/>
    <w:rsid w:val="001C6047"/>
    <w:rsid w:val="001C6698"/>
    <w:rsid w:val="001C6C5B"/>
    <w:rsid w:val="001C7399"/>
    <w:rsid w:val="001C7A28"/>
    <w:rsid w:val="001C7CE0"/>
    <w:rsid w:val="001D005B"/>
    <w:rsid w:val="001D0947"/>
    <w:rsid w:val="001D16F5"/>
    <w:rsid w:val="001D1970"/>
    <w:rsid w:val="001D1D55"/>
    <w:rsid w:val="001D21EF"/>
    <w:rsid w:val="001D29A4"/>
    <w:rsid w:val="001D2B73"/>
    <w:rsid w:val="001D3136"/>
    <w:rsid w:val="001D3266"/>
    <w:rsid w:val="001D330D"/>
    <w:rsid w:val="001D4AB6"/>
    <w:rsid w:val="001D4AD3"/>
    <w:rsid w:val="001D51BB"/>
    <w:rsid w:val="001D5281"/>
    <w:rsid w:val="001D743C"/>
    <w:rsid w:val="001E17E3"/>
    <w:rsid w:val="001E2052"/>
    <w:rsid w:val="001E2492"/>
    <w:rsid w:val="001E257C"/>
    <w:rsid w:val="001E286C"/>
    <w:rsid w:val="001E2F34"/>
    <w:rsid w:val="001E35EE"/>
    <w:rsid w:val="001E4B2C"/>
    <w:rsid w:val="001E507F"/>
    <w:rsid w:val="001E56C2"/>
    <w:rsid w:val="001E59FB"/>
    <w:rsid w:val="001E5A28"/>
    <w:rsid w:val="001E7F81"/>
    <w:rsid w:val="001F0FD1"/>
    <w:rsid w:val="001F1526"/>
    <w:rsid w:val="001F19D1"/>
    <w:rsid w:val="001F1CB9"/>
    <w:rsid w:val="001F1F18"/>
    <w:rsid w:val="001F2DFB"/>
    <w:rsid w:val="001F2F92"/>
    <w:rsid w:val="001F5DA1"/>
    <w:rsid w:val="001F612E"/>
    <w:rsid w:val="001F6A92"/>
    <w:rsid w:val="001F77E8"/>
    <w:rsid w:val="002006D2"/>
    <w:rsid w:val="00201A0C"/>
    <w:rsid w:val="00201B0F"/>
    <w:rsid w:val="0020255A"/>
    <w:rsid w:val="00202800"/>
    <w:rsid w:val="00202D33"/>
    <w:rsid w:val="00202E58"/>
    <w:rsid w:val="00202F99"/>
    <w:rsid w:val="00203C85"/>
    <w:rsid w:val="0020449A"/>
    <w:rsid w:val="00204E9B"/>
    <w:rsid w:val="00205298"/>
    <w:rsid w:val="002055C0"/>
    <w:rsid w:val="0020569E"/>
    <w:rsid w:val="00205CAE"/>
    <w:rsid w:val="00205D71"/>
    <w:rsid w:val="0020650D"/>
    <w:rsid w:val="00206698"/>
    <w:rsid w:val="00206736"/>
    <w:rsid w:val="00206C48"/>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D91"/>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70C"/>
    <w:rsid w:val="00242367"/>
    <w:rsid w:val="00242510"/>
    <w:rsid w:val="00242F79"/>
    <w:rsid w:val="0024415B"/>
    <w:rsid w:val="00244675"/>
    <w:rsid w:val="00245565"/>
    <w:rsid w:val="002458C1"/>
    <w:rsid w:val="00245E62"/>
    <w:rsid w:val="002460D0"/>
    <w:rsid w:val="00246357"/>
    <w:rsid w:val="00247422"/>
    <w:rsid w:val="00247ABA"/>
    <w:rsid w:val="00247BA2"/>
    <w:rsid w:val="00250870"/>
    <w:rsid w:val="0025151C"/>
    <w:rsid w:val="0025184F"/>
    <w:rsid w:val="00251967"/>
    <w:rsid w:val="002527CC"/>
    <w:rsid w:val="00252F48"/>
    <w:rsid w:val="002530C0"/>
    <w:rsid w:val="0025335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93C"/>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7FB"/>
    <w:rsid w:val="0027499D"/>
    <w:rsid w:val="00274A04"/>
    <w:rsid w:val="002751CA"/>
    <w:rsid w:val="0027544D"/>
    <w:rsid w:val="00277196"/>
    <w:rsid w:val="002775ED"/>
    <w:rsid w:val="00277624"/>
    <w:rsid w:val="002776B9"/>
    <w:rsid w:val="002778AB"/>
    <w:rsid w:val="002802A5"/>
    <w:rsid w:val="002808D7"/>
    <w:rsid w:val="00280BFA"/>
    <w:rsid w:val="00280CFB"/>
    <w:rsid w:val="00280D24"/>
    <w:rsid w:val="002815C4"/>
    <w:rsid w:val="00281BCB"/>
    <w:rsid w:val="00281C76"/>
    <w:rsid w:val="0028316D"/>
    <w:rsid w:val="00283296"/>
    <w:rsid w:val="00284DA3"/>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BCC"/>
    <w:rsid w:val="00291CF1"/>
    <w:rsid w:val="00292AA1"/>
    <w:rsid w:val="00294012"/>
    <w:rsid w:val="002945B0"/>
    <w:rsid w:val="0029499D"/>
    <w:rsid w:val="00294A13"/>
    <w:rsid w:val="00294B10"/>
    <w:rsid w:val="00294DF9"/>
    <w:rsid w:val="00295073"/>
    <w:rsid w:val="00295468"/>
    <w:rsid w:val="00296BEA"/>
    <w:rsid w:val="00296C32"/>
    <w:rsid w:val="002977CE"/>
    <w:rsid w:val="00297AF5"/>
    <w:rsid w:val="002A02D6"/>
    <w:rsid w:val="002A07C4"/>
    <w:rsid w:val="002A0921"/>
    <w:rsid w:val="002A0CB3"/>
    <w:rsid w:val="002A1887"/>
    <w:rsid w:val="002A2001"/>
    <w:rsid w:val="002A33E1"/>
    <w:rsid w:val="002A377C"/>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127"/>
    <w:rsid w:val="002C1AB3"/>
    <w:rsid w:val="002C1B73"/>
    <w:rsid w:val="002C1BB7"/>
    <w:rsid w:val="002C1FB3"/>
    <w:rsid w:val="002C2665"/>
    <w:rsid w:val="002C28E1"/>
    <w:rsid w:val="002C307A"/>
    <w:rsid w:val="002C327D"/>
    <w:rsid w:val="002C3890"/>
    <w:rsid w:val="002C3A3B"/>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C68"/>
    <w:rsid w:val="002E0E87"/>
    <w:rsid w:val="002E12FA"/>
    <w:rsid w:val="002E13CF"/>
    <w:rsid w:val="002E201C"/>
    <w:rsid w:val="002E22CA"/>
    <w:rsid w:val="002E236F"/>
    <w:rsid w:val="002E2A9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5AB"/>
    <w:rsid w:val="002F0DFB"/>
    <w:rsid w:val="002F134F"/>
    <w:rsid w:val="002F1D0B"/>
    <w:rsid w:val="002F1E1D"/>
    <w:rsid w:val="002F1F02"/>
    <w:rsid w:val="002F27E5"/>
    <w:rsid w:val="002F2D81"/>
    <w:rsid w:val="002F2F66"/>
    <w:rsid w:val="002F39D4"/>
    <w:rsid w:val="002F3B61"/>
    <w:rsid w:val="002F4BA9"/>
    <w:rsid w:val="002F541B"/>
    <w:rsid w:val="002F5BFE"/>
    <w:rsid w:val="002F5DA5"/>
    <w:rsid w:val="002F5E17"/>
    <w:rsid w:val="002F647C"/>
    <w:rsid w:val="002F6C6B"/>
    <w:rsid w:val="002F6CB0"/>
    <w:rsid w:val="002F6CF4"/>
    <w:rsid w:val="002F6EFF"/>
    <w:rsid w:val="002F7DF0"/>
    <w:rsid w:val="002F7FAF"/>
    <w:rsid w:val="00300573"/>
    <w:rsid w:val="00301784"/>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97D"/>
    <w:rsid w:val="00320364"/>
    <w:rsid w:val="00320688"/>
    <w:rsid w:val="00320B75"/>
    <w:rsid w:val="00321DB7"/>
    <w:rsid w:val="00321E7A"/>
    <w:rsid w:val="0032226D"/>
    <w:rsid w:val="00322469"/>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46C"/>
    <w:rsid w:val="003316A8"/>
    <w:rsid w:val="00331C80"/>
    <w:rsid w:val="00331CC9"/>
    <w:rsid w:val="003320D7"/>
    <w:rsid w:val="00332265"/>
    <w:rsid w:val="003325E8"/>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3A"/>
    <w:rsid w:val="003429A1"/>
    <w:rsid w:val="003429FC"/>
    <w:rsid w:val="00343079"/>
    <w:rsid w:val="00343127"/>
    <w:rsid w:val="00343320"/>
    <w:rsid w:val="00344066"/>
    <w:rsid w:val="00344BBF"/>
    <w:rsid w:val="0034509B"/>
    <w:rsid w:val="0034511F"/>
    <w:rsid w:val="00345644"/>
    <w:rsid w:val="00345D0E"/>
    <w:rsid w:val="00345D7A"/>
    <w:rsid w:val="0034607E"/>
    <w:rsid w:val="00346A96"/>
    <w:rsid w:val="00346B6D"/>
    <w:rsid w:val="00346BA3"/>
    <w:rsid w:val="00346C69"/>
    <w:rsid w:val="00347356"/>
    <w:rsid w:val="0035005C"/>
    <w:rsid w:val="00350896"/>
    <w:rsid w:val="00350C31"/>
    <w:rsid w:val="00350C9F"/>
    <w:rsid w:val="003512F0"/>
    <w:rsid w:val="00351391"/>
    <w:rsid w:val="003519CD"/>
    <w:rsid w:val="00351A3A"/>
    <w:rsid w:val="0035403E"/>
    <w:rsid w:val="0035455F"/>
    <w:rsid w:val="00355D75"/>
    <w:rsid w:val="00355D8F"/>
    <w:rsid w:val="00356A73"/>
    <w:rsid w:val="00356FF0"/>
    <w:rsid w:val="003577EF"/>
    <w:rsid w:val="00357A60"/>
    <w:rsid w:val="00360304"/>
    <w:rsid w:val="00360A78"/>
    <w:rsid w:val="00361750"/>
    <w:rsid w:val="00363659"/>
    <w:rsid w:val="00363894"/>
    <w:rsid w:val="00363B2A"/>
    <w:rsid w:val="00363BF1"/>
    <w:rsid w:val="00366085"/>
    <w:rsid w:val="00366779"/>
    <w:rsid w:val="003668E5"/>
    <w:rsid w:val="003669C8"/>
    <w:rsid w:val="00366CEB"/>
    <w:rsid w:val="003672B3"/>
    <w:rsid w:val="003676DF"/>
    <w:rsid w:val="00367783"/>
    <w:rsid w:val="00367898"/>
    <w:rsid w:val="003679D3"/>
    <w:rsid w:val="00367A87"/>
    <w:rsid w:val="00367EE7"/>
    <w:rsid w:val="003703BB"/>
    <w:rsid w:val="003705EA"/>
    <w:rsid w:val="0037098A"/>
    <w:rsid w:val="00370A56"/>
    <w:rsid w:val="00371213"/>
    <w:rsid w:val="00372842"/>
    <w:rsid w:val="003729A5"/>
    <w:rsid w:val="00372C89"/>
    <w:rsid w:val="00372E9A"/>
    <w:rsid w:val="003735B9"/>
    <w:rsid w:val="00373634"/>
    <w:rsid w:val="00374677"/>
    <w:rsid w:val="0037510C"/>
    <w:rsid w:val="00375850"/>
    <w:rsid w:val="0037632F"/>
    <w:rsid w:val="00377B26"/>
    <w:rsid w:val="00377C4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DE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E99"/>
    <w:rsid w:val="003971A1"/>
    <w:rsid w:val="003A0F6B"/>
    <w:rsid w:val="003A12B6"/>
    <w:rsid w:val="003A1C44"/>
    <w:rsid w:val="003A20D5"/>
    <w:rsid w:val="003A24CC"/>
    <w:rsid w:val="003A2500"/>
    <w:rsid w:val="003A2512"/>
    <w:rsid w:val="003A287C"/>
    <w:rsid w:val="003A2A53"/>
    <w:rsid w:val="003A2EE8"/>
    <w:rsid w:val="003A3483"/>
    <w:rsid w:val="003A373C"/>
    <w:rsid w:val="003A5378"/>
    <w:rsid w:val="003A553C"/>
    <w:rsid w:val="003A56DF"/>
    <w:rsid w:val="003A6008"/>
    <w:rsid w:val="003A703F"/>
    <w:rsid w:val="003A7E2B"/>
    <w:rsid w:val="003A7E40"/>
    <w:rsid w:val="003B0336"/>
    <w:rsid w:val="003B073B"/>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1A8"/>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C48"/>
    <w:rsid w:val="003E006E"/>
    <w:rsid w:val="003E0947"/>
    <w:rsid w:val="003E0E96"/>
    <w:rsid w:val="003E20F7"/>
    <w:rsid w:val="003E336A"/>
    <w:rsid w:val="003E3E2F"/>
    <w:rsid w:val="003E4048"/>
    <w:rsid w:val="003E4AA3"/>
    <w:rsid w:val="003E4CE5"/>
    <w:rsid w:val="003E604C"/>
    <w:rsid w:val="003E60DA"/>
    <w:rsid w:val="003E6E00"/>
    <w:rsid w:val="003E7111"/>
    <w:rsid w:val="003E7940"/>
    <w:rsid w:val="003F01BD"/>
    <w:rsid w:val="003F0486"/>
    <w:rsid w:val="003F048E"/>
    <w:rsid w:val="003F09FA"/>
    <w:rsid w:val="003F0AFF"/>
    <w:rsid w:val="003F1AA2"/>
    <w:rsid w:val="003F26DC"/>
    <w:rsid w:val="003F4102"/>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FEF"/>
    <w:rsid w:val="004056B6"/>
    <w:rsid w:val="00405764"/>
    <w:rsid w:val="004060FE"/>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92B"/>
    <w:rsid w:val="00414909"/>
    <w:rsid w:val="00415034"/>
    <w:rsid w:val="00415B1A"/>
    <w:rsid w:val="00415DFD"/>
    <w:rsid w:val="00416208"/>
    <w:rsid w:val="0041690F"/>
    <w:rsid w:val="004169D3"/>
    <w:rsid w:val="00416C2B"/>
    <w:rsid w:val="00416D41"/>
    <w:rsid w:val="00416E70"/>
    <w:rsid w:val="00417264"/>
    <w:rsid w:val="00420EFD"/>
    <w:rsid w:val="004210C0"/>
    <w:rsid w:val="004211DD"/>
    <w:rsid w:val="00421762"/>
    <w:rsid w:val="00421D4B"/>
    <w:rsid w:val="00421ED8"/>
    <w:rsid w:val="0042215C"/>
    <w:rsid w:val="00422907"/>
    <w:rsid w:val="00423125"/>
    <w:rsid w:val="00423309"/>
    <w:rsid w:val="004233AD"/>
    <w:rsid w:val="00423C58"/>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2F99"/>
    <w:rsid w:val="00433EE3"/>
    <w:rsid w:val="004341ED"/>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DDD"/>
    <w:rsid w:val="00442731"/>
    <w:rsid w:val="00442C12"/>
    <w:rsid w:val="0044315E"/>
    <w:rsid w:val="004434DF"/>
    <w:rsid w:val="0044354B"/>
    <w:rsid w:val="0044493E"/>
    <w:rsid w:val="00444A1F"/>
    <w:rsid w:val="00444FC6"/>
    <w:rsid w:val="00445586"/>
    <w:rsid w:val="00445874"/>
    <w:rsid w:val="00445C38"/>
    <w:rsid w:val="0044686B"/>
    <w:rsid w:val="004475F7"/>
    <w:rsid w:val="0045057B"/>
    <w:rsid w:val="0045069B"/>
    <w:rsid w:val="004508C7"/>
    <w:rsid w:val="00450B22"/>
    <w:rsid w:val="00451709"/>
    <w:rsid w:val="004518FA"/>
    <w:rsid w:val="00451A02"/>
    <w:rsid w:val="0045277C"/>
    <w:rsid w:val="00453507"/>
    <w:rsid w:val="00453592"/>
    <w:rsid w:val="004543AB"/>
    <w:rsid w:val="004545EC"/>
    <w:rsid w:val="0045476B"/>
    <w:rsid w:val="00455036"/>
    <w:rsid w:val="00455967"/>
    <w:rsid w:val="00455F71"/>
    <w:rsid w:val="00456272"/>
    <w:rsid w:val="00456E6F"/>
    <w:rsid w:val="004570EF"/>
    <w:rsid w:val="00457517"/>
    <w:rsid w:val="00457CF7"/>
    <w:rsid w:val="00457D37"/>
    <w:rsid w:val="00460067"/>
    <w:rsid w:val="0046028A"/>
    <w:rsid w:val="00460615"/>
    <w:rsid w:val="00460C03"/>
    <w:rsid w:val="00460E3A"/>
    <w:rsid w:val="00460E68"/>
    <w:rsid w:val="004614BC"/>
    <w:rsid w:val="004619A5"/>
    <w:rsid w:val="00461F80"/>
    <w:rsid w:val="0046240D"/>
    <w:rsid w:val="004625B9"/>
    <w:rsid w:val="00462898"/>
    <w:rsid w:val="00462D84"/>
    <w:rsid w:val="00463208"/>
    <w:rsid w:val="00463576"/>
    <w:rsid w:val="004636D6"/>
    <w:rsid w:val="0046399D"/>
    <w:rsid w:val="00463EA4"/>
    <w:rsid w:val="00463F53"/>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15D"/>
    <w:rsid w:val="00496626"/>
    <w:rsid w:val="00496CCE"/>
    <w:rsid w:val="004971C8"/>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03E"/>
    <w:rsid w:val="004B026C"/>
    <w:rsid w:val="004B0271"/>
    <w:rsid w:val="004B0BE8"/>
    <w:rsid w:val="004B0E4A"/>
    <w:rsid w:val="004B18F4"/>
    <w:rsid w:val="004B1A98"/>
    <w:rsid w:val="004B1F4E"/>
    <w:rsid w:val="004B213A"/>
    <w:rsid w:val="004B2463"/>
    <w:rsid w:val="004B2E9D"/>
    <w:rsid w:val="004B305F"/>
    <w:rsid w:val="004B34C4"/>
    <w:rsid w:val="004B34E8"/>
    <w:rsid w:val="004B3981"/>
    <w:rsid w:val="004B3A03"/>
    <w:rsid w:val="004B419F"/>
    <w:rsid w:val="004B4AB0"/>
    <w:rsid w:val="004B4EA9"/>
    <w:rsid w:val="004B531B"/>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BCF"/>
    <w:rsid w:val="004C45C8"/>
    <w:rsid w:val="004C4F8F"/>
    <w:rsid w:val="004C5F4B"/>
    <w:rsid w:val="004C612E"/>
    <w:rsid w:val="004C61B8"/>
    <w:rsid w:val="004C69FE"/>
    <w:rsid w:val="004C6C0A"/>
    <w:rsid w:val="004C6C6D"/>
    <w:rsid w:val="004C74B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49B"/>
    <w:rsid w:val="004D6BF2"/>
    <w:rsid w:val="004D6F29"/>
    <w:rsid w:val="004D7BF5"/>
    <w:rsid w:val="004D7F9C"/>
    <w:rsid w:val="004E03F4"/>
    <w:rsid w:val="004E0440"/>
    <w:rsid w:val="004E068F"/>
    <w:rsid w:val="004E0860"/>
    <w:rsid w:val="004E09CF"/>
    <w:rsid w:val="004E0B75"/>
    <w:rsid w:val="004E0C29"/>
    <w:rsid w:val="004E0DC4"/>
    <w:rsid w:val="004E109C"/>
    <w:rsid w:val="004E1D6F"/>
    <w:rsid w:val="004E1DF3"/>
    <w:rsid w:val="004E2043"/>
    <w:rsid w:val="004E2393"/>
    <w:rsid w:val="004E2528"/>
    <w:rsid w:val="004E3117"/>
    <w:rsid w:val="004E3A2A"/>
    <w:rsid w:val="004E3AB1"/>
    <w:rsid w:val="004E4003"/>
    <w:rsid w:val="004E4626"/>
    <w:rsid w:val="004E4984"/>
    <w:rsid w:val="004E5101"/>
    <w:rsid w:val="004E5380"/>
    <w:rsid w:val="004E6746"/>
    <w:rsid w:val="004E6843"/>
    <w:rsid w:val="004E6CAC"/>
    <w:rsid w:val="004E6F69"/>
    <w:rsid w:val="004E7402"/>
    <w:rsid w:val="004E75C1"/>
    <w:rsid w:val="004E777F"/>
    <w:rsid w:val="004F07F2"/>
    <w:rsid w:val="004F07F9"/>
    <w:rsid w:val="004F0A50"/>
    <w:rsid w:val="004F0D1F"/>
    <w:rsid w:val="004F0E82"/>
    <w:rsid w:val="004F1523"/>
    <w:rsid w:val="004F1847"/>
    <w:rsid w:val="004F1B59"/>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C5F"/>
    <w:rsid w:val="004F5DBB"/>
    <w:rsid w:val="004F60B4"/>
    <w:rsid w:val="004F6184"/>
    <w:rsid w:val="004F61A3"/>
    <w:rsid w:val="004F6874"/>
    <w:rsid w:val="004F7922"/>
    <w:rsid w:val="004F7A1F"/>
    <w:rsid w:val="004F7B47"/>
    <w:rsid w:val="0050079C"/>
    <w:rsid w:val="0050106A"/>
    <w:rsid w:val="005010BC"/>
    <w:rsid w:val="00501848"/>
    <w:rsid w:val="005020A3"/>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2B97"/>
    <w:rsid w:val="005131A2"/>
    <w:rsid w:val="005137E4"/>
    <w:rsid w:val="00513BB9"/>
    <w:rsid w:val="0051440E"/>
    <w:rsid w:val="00514480"/>
    <w:rsid w:val="005148CD"/>
    <w:rsid w:val="00515180"/>
    <w:rsid w:val="00515973"/>
    <w:rsid w:val="00516069"/>
    <w:rsid w:val="0051731D"/>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BCE"/>
    <w:rsid w:val="00533D13"/>
    <w:rsid w:val="00533DEC"/>
    <w:rsid w:val="00534026"/>
    <w:rsid w:val="00534CA2"/>
    <w:rsid w:val="00534D55"/>
    <w:rsid w:val="00534E63"/>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8E1"/>
    <w:rsid w:val="005524ED"/>
    <w:rsid w:val="00553F91"/>
    <w:rsid w:val="00554007"/>
    <w:rsid w:val="00554C03"/>
    <w:rsid w:val="00554C58"/>
    <w:rsid w:val="00554D5D"/>
    <w:rsid w:val="005550F9"/>
    <w:rsid w:val="00556338"/>
    <w:rsid w:val="00556441"/>
    <w:rsid w:val="00557031"/>
    <w:rsid w:val="00557F87"/>
    <w:rsid w:val="0056059E"/>
    <w:rsid w:val="00560FCB"/>
    <w:rsid w:val="00561001"/>
    <w:rsid w:val="0056111C"/>
    <w:rsid w:val="00561140"/>
    <w:rsid w:val="00561412"/>
    <w:rsid w:val="00561903"/>
    <w:rsid w:val="00561A9B"/>
    <w:rsid w:val="00561E54"/>
    <w:rsid w:val="00561F73"/>
    <w:rsid w:val="005621F7"/>
    <w:rsid w:val="0056278F"/>
    <w:rsid w:val="00562FB1"/>
    <w:rsid w:val="00563068"/>
    <w:rsid w:val="005632DD"/>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B58"/>
    <w:rsid w:val="0057200B"/>
    <w:rsid w:val="00572297"/>
    <w:rsid w:val="0057345D"/>
    <w:rsid w:val="0057347D"/>
    <w:rsid w:val="00573560"/>
    <w:rsid w:val="00573BE6"/>
    <w:rsid w:val="00574E7B"/>
    <w:rsid w:val="00574F36"/>
    <w:rsid w:val="00575AB7"/>
    <w:rsid w:val="00576B5C"/>
    <w:rsid w:val="005770CC"/>
    <w:rsid w:val="00577315"/>
    <w:rsid w:val="005802F9"/>
    <w:rsid w:val="005806D5"/>
    <w:rsid w:val="00580DFC"/>
    <w:rsid w:val="0058134C"/>
    <w:rsid w:val="005815CD"/>
    <w:rsid w:val="005827A7"/>
    <w:rsid w:val="00583D43"/>
    <w:rsid w:val="005846C3"/>
    <w:rsid w:val="00584AEC"/>
    <w:rsid w:val="00584F04"/>
    <w:rsid w:val="0058544C"/>
    <w:rsid w:val="00585623"/>
    <w:rsid w:val="005857F7"/>
    <w:rsid w:val="005865E9"/>
    <w:rsid w:val="005868FD"/>
    <w:rsid w:val="00587D7B"/>
    <w:rsid w:val="005904DB"/>
    <w:rsid w:val="005905ED"/>
    <w:rsid w:val="00590D11"/>
    <w:rsid w:val="00591BA6"/>
    <w:rsid w:val="00591C8C"/>
    <w:rsid w:val="00592825"/>
    <w:rsid w:val="00594437"/>
    <w:rsid w:val="00594B70"/>
    <w:rsid w:val="00596CFA"/>
    <w:rsid w:val="00596EC6"/>
    <w:rsid w:val="005975CE"/>
    <w:rsid w:val="005A0088"/>
    <w:rsid w:val="005A04F6"/>
    <w:rsid w:val="005A14F0"/>
    <w:rsid w:val="005A1861"/>
    <w:rsid w:val="005A1A31"/>
    <w:rsid w:val="005A2229"/>
    <w:rsid w:val="005A361D"/>
    <w:rsid w:val="005A36C2"/>
    <w:rsid w:val="005A3719"/>
    <w:rsid w:val="005A3DD7"/>
    <w:rsid w:val="005A40FA"/>
    <w:rsid w:val="005A4C20"/>
    <w:rsid w:val="005A4F48"/>
    <w:rsid w:val="005A54F1"/>
    <w:rsid w:val="005A5782"/>
    <w:rsid w:val="005A57B8"/>
    <w:rsid w:val="005A5DDE"/>
    <w:rsid w:val="005A6220"/>
    <w:rsid w:val="005A64A8"/>
    <w:rsid w:val="005A65C5"/>
    <w:rsid w:val="005A6875"/>
    <w:rsid w:val="005A6D3E"/>
    <w:rsid w:val="005A7016"/>
    <w:rsid w:val="005A7A32"/>
    <w:rsid w:val="005A7EF6"/>
    <w:rsid w:val="005A7F85"/>
    <w:rsid w:val="005B00DD"/>
    <w:rsid w:val="005B03B1"/>
    <w:rsid w:val="005B07D5"/>
    <w:rsid w:val="005B0A44"/>
    <w:rsid w:val="005B1A8A"/>
    <w:rsid w:val="005B1AAB"/>
    <w:rsid w:val="005B2578"/>
    <w:rsid w:val="005B2930"/>
    <w:rsid w:val="005B2B87"/>
    <w:rsid w:val="005B2FAA"/>
    <w:rsid w:val="005B33C8"/>
    <w:rsid w:val="005B387B"/>
    <w:rsid w:val="005B3B01"/>
    <w:rsid w:val="005B4333"/>
    <w:rsid w:val="005B48BE"/>
    <w:rsid w:val="005B56DA"/>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ABD"/>
    <w:rsid w:val="005C4E4D"/>
    <w:rsid w:val="005C58F2"/>
    <w:rsid w:val="005C5A97"/>
    <w:rsid w:val="005C5F77"/>
    <w:rsid w:val="005C6AAB"/>
    <w:rsid w:val="005C6D5D"/>
    <w:rsid w:val="005C6FD0"/>
    <w:rsid w:val="005D01C3"/>
    <w:rsid w:val="005D05FF"/>
    <w:rsid w:val="005D0FB4"/>
    <w:rsid w:val="005D1176"/>
    <w:rsid w:val="005D1747"/>
    <w:rsid w:val="005D2158"/>
    <w:rsid w:val="005D266D"/>
    <w:rsid w:val="005D3002"/>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5DA"/>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890"/>
    <w:rsid w:val="00616C1E"/>
    <w:rsid w:val="00617EFC"/>
    <w:rsid w:val="00620055"/>
    <w:rsid w:val="00620336"/>
    <w:rsid w:val="006204B3"/>
    <w:rsid w:val="006204C2"/>
    <w:rsid w:val="006212D3"/>
    <w:rsid w:val="00621639"/>
    <w:rsid w:val="00622B22"/>
    <w:rsid w:val="00622F67"/>
    <w:rsid w:val="00623571"/>
    <w:rsid w:val="00623A5E"/>
    <w:rsid w:val="00623B08"/>
    <w:rsid w:val="00625008"/>
    <w:rsid w:val="0062548B"/>
    <w:rsid w:val="00625FF4"/>
    <w:rsid w:val="00626710"/>
    <w:rsid w:val="00626930"/>
    <w:rsid w:val="00626AD3"/>
    <w:rsid w:val="00626B8A"/>
    <w:rsid w:val="00626BAC"/>
    <w:rsid w:val="006271C3"/>
    <w:rsid w:val="00627B14"/>
    <w:rsid w:val="0063001E"/>
    <w:rsid w:val="00630023"/>
    <w:rsid w:val="006308EE"/>
    <w:rsid w:val="00630C70"/>
    <w:rsid w:val="00630D67"/>
    <w:rsid w:val="00631005"/>
    <w:rsid w:val="00631C79"/>
    <w:rsid w:val="00632727"/>
    <w:rsid w:val="0063283D"/>
    <w:rsid w:val="0063286C"/>
    <w:rsid w:val="00633769"/>
    <w:rsid w:val="00633FE3"/>
    <w:rsid w:val="00634276"/>
    <w:rsid w:val="0063430D"/>
    <w:rsid w:val="00634570"/>
    <w:rsid w:val="0063462A"/>
    <w:rsid w:val="0063487C"/>
    <w:rsid w:val="00635B73"/>
    <w:rsid w:val="00635BB7"/>
    <w:rsid w:val="00636CC7"/>
    <w:rsid w:val="00637F27"/>
    <w:rsid w:val="006405EC"/>
    <w:rsid w:val="00640708"/>
    <w:rsid w:val="006409E4"/>
    <w:rsid w:val="00640A4D"/>
    <w:rsid w:val="00641117"/>
    <w:rsid w:val="006418F2"/>
    <w:rsid w:val="00641A84"/>
    <w:rsid w:val="00641B05"/>
    <w:rsid w:val="00641DA1"/>
    <w:rsid w:val="00641E5B"/>
    <w:rsid w:val="006426C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D55"/>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3F4"/>
    <w:rsid w:val="006576BA"/>
    <w:rsid w:val="006600BF"/>
    <w:rsid w:val="00660AF7"/>
    <w:rsid w:val="00660D22"/>
    <w:rsid w:val="00660D3E"/>
    <w:rsid w:val="00661691"/>
    <w:rsid w:val="00662D3D"/>
    <w:rsid w:val="00662F1F"/>
    <w:rsid w:val="00663269"/>
    <w:rsid w:val="0066340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017"/>
    <w:rsid w:val="00675399"/>
    <w:rsid w:val="006753AC"/>
    <w:rsid w:val="00675430"/>
    <w:rsid w:val="006755F0"/>
    <w:rsid w:val="00675749"/>
    <w:rsid w:val="006759FE"/>
    <w:rsid w:val="006763CD"/>
    <w:rsid w:val="00677382"/>
    <w:rsid w:val="0067772D"/>
    <w:rsid w:val="00677991"/>
    <w:rsid w:val="00677AD2"/>
    <w:rsid w:val="00680326"/>
    <w:rsid w:val="00680714"/>
    <w:rsid w:val="0068071D"/>
    <w:rsid w:val="00680745"/>
    <w:rsid w:val="00680C6B"/>
    <w:rsid w:val="006811F3"/>
    <w:rsid w:val="00681240"/>
    <w:rsid w:val="0068267D"/>
    <w:rsid w:val="00683068"/>
    <w:rsid w:val="00683DAD"/>
    <w:rsid w:val="0068402D"/>
    <w:rsid w:val="00684592"/>
    <w:rsid w:val="006846C0"/>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4E9"/>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4C7"/>
    <w:rsid w:val="006A563C"/>
    <w:rsid w:val="006A5A6F"/>
    <w:rsid w:val="006A5F7E"/>
    <w:rsid w:val="006A6786"/>
    <w:rsid w:val="006A7C29"/>
    <w:rsid w:val="006B0580"/>
    <w:rsid w:val="006B0DA2"/>
    <w:rsid w:val="006B0F70"/>
    <w:rsid w:val="006B1486"/>
    <w:rsid w:val="006B169F"/>
    <w:rsid w:val="006B1A1E"/>
    <w:rsid w:val="006B1BEB"/>
    <w:rsid w:val="006B1D06"/>
    <w:rsid w:val="006B2823"/>
    <w:rsid w:val="006B29DC"/>
    <w:rsid w:val="006B2F60"/>
    <w:rsid w:val="006B33DB"/>
    <w:rsid w:val="006B3669"/>
    <w:rsid w:val="006B36E5"/>
    <w:rsid w:val="006B3D00"/>
    <w:rsid w:val="006B4012"/>
    <w:rsid w:val="006B4CF8"/>
    <w:rsid w:val="006B506B"/>
    <w:rsid w:val="006B54E8"/>
    <w:rsid w:val="006B5FBC"/>
    <w:rsid w:val="006B60E4"/>
    <w:rsid w:val="006B6ED2"/>
    <w:rsid w:val="006B7F74"/>
    <w:rsid w:val="006C0230"/>
    <w:rsid w:val="006C05C7"/>
    <w:rsid w:val="006C0DA5"/>
    <w:rsid w:val="006C25AB"/>
    <w:rsid w:val="006C2DA6"/>
    <w:rsid w:val="006C3581"/>
    <w:rsid w:val="006C39A0"/>
    <w:rsid w:val="006C3EFE"/>
    <w:rsid w:val="006C46C7"/>
    <w:rsid w:val="006C4767"/>
    <w:rsid w:val="006C4A1A"/>
    <w:rsid w:val="006C4D02"/>
    <w:rsid w:val="006C53A4"/>
    <w:rsid w:val="006C54DF"/>
    <w:rsid w:val="006C5A13"/>
    <w:rsid w:val="006C5D5D"/>
    <w:rsid w:val="006C627E"/>
    <w:rsid w:val="006C6303"/>
    <w:rsid w:val="006C6A51"/>
    <w:rsid w:val="006C6EBD"/>
    <w:rsid w:val="006C7E04"/>
    <w:rsid w:val="006C7F79"/>
    <w:rsid w:val="006D0004"/>
    <w:rsid w:val="006D015F"/>
    <w:rsid w:val="006D060E"/>
    <w:rsid w:val="006D0681"/>
    <w:rsid w:val="006D09AB"/>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B97"/>
    <w:rsid w:val="006E727B"/>
    <w:rsid w:val="006E76C8"/>
    <w:rsid w:val="006E7A92"/>
    <w:rsid w:val="006F0068"/>
    <w:rsid w:val="006F01FF"/>
    <w:rsid w:val="006F0CB2"/>
    <w:rsid w:val="006F1DE9"/>
    <w:rsid w:val="006F2046"/>
    <w:rsid w:val="006F2F59"/>
    <w:rsid w:val="006F311E"/>
    <w:rsid w:val="006F3442"/>
    <w:rsid w:val="006F36A5"/>
    <w:rsid w:val="006F39F4"/>
    <w:rsid w:val="006F40DC"/>
    <w:rsid w:val="006F41F4"/>
    <w:rsid w:val="006F4576"/>
    <w:rsid w:val="006F55C2"/>
    <w:rsid w:val="006F5813"/>
    <w:rsid w:val="006F59A8"/>
    <w:rsid w:val="006F5A1D"/>
    <w:rsid w:val="006F71A6"/>
    <w:rsid w:val="006F7974"/>
    <w:rsid w:val="006F7C2C"/>
    <w:rsid w:val="006F7FD5"/>
    <w:rsid w:val="00700405"/>
    <w:rsid w:val="00700D18"/>
    <w:rsid w:val="0070168D"/>
    <w:rsid w:val="00701C36"/>
    <w:rsid w:val="00702F2D"/>
    <w:rsid w:val="0070306A"/>
    <w:rsid w:val="0070353F"/>
    <w:rsid w:val="0070415E"/>
    <w:rsid w:val="00704631"/>
    <w:rsid w:val="007046F8"/>
    <w:rsid w:val="00704B79"/>
    <w:rsid w:val="00704E7D"/>
    <w:rsid w:val="00705060"/>
    <w:rsid w:val="00705351"/>
    <w:rsid w:val="00705619"/>
    <w:rsid w:val="00705E93"/>
    <w:rsid w:val="007062AF"/>
    <w:rsid w:val="00706598"/>
    <w:rsid w:val="007069AE"/>
    <w:rsid w:val="007069D4"/>
    <w:rsid w:val="00706C89"/>
    <w:rsid w:val="0070751A"/>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14"/>
    <w:rsid w:val="00715577"/>
    <w:rsid w:val="0071604D"/>
    <w:rsid w:val="00716C67"/>
    <w:rsid w:val="007170AB"/>
    <w:rsid w:val="0071775A"/>
    <w:rsid w:val="0071779C"/>
    <w:rsid w:val="00717808"/>
    <w:rsid w:val="00717A01"/>
    <w:rsid w:val="007208A7"/>
    <w:rsid w:val="00720B6A"/>
    <w:rsid w:val="007210F6"/>
    <w:rsid w:val="0072129A"/>
    <w:rsid w:val="0072139F"/>
    <w:rsid w:val="0072198A"/>
    <w:rsid w:val="00721AD9"/>
    <w:rsid w:val="00721DBA"/>
    <w:rsid w:val="00721FC3"/>
    <w:rsid w:val="007224D5"/>
    <w:rsid w:val="00722A86"/>
    <w:rsid w:val="00722BC6"/>
    <w:rsid w:val="00722C69"/>
    <w:rsid w:val="0072311F"/>
    <w:rsid w:val="0072388C"/>
    <w:rsid w:val="0072454E"/>
    <w:rsid w:val="007249D1"/>
    <w:rsid w:val="00724FE4"/>
    <w:rsid w:val="00725829"/>
    <w:rsid w:val="00725B5D"/>
    <w:rsid w:val="00725D6A"/>
    <w:rsid w:val="007263A2"/>
    <w:rsid w:val="007266B9"/>
    <w:rsid w:val="00727351"/>
    <w:rsid w:val="00727AC5"/>
    <w:rsid w:val="00727C65"/>
    <w:rsid w:val="007300F0"/>
    <w:rsid w:val="00730904"/>
    <w:rsid w:val="00730B78"/>
    <w:rsid w:val="00731EDE"/>
    <w:rsid w:val="0073245C"/>
    <w:rsid w:val="00732493"/>
    <w:rsid w:val="00732FE9"/>
    <w:rsid w:val="00733772"/>
    <w:rsid w:val="00733A43"/>
    <w:rsid w:val="00733AE4"/>
    <w:rsid w:val="00733D5F"/>
    <w:rsid w:val="00734932"/>
    <w:rsid w:val="00734955"/>
    <w:rsid w:val="00735D53"/>
    <w:rsid w:val="00735F44"/>
    <w:rsid w:val="0073618A"/>
    <w:rsid w:val="007364A3"/>
    <w:rsid w:val="00736740"/>
    <w:rsid w:val="007378FD"/>
    <w:rsid w:val="007403FE"/>
    <w:rsid w:val="007413EB"/>
    <w:rsid w:val="007413FB"/>
    <w:rsid w:val="00742D32"/>
    <w:rsid w:val="00742E9B"/>
    <w:rsid w:val="007444E6"/>
    <w:rsid w:val="00744A25"/>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B38"/>
    <w:rsid w:val="007602D4"/>
    <w:rsid w:val="00760D96"/>
    <w:rsid w:val="0076124A"/>
    <w:rsid w:val="007613FC"/>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105"/>
    <w:rsid w:val="007702BF"/>
    <w:rsid w:val="007705F0"/>
    <w:rsid w:val="0077110F"/>
    <w:rsid w:val="00771CAC"/>
    <w:rsid w:val="00772036"/>
    <w:rsid w:val="00773098"/>
    <w:rsid w:val="007739A3"/>
    <w:rsid w:val="00773BD9"/>
    <w:rsid w:val="00773CB0"/>
    <w:rsid w:val="00773D71"/>
    <w:rsid w:val="00775526"/>
    <w:rsid w:val="00775651"/>
    <w:rsid w:val="00775AFE"/>
    <w:rsid w:val="00775F3F"/>
    <w:rsid w:val="0077710B"/>
    <w:rsid w:val="0077765A"/>
    <w:rsid w:val="00780032"/>
    <w:rsid w:val="00780636"/>
    <w:rsid w:val="00780E86"/>
    <w:rsid w:val="0078108C"/>
    <w:rsid w:val="00781727"/>
    <w:rsid w:val="007823E8"/>
    <w:rsid w:val="00782B4A"/>
    <w:rsid w:val="00782CF3"/>
    <w:rsid w:val="00783959"/>
    <w:rsid w:val="00783AA2"/>
    <w:rsid w:val="00783BA5"/>
    <w:rsid w:val="007844A9"/>
    <w:rsid w:val="00785091"/>
    <w:rsid w:val="0078638C"/>
    <w:rsid w:val="0078651F"/>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899"/>
    <w:rsid w:val="007A3D85"/>
    <w:rsid w:val="007A3E0D"/>
    <w:rsid w:val="007A436D"/>
    <w:rsid w:val="007A54F6"/>
    <w:rsid w:val="007A55FE"/>
    <w:rsid w:val="007A5677"/>
    <w:rsid w:val="007A57D1"/>
    <w:rsid w:val="007A582C"/>
    <w:rsid w:val="007A5950"/>
    <w:rsid w:val="007A66C0"/>
    <w:rsid w:val="007A6D91"/>
    <w:rsid w:val="007A7618"/>
    <w:rsid w:val="007A7B7F"/>
    <w:rsid w:val="007B00C9"/>
    <w:rsid w:val="007B02C7"/>
    <w:rsid w:val="007B0306"/>
    <w:rsid w:val="007B08E4"/>
    <w:rsid w:val="007B0D86"/>
    <w:rsid w:val="007B28C3"/>
    <w:rsid w:val="007B3527"/>
    <w:rsid w:val="007B3A8E"/>
    <w:rsid w:val="007B3C9B"/>
    <w:rsid w:val="007B4271"/>
    <w:rsid w:val="007B497D"/>
    <w:rsid w:val="007B4EE9"/>
    <w:rsid w:val="007B5234"/>
    <w:rsid w:val="007B54C7"/>
    <w:rsid w:val="007B5637"/>
    <w:rsid w:val="007B5DC5"/>
    <w:rsid w:val="007B5F32"/>
    <w:rsid w:val="007B63FC"/>
    <w:rsid w:val="007B6708"/>
    <w:rsid w:val="007B6ADC"/>
    <w:rsid w:val="007B6C20"/>
    <w:rsid w:val="007B6E8D"/>
    <w:rsid w:val="007C029E"/>
    <w:rsid w:val="007C0577"/>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C0"/>
    <w:rsid w:val="007C66FF"/>
    <w:rsid w:val="007C69AE"/>
    <w:rsid w:val="007C6FE9"/>
    <w:rsid w:val="007C72C8"/>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AC5"/>
    <w:rsid w:val="007E329D"/>
    <w:rsid w:val="007E3463"/>
    <w:rsid w:val="007E347E"/>
    <w:rsid w:val="007E41A4"/>
    <w:rsid w:val="007E43E3"/>
    <w:rsid w:val="007E54B8"/>
    <w:rsid w:val="007E5D12"/>
    <w:rsid w:val="007E63F0"/>
    <w:rsid w:val="007E6420"/>
    <w:rsid w:val="007E677F"/>
    <w:rsid w:val="007E6B25"/>
    <w:rsid w:val="007E6E06"/>
    <w:rsid w:val="007E6F4A"/>
    <w:rsid w:val="007E73DD"/>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224"/>
    <w:rsid w:val="007F78E8"/>
    <w:rsid w:val="007F7F8F"/>
    <w:rsid w:val="00800509"/>
    <w:rsid w:val="0080078E"/>
    <w:rsid w:val="00800B7F"/>
    <w:rsid w:val="008012B1"/>
    <w:rsid w:val="00801D63"/>
    <w:rsid w:val="0080209C"/>
    <w:rsid w:val="0080348B"/>
    <w:rsid w:val="00803D82"/>
    <w:rsid w:val="00803D98"/>
    <w:rsid w:val="008052CE"/>
    <w:rsid w:val="008058D0"/>
    <w:rsid w:val="0080604B"/>
    <w:rsid w:val="00806A4C"/>
    <w:rsid w:val="0080705B"/>
    <w:rsid w:val="0080723C"/>
    <w:rsid w:val="00807590"/>
    <w:rsid w:val="00807F71"/>
    <w:rsid w:val="0081000F"/>
    <w:rsid w:val="00812657"/>
    <w:rsid w:val="00812A1A"/>
    <w:rsid w:val="00812DFF"/>
    <w:rsid w:val="0081362F"/>
    <w:rsid w:val="0081383A"/>
    <w:rsid w:val="008138CB"/>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B86"/>
    <w:rsid w:val="00823819"/>
    <w:rsid w:val="00823C4B"/>
    <w:rsid w:val="0082427D"/>
    <w:rsid w:val="00825441"/>
    <w:rsid w:val="00825A3C"/>
    <w:rsid w:val="00826014"/>
    <w:rsid w:val="00826739"/>
    <w:rsid w:val="00826855"/>
    <w:rsid w:val="008276A7"/>
    <w:rsid w:val="00830052"/>
    <w:rsid w:val="008300D0"/>
    <w:rsid w:val="008308D8"/>
    <w:rsid w:val="00831E26"/>
    <w:rsid w:val="008320D2"/>
    <w:rsid w:val="008321CE"/>
    <w:rsid w:val="0083257C"/>
    <w:rsid w:val="0083261B"/>
    <w:rsid w:val="00832B44"/>
    <w:rsid w:val="00832EC9"/>
    <w:rsid w:val="00833307"/>
    <w:rsid w:val="00833583"/>
    <w:rsid w:val="00833B5B"/>
    <w:rsid w:val="00833D5C"/>
    <w:rsid w:val="00833E9A"/>
    <w:rsid w:val="008349E2"/>
    <w:rsid w:val="00834FEF"/>
    <w:rsid w:val="00835425"/>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7CE"/>
    <w:rsid w:val="00846D25"/>
    <w:rsid w:val="00850013"/>
    <w:rsid w:val="008500DD"/>
    <w:rsid w:val="00850A0A"/>
    <w:rsid w:val="00850A94"/>
    <w:rsid w:val="00851E96"/>
    <w:rsid w:val="00851F1C"/>
    <w:rsid w:val="00852FA5"/>
    <w:rsid w:val="00853F7D"/>
    <w:rsid w:val="00854797"/>
    <w:rsid w:val="0085517F"/>
    <w:rsid w:val="0085562D"/>
    <w:rsid w:val="00855A78"/>
    <w:rsid w:val="00856154"/>
    <w:rsid w:val="00856286"/>
    <w:rsid w:val="0085657E"/>
    <w:rsid w:val="00856612"/>
    <w:rsid w:val="008566B7"/>
    <w:rsid w:val="00856DD4"/>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194"/>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4DDE"/>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5F0"/>
    <w:rsid w:val="0089275E"/>
    <w:rsid w:val="00892B43"/>
    <w:rsid w:val="00892D45"/>
    <w:rsid w:val="00893432"/>
    <w:rsid w:val="00893936"/>
    <w:rsid w:val="00893CE2"/>
    <w:rsid w:val="00893F41"/>
    <w:rsid w:val="00895144"/>
    <w:rsid w:val="00895963"/>
    <w:rsid w:val="00895F2A"/>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DC5"/>
    <w:rsid w:val="008A3E10"/>
    <w:rsid w:val="008A411C"/>
    <w:rsid w:val="008A4630"/>
    <w:rsid w:val="008A47CE"/>
    <w:rsid w:val="008A4DFA"/>
    <w:rsid w:val="008A5F2F"/>
    <w:rsid w:val="008A6BAE"/>
    <w:rsid w:val="008A7350"/>
    <w:rsid w:val="008A7614"/>
    <w:rsid w:val="008A7A72"/>
    <w:rsid w:val="008A7F7B"/>
    <w:rsid w:val="008B09F3"/>
    <w:rsid w:val="008B111A"/>
    <w:rsid w:val="008B16E6"/>
    <w:rsid w:val="008B1AB2"/>
    <w:rsid w:val="008B1D9B"/>
    <w:rsid w:val="008B2042"/>
    <w:rsid w:val="008B25F1"/>
    <w:rsid w:val="008B2F26"/>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DA1"/>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002"/>
    <w:rsid w:val="008E2626"/>
    <w:rsid w:val="008E27A9"/>
    <w:rsid w:val="008E2B70"/>
    <w:rsid w:val="008E323C"/>
    <w:rsid w:val="008E32E0"/>
    <w:rsid w:val="008E35A6"/>
    <w:rsid w:val="008E36D9"/>
    <w:rsid w:val="008E3A5C"/>
    <w:rsid w:val="008E3A9A"/>
    <w:rsid w:val="008E429E"/>
    <w:rsid w:val="008E4A04"/>
    <w:rsid w:val="008E58A3"/>
    <w:rsid w:val="008E5938"/>
    <w:rsid w:val="008E6109"/>
    <w:rsid w:val="008E6A39"/>
    <w:rsid w:val="008E76BB"/>
    <w:rsid w:val="008F1764"/>
    <w:rsid w:val="008F1E3D"/>
    <w:rsid w:val="008F235C"/>
    <w:rsid w:val="008F2567"/>
    <w:rsid w:val="008F290B"/>
    <w:rsid w:val="008F2F11"/>
    <w:rsid w:val="008F3369"/>
    <w:rsid w:val="008F33A6"/>
    <w:rsid w:val="008F35EC"/>
    <w:rsid w:val="008F3603"/>
    <w:rsid w:val="008F4D57"/>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155"/>
    <w:rsid w:val="0090446A"/>
    <w:rsid w:val="00904537"/>
    <w:rsid w:val="00904DC3"/>
    <w:rsid w:val="0090534A"/>
    <w:rsid w:val="00905469"/>
    <w:rsid w:val="00906078"/>
    <w:rsid w:val="0090612C"/>
    <w:rsid w:val="0090629C"/>
    <w:rsid w:val="00906EA2"/>
    <w:rsid w:val="00907278"/>
    <w:rsid w:val="00910041"/>
    <w:rsid w:val="0091112B"/>
    <w:rsid w:val="00911D61"/>
    <w:rsid w:val="00912850"/>
    <w:rsid w:val="009128B8"/>
    <w:rsid w:val="00912CEE"/>
    <w:rsid w:val="00913CF9"/>
    <w:rsid w:val="0091472C"/>
    <w:rsid w:val="00914DC9"/>
    <w:rsid w:val="00914E47"/>
    <w:rsid w:val="00915351"/>
    <w:rsid w:val="00915679"/>
    <w:rsid w:val="009159C2"/>
    <w:rsid w:val="0091627F"/>
    <w:rsid w:val="00916E45"/>
    <w:rsid w:val="00917F1D"/>
    <w:rsid w:val="0092077A"/>
    <w:rsid w:val="00920DC0"/>
    <w:rsid w:val="009219F3"/>
    <w:rsid w:val="00921E22"/>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4EB7"/>
    <w:rsid w:val="00945907"/>
    <w:rsid w:val="00946128"/>
    <w:rsid w:val="0094633F"/>
    <w:rsid w:val="00947BA5"/>
    <w:rsid w:val="00950175"/>
    <w:rsid w:val="00950805"/>
    <w:rsid w:val="009517E4"/>
    <w:rsid w:val="009518D4"/>
    <w:rsid w:val="009520BC"/>
    <w:rsid w:val="009521D2"/>
    <w:rsid w:val="00952403"/>
    <w:rsid w:val="00952589"/>
    <w:rsid w:val="00952BD8"/>
    <w:rsid w:val="00953296"/>
    <w:rsid w:val="00953573"/>
    <w:rsid w:val="009537C0"/>
    <w:rsid w:val="00953AD6"/>
    <w:rsid w:val="00953F5E"/>
    <w:rsid w:val="009557A9"/>
    <w:rsid w:val="00956647"/>
    <w:rsid w:val="00956954"/>
    <w:rsid w:val="00957380"/>
    <w:rsid w:val="00957409"/>
    <w:rsid w:val="00957499"/>
    <w:rsid w:val="00957ED2"/>
    <w:rsid w:val="009604AE"/>
    <w:rsid w:val="009609AF"/>
    <w:rsid w:val="00960DE4"/>
    <w:rsid w:val="009610C7"/>
    <w:rsid w:val="00961164"/>
    <w:rsid w:val="00961867"/>
    <w:rsid w:val="00961A4F"/>
    <w:rsid w:val="009625B7"/>
    <w:rsid w:val="00962F09"/>
    <w:rsid w:val="00962FB8"/>
    <w:rsid w:val="00963183"/>
    <w:rsid w:val="0096373F"/>
    <w:rsid w:val="00963BA1"/>
    <w:rsid w:val="00964007"/>
    <w:rsid w:val="00964283"/>
    <w:rsid w:val="009642A4"/>
    <w:rsid w:val="009643F4"/>
    <w:rsid w:val="009645A6"/>
    <w:rsid w:val="00964F5A"/>
    <w:rsid w:val="0096527F"/>
    <w:rsid w:val="009653ED"/>
    <w:rsid w:val="00966A21"/>
    <w:rsid w:val="00966AD2"/>
    <w:rsid w:val="009673A2"/>
    <w:rsid w:val="00967D8A"/>
    <w:rsid w:val="00971415"/>
    <w:rsid w:val="009716D8"/>
    <w:rsid w:val="00971F54"/>
    <w:rsid w:val="00972057"/>
    <w:rsid w:val="0097227B"/>
    <w:rsid w:val="0097262E"/>
    <w:rsid w:val="0097293F"/>
    <w:rsid w:val="00973103"/>
    <w:rsid w:val="00974022"/>
    <w:rsid w:val="00974086"/>
    <w:rsid w:val="009743E8"/>
    <w:rsid w:val="009745D8"/>
    <w:rsid w:val="00974F3B"/>
    <w:rsid w:val="0097552A"/>
    <w:rsid w:val="0097564A"/>
    <w:rsid w:val="00975974"/>
    <w:rsid w:val="00975D06"/>
    <w:rsid w:val="00975D63"/>
    <w:rsid w:val="00975DAE"/>
    <w:rsid w:val="00976BBE"/>
    <w:rsid w:val="0098044E"/>
    <w:rsid w:val="0098055B"/>
    <w:rsid w:val="00980B30"/>
    <w:rsid w:val="009810BE"/>
    <w:rsid w:val="009817BC"/>
    <w:rsid w:val="009819A7"/>
    <w:rsid w:val="0098220A"/>
    <w:rsid w:val="00982E75"/>
    <w:rsid w:val="00983337"/>
    <w:rsid w:val="009836AA"/>
    <w:rsid w:val="009846BF"/>
    <w:rsid w:val="0098482B"/>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2BB"/>
    <w:rsid w:val="00995B01"/>
    <w:rsid w:val="00995D77"/>
    <w:rsid w:val="00996055"/>
    <w:rsid w:val="00996EF4"/>
    <w:rsid w:val="00997044"/>
    <w:rsid w:val="00997BC9"/>
    <w:rsid w:val="009A113D"/>
    <w:rsid w:val="009A1ECA"/>
    <w:rsid w:val="009A2BE9"/>
    <w:rsid w:val="009A2BF3"/>
    <w:rsid w:val="009A3688"/>
    <w:rsid w:val="009A3713"/>
    <w:rsid w:val="009A3C3E"/>
    <w:rsid w:val="009A4153"/>
    <w:rsid w:val="009A4C2C"/>
    <w:rsid w:val="009A5765"/>
    <w:rsid w:val="009A59B3"/>
    <w:rsid w:val="009A5FAE"/>
    <w:rsid w:val="009A6B3A"/>
    <w:rsid w:val="009A70A3"/>
    <w:rsid w:val="009A7E7C"/>
    <w:rsid w:val="009B05D2"/>
    <w:rsid w:val="009B152B"/>
    <w:rsid w:val="009B2731"/>
    <w:rsid w:val="009B2DCF"/>
    <w:rsid w:val="009B39D8"/>
    <w:rsid w:val="009B3D38"/>
    <w:rsid w:val="009B4368"/>
    <w:rsid w:val="009B4D4C"/>
    <w:rsid w:val="009B554D"/>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4C0"/>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D3"/>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0DF"/>
    <w:rsid w:val="009F56C0"/>
    <w:rsid w:val="009F5C76"/>
    <w:rsid w:val="009F7DD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38"/>
    <w:rsid w:val="00A102F8"/>
    <w:rsid w:val="00A10A20"/>
    <w:rsid w:val="00A117D5"/>
    <w:rsid w:val="00A1195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982"/>
    <w:rsid w:val="00A21838"/>
    <w:rsid w:val="00A228B2"/>
    <w:rsid w:val="00A22C3E"/>
    <w:rsid w:val="00A22C4D"/>
    <w:rsid w:val="00A2334E"/>
    <w:rsid w:val="00A23442"/>
    <w:rsid w:val="00A24636"/>
    <w:rsid w:val="00A249D2"/>
    <w:rsid w:val="00A254AB"/>
    <w:rsid w:val="00A259F2"/>
    <w:rsid w:val="00A266CC"/>
    <w:rsid w:val="00A26DB4"/>
    <w:rsid w:val="00A27425"/>
    <w:rsid w:val="00A3023E"/>
    <w:rsid w:val="00A305C5"/>
    <w:rsid w:val="00A30919"/>
    <w:rsid w:val="00A31F05"/>
    <w:rsid w:val="00A31FD2"/>
    <w:rsid w:val="00A320EE"/>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8BB"/>
    <w:rsid w:val="00A46D39"/>
    <w:rsid w:val="00A47019"/>
    <w:rsid w:val="00A472B8"/>
    <w:rsid w:val="00A479A9"/>
    <w:rsid w:val="00A5004A"/>
    <w:rsid w:val="00A5017C"/>
    <w:rsid w:val="00A502D6"/>
    <w:rsid w:val="00A502F5"/>
    <w:rsid w:val="00A504F4"/>
    <w:rsid w:val="00A507C4"/>
    <w:rsid w:val="00A508AA"/>
    <w:rsid w:val="00A50EE7"/>
    <w:rsid w:val="00A526CE"/>
    <w:rsid w:val="00A52DAD"/>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BAD"/>
    <w:rsid w:val="00A67CE9"/>
    <w:rsid w:val="00A70590"/>
    <w:rsid w:val="00A7062E"/>
    <w:rsid w:val="00A70834"/>
    <w:rsid w:val="00A71542"/>
    <w:rsid w:val="00A7171F"/>
    <w:rsid w:val="00A71FA0"/>
    <w:rsid w:val="00A71FBD"/>
    <w:rsid w:val="00A72727"/>
    <w:rsid w:val="00A727D8"/>
    <w:rsid w:val="00A72C1A"/>
    <w:rsid w:val="00A732FB"/>
    <w:rsid w:val="00A74348"/>
    <w:rsid w:val="00A7463E"/>
    <w:rsid w:val="00A74DFC"/>
    <w:rsid w:val="00A758E2"/>
    <w:rsid w:val="00A765B1"/>
    <w:rsid w:val="00A76A13"/>
    <w:rsid w:val="00A772F2"/>
    <w:rsid w:val="00A77828"/>
    <w:rsid w:val="00A77BAA"/>
    <w:rsid w:val="00A800F9"/>
    <w:rsid w:val="00A803A6"/>
    <w:rsid w:val="00A8073D"/>
    <w:rsid w:val="00A80D02"/>
    <w:rsid w:val="00A815FB"/>
    <w:rsid w:val="00A81AEB"/>
    <w:rsid w:val="00A81D96"/>
    <w:rsid w:val="00A82762"/>
    <w:rsid w:val="00A82D32"/>
    <w:rsid w:val="00A82EAE"/>
    <w:rsid w:val="00A82FC7"/>
    <w:rsid w:val="00A843A6"/>
    <w:rsid w:val="00A8458F"/>
    <w:rsid w:val="00A847F9"/>
    <w:rsid w:val="00A84F27"/>
    <w:rsid w:val="00A8519C"/>
    <w:rsid w:val="00A855EE"/>
    <w:rsid w:val="00A8597A"/>
    <w:rsid w:val="00A85B87"/>
    <w:rsid w:val="00A85F83"/>
    <w:rsid w:val="00A86019"/>
    <w:rsid w:val="00A86EED"/>
    <w:rsid w:val="00A8733A"/>
    <w:rsid w:val="00A879A9"/>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6DDB"/>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197"/>
    <w:rsid w:val="00AA3243"/>
    <w:rsid w:val="00AA388F"/>
    <w:rsid w:val="00AA3C4C"/>
    <w:rsid w:val="00AA408E"/>
    <w:rsid w:val="00AA4DA9"/>
    <w:rsid w:val="00AA4E39"/>
    <w:rsid w:val="00AA4F6D"/>
    <w:rsid w:val="00AA50CE"/>
    <w:rsid w:val="00AA536B"/>
    <w:rsid w:val="00AA57C9"/>
    <w:rsid w:val="00AA5A5C"/>
    <w:rsid w:val="00AA5A6F"/>
    <w:rsid w:val="00AA634D"/>
    <w:rsid w:val="00AA6F6C"/>
    <w:rsid w:val="00AA721D"/>
    <w:rsid w:val="00AA7519"/>
    <w:rsid w:val="00AA790A"/>
    <w:rsid w:val="00AB02EA"/>
    <w:rsid w:val="00AB110C"/>
    <w:rsid w:val="00AB2050"/>
    <w:rsid w:val="00AB20E5"/>
    <w:rsid w:val="00AB2212"/>
    <w:rsid w:val="00AB227A"/>
    <w:rsid w:val="00AB22BF"/>
    <w:rsid w:val="00AB256E"/>
    <w:rsid w:val="00AB3466"/>
    <w:rsid w:val="00AB38B2"/>
    <w:rsid w:val="00AB3BBB"/>
    <w:rsid w:val="00AB3C49"/>
    <w:rsid w:val="00AB408C"/>
    <w:rsid w:val="00AB43AF"/>
    <w:rsid w:val="00AB4E41"/>
    <w:rsid w:val="00AB5206"/>
    <w:rsid w:val="00AB5EB1"/>
    <w:rsid w:val="00AB6003"/>
    <w:rsid w:val="00AB759A"/>
    <w:rsid w:val="00AB7B06"/>
    <w:rsid w:val="00AB7EAA"/>
    <w:rsid w:val="00AC0432"/>
    <w:rsid w:val="00AC0770"/>
    <w:rsid w:val="00AC1683"/>
    <w:rsid w:val="00AC1D82"/>
    <w:rsid w:val="00AC2221"/>
    <w:rsid w:val="00AC2D5F"/>
    <w:rsid w:val="00AC4094"/>
    <w:rsid w:val="00AC42B6"/>
    <w:rsid w:val="00AC4AB7"/>
    <w:rsid w:val="00AC5093"/>
    <w:rsid w:val="00AC51E0"/>
    <w:rsid w:val="00AC6D24"/>
    <w:rsid w:val="00AC6E18"/>
    <w:rsid w:val="00AC7EE5"/>
    <w:rsid w:val="00AC7F64"/>
    <w:rsid w:val="00AD1065"/>
    <w:rsid w:val="00AD159E"/>
    <w:rsid w:val="00AD1F11"/>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3E4B"/>
    <w:rsid w:val="00B04678"/>
    <w:rsid w:val="00B047C9"/>
    <w:rsid w:val="00B04A04"/>
    <w:rsid w:val="00B04B78"/>
    <w:rsid w:val="00B04C37"/>
    <w:rsid w:val="00B04F00"/>
    <w:rsid w:val="00B05BA6"/>
    <w:rsid w:val="00B066DA"/>
    <w:rsid w:val="00B066FE"/>
    <w:rsid w:val="00B06912"/>
    <w:rsid w:val="00B06F40"/>
    <w:rsid w:val="00B07316"/>
    <w:rsid w:val="00B07F74"/>
    <w:rsid w:val="00B10618"/>
    <w:rsid w:val="00B10B04"/>
    <w:rsid w:val="00B10CC6"/>
    <w:rsid w:val="00B11932"/>
    <w:rsid w:val="00B11A61"/>
    <w:rsid w:val="00B12082"/>
    <w:rsid w:val="00B12347"/>
    <w:rsid w:val="00B12648"/>
    <w:rsid w:val="00B1270C"/>
    <w:rsid w:val="00B12710"/>
    <w:rsid w:val="00B13389"/>
    <w:rsid w:val="00B1364C"/>
    <w:rsid w:val="00B13E1B"/>
    <w:rsid w:val="00B13EDB"/>
    <w:rsid w:val="00B141A5"/>
    <w:rsid w:val="00B1474C"/>
    <w:rsid w:val="00B14F3D"/>
    <w:rsid w:val="00B14F47"/>
    <w:rsid w:val="00B15282"/>
    <w:rsid w:val="00B15286"/>
    <w:rsid w:val="00B1539F"/>
    <w:rsid w:val="00B1550D"/>
    <w:rsid w:val="00B15F6C"/>
    <w:rsid w:val="00B163E8"/>
    <w:rsid w:val="00B1767E"/>
    <w:rsid w:val="00B2070F"/>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297"/>
    <w:rsid w:val="00B274E3"/>
    <w:rsid w:val="00B2765C"/>
    <w:rsid w:val="00B278B4"/>
    <w:rsid w:val="00B27C4B"/>
    <w:rsid w:val="00B30563"/>
    <w:rsid w:val="00B3069E"/>
    <w:rsid w:val="00B30A76"/>
    <w:rsid w:val="00B31246"/>
    <w:rsid w:val="00B31834"/>
    <w:rsid w:val="00B32295"/>
    <w:rsid w:val="00B33AB5"/>
    <w:rsid w:val="00B3412E"/>
    <w:rsid w:val="00B343E0"/>
    <w:rsid w:val="00B35B6D"/>
    <w:rsid w:val="00B35D53"/>
    <w:rsid w:val="00B36034"/>
    <w:rsid w:val="00B367C4"/>
    <w:rsid w:val="00B36D3E"/>
    <w:rsid w:val="00B37B8E"/>
    <w:rsid w:val="00B40222"/>
    <w:rsid w:val="00B40278"/>
    <w:rsid w:val="00B404C3"/>
    <w:rsid w:val="00B41A04"/>
    <w:rsid w:val="00B42743"/>
    <w:rsid w:val="00B430E9"/>
    <w:rsid w:val="00B4311F"/>
    <w:rsid w:val="00B431AE"/>
    <w:rsid w:val="00B44288"/>
    <w:rsid w:val="00B448BF"/>
    <w:rsid w:val="00B45A59"/>
    <w:rsid w:val="00B45F9F"/>
    <w:rsid w:val="00B460F4"/>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BE5"/>
    <w:rsid w:val="00B555B3"/>
    <w:rsid w:val="00B55F64"/>
    <w:rsid w:val="00B56ECA"/>
    <w:rsid w:val="00B57093"/>
    <w:rsid w:val="00B57AC6"/>
    <w:rsid w:val="00B57B5D"/>
    <w:rsid w:val="00B60613"/>
    <w:rsid w:val="00B61AEC"/>
    <w:rsid w:val="00B6244C"/>
    <w:rsid w:val="00B62A2F"/>
    <w:rsid w:val="00B62B7B"/>
    <w:rsid w:val="00B62F0A"/>
    <w:rsid w:val="00B63484"/>
    <w:rsid w:val="00B634B7"/>
    <w:rsid w:val="00B634F1"/>
    <w:rsid w:val="00B637EF"/>
    <w:rsid w:val="00B6391F"/>
    <w:rsid w:val="00B63EF6"/>
    <w:rsid w:val="00B642B5"/>
    <w:rsid w:val="00B6440A"/>
    <w:rsid w:val="00B65788"/>
    <w:rsid w:val="00B65844"/>
    <w:rsid w:val="00B65F67"/>
    <w:rsid w:val="00B66054"/>
    <w:rsid w:val="00B66582"/>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77DC9"/>
    <w:rsid w:val="00B804F8"/>
    <w:rsid w:val="00B8095A"/>
    <w:rsid w:val="00B80B05"/>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A5E"/>
    <w:rsid w:val="00B87F1C"/>
    <w:rsid w:val="00B90D8D"/>
    <w:rsid w:val="00B91263"/>
    <w:rsid w:val="00B91B61"/>
    <w:rsid w:val="00B93849"/>
    <w:rsid w:val="00B938BD"/>
    <w:rsid w:val="00B93CF3"/>
    <w:rsid w:val="00B93E7F"/>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242"/>
    <w:rsid w:val="00BA6319"/>
    <w:rsid w:val="00BA63CE"/>
    <w:rsid w:val="00BA676E"/>
    <w:rsid w:val="00BA6980"/>
    <w:rsid w:val="00BA6EF2"/>
    <w:rsid w:val="00BA7227"/>
    <w:rsid w:val="00BA7313"/>
    <w:rsid w:val="00BA763C"/>
    <w:rsid w:val="00BA784D"/>
    <w:rsid w:val="00BA7CD7"/>
    <w:rsid w:val="00BB00E5"/>
    <w:rsid w:val="00BB1688"/>
    <w:rsid w:val="00BB1EFB"/>
    <w:rsid w:val="00BB269F"/>
    <w:rsid w:val="00BB27CC"/>
    <w:rsid w:val="00BB2ACE"/>
    <w:rsid w:val="00BB2C3C"/>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377"/>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C2C"/>
    <w:rsid w:val="00BD62E6"/>
    <w:rsid w:val="00BD6B0E"/>
    <w:rsid w:val="00BD734D"/>
    <w:rsid w:val="00BD7941"/>
    <w:rsid w:val="00BE0591"/>
    <w:rsid w:val="00BE0C55"/>
    <w:rsid w:val="00BE0F03"/>
    <w:rsid w:val="00BE11A2"/>
    <w:rsid w:val="00BE1EF0"/>
    <w:rsid w:val="00BE20E5"/>
    <w:rsid w:val="00BE246C"/>
    <w:rsid w:val="00BE2657"/>
    <w:rsid w:val="00BE2FD2"/>
    <w:rsid w:val="00BE377A"/>
    <w:rsid w:val="00BE37AE"/>
    <w:rsid w:val="00BE3B14"/>
    <w:rsid w:val="00BE3C65"/>
    <w:rsid w:val="00BE4222"/>
    <w:rsid w:val="00BE472D"/>
    <w:rsid w:val="00BE4B27"/>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A98"/>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FFC"/>
    <w:rsid w:val="00C0702A"/>
    <w:rsid w:val="00C0724C"/>
    <w:rsid w:val="00C077D2"/>
    <w:rsid w:val="00C07B56"/>
    <w:rsid w:val="00C07C11"/>
    <w:rsid w:val="00C07E10"/>
    <w:rsid w:val="00C10015"/>
    <w:rsid w:val="00C1110A"/>
    <w:rsid w:val="00C11689"/>
    <w:rsid w:val="00C12414"/>
    <w:rsid w:val="00C12ECB"/>
    <w:rsid w:val="00C14212"/>
    <w:rsid w:val="00C148B2"/>
    <w:rsid w:val="00C14ABD"/>
    <w:rsid w:val="00C14EBF"/>
    <w:rsid w:val="00C151E0"/>
    <w:rsid w:val="00C15212"/>
    <w:rsid w:val="00C155A8"/>
    <w:rsid w:val="00C159FD"/>
    <w:rsid w:val="00C15B31"/>
    <w:rsid w:val="00C15F66"/>
    <w:rsid w:val="00C1604F"/>
    <w:rsid w:val="00C166D4"/>
    <w:rsid w:val="00C168E5"/>
    <w:rsid w:val="00C1696D"/>
    <w:rsid w:val="00C16A1E"/>
    <w:rsid w:val="00C16C90"/>
    <w:rsid w:val="00C17AB5"/>
    <w:rsid w:val="00C20051"/>
    <w:rsid w:val="00C20B6C"/>
    <w:rsid w:val="00C20B86"/>
    <w:rsid w:val="00C21145"/>
    <w:rsid w:val="00C215ED"/>
    <w:rsid w:val="00C22350"/>
    <w:rsid w:val="00C23615"/>
    <w:rsid w:val="00C2397E"/>
    <w:rsid w:val="00C23A06"/>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AE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65C"/>
    <w:rsid w:val="00C418B3"/>
    <w:rsid w:val="00C4297A"/>
    <w:rsid w:val="00C4360C"/>
    <w:rsid w:val="00C439B8"/>
    <w:rsid w:val="00C43A0B"/>
    <w:rsid w:val="00C43EDA"/>
    <w:rsid w:val="00C43FEC"/>
    <w:rsid w:val="00C4414C"/>
    <w:rsid w:val="00C45512"/>
    <w:rsid w:val="00C45AEA"/>
    <w:rsid w:val="00C4602B"/>
    <w:rsid w:val="00C46097"/>
    <w:rsid w:val="00C46564"/>
    <w:rsid w:val="00C46BFA"/>
    <w:rsid w:val="00C46DDF"/>
    <w:rsid w:val="00C500A1"/>
    <w:rsid w:val="00C50A02"/>
    <w:rsid w:val="00C50FAF"/>
    <w:rsid w:val="00C51149"/>
    <w:rsid w:val="00C5117E"/>
    <w:rsid w:val="00C512D1"/>
    <w:rsid w:val="00C51856"/>
    <w:rsid w:val="00C51B04"/>
    <w:rsid w:val="00C51DB5"/>
    <w:rsid w:val="00C524B2"/>
    <w:rsid w:val="00C53013"/>
    <w:rsid w:val="00C53CE9"/>
    <w:rsid w:val="00C5531B"/>
    <w:rsid w:val="00C55375"/>
    <w:rsid w:val="00C5570F"/>
    <w:rsid w:val="00C56C98"/>
    <w:rsid w:val="00C56DE1"/>
    <w:rsid w:val="00C56DEE"/>
    <w:rsid w:val="00C57120"/>
    <w:rsid w:val="00C571D5"/>
    <w:rsid w:val="00C575D4"/>
    <w:rsid w:val="00C60E91"/>
    <w:rsid w:val="00C61223"/>
    <w:rsid w:val="00C61246"/>
    <w:rsid w:val="00C618A8"/>
    <w:rsid w:val="00C618B8"/>
    <w:rsid w:val="00C61A78"/>
    <w:rsid w:val="00C61E96"/>
    <w:rsid w:val="00C629F3"/>
    <w:rsid w:val="00C62B88"/>
    <w:rsid w:val="00C62CD3"/>
    <w:rsid w:val="00C634F9"/>
    <w:rsid w:val="00C63CDE"/>
    <w:rsid w:val="00C63E3C"/>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85"/>
    <w:rsid w:val="00C76FFC"/>
    <w:rsid w:val="00C774E0"/>
    <w:rsid w:val="00C776BA"/>
    <w:rsid w:val="00C7791E"/>
    <w:rsid w:val="00C77C20"/>
    <w:rsid w:val="00C77FE1"/>
    <w:rsid w:val="00C80C71"/>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311"/>
    <w:rsid w:val="00C95853"/>
    <w:rsid w:val="00C95AB8"/>
    <w:rsid w:val="00C95C2F"/>
    <w:rsid w:val="00C95F87"/>
    <w:rsid w:val="00C96035"/>
    <w:rsid w:val="00C9669E"/>
    <w:rsid w:val="00C968EF"/>
    <w:rsid w:val="00C972CE"/>
    <w:rsid w:val="00CA0492"/>
    <w:rsid w:val="00CA05B0"/>
    <w:rsid w:val="00CA0632"/>
    <w:rsid w:val="00CA0A04"/>
    <w:rsid w:val="00CA2528"/>
    <w:rsid w:val="00CA3073"/>
    <w:rsid w:val="00CA3CAB"/>
    <w:rsid w:val="00CA3FC0"/>
    <w:rsid w:val="00CA4C7B"/>
    <w:rsid w:val="00CA5685"/>
    <w:rsid w:val="00CA6A2E"/>
    <w:rsid w:val="00CA6B56"/>
    <w:rsid w:val="00CA7D3E"/>
    <w:rsid w:val="00CB0317"/>
    <w:rsid w:val="00CB0662"/>
    <w:rsid w:val="00CB0A82"/>
    <w:rsid w:val="00CB0F2F"/>
    <w:rsid w:val="00CB1556"/>
    <w:rsid w:val="00CB17E2"/>
    <w:rsid w:val="00CB2913"/>
    <w:rsid w:val="00CB3970"/>
    <w:rsid w:val="00CB42B9"/>
    <w:rsid w:val="00CB4550"/>
    <w:rsid w:val="00CB4F39"/>
    <w:rsid w:val="00CB52A4"/>
    <w:rsid w:val="00CB537C"/>
    <w:rsid w:val="00CB5A26"/>
    <w:rsid w:val="00CB633B"/>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D71"/>
    <w:rsid w:val="00CD4E50"/>
    <w:rsid w:val="00CD57CB"/>
    <w:rsid w:val="00CD64E1"/>
    <w:rsid w:val="00CD66BA"/>
    <w:rsid w:val="00CD699D"/>
    <w:rsid w:val="00CD6BA3"/>
    <w:rsid w:val="00CD70DB"/>
    <w:rsid w:val="00CD7544"/>
    <w:rsid w:val="00CD78D4"/>
    <w:rsid w:val="00CE0697"/>
    <w:rsid w:val="00CE08A1"/>
    <w:rsid w:val="00CE14CB"/>
    <w:rsid w:val="00CE2E2E"/>
    <w:rsid w:val="00CE30C2"/>
    <w:rsid w:val="00CE3A51"/>
    <w:rsid w:val="00CE41F9"/>
    <w:rsid w:val="00CE49B1"/>
    <w:rsid w:val="00CE58B3"/>
    <w:rsid w:val="00CE59F6"/>
    <w:rsid w:val="00CE6127"/>
    <w:rsid w:val="00CE66CD"/>
    <w:rsid w:val="00CE6BA9"/>
    <w:rsid w:val="00CE71C3"/>
    <w:rsid w:val="00CE727A"/>
    <w:rsid w:val="00CF029C"/>
    <w:rsid w:val="00CF0AF0"/>
    <w:rsid w:val="00CF157E"/>
    <w:rsid w:val="00CF1631"/>
    <w:rsid w:val="00CF1834"/>
    <w:rsid w:val="00CF1AAA"/>
    <w:rsid w:val="00CF1EC2"/>
    <w:rsid w:val="00CF2ACF"/>
    <w:rsid w:val="00CF345B"/>
    <w:rsid w:val="00CF3C35"/>
    <w:rsid w:val="00CF475F"/>
    <w:rsid w:val="00CF5008"/>
    <w:rsid w:val="00CF5069"/>
    <w:rsid w:val="00CF5E34"/>
    <w:rsid w:val="00CF6707"/>
    <w:rsid w:val="00CF7064"/>
    <w:rsid w:val="00CF7101"/>
    <w:rsid w:val="00CF7327"/>
    <w:rsid w:val="00CF7385"/>
    <w:rsid w:val="00CF7539"/>
    <w:rsid w:val="00CF75C6"/>
    <w:rsid w:val="00CF7B77"/>
    <w:rsid w:val="00CF7DF5"/>
    <w:rsid w:val="00D001D2"/>
    <w:rsid w:val="00D02A80"/>
    <w:rsid w:val="00D0352D"/>
    <w:rsid w:val="00D04BC5"/>
    <w:rsid w:val="00D04F01"/>
    <w:rsid w:val="00D04F8B"/>
    <w:rsid w:val="00D052B9"/>
    <w:rsid w:val="00D054EF"/>
    <w:rsid w:val="00D05637"/>
    <w:rsid w:val="00D05BA9"/>
    <w:rsid w:val="00D05EB1"/>
    <w:rsid w:val="00D06124"/>
    <w:rsid w:val="00D0650B"/>
    <w:rsid w:val="00D068AA"/>
    <w:rsid w:val="00D06E71"/>
    <w:rsid w:val="00D06E9C"/>
    <w:rsid w:val="00D06F5D"/>
    <w:rsid w:val="00D0714B"/>
    <w:rsid w:val="00D07612"/>
    <w:rsid w:val="00D0764E"/>
    <w:rsid w:val="00D07D82"/>
    <w:rsid w:val="00D10327"/>
    <w:rsid w:val="00D103C9"/>
    <w:rsid w:val="00D108EB"/>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4D3"/>
    <w:rsid w:val="00D15AE3"/>
    <w:rsid w:val="00D160C4"/>
    <w:rsid w:val="00D165D8"/>
    <w:rsid w:val="00D1724E"/>
    <w:rsid w:val="00D17728"/>
    <w:rsid w:val="00D17C26"/>
    <w:rsid w:val="00D17E08"/>
    <w:rsid w:val="00D17EA0"/>
    <w:rsid w:val="00D203D2"/>
    <w:rsid w:val="00D206F6"/>
    <w:rsid w:val="00D20FD1"/>
    <w:rsid w:val="00D214D4"/>
    <w:rsid w:val="00D21AAA"/>
    <w:rsid w:val="00D21E6F"/>
    <w:rsid w:val="00D22164"/>
    <w:rsid w:val="00D2218A"/>
    <w:rsid w:val="00D22B13"/>
    <w:rsid w:val="00D2371E"/>
    <w:rsid w:val="00D237E0"/>
    <w:rsid w:val="00D23A17"/>
    <w:rsid w:val="00D25676"/>
    <w:rsid w:val="00D2579F"/>
    <w:rsid w:val="00D2580E"/>
    <w:rsid w:val="00D265A7"/>
    <w:rsid w:val="00D26624"/>
    <w:rsid w:val="00D2690C"/>
    <w:rsid w:val="00D2706D"/>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37CA2"/>
    <w:rsid w:val="00D401A1"/>
    <w:rsid w:val="00D40217"/>
    <w:rsid w:val="00D40385"/>
    <w:rsid w:val="00D404CE"/>
    <w:rsid w:val="00D40E8F"/>
    <w:rsid w:val="00D412BF"/>
    <w:rsid w:val="00D417C6"/>
    <w:rsid w:val="00D417D0"/>
    <w:rsid w:val="00D42B0C"/>
    <w:rsid w:val="00D42D6E"/>
    <w:rsid w:val="00D43DEF"/>
    <w:rsid w:val="00D44259"/>
    <w:rsid w:val="00D443F2"/>
    <w:rsid w:val="00D45690"/>
    <w:rsid w:val="00D45C61"/>
    <w:rsid w:val="00D45DDC"/>
    <w:rsid w:val="00D5064C"/>
    <w:rsid w:val="00D50C94"/>
    <w:rsid w:val="00D511C0"/>
    <w:rsid w:val="00D511E7"/>
    <w:rsid w:val="00D517ED"/>
    <w:rsid w:val="00D5238C"/>
    <w:rsid w:val="00D5251C"/>
    <w:rsid w:val="00D52F56"/>
    <w:rsid w:val="00D536BF"/>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26B"/>
    <w:rsid w:val="00D61E1D"/>
    <w:rsid w:val="00D61E9D"/>
    <w:rsid w:val="00D629A4"/>
    <w:rsid w:val="00D62BDF"/>
    <w:rsid w:val="00D62EEE"/>
    <w:rsid w:val="00D64F1C"/>
    <w:rsid w:val="00D6570C"/>
    <w:rsid w:val="00D65835"/>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C8A"/>
    <w:rsid w:val="00D73991"/>
    <w:rsid w:val="00D73CD4"/>
    <w:rsid w:val="00D73E12"/>
    <w:rsid w:val="00D73F06"/>
    <w:rsid w:val="00D740B2"/>
    <w:rsid w:val="00D74247"/>
    <w:rsid w:val="00D7431B"/>
    <w:rsid w:val="00D743F1"/>
    <w:rsid w:val="00D744CF"/>
    <w:rsid w:val="00D7456E"/>
    <w:rsid w:val="00D753A9"/>
    <w:rsid w:val="00D755F7"/>
    <w:rsid w:val="00D75DDB"/>
    <w:rsid w:val="00D75E4B"/>
    <w:rsid w:val="00D765C8"/>
    <w:rsid w:val="00D774F4"/>
    <w:rsid w:val="00D77687"/>
    <w:rsid w:val="00D77AF6"/>
    <w:rsid w:val="00D804C5"/>
    <w:rsid w:val="00D807FE"/>
    <w:rsid w:val="00D815E6"/>
    <w:rsid w:val="00D81A28"/>
    <w:rsid w:val="00D81BDE"/>
    <w:rsid w:val="00D8201D"/>
    <w:rsid w:val="00D82B00"/>
    <w:rsid w:val="00D82B04"/>
    <w:rsid w:val="00D82BE4"/>
    <w:rsid w:val="00D82E05"/>
    <w:rsid w:val="00D83C0D"/>
    <w:rsid w:val="00D83C65"/>
    <w:rsid w:val="00D83C80"/>
    <w:rsid w:val="00D83F5B"/>
    <w:rsid w:val="00D85FDE"/>
    <w:rsid w:val="00D8665E"/>
    <w:rsid w:val="00D869C1"/>
    <w:rsid w:val="00D86EC6"/>
    <w:rsid w:val="00D87418"/>
    <w:rsid w:val="00D87A39"/>
    <w:rsid w:val="00D87FE6"/>
    <w:rsid w:val="00D90BC3"/>
    <w:rsid w:val="00D90C93"/>
    <w:rsid w:val="00D90D7A"/>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8AC"/>
    <w:rsid w:val="00D95F88"/>
    <w:rsid w:val="00D963C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A"/>
    <w:rsid w:val="00DA4A61"/>
    <w:rsid w:val="00DA5AFE"/>
    <w:rsid w:val="00DA605C"/>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06A"/>
    <w:rsid w:val="00DB6F96"/>
    <w:rsid w:val="00DB71B9"/>
    <w:rsid w:val="00DB7662"/>
    <w:rsid w:val="00DB7E46"/>
    <w:rsid w:val="00DC1395"/>
    <w:rsid w:val="00DC32FC"/>
    <w:rsid w:val="00DC3AF8"/>
    <w:rsid w:val="00DC3D89"/>
    <w:rsid w:val="00DC4567"/>
    <w:rsid w:val="00DC4D6C"/>
    <w:rsid w:val="00DC4F47"/>
    <w:rsid w:val="00DC5059"/>
    <w:rsid w:val="00DC5860"/>
    <w:rsid w:val="00DC5BD0"/>
    <w:rsid w:val="00DC5BE2"/>
    <w:rsid w:val="00DC6284"/>
    <w:rsid w:val="00DC628E"/>
    <w:rsid w:val="00DC6747"/>
    <w:rsid w:val="00DC6AF3"/>
    <w:rsid w:val="00DC6CC8"/>
    <w:rsid w:val="00DC7608"/>
    <w:rsid w:val="00DC761E"/>
    <w:rsid w:val="00DC7B3B"/>
    <w:rsid w:val="00DC7CFC"/>
    <w:rsid w:val="00DD09F2"/>
    <w:rsid w:val="00DD0DEE"/>
    <w:rsid w:val="00DD1205"/>
    <w:rsid w:val="00DD1633"/>
    <w:rsid w:val="00DD17A0"/>
    <w:rsid w:val="00DD1B97"/>
    <w:rsid w:val="00DD27A4"/>
    <w:rsid w:val="00DD2831"/>
    <w:rsid w:val="00DD2A6D"/>
    <w:rsid w:val="00DD2E17"/>
    <w:rsid w:val="00DD42DE"/>
    <w:rsid w:val="00DD4309"/>
    <w:rsid w:val="00DD4344"/>
    <w:rsid w:val="00DD4357"/>
    <w:rsid w:val="00DD4CCE"/>
    <w:rsid w:val="00DD4DDD"/>
    <w:rsid w:val="00DD573B"/>
    <w:rsid w:val="00DD57E7"/>
    <w:rsid w:val="00DD5A1E"/>
    <w:rsid w:val="00DD5B8C"/>
    <w:rsid w:val="00DD5DFA"/>
    <w:rsid w:val="00DD5E91"/>
    <w:rsid w:val="00DD621F"/>
    <w:rsid w:val="00DD6CE2"/>
    <w:rsid w:val="00DD6FD1"/>
    <w:rsid w:val="00DD720D"/>
    <w:rsid w:val="00DD7838"/>
    <w:rsid w:val="00DE0229"/>
    <w:rsid w:val="00DE04E0"/>
    <w:rsid w:val="00DE12F1"/>
    <w:rsid w:val="00DE1A9D"/>
    <w:rsid w:val="00DE1CB1"/>
    <w:rsid w:val="00DE2073"/>
    <w:rsid w:val="00DE30AC"/>
    <w:rsid w:val="00DE38D1"/>
    <w:rsid w:val="00DE3FDD"/>
    <w:rsid w:val="00DE4106"/>
    <w:rsid w:val="00DE466B"/>
    <w:rsid w:val="00DE467E"/>
    <w:rsid w:val="00DE48D6"/>
    <w:rsid w:val="00DE48F4"/>
    <w:rsid w:val="00DE5563"/>
    <w:rsid w:val="00DE5C19"/>
    <w:rsid w:val="00DE5D48"/>
    <w:rsid w:val="00DE66A0"/>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346"/>
    <w:rsid w:val="00DF7418"/>
    <w:rsid w:val="00DF743D"/>
    <w:rsid w:val="00DF7724"/>
    <w:rsid w:val="00E000D8"/>
    <w:rsid w:val="00E00C1E"/>
    <w:rsid w:val="00E00F5F"/>
    <w:rsid w:val="00E010E6"/>
    <w:rsid w:val="00E01377"/>
    <w:rsid w:val="00E014E7"/>
    <w:rsid w:val="00E0232F"/>
    <w:rsid w:val="00E026A9"/>
    <w:rsid w:val="00E0335C"/>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926"/>
    <w:rsid w:val="00E07B8F"/>
    <w:rsid w:val="00E10712"/>
    <w:rsid w:val="00E10DD1"/>
    <w:rsid w:val="00E1224C"/>
    <w:rsid w:val="00E1254C"/>
    <w:rsid w:val="00E12BDF"/>
    <w:rsid w:val="00E13326"/>
    <w:rsid w:val="00E13D07"/>
    <w:rsid w:val="00E14356"/>
    <w:rsid w:val="00E14961"/>
    <w:rsid w:val="00E14D76"/>
    <w:rsid w:val="00E15183"/>
    <w:rsid w:val="00E1576A"/>
    <w:rsid w:val="00E15D6C"/>
    <w:rsid w:val="00E17101"/>
    <w:rsid w:val="00E1720B"/>
    <w:rsid w:val="00E203DE"/>
    <w:rsid w:val="00E20CE7"/>
    <w:rsid w:val="00E217B1"/>
    <w:rsid w:val="00E222FA"/>
    <w:rsid w:val="00E229CE"/>
    <w:rsid w:val="00E22B4A"/>
    <w:rsid w:val="00E23E80"/>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02F"/>
    <w:rsid w:val="00E35A45"/>
    <w:rsid w:val="00E35E4F"/>
    <w:rsid w:val="00E35F7F"/>
    <w:rsid w:val="00E36392"/>
    <w:rsid w:val="00E36B32"/>
    <w:rsid w:val="00E37A6F"/>
    <w:rsid w:val="00E37A9C"/>
    <w:rsid w:val="00E37F37"/>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F5F"/>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7F1"/>
    <w:rsid w:val="00E6185F"/>
    <w:rsid w:val="00E61D32"/>
    <w:rsid w:val="00E63C60"/>
    <w:rsid w:val="00E64050"/>
    <w:rsid w:val="00E643DE"/>
    <w:rsid w:val="00E64B7B"/>
    <w:rsid w:val="00E6514D"/>
    <w:rsid w:val="00E65161"/>
    <w:rsid w:val="00E652C9"/>
    <w:rsid w:val="00E6593B"/>
    <w:rsid w:val="00E65D74"/>
    <w:rsid w:val="00E66E11"/>
    <w:rsid w:val="00E672C6"/>
    <w:rsid w:val="00E67CE3"/>
    <w:rsid w:val="00E70192"/>
    <w:rsid w:val="00E70971"/>
    <w:rsid w:val="00E70C55"/>
    <w:rsid w:val="00E70E34"/>
    <w:rsid w:val="00E71809"/>
    <w:rsid w:val="00E71A18"/>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2C8"/>
    <w:rsid w:val="00E77341"/>
    <w:rsid w:val="00E7783E"/>
    <w:rsid w:val="00E778B8"/>
    <w:rsid w:val="00E801C7"/>
    <w:rsid w:val="00E80AF8"/>
    <w:rsid w:val="00E80BED"/>
    <w:rsid w:val="00E816E8"/>
    <w:rsid w:val="00E819EF"/>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D09"/>
    <w:rsid w:val="00E912FD"/>
    <w:rsid w:val="00E91B26"/>
    <w:rsid w:val="00E92C6E"/>
    <w:rsid w:val="00E92D0B"/>
    <w:rsid w:val="00E92FFF"/>
    <w:rsid w:val="00E93195"/>
    <w:rsid w:val="00E9391C"/>
    <w:rsid w:val="00E93D05"/>
    <w:rsid w:val="00E951D8"/>
    <w:rsid w:val="00E95C2A"/>
    <w:rsid w:val="00E961CB"/>
    <w:rsid w:val="00E963BC"/>
    <w:rsid w:val="00E964EB"/>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F1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B7D22"/>
    <w:rsid w:val="00EC07F1"/>
    <w:rsid w:val="00EC13CD"/>
    <w:rsid w:val="00EC1719"/>
    <w:rsid w:val="00EC1E8A"/>
    <w:rsid w:val="00EC328C"/>
    <w:rsid w:val="00EC32F5"/>
    <w:rsid w:val="00EC3852"/>
    <w:rsid w:val="00EC4528"/>
    <w:rsid w:val="00EC5241"/>
    <w:rsid w:val="00EC5817"/>
    <w:rsid w:val="00EC594C"/>
    <w:rsid w:val="00EC5C7B"/>
    <w:rsid w:val="00EC5CA9"/>
    <w:rsid w:val="00EC5F91"/>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D98"/>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7B8"/>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66"/>
    <w:rsid w:val="00EF4DB4"/>
    <w:rsid w:val="00EF5234"/>
    <w:rsid w:val="00EF55E9"/>
    <w:rsid w:val="00EF5B41"/>
    <w:rsid w:val="00EF611C"/>
    <w:rsid w:val="00EF625F"/>
    <w:rsid w:val="00EF62C0"/>
    <w:rsid w:val="00EF65EF"/>
    <w:rsid w:val="00EF6D5A"/>
    <w:rsid w:val="00EF71E6"/>
    <w:rsid w:val="00F0058A"/>
    <w:rsid w:val="00F00630"/>
    <w:rsid w:val="00F00922"/>
    <w:rsid w:val="00F00924"/>
    <w:rsid w:val="00F012F7"/>
    <w:rsid w:val="00F0187E"/>
    <w:rsid w:val="00F01BE6"/>
    <w:rsid w:val="00F01F75"/>
    <w:rsid w:val="00F0217A"/>
    <w:rsid w:val="00F026D3"/>
    <w:rsid w:val="00F027E8"/>
    <w:rsid w:val="00F03395"/>
    <w:rsid w:val="00F034E6"/>
    <w:rsid w:val="00F03E4C"/>
    <w:rsid w:val="00F040CA"/>
    <w:rsid w:val="00F04D19"/>
    <w:rsid w:val="00F050A3"/>
    <w:rsid w:val="00F062C6"/>
    <w:rsid w:val="00F06340"/>
    <w:rsid w:val="00F0665D"/>
    <w:rsid w:val="00F06D42"/>
    <w:rsid w:val="00F07134"/>
    <w:rsid w:val="00F0724D"/>
    <w:rsid w:val="00F07378"/>
    <w:rsid w:val="00F109CE"/>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17A"/>
    <w:rsid w:val="00F27626"/>
    <w:rsid w:val="00F27E44"/>
    <w:rsid w:val="00F30313"/>
    <w:rsid w:val="00F303BC"/>
    <w:rsid w:val="00F30472"/>
    <w:rsid w:val="00F307FD"/>
    <w:rsid w:val="00F31052"/>
    <w:rsid w:val="00F318A1"/>
    <w:rsid w:val="00F31CF5"/>
    <w:rsid w:val="00F31EC9"/>
    <w:rsid w:val="00F3265C"/>
    <w:rsid w:val="00F32C4A"/>
    <w:rsid w:val="00F33262"/>
    <w:rsid w:val="00F3371A"/>
    <w:rsid w:val="00F343EE"/>
    <w:rsid w:val="00F353F4"/>
    <w:rsid w:val="00F35494"/>
    <w:rsid w:val="00F35607"/>
    <w:rsid w:val="00F359AB"/>
    <w:rsid w:val="00F35DBA"/>
    <w:rsid w:val="00F3619D"/>
    <w:rsid w:val="00F36DDE"/>
    <w:rsid w:val="00F3722A"/>
    <w:rsid w:val="00F37366"/>
    <w:rsid w:val="00F3760D"/>
    <w:rsid w:val="00F37C99"/>
    <w:rsid w:val="00F37FCC"/>
    <w:rsid w:val="00F419B8"/>
    <w:rsid w:val="00F41C0F"/>
    <w:rsid w:val="00F42856"/>
    <w:rsid w:val="00F42ED7"/>
    <w:rsid w:val="00F43777"/>
    <w:rsid w:val="00F4482B"/>
    <w:rsid w:val="00F4492D"/>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8CC"/>
    <w:rsid w:val="00F51A82"/>
    <w:rsid w:val="00F51B78"/>
    <w:rsid w:val="00F51BDD"/>
    <w:rsid w:val="00F52065"/>
    <w:rsid w:val="00F521CE"/>
    <w:rsid w:val="00F5253E"/>
    <w:rsid w:val="00F5254B"/>
    <w:rsid w:val="00F52CB7"/>
    <w:rsid w:val="00F53A44"/>
    <w:rsid w:val="00F547DC"/>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236"/>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1AC"/>
    <w:rsid w:val="00F773A9"/>
    <w:rsid w:val="00F8056E"/>
    <w:rsid w:val="00F805B7"/>
    <w:rsid w:val="00F810C1"/>
    <w:rsid w:val="00F81284"/>
    <w:rsid w:val="00F81623"/>
    <w:rsid w:val="00F81D25"/>
    <w:rsid w:val="00F81FE9"/>
    <w:rsid w:val="00F8245C"/>
    <w:rsid w:val="00F82928"/>
    <w:rsid w:val="00F829B9"/>
    <w:rsid w:val="00F83045"/>
    <w:rsid w:val="00F83615"/>
    <w:rsid w:val="00F83EC7"/>
    <w:rsid w:val="00F8421D"/>
    <w:rsid w:val="00F85329"/>
    <w:rsid w:val="00F85683"/>
    <w:rsid w:val="00F85841"/>
    <w:rsid w:val="00F85B5F"/>
    <w:rsid w:val="00F86079"/>
    <w:rsid w:val="00F8610A"/>
    <w:rsid w:val="00F87282"/>
    <w:rsid w:val="00F878CD"/>
    <w:rsid w:val="00F87905"/>
    <w:rsid w:val="00F87A66"/>
    <w:rsid w:val="00F90C1F"/>
    <w:rsid w:val="00F912D9"/>
    <w:rsid w:val="00F91A44"/>
    <w:rsid w:val="00F91BFA"/>
    <w:rsid w:val="00F91F8F"/>
    <w:rsid w:val="00F9217B"/>
    <w:rsid w:val="00F94BBD"/>
    <w:rsid w:val="00F95AC2"/>
    <w:rsid w:val="00F97612"/>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A29"/>
    <w:rsid w:val="00FA55A2"/>
    <w:rsid w:val="00FA672F"/>
    <w:rsid w:val="00FA775E"/>
    <w:rsid w:val="00FA7792"/>
    <w:rsid w:val="00FA7AA8"/>
    <w:rsid w:val="00FA7F1D"/>
    <w:rsid w:val="00FB011C"/>
    <w:rsid w:val="00FB0D60"/>
    <w:rsid w:val="00FB18FD"/>
    <w:rsid w:val="00FB2BF5"/>
    <w:rsid w:val="00FB2F8E"/>
    <w:rsid w:val="00FB30C3"/>
    <w:rsid w:val="00FB39B0"/>
    <w:rsid w:val="00FB3D14"/>
    <w:rsid w:val="00FB5138"/>
    <w:rsid w:val="00FB547F"/>
    <w:rsid w:val="00FB5A71"/>
    <w:rsid w:val="00FB63F6"/>
    <w:rsid w:val="00FB7823"/>
    <w:rsid w:val="00FC05B2"/>
    <w:rsid w:val="00FC08B3"/>
    <w:rsid w:val="00FC09D7"/>
    <w:rsid w:val="00FC0A17"/>
    <w:rsid w:val="00FC0ABE"/>
    <w:rsid w:val="00FC1269"/>
    <w:rsid w:val="00FC22D0"/>
    <w:rsid w:val="00FC38D4"/>
    <w:rsid w:val="00FC391E"/>
    <w:rsid w:val="00FC39B3"/>
    <w:rsid w:val="00FC3BB7"/>
    <w:rsid w:val="00FC4345"/>
    <w:rsid w:val="00FC444A"/>
    <w:rsid w:val="00FC453D"/>
    <w:rsid w:val="00FC4A89"/>
    <w:rsid w:val="00FC534A"/>
    <w:rsid w:val="00FC619B"/>
    <w:rsid w:val="00FC665F"/>
    <w:rsid w:val="00FC6C35"/>
    <w:rsid w:val="00FC6D59"/>
    <w:rsid w:val="00FC7561"/>
    <w:rsid w:val="00FC772F"/>
    <w:rsid w:val="00FC78F5"/>
    <w:rsid w:val="00FC7ACA"/>
    <w:rsid w:val="00FC7AD2"/>
    <w:rsid w:val="00FD10B3"/>
    <w:rsid w:val="00FD11C3"/>
    <w:rsid w:val="00FD154E"/>
    <w:rsid w:val="00FD24D7"/>
    <w:rsid w:val="00FD29CE"/>
    <w:rsid w:val="00FD3AE2"/>
    <w:rsid w:val="00FD3E41"/>
    <w:rsid w:val="00FD3EFA"/>
    <w:rsid w:val="00FD4DE9"/>
    <w:rsid w:val="00FD54A8"/>
    <w:rsid w:val="00FD5AE4"/>
    <w:rsid w:val="00FD5F25"/>
    <w:rsid w:val="00FD60BE"/>
    <w:rsid w:val="00FD6894"/>
    <w:rsid w:val="00FD6AF0"/>
    <w:rsid w:val="00FD704D"/>
    <w:rsid w:val="00FD70D4"/>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8B5"/>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750"/>
    <w:rsid w:val="010651D9"/>
    <w:rsid w:val="011F6449"/>
    <w:rsid w:val="01236AFB"/>
    <w:rsid w:val="01782E7E"/>
    <w:rsid w:val="019F7441"/>
    <w:rsid w:val="01A65C59"/>
    <w:rsid w:val="01B37585"/>
    <w:rsid w:val="01D55165"/>
    <w:rsid w:val="01DF6BF8"/>
    <w:rsid w:val="01EC2C57"/>
    <w:rsid w:val="026B2E25"/>
    <w:rsid w:val="02824D4D"/>
    <w:rsid w:val="02DC4B10"/>
    <w:rsid w:val="02DD76CE"/>
    <w:rsid w:val="02F36323"/>
    <w:rsid w:val="02F5619C"/>
    <w:rsid w:val="0326446A"/>
    <w:rsid w:val="032D5555"/>
    <w:rsid w:val="036634D2"/>
    <w:rsid w:val="039258B2"/>
    <w:rsid w:val="03B17B11"/>
    <w:rsid w:val="03CB5F9E"/>
    <w:rsid w:val="03DD35E4"/>
    <w:rsid w:val="04076900"/>
    <w:rsid w:val="041A5A3B"/>
    <w:rsid w:val="042311BA"/>
    <w:rsid w:val="042B157A"/>
    <w:rsid w:val="048F763B"/>
    <w:rsid w:val="049F330E"/>
    <w:rsid w:val="04AA775C"/>
    <w:rsid w:val="04AF1889"/>
    <w:rsid w:val="04E826F6"/>
    <w:rsid w:val="04F66F48"/>
    <w:rsid w:val="05160347"/>
    <w:rsid w:val="05251E14"/>
    <w:rsid w:val="05A16594"/>
    <w:rsid w:val="05A7762D"/>
    <w:rsid w:val="05DC421B"/>
    <w:rsid w:val="060E5941"/>
    <w:rsid w:val="06110FAF"/>
    <w:rsid w:val="06493CA7"/>
    <w:rsid w:val="065A6178"/>
    <w:rsid w:val="066F1CF3"/>
    <w:rsid w:val="06930BB8"/>
    <w:rsid w:val="06A67CCE"/>
    <w:rsid w:val="07245D42"/>
    <w:rsid w:val="07264C62"/>
    <w:rsid w:val="0779354C"/>
    <w:rsid w:val="07D02B45"/>
    <w:rsid w:val="08061376"/>
    <w:rsid w:val="08452D77"/>
    <w:rsid w:val="086401F8"/>
    <w:rsid w:val="08751CAA"/>
    <w:rsid w:val="087E4C40"/>
    <w:rsid w:val="089E6D20"/>
    <w:rsid w:val="08D02AE6"/>
    <w:rsid w:val="08D66AD6"/>
    <w:rsid w:val="08DA33A3"/>
    <w:rsid w:val="08E80F13"/>
    <w:rsid w:val="09335624"/>
    <w:rsid w:val="0944690F"/>
    <w:rsid w:val="09535675"/>
    <w:rsid w:val="095D1AF7"/>
    <w:rsid w:val="095F057D"/>
    <w:rsid w:val="09642282"/>
    <w:rsid w:val="09733572"/>
    <w:rsid w:val="09772C16"/>
    <w:rsid w:val="098353B5"/>
    <w:rsid w:val="09A92330"/>
    <w:rsid w:val="09B06B87"/>
    <w:rsid w:val="09C13146"/>
    <w:rsid w:val="09E04166"/>
    <w:rsid w:val="0A0303A5"/>
    <w:rsid w:val="0A1C0718"/>
    <w:rsid w:val="0A3E7710"/>
    <w:rsid w:val="0A4E43AE"/>
    <w:rsid w:val="0A5B7E63"/>
    <w:rsid w:val="0A8519DC"/>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8A2A35"/>
    <w:rsid w:val="0CC007F7"/>
    <w:rsid w:val="0CF03EA8"/>
    <w:rsid w:val="0CFE707A"/>
    <w:rsid w:val="0D033378"/>
    <w:rsid w:val="0D063BDA"/>
    <w:rsid w:val="0D08375F"/>
    <w:rsid w:val="0D184CFB"/>
    <w:rsid w:val="0D4A7419"/>
    <w:rsid w:val="0D827401"/>
    <w:rsid w:val="0D84094E"/>
    <w:rsid w:val="0D8A00E9"/>
    <w:rsid w:val="0D8D589E"/>
    <w:rsid w:val="0DA01C73"/>
    <w:rsid w:val="0DD63300"/>
    <w:rsid w:val="0DF50604"/>
    <w:rsid w:val="0DF702FE"/>
    <w:rsid w:val="0E060E51"/>
    <w:rsid w:val="0E392169"/>
    <w:rsid w:val="0E5604B2"/>
    <w:rsid w:val="0E6D5D79"/>
    <w:rsid w:val="0E9D0089"/>
    <w:rsid w:val="0EAA02D8"/>
    <w:rsid w:val="0EB803EE"/>
    <w:rsid w:val="0EC74B84"/>
    <w:rsid w:val="0EF94D4B"/>
    <w:rsid w:val="0F126750"/>
    <w:rsid w:val="0F4958DC"/>
    <w:rsid w:val="0F515DF7"/>
    <w:rsid w:val="0F596BA8"/>
    <w:rsid w:val="0F6248D2"/>
    <w:rsid w:val="0F693536"/>
    <w:rsid w:val="0F7B0511"/>
    <w:rsid w:val="0F7B76D9"/>
    <w:rsid w:val="0F816ACD"/>
    <w:rsid w:val="0F9832DB"/>
    <w:rsid w:val="0FA11EB6"/>
    <w:rsid w:val="0FBF3FD2"/>
    <w:rsid w:val="0FBF7FF3"/>
    <w:rsid w:val="10646583"/>
    <w:rsid w:val="107D4B15"/>
    <w:rsid w:val="108A3C80"/>
    <w:rsid w:val="10C26171"/>
    <w:rsid w:val="10F33360"/>
    <w:rsid w:val="10FC16EA"/>
    <w:rsid w:val="110F1D40"/>
    <w:rsid w:val="11266F33"/>
    <w:rsid w:val="1178290F"/>
    <w:rsid w:val="118963A1"/>
    <w:rsid w:val="11926230"/>
    <w:rsid w:val="11C6522A"/>
    <w:rsid w:val="11E104CC"/>
    <w:rsid w:val="11E20309"/>
    <w:rsid w:val="11F650D5"/>
    <w:rsid w:val="12255233"/>
    <w:rsid w:val="12530213"/>
    <w:rsid w:val="127723A9"/>
    <w:rsid w:val="12862074"/>
    <w:rsid w:val="12883966"/>
    <w:rsid w:val="129E45B4"/>
    <w:rsid w:val="12D81596"/>
    <w:rsid w:val="13072A44"/>
    <w:rsid w:val="135F4BE2"/>
    <w:rsid w:val="139B1A0A"/>
    <w:rsid w:val="139D25C7"/>
    <w:rsid w:val="13BD570C"/>
    <w:rsid w:val="13BF0D59"/>
    <w:rsid w:val="13BF3CE4"/>
    <w:rsid w:val="141008D8"/>
    <w:rsid w:val="14125FE6"/>
    <w:rsid w:val="146D271E"/>
    <w:rsid w:val="14982588"/>
    <w:rsid w:val="149A5AD9"/>
    <w:rsid w:val="14A7619D"/>
    <w:rsid w:val="150536C3"/>
    <w:rsid w:val="150C1963"/>
    <w:rsid w:val="151447A0"/>
    <w:rsid w:val="154A6454"/>
    <w:rsid w:val="15762120"/>
    <w:rsid w:val="1607673D"/>
    <w:rsid w:val="16A4443B"/>
    <w:rsid w:val="16A8729C"/>
    <w:rsid w:val="16B33777"/>
    <w:rsid w:val="16BC70A7"/>
    <w:rsid w:val="16C6339E"/>
    <w:rsid w:val="16E77B57"/>
    <w:rsid w:val="16FB26BC"/>
    <w:rsid w:val="1721093B"/>
    <w:rsid w:val="172F2D79"/>
    <w:rsid w:val="17557BEF"/>
    <w:rsid w:val="176F6C9D"/>
    <w:rsid w:val="17D349C1"/>
    <w:rsid w:val="182E1BC8"/>
    <w:rsid w:val="1830729E"/>
    <w:rsid w:val="1870062C"/>
    <w:rsid w:val="18817102"/>
    <w:rsid w:val="18830A15"/>
    <w:rsid w:val="18852B28"/>
    <w:rsid w:val="188B5321"/>
    <w:rsid w:val="18BB261B"/>
    <w:rsid w:val="19932372"/>
    <w:rsid w:val="1998362C"/>
    <w:rsid w:val="19A20DD5"/>
    <w:rsid w:val="19AE03F1"/>
    <w:rsid w:val="19F05ADD"/>
    <w:rsid w:val="1A071A03"/>
    <w:rsid w:val="1A1F16AE"/>
    <w:rsid w:val="1A3B5C77"/>
    <w:rsid w:val="1A984BAD"/>
    <w:rsid w:val="1AB8220E"/>
    <w:rsid w:val="1AE4166C"/>
    <w:rsid w:val="1AF06CFB"/>
    <w:rsid w:val="1AF11B8D"/>
    <w:rsid w:val="1B11359C"/>
    <w:rsid w:val="1B2A271F"/>
    <w:rsid w:val="1B530544"/>
    <w:rsid w:val="1B713184"/>
    <w:rsid w:val="1B886265"/>
    <w:rsid w:val="1BA209CF"/>
    <w:rsid w:val="1BB4777D"/>
    <w:rsid w:val="1BD65DAC"/>
    <w:rsid w:val="1BD75AB8"/>
    <w:rsid w:val="1C0459C2"/>
    <w:rsid w:val="1C1B3B4A"/>
    <w:rsid w:val="1C2940D7"/>
    <w:rsid w:val="1C88086E"/>
    <w:rsid w:val="1CAC790B"/>
    <w:rsid w:val="1D266CE1"/>
    <w:rsid w:val="1D3963AF"/>
    <w:rsid w:val="1D6A673C"/>
    <w:rsid w:val="1D8A0B38"/>
    <w:rsid w:val="1D9247AE"/>
    <w:rsid w:val="1DB567EC"/>
    <w:rsid w:val="1DF51A98"/>
    <w:rsid w:val="1E3D060F"/>
    <w:rsid w:val="1E3F7D2E"/>
    <w:rsid w:val="1E4134E4"/>
    <w:rsid w:val="1E500438"/>
    <w:rsid w:val="1E5062B3"/>
    <w:rsid w:val="1E523514"/>
    <w:rsid w:val="1E5805E1"/>
    <w:rsid w:val="1E714A66"/>
    <w:rsid w:val="1E802593"/>
    <w:rsid w:val="1EA703CC"/>
    <w:rsid w:val="1EB7330C"/>
    <w:rsid w:val="1F0A0FF3"/>
    <w:rsid w:val="1F2F4F72"/>
    <w:rsid w:val="1F462053"/>
    <w:rsid w:val="1F5771FF"/>
    <w:rsid w:val="1F5D16AA"/>
    <w:rsid w:val="1F60152E"/>
    <w:rsid w:val="1FDA2CDA"/>
    <w:rsid w:val="1FE868A9"/>
    <w:rsid w:val="20034907"/>
    <w:rsid w:val="20173E4B"/>
    <w:rsid w:val="204E48BC"/>
    <w:rsid w:val="208921B3"/>
    <w:rsid w:val="20973DEB"/>
    <w:rsid w:val="20AD031B"/>
    <w:rsid w:val="20B26522"/>
    <w:rsid w:val="20B44310"/>
    <w:rsid w:val="20B65F8A"/>
    <w:rsid w:val="211116EB"/>
    <w:rsid w:val="216133FC"/>
    <w:rsid w:val="21BC599B"/>
    <w:rsid w:val="21D56769"/>
    <w:rsid w:val="21E52EF3"/>
    <w:rsid w:val="21FB5D7B"/>
    <w:rsid w:val="220B1C3D"/>
    <w:rsid w:val="221D1D20"/>
    <w:rsid w:val="22334A87"/>
    <w:rsid w:val="22420E53"/>
    <w:rsid w:val="22515D22"/>
    <w:rsid w:val="22796C04"/>
    <w:rsid w:val="22BE6801"/>
    <w:rsid w:val="22CF37D6"/>
    <w:rsid w:val="230758E0"/>
    <w:rsid w:val="233500BF"/>
    <w:rsid w:val="23377FF7"/>
    <w:rsid w:val="236B425F"/>
    <w:rsid w:val="23836192"/>
    <w:rsid w:val="23901F29"/>
    <w:rsid w:val="239C0061"/>
    <w:rsid w:val="23B908A4"/>
    <w:rsid w:val="23E95BEF"/>
    <w:rsid w:val="23FD0064"/>
    <w:rsid w:val="244146FA"/>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6F459E8"/>
    <w:rsid w:val="27044A29"/>
    <w:rsid w:val="271D34C8"/>
    <w:rsid w:val="272547D1"/>
    <w:rsid w:val="276142BF"/>
    <w:rsid w:val="2768338E"/>
    <w:rsid w:val="27707C45"/>
    <w:rsid w:val="27783712"/>
    <w:rsid w:val="27907362"/>
    <w:rsid w:val="27ED2107"/>
    <w:rsid w:val="282C65AE"/>
    <w:rsid w:val="28333E1D"/>
    <w:rsid w:val="28454A7A"/>
    <w:rsid w:val="28454BD6"/>
    <w:rsid w:val="28455253"/>
    <w:rsid w:val="28551971"/>
    <w:rsid w:val="285B1C53"/>
    <w:rsid w:val="289F7086"/>
    <w:rsid w:val="28C32028"/>
    <w:rsid w:val="28CC490F"/>
    <w:rsid w:val="28DE40AA"/>
    <w:rsid w:val="29345E77"/>
    <w:rsid w:val="294C65AD"/>
    <w:rsid w:val="29624994"/>
    <w:rsid w:val="29806583"/>
    <w:rsid w:val="298B3C4C"/>
    <w:rsid w:val="29F26D24"/>
    <w:rsid w:val="2A15033F"/>
    <w:rsid w:val="2A1662C1"/>
    <w:rsid w:val="2A1C7367"/>
    <w:rsid w:val="2A2815FA"/>
    <w:rsid w:val="2A6D6092"/>
    <w:rsid w:val="2A7D76B4"/>
    <w:rsid w:val="2B437463"/>
    <w:rsid w:val="2B7807EE"/>
    <w:rsid w:val="2BBF00EC"/>
    <w:rsid w:val="2BC37CFD"/>
    <w:rsid w:val="2BD5237F"/>
    <w:rsid w:val="2BDD6F94"/>
    <w:rsid w:val="2BE536CE"/>
    <w:rsid w:val="2BE758D9"/>
    <w:rsid w:val="2BE75C2A"/>
    <w:rsid w:val="2C09049E"/>
    <w:rsid w:val="2C0A653C"/>
    <w:rsid w:val="2C191F85"/>
    <w:rsid w:val="2C3125EC"/>
    <w:rsid w:val="2C6201D8"/>
    <w:rsid w:val="2CB81B63"/>
    <w:rsid w:val="2CE82D6F"/>
    <w:rsid w:val="2D2053E9"/>
    <w:rsid w:val="2D343236"/>
    <w:rsid w:val="2D952D3A"/>
    <w:rsid w:val="2DC1332C"/>
    <w:rsid w:val="2DD15014"/>
    <w:rsid w:val="2DF72DE4"/>
    <w:rsid w:val="2E0220AF"/>
    <w:rsid w:val="2E131BFC"/>
    <w:rsid w:val="2E2131D7"/>
    <w:rsid w:val="2E4B082A"/>
    <w:rsid w:val="2E5D4E86"/>
    <w:rsid w:val="2E5D790B"/>
    <w:rsid w:val="2E9A3C18"/>
    <w:rsid w:val="2EBB0FEE"/>
    <w:rsid w:val="2EC63002"/>
    <w:rsid w:val="2F0A6B38"/>
    <w:rsid w:val="2F4B3473"/>
    <w:rsid w:val="2F4F779A"/>
    <w:rsid w:val="2F946CCB"/>
    <w:rsid w:val="2FAE0D0E"/>
    <w:rsid w:val="2FD25781"/>
    <w:rsid w:val="2FFD7934"/>
    <w:rsid w:val="30102C62"/>
    <w:rsid w:val="30733ACD"/>
    <w:rsid w:val="308C3862"/>
    <w:rsid w:val="309379D8"/>
    <w:rsid w:val="30A270F7"/>
    <w:rsid w:val="30DF1478"/>
    <w:rsid w:val="30EC586F"/>
    <w:rsid w:val="3184727A"/>
    <w:rsid w:val="319C6071"/>
    <w:rsid w:val="31AC537E"/>
    <w:rsid w:val="31E3679B"/>
    <w:rsid w:val="31E732FD"/>
    <w:rsid w:val="324E3C27"/>
    <w:rsid w:val="32517576"/>
    <w:rsid w:val="32BE5C2C"/>
    <w:rsid w:val="32FB6478"/>
    <w:rsid w:val="33263B3F"/>
    <w:rsid w:val="336963EB"/>
    <w:rsid w:val="33816EEB"/>
    <w:rsid w:val="33EB55CD"/>
    <w:rsid w:val="33EC4C02"/>
    <w:rsid w:val="340D2360"/>
    <w:rsid w:val="3410665D"/>
    <w:rsid w:val="34211214"/>
    <w:rsid w:val="342E63AB"/>
    <w:rsid w:val="343D1415"/>
    <w:rsid w:val="34454036"/>
    <w:rsid w:val="344E3401"/>
    <w:rsid w:val="34950E68"/>
    <w:rsid w:val="34986E94"/>
    <w:rsid w:val="34AF62C9"/>
    <w:rsid w:val="34CB4388"/>
    <w:rsid w:val="34E60359"/>
    <w:rsid w:val="34FA6E12"/>
    <w:rsid w:val="354C3C0F"/>
    <w:rsid w:val="358D5588"/>
    <w:rsid w:val="35CD5AB2"/>
    <w:rsid w:val="363A3B40"/>
    <w:rsid w:val="365302AE"/>
    <w:rsid w:val="36607A0A"/>
    <w:rsid w:val="366E227C"/>
    <w:rsid w:val="366F2E0D"/>
    <w:rsid w:val="367B6A5C"/>
    <w:rsid w:val="36A74ADA"/>
    <w:rsid w:val="36AD60D5"/>
    <w:rsid w:val="36B224F9"/>
    <w:rsid w:val="36EC0CC9"/>
    <w:rsid w:val="3722752B"/>
    <w:rsid w:val="372304A5"/>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C250E"/>
    <w:rsid w:val="3C071575"/>
    <w:rsid w:val="3C105946"/>
    <w:rsid w:val="3C471448"/>
    <w:rsid w:val="3C5A4A47"/>
    <w:rsid w:val="3C5F759A"/>
    <w:rsid w:val="3C6C525A"/>
    <w:rsid w:val="3C933C52"/>
    <w:rsid w:val="3CCE23CB"/>
    <w:rsid w:val="3CD17D17"/>
    <w:rsid w:val="3D0F14AB"/>
    <w:rsid w:val="3D3C7F39"/>
    <w:rsid w:val="3D440F09"/>
    <w:rsid w:val="3D4504A0"/>
    <w:rsid w:val="3D806DC6"/>
    <w:rsid w:val="3D8734BB"/>
    <w:rsid w:val="3D9A11D4"/>
    <w:rsid w:val="3DA16D89"/>
    <w:rsid w:val="3DA364BE"/>
    <w:rsid w:val="3DE041CB"/>
    <w:rsid w:val="3E0D48F6"/>
    <w:rsid w:val="3E1868B4"/>
    <w:rsid w:val="3E377251"/>
    <w:rsid w:val="3E42664B"/>
    <w:rsid w:val="3E451B43"/>
    <w:rsid w:val="3E5A7334"/>
    <w:rsid w:val="3E7B5D6B"/>
    <w:rsid w:val="3E843E66"/>
    <w:rsid w:val="3E8F51FE"/>
    <w:rsid w:val="3E926F87"/>
    <w:rsid w:val="3E9A59DE"/>
    <w:rsid w:val="3EAF4836"/>
    <w:rsid w:val="3EC33DFA"/>
    <w:rsid w:val="3F060E16"/>
    <w:rsid w:val="3F1D1096"/>
    <w:rsid w:val="3F2F0234"/>
    <w:rsid w:val="3F557C2E"/>
    <w:rsid w:val="3F6363FE"/>
    <w:rsid w:val="3F756B8F"/>
    <w:rsid w:val="3F95482B"/>
    <w:rsid w:val="4019356B"/>
    <w:rsid w:val="40592157"/>
    <w:rsid w:val="406E1CAE"/>
    <w:rsid w:val="40A0133A"/>
    <w:rsid w:val="40C31A53"/>
    <w:rsid w:val="40F11A59"/>
    <w:rsid w:val="40FF545D"/>
    <w:rsid w:val="410067C8"/>
    <w:rsid w:val="410848CB"/>
    <w:rsid w:val="41270A7F"/>
    <w:rsid w:val="418F0D2A"/>
    <w:rsid w:val="41D01505"/>
    <w:rsid w:val="423C68A7"/>
    <w:rsid w:val="423E4668"/>
    <w:rsid w:val="42474939"/>
    <w:rsid w:val="424C3C57"/>
    <w:rsid w:val="42613FF3"/>
    <w:rsid w:val="42660D96"/>
    <w:rsid w:val="428667D2"/>
    <w:rsid w:val="42CD1CE0"/>
    <w:rsid w:val="42E1381E"/>
    <w:rsid w:val="42E70109"/>
    <w:rsid w:val="42ED6459"/>
    <w:rsid w:val="42FE58DD"/>
    <w:rsid w:val="43174B3D"/>
    <w:rsid w:val="432F4479"/>
    <w:rsid w:val="434B790E"/>
    <w:rsid w:val="434C0D64"/>
    <w:rsid w:val="43600CE9"/>
    <w:rsid w:val="4360274F"/>
    <w:rsid w:val="43977AB6"/>
    <w:rsid w:val="43A3342B"/>
    <w:rsid w:val="43C77C27"/>
    <w:rsid w:val="43DE09EE"/>
    <w:rsid w:val="44002FAD"/>
    <w:rsid w:val="449101DD"/>
    <w:rsid w:val="44A47457"/>
    <w:rsid w:val="44B70F7F"/>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AB548F"/>
    <w:rsid w:val="46B16AC9"/>
    <w:rsid w:val="46C4686E"/>
    <w:rsid w:val="46D90FB7"/>
    <w:rsid w:val="477B778F"/>
    <w:rsid w:val="478203EC"/>
    <w:rsid w:val="47B025FA"/>
    <w:rsid w:val="47F40AEF"/>
    <w:rsid w:val="4809698F"/>
    <w:rsid w:val="4811697D"/>
    <w:rsid w:val="487A3E25"/>
    <w:rsid w:val="488B5503"/>
    <w:rsid w:val="48937E21"/>
    <w:rsid w:val="489A0361"/>
    <w:rsid w:val="48B94FF3"/>
    <w:rsid w:val="48E37AAB"/>
    <w:rsid w:val="48FD4B4C"/>
    <w:rsid w:val="490A68E0"/>
    <w:rsid w:val="491055FE"/>
    <w:rsid w:val="495F0AD4"/>
    <w:rsid w:val="495F5B3E"/>
    <w:rsid w:val="496F77D7"/>
    <w:rsid w:val="497654FD"/>
    <w:rsid w:val="49B64211"/>
    <w:rsid w:val="49D87B23"/>
    <w:rsid w:val="49F6167F"/>
    <w:rsid w:val="4A064FA0"/>
    <w:rsid w:val="4A16615C"/>
    <w:rsid w:val="4A4424D7"/>
    <w:rsid w:val="4AB82D0F"/>
    <w:rsid w:val="4AEB7664"/>
    <w:rsid w:val="4AFA1A07"/>
    <w:rsid w:val="4AFB16EA"/>
    <w:rsid w:val="4AFD7C19"/>
    <w:rsid w:val="4B0567D1"/>
    <w:rsid w:val="4B236AAE"/>
    <w:rsid w:val="4B707271"/>
    <w:rsid w:val="4B9739F7"/>
    <w:rsid w:val="4BCC7E6E"/>
    <w:rsid w:val="4BDE5F84"/>
    <w:rsid w:val="4BDF2809"/>
    <w:rsid w:val="4BEE2503"/>
    <w:rsid w:val="4C245A30"/>
    <w:rsid w:val="4CB6685F"/>
    <w:rsid w:val="4CC367FE"/>
    <w:rsid w:val="4CD00ECB"/>
    <w:rsid w:val="4D077F3C"/>
    <w:rsid w:val="4D123355"/>
    <w:rsid w:val="4D201D60"/>
    <w:rsid w:val="4D2A3B31"/>
    <w:rsid w:val="4D312C52"/>
    <w:rsid w:val="4D3F028D"/>
    <w:rsid w:val="4D905305"/>
    <w:rsid w:val="4D964A72"/>
    <w:rsid w:val="4D9C1254"/>
    <w:rsid w:val="4E793892"/>
    <w:rsid w:val="4E800872"/>
    <w:rsid w:val="4EC569ED"/>
    <w:rsid w:val="4ED05A59"/>
    <w:rsid w:val="4ED50EA1"/>
    <w:rsid w:val="4EEC050C"/>
    <w:rsid w:val="4F104EC3"/>
    <w:rsid w:val="4F47354A"/>
    <w:rsid w:val="4F911C54"/>
    <w:rsid w:val="4FE625E0"/>
    <w:rsid w:val="5021480F"/>
    <w:rsid w:val="50811478"/>
    <w:rsid w:val="50962ECB"/>
    <w:rsid w:val="50A42E38"/>
    <w:rsid w:val="50A4577F"/>
    <w:rsid w:val="50A824E6"/>
    <w:rsid w:val="50B73D1F"/>
    <w:rsid w:val="50BD5BC9"/>
    <w:rsid w:val="50C11EEE"/>
    <w:rsid w:val="50E97CFC"/>
    <w:rsid w:val="50FA4028"/>
    <w:rsid w:val="510D65B7"/>
    <w:rsid w:val="511157AB"/>
    <w:rsid w:val="5142540C"/>
    <w:rsid w:val="518832C8"/>
    <w:rsid w:val="51A0432A"/>
    <w:rsid w:val="51A86090"/>
    <w:rsid w:val="51B7396D"/>
    <w:rsid w:val="51E339A6"/>
    <w:rsid w:val="520E6927"/>
    <w:rsid w:val="522E4CC3"/>
    <w:rsid w:val="523C20D9"/>
    <w:rsid w:val="5244713B"/>
    <w:rsid w:val="52615633"/>
    <w:rsid w:val="52977FD4"/>
    <w:rsid w:val="52A25790"/>
    <w:rsid w:val="52A96B6F"/>
    <w:rsid w:val="52B17582"/>
    <w:rsid w:val="52B45975"/>
    <w:rsid w:val="52D94AA4"/>
    <w:rsid w:val="52E5217D"/>
    <w:rsid w:val="52EA3A62"/>
    <w:rsid w:val="52F50BB8"/>
    <w:rsid w:val="53091F6A"/>
    <w:rsid w:val="53097272"/>
    <w:rsid w:val="53534645"/>
    <w:rsid w:val="53544462"/>
    <w:rsid w:val="5397158E"/>
    <w:rsid w:val="53B30E22"/>
    <w:rsid w:val="53DC6F2C"/>
    <w:rsid w:val="54013861"/>
    <w:rsid w:val="541944C0"/>
    <w:rsid w:val="54487265"/>
    <w:rsid w:val="544D6070"/>
    <w:rsid w:val="54605E1E"/>
    <w:rsid w:val="54B3506A"/>
    <w:rsid w:val="54CA0D16"/>
    <w:rsid w:val="54DD4057"/>
    <w:rsid w:val="54E7490F"/>
    <w:rsid w:val="550764A4"/>
    <w:rsid w:val="550B2BF6"/>
    <w:rsid w:val="55214EB5"/>
    <w:rsid w:val="55364EFD"/>
    <w:rsid w:val="55492972"/>
    <w:rsid w:val="555D4828"/>
    <w:rsid w:val="55762246"/>
    <w:rsid w:val="557A4C8B"/>
    <w:rsid w:val="558931E1"/>
    <w:rsid w:val="55923347"/>
    <w:rsid w:val="55925180"/>
    <w:rsid w:val="55983B1B"/>
    <w:rsid w:val="55A8376B"/>
    <w:rsid w:val="55D21E8D"/>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13FBE"/>
    <w:rsid w:val="58917D2F"/>
    <w:rsid w:val="5894085C"/>
    <w:rsid w:val="58AE4F0C"/>
    <w:rsid w:val="58B85899"/>
    <w:rsid w:val="58E363A9"/>
    <w:rsid w:val="58E964D5"/>
    <w:rsid w:val="58EC6942"/>
    <w:rsid w:val="595E1678"/>
    <w:rsid w:val="596D5BD4"/>
    <w:rsid w:val="597E3DD8"/>
    <w:rsid w:val="599F74DA"/>
    <w:rsid w:val="59F80043"/>
    <w:rsid w:val="5A09252F"/>
    <w:rsid w:val="5A0B2778"/>
    <w:rsid w:val="5A2A7C7B"/>
    <w:rsid w:val="5A360D74"/>
    <w:rsid w:val="5A3E2560"/>
    <w:rsid w:val="5A5D3B6E"/>
    <w:rsid w:val="5A637A76"/>
    <w:rsid w:val="5A6D33BA"/>
    <w:rsid w:val="5A792B1F"/>
    <w:rsid w:val="5A874767"/>
    <w:rsid w:val="5AAD6F28"/>
    <w:rsid w:val="5AD63A24"/>
    <w:rsid w:val="5B0F30E1"/>
    <w:rsid w:val="5B2E1A1D"/>
    <w:rsid w:val="5B46391F"/>
    <w:rsid w:val="5B843A1C"/>
    <w:rsid w:val="5B873E3F"/>
    <w:rsid w:val="5BB53A81"/>
    <w:rsid w:val="5C02690E"/>
    <w:rsid w:val="5C1071C4"/>
    <w:rsid w:val="5C196DA7"/>
    <w:rsid w:val="5C284030"/>
    <w:rsid w:val="5C2A048C"/>
    <w:rsid w:val="5C3B3954"/>
    <w:rsid w:val="5C80234E"/>
    <w:rsid w:val="5C8A680C"/>
    <w:rsid w:val="5D0C4701"/>
    <w:rsid w:val="5D0F0395"/>
    <w:rsid w:val="5D221076"/>
    <w:rsid w:val="5D397964"/>
    <w:rsid w:val="5D5A391C"/>
    <w:rsid w:val="5D5F10C0"/>
    <w:rsid w:val="5D891B7B"/>
    <w:rsid w:val="5DAD38EE"/>
    <w:rsid w:val="5DD72473"/>
    <w:rsid w:val="5E006862"/>
    <w:rsid w:val="5E0207B9"/>
    <w:rsid w:val="5E1834A1"/>
    <w:rsid w:val="5E261785"/>
    <w:rsid w:val="5E39391A"/>
    <w:rsid w:val="5E4A7017"/>
    <w:rsid w:val="5E552BBA"/>
    <w:rsid w:val="5E611C10"/>
    <w:rsid w:val="5E8545CC"/>
    <w:rsid w:val="5EAF1D65"/>
    <w:rsid w:val="5EC248CE"/>
    <w:rsid w:val="5EFC7377"/>
    <w:rsid w:val="5F06174D"/>
    <w:rsid w:val="5F3A3602"/>
    <w:rsid w:val="5F6277C6"/>
    <w:rsid w:val="5F6D0B1D"/>
    <w:rsid w:val="5F8D0B82"/>
    <w:rsid w:val="5FCA0348"/>
    <w:rsid w:val="5FCC5339"/>
    <w:rsid w:val="5FDA2F18"/>
    <w:rsid w:val="5FE34A5B"/>
    <w:rsid w:val="5FFE1E36"/>
    <w:rsid w:val="60232584"/>
    <w:rsid w:val="607330CE"/>
    <w:rsid w:val="60825176"/>
    <w:rsid w:val="609F2AC4"/>
    <w:rsid w:val="60FA2EE8"/>
    <w:rsid w:val="610409E2"/>
    <w:rsid w:val="61054A27"/>
    <w:rsid w:val="610A52BC"/>
    <w:rsid w:val="611A25E4"/>
    <w:rsid w:val="611D2366"/>
    <w:rsid w:val="61421856"/>
    <w:rsid w:val="615227C4"/>
    <w:rsid w:val="61654E3F"/>
    <w:rsid w:val="6182292A"/>
    <w:rsid w:val="619F7F92"/>
    <w:rsid w:val="61F94C26"/>
    <w:rsid w:val="62000E56"/>
    <w:rsid w:val="621D27E0"/>
    <w:rsid w:val="624F3E49"/>
    <w:rsid w:val="625B653B"/>
    <w:rsid w:val="62632286"/>
    <w:rsid w:val="626C19CE"/>
    <w:rsid w:val="62885958"/>
    <w:rsid w:val="62D775A6"/>
    <w:rsid w:val="62D924E4"/>
    <w:rsid w:val="62F40B65"/>
    <w:rsid w:val="62FA737C"/>
    <w:rsid w:val="62FC2CFE"/>
    <w:rsid w:val="63024505"/>
    <w:rsid w:val="630C66B7"/>
    <w:rsid w:val="635B1DB5"/>
    <w:rsid w:val="63711FED"/>
    <w:rsid w:val="63880DDC"/>
    <w:rsid w:val="638D750D"/>
    <w:rsid w:val="63AC6CC0"/>
    <w:rsid w:val="63D25988"/>
    <w:rsid w:val="64055776"/>
    <w:rsid w:val="64240056"/>
    <w:rsid w:val="643E143A"/>
    <w:rsid w:val="648B6EEF"/>
    <w:rsid w:val="64B96B0D"/>
    <w:rsid w:val="64C158BF"/>
    <w:rsid w:val="64CE2EAA"/>
    <w:rsid w:val="653C3090"/>
    <w:rsid w:val="653F46DB"/>
    <w:rsid w:val="65495B77"/>
    <w:rsid w:val="6560119E"/>
    <w:rsid w:val="65854376"/>
    <w:rsid w:val="658767BE"/>
    <w:rsid w:val="65892531"/>
    <w:rsid w:val="66195831"/>
    <w:rsid w:val="661F51F7"/>
    <w:rsid w:val="662E75B1"/>
    <w:rsid w:val="66342C2E"/>
    <w:rsid w:val="663E784C"/>
    <w:rsid w:val="668A4527"/>
    <w:rsid w:val="668B6A45"/>
    <w:rsid w:val="66F06FC4"/>
    <w:rsid w:val="672F3F24"/>
    <w:rsid w:val="673E055F"/>
    <w:rsid w:val="67551CE3"/>
    <w:rsid w:val="67A22552"/>
    <w:rsid w:val="67B22DCC"/>
    <w:rsid w:val="67BE71AA"/>
    <w:rsid w:val="67D90273"/>
    <w:rsid w:val="67DE5875"/>
    <w:rsid w:val="67E55852"/>
    <w:rsid w:val="67EB1AB4"/>
    <w:rsid w:val="67FA1285"/>
    <w:rsid w:val="68406DF4"/>
    <w:rsid w:val="68551F4F"/>
    <w:rsid w:val="687C10C9"/>
    <w:rsid w:val="68840C16"/>
    <w:rsid w:val="68876EFB"/>
    <w:rsid w:val="68884654"/>
    <w:rsid w:val="688B7C13"/>
    <w:rsid w:val="689F444F"/>
    <w:rsid w:val="68B96DBB"/>
    <w:rsid w:val="68CA2805"/>
    <w:rsid w:val="68DE713F"/>
    <w:rsid w:val="68E937A3"/>
    <w:rsid w:val="692E59C8"/>
    <w:rsid w:val="693E15D3"/>
    <w:rsid w:val="69627681"/>
    <w:rsid w:val="6977531D"/>
    <w:rsid w:val="698C3DFB"/>
    <w:rsid w:val="69CC2BFF"/>
    <w:rsid w:val="69FD55B8"/>
    <w:rsid w:val="69FF1405"/>
    <w:rsid w:val="6A0B1C62"/>
    <w:rsid w:val="6A2406C8"/>
    <w:rsid w:val="6ACD0E86"/>
    <w:rsid w:val="6ADE0BD1"/>
    <w:rsid w:val="6AE96859"/>
    <w:rsid w:val="6AF46670"/>
    <w:rsid w:val="6B147746"/>
    <w:rsid w:val="6B24787C"/>
    <w:rsid w:val="6B573233"/>
    <w:rsid w:val="6B5B6274"/>
    <w:rsid w:val="6B935D53"/>
    <w:rsid w:val="6C196F71"/>
    <w:rsid w:val="6C226FCB"/>
    <w:rsid w:val="6C31226F"/>
    <w:rsid w:val="6C552F0B"/>
    <w:rsid w:val="6C8C67B7"/>
    <w:rsid w:val="6C9D744C"/>
    <w:rsid w:val="6D167928"/>
    <w:rsid w:val="6D26299B"/>
    <w:rsid w:val="6D4772EC"/>
    <w:rsid w:val="6D7012AB"/>
    <w:rsid w:val="6D9078AF"/>
    <w:rsid w:val="6DAA3FEF"/>
    <w:rsid w:val="6DBB7FB3"/>
    <w:rsid w:val="6DC0172B"/>
    <w:rsid w:val="6DCB690C"/>
    <w:rsid w:val="6DD41A5B"/>
    <w:rsid w:val="6DF43C2E"/>
    <w:rsid w:val="6DF51CA3"/>
    <w:rsid w:val="6E8335BD"/>
    <w:rsid w:val="6E8E12EF"/>
    <w:rsid w:val="6E972936"/>
    <w:rsid w:val="6E9A593C"/>
    <w:rsid w:val="6ED446C5"/>
    <w:rsid w:val="6F2A7D94"/>
    <w:rsid w:val="6F8331F1"/>
    <w:rsid w:val="6FAE1A09"/>
    <w:rsid w:val="6FD75BF8"/>
    <w:rsid w:val="703152D8"/>
    <w:rsid w:val="707723D0"/>
    <w:rsid w:val="70F5661B"/>
    <w:rsid w:val="71360107"/>
    <w:rsid w:val="713B688E"/>
    <w:rsid w:val="71541EE0"/>
    <w:rsid w:val="71D43752"/>
    <w:rsid w:val="71F1796A"/>
    <w:rsid w:val="72154626"/>
    <w:rsid w:val="72262B5D"/>
    <w:rsid w:val="72283FF7"/>
    <w:rsid w:val="722E7212"/>
    <w:rsid w:val="723A0474"/>
    <w:rsid w:val="725923E4"/>
    <w:rsid w:val="72864BF7"/>
    <w:rsid w:val="729023FC"/>
    <w:rsid w:val="73806A81"/>
    <w:rsid w:val="73A429A0"/>
    <w:rsid w:val="73C0646E"/>
    <w:rsid w:val="742222F5"/>
    <w:rsid w:val="74442B37"/>
    <w:rsid w:val="74476126"/>
    <w:rsid w:val="74706664"/>
    <w:rsid w:val="747F3682"/>
    <w:rsid w:val="749C4185"/>
    <w:rsid w:val="75067759"/>
    <w:rsid w:val="752E6DCD"/>
    <w:rsid w:val="75370307"/>
    <w:rsid w:val="7551380D"/>
    <w:rsid w:val="75600BE5"/>
    <w:rsid w:val="7564475C"/>
    <w:rsid w:val="7583797F"/>
    <w:rsid w:val="75D20F1D"/>
    <w:rsid w:val="75DA2C18"/>
    <w:rsid w:val="75F54412"/>
    <w:rsid w:val="761D08E0"/>
    <w:rsid w:val="765D347C"/>
    <w:rsid w:val="76826699"/>
    <w:rsid w:val="76C87133"/>
    <w:rsid w:val="76CD08D5"/>
    <w:rsid w:val="76DB4B92"/>
    <w:rsid w:val="76FF606E"/>
    <w:rsid w:val="77052AA4"/>
    <w:rsid w:val="77136511"/>
    <w:rsid w:val="77340A39"/>
    <w:rsid w:val="77351FD0"/>
    <w:rsid w:val="77472422"/>
    <w:rsid w:val="777F31F2"/>
    <w:rsid w:val="77862E5E"/>
    <w:rsid w:val="77904B48"/>
    <w:rsid w:val="77D1700D"/>
    <w:rsid w:val="77EC04CC"/>
    <w:rsid w:val="78672477"/>
    <w:rsid w:val="786B017E"/>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020176"/>
    <w:rsid w:val="7A1D1975"/>
    <w:rsid w:val="7A3E5150"/>
    <w:rsid w:val="7A44393F"/>
    <w:rsid w:val="7A4670D6"/>
    <w:rsid w:val="7A534B63"/>
    <w:rsid w:val="7A615382"/>
    <w:rsid w:val="7A67303B"/>
    <w:rsid w:val="7AAB1D04"/>
    <w:rsid w:val="7ABA4368"/>
    <w:rsid w:val="7AD05746"/>
    <w:rsid w:val="7B257FFD"/>
    <w:rsid w:val="7B343476"/>
    <w:rsid w:val="7B5A2978"/>
    <w:rsid w:val="7B5A7E4C"/>
    <w:rsid w:val="7B667AF9"/>
    <w:rsid w:val="7B7468F8"/>
    <w:rsid w:val="7B7F62C5"/>
    <w:rsid w:val="7BC0478B"/>
    <w:rsid w:val="7BEE0103"/>
    <w:rsid w:val="7C0A0FE4"/>
    <w:rsid w:val="7C254906"/>
    <w:rsid w:val="7C590818"/>
    <w:rsid w:val="7C7C10F6"/>
    <w:rsid w:val="7C853BEA"/>
    <w:rsid w:val="7C881368"/>
    <w:rsid w:val="7C8F34D7"/>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122"/>
    <w:qFormat/>
    <w:uiPriority w:val="0"/>
    <w:rPr>
      <w:rFonts w:ascii="宋体" w:hAnsi="Courier New" w:cs="Arial"/>
      <w:snapToGrid w:val="0"/>
      <w:szCs w:val="21"/>
    </w:rPr>
  </w:style>
  <w:style w:type="paragraph" w:styleId="6">
    <w:name w:val="Normal Indent"/>
    <w:basedOn w:val="1"/>
    <w:next w:val="2"/>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18"/>
    <w:qFormat/>
    <w:uiPriority w:val="0"/>
    <w:pPr>
      <w:ind w:firstLine="420"/>
    </w:pPr>
    <w:rPr>
      <w:rFonts w:hAnsi="Calibri" w:cs="Times New Roman"/>
      <w:snapToGrid/>
      <w:szCs w:val="20"/>
    </w:r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3"/>
    <w:qFormat/>
    <w:uiPriority w:val="0"/>
    <w:rPr>
      <w:b/>
      <w:bCs/>
    </w:rPr>
  </w:style>
  <w:style w:type="paragraph" w:styleId="61">
    <w:name w:val="Body Text First Indent 2"/>
    <w:basedOn w:val="26"/>
    <w:next w:val="29"/>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5"/>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0"/>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1"/>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513"/>
    <w:next w:val="24"/>
    <w:qFormat/>
    <w:uiPriority w:val="0"/>
    <w:pPr>
      <w:adjustRightInd/>
      <w:ind w:firstLine="200" w:firstLineChars="200"/>
    </w:pPr>
    <w:rPr>
      <w:rFonts w:ascii="Arial" w:hAnsi="Arial"/>
      <w:spacing w:val="-5"/>
      <w:kern w:val="0"/>
      <w:sz w:val="24"/>
      <w:szCs w:val="20"/>
    </w:rPr>
  </w:style>
  <w:style w:type="paragraph" w:customStyle="1" w:styleId="513">
    <w:name w:val="表格文字（两侧对齐）"/>
    <w:basedOn w:val="1"/>
    <w:qFormat/>
    <w:uiPriority w:val="0"/>
    <w:pPr>
      <w:snapToGrid w:val="0"/>
    </w:pPr>
    <w:rPr>
      <w:sz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0"/>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0"/>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5"/>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未处理的提及2"/>
    <w:basedOn w:val="69"/>
    <w:semiHidden/>
    <w:unhideWhenUsed/>
    <w:qFormat/>
    <w:uiPriority w:val="99"/>
    <w:rPr>
      <w:color w:val="605E5C"/>
      <w:shd w:val="clear" w:color="auto" w:fill="E1DFDD"/>
    </w:rPr>
  </w:style>
  <w:style w:type="paragraph" w:customStyle="1" w:styleId="964">
    <w:name w:val="样式 仿宋_GB2312 (符号) 仿宋 小四 行距: 1.5 倍行距 首行缩进:  2 字符"/>
    <w:basedOn w:val="1"/>
    <w:next w:val="738"/>
    <w:qFormat/>
    <w:uiPriority w:val="0"/>
    <w:pPr>
      <w:spacing w:line="360" w:lineRule="auto"/>
      <w:ind w:firstLine="480" w:firstLineChars="200"/>
    </w:pPr>
    <w:rPr>
      <w:rFonts w:ascii="仿宋_GB2312" w:hAnsi="仿宋" w:eastAsia="仿宋_GB2312" w:cs="宋体"/>
      <w:sz w:val="24"/>
      <w:szCs w:val="20"/>
    </w:rPr>
  </w:style>
  <w:style w:type="paragraph" w:customStyle="1" w:styleId="965">
    <w:name w:val="样式 仿宋 小四 行距: 固定值 28 磅"/>
    <w:basedOn w:val="1"/>
    <w:next w:val="1"/>
    <w:qFormat/>
    <w:uiPriority w:val="0"/>
    <w:pPr>
      <w:spacing w:line="560" w:lineRule="exact"/>
    </w:pPr>
    <w:rPr>
      <w:rFonts w:ascii="仿宋" w:hAnsi="仿宋" w:eastAsia="仿宋" w:cs="宋体"/>
      <w:sz w:val="24"/>
      <w:szCs w:val="20"/>
    </w:rPr>
  </w:style>
  <w:style w:type="character" w:customStyle="1" w:styleId="966">
    <w:name w:val="未处理的提及3"/>
    <w:basedOn w:val="69"/>
    <w:semiHidden/>
    <w:unhideWhenUsed/>
    <w:qFormat/>
    <w:uiPriority w:val="99"/>
    <w:rPr>
      <w:color w:val="605E5C"/>
      <w:shd w:val="clear" w:color="auto" w:fill="E1DFDD"/>
    </w:rPr>
  </w:style>
  <w:style w:type="paragraph" w:customStyle="1" w:styleId="967">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未处理的提及4"/>
    <w:basedOn w:val="69"/>
    <w:semiHidden/>
    <w:unhideWhenUsed/>
    <w:qFormat/>
    <w:uiPriority w:val="99"/>
    <w:rPr>
      <w:color w:val="605E5C"/>
      <w:shd w:val="clear" w:color="auto" w:fill="E1DFDD"/>
    </w:rPr>
  </w:style>
  <w:style w:type="paragraph" w:customStyle="1" w:styleId="969">
    <w:name w:val="修订6"/>
    <w:hidden/>
    <w:semiHidden/>
    <w:qFormat/>
    <w:uiPriority w:val="99"/>
    <w:rPr>
      <w:rFonts w:ascii="Times New Roman" w:hAnsi="Times New Roman" w:eastAsia="宋体" w:cs="Times New Roman"/>
      <w:kern w:val="2"/>
      <w:sz w:val="21"/>
      <w:szCs w:val="24"/>
      <w:lang w:val="en-US" w:eastAsia="zh-CN" w:bidi="ar-SA"/>
    </w:rPr>
  </w:style>
  <w:style w:type="character" w:customStyle="1" w:styleId="970">
    <w:name w:val="未处理的提及5"/>
    <w:basedOn w:val="69"/>
    <w:semiHidden/>
    <w:unhideWhenUsed/>
    <w:qFormat/>
    <w:uiPriority w:val="99"/>
    <w:rPr>
      <w:color w:val="605E5C"/>
      <w:shd w:val="clear" w:color="auto" w:fill="E1DFDD"/>
    </w:rPr>
  </w:style>
  <w:style w:type="paragraph" w:customStyle="1" w:styleId="971">
    <w:name w:val="修订7"/>
    <w:hidden/>
    <w:semiHidden/>
    <w:qFormat/>
    <w:uiPriority w:val="99"/>
    <w:rPr>
      <w:rFonts w:ascii="Times New Roman" w:hAnsi="Times New Roman" w:eastAsia="宋体" w:cs="Times New Roman"/>
      <w:kern w:val="2"/>
      <w:sz w:val="21"/>
      <w:szCs w:val="24"/>
      <w:lang w:val="en-US" w:eastAsia="zh-CN" w:bidi="ar-SA"/>
    </w:rPr>
  </w:style>
  <w:style w:type="character" w:customStyle="1" w:styleId="972">
    <w:name w:val="未处理的提及6"/>
    <w:basedOn w:val="69"/>
    <w:semiHidden/>
    <w:unhideWhenUsed/>
    <w:qFormat/>
    <w:uiPriority w:val="99"/>
    <w:rPr>
      <w:color w:val="605E5C"/>
      <w:shd w:val="clear" w:color="auto" w:fill="E1DFDD"/>
    </w:rPr>
  </w:style>
  <w:style w:type="character" w:customStyle="1" w:styleId="973">
    <w:name w:val="未处理的提及7"/>
    <w:basedOn w:val="69"/>
    <w:semiHidden/>
    <w:unhideWhenUsed/>
    <w:qFormat/>
    <w:uiPriority w:val="99"/>
    <w:rPr>
      <w:color w:val="605E5C"/>
      <w:shd w:val="clear" w:color="auto" w:fill="E1DFDD"/>
    </w:rPr>
  </w:style>
  <w:style w:type="character" w:customStyle="1" w:styleId="974">
    <w:name w:val="未处理的提及8"/>
    <w:basedOn w:val="69"/>
    <w:semiHidden/>
    <w:unhideWhenUsed/>
    <w:qFormat/>
    <w:uiPriority w:val="99"/>
    <w:rPr>
      <w:color w:val="605E5C"/>
      <w:shd w:val="clear" w:color="auto" w:fill="E1DFDD"/>
    </w:rPr>
  </w:style>
  <w:style w:type="character" w:customStyle="1" w:styleId="975">
    <w:name w:val="NormalCharacter"/>
    <w:qFormat/>
    <w:uiPriority w:val="0"/>
    <w:rPr>
      <w:snapToGrid w:val="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D289C-BE3B-41EA-A419-A23E95BDD9DD}">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40942</Words>
  <Characters>43220</Characters>
  <Lines>304</Lines>
  <Paragraphs>85</Paragraphs>
  <TotalTime>87</TotalTime>
  <ScaleCrop>false</ScaleCrop>
  <LinksUpToDate>false</LinksUpToDate>
  <CharactersWithSpaces>48541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2022-09-30T07:32:00Z</dcterms:created>
  <dc:creator>玥</dc:creator>
  <cp:lastModifiedBy>Painkiller</cp:lastModifiedBy>
  <cp:lastPrinted>2022-10-12T07:10:00Z</cp:lastPrinted>
  <dcterms:modified xsi:type="dcterms:W3CDTF">2022-10-31T07:34:19Z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