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华文中宋" w:hAnsi="华文中宋" w:eastAsia="华文中宋"/>
          <w:b/>
          <w:bCs/>
          <w:sz w:val="52"/>
          <w:szCs w:val="52"/>
        </w:rPr>
      </w:pPr>
      <w:bookmarkStart w:id="0" w:name="_Toc23607"/>
      <w:r>
        <w:rPr>
          <w:rFonts w:hint="eastAsia" w:ascii="华文中宋" w:hAnsi="华文中宋" w:eastAsia="华文中宋"/>
          <w:b/>
          <w:bCs/>
          <w:sz w:val="52"/>
          <w:szCs w:val="52"/>
        </w:rPr>
        <w:t>杭州东站枢纽区域综合养护服务项目</w:t>
      </w:r>
    </w:p>
    <w:p>
      <w:pPr>
        <w:pStyle w:val="2"/>
      </w:pPr>
    </w:p>
    <w:p>
      <w:pPr>
        <w:adjustRightInd w:val="0"/>
        <w:snapToGrid w:val="0"/>
        <w:spacing w:line="500" w:lineRule="exact"/>
        <w:jc w:val="center"/>
        <w:rPr>
          <w:rFonts w:ascii="宋体" w:hAnsi="宋体" w:cs="宋体"/>
          <w:b/>
          <w:bCs/>
          <w:color w:val="000000"/>
          <w:sz w:val="32"/>
          <w:szCs w:val="32"/>
        </w:rPr>
      </w:pPr>
      <w:r>
        <w:rPr>
          <w:rFonts w:hint="eastAsia" w:ascii="宋体" w:hAnsi="宋体" w:cs="宋体"/>
          <w:b/>
          <w:bCs/>
          <w:color w:val="000000"/>
          <w:sz w:val="32"/>
          <w:szCs w:val="32"/>
        </w:rPr>
        <w:t xml:space="preserve">招标编号：SCCG2021-GK-12 </w:t>
      </w:r>
    </w:p>
    <w:p>
      <w:pPr>
        <w:adjustRightInd w:val="0"/>
        <w:snapToGrid w:val="0"/>
        <w:spacing w:line="500" w:lineRule="exact"/>
        <w:ind w:firstLine="482"/>
        <w:jc w:val="center"/>
        <w:rPr>
          <w:rFonts w:ascii="宋体"/>
          <w:b/>
          <w:bCs/>
          <w:color w:val="000000"/>
          <w:sz w:val="32"/>
          <w:szCs w:val="32"/>
        </w:rPr>
      </w:pPr>
    </w:p>
    <w:p>
      <w:pPr>
        <w:jc w:val="center"/>
        <w:rPr>
          <w:b/>
          <w:bCs/>
          <w:sz w:val="96"/>
          <w:szCs w:val="96"/>
        </w:rPr>
      </w:pPr>
      <w:r>
        <w:rPr>
          <w:rFonts w:hint="eastAsia" w:ascii="宋体" w:hAnsi="宋体" w:cs="宋体"/>
          <w:b/>
          <w:bCs/>
          <w:color w:val="000000"/>
          <w:sz w:val="96"/>
          <w:szCs w:val="96"/>
        </w:rPr>
        <w:t>公</w:t>
      </w:r>
    </w:p>
    <w:p>
      <w:pPr>
        <w:jc w:val="center"/>
        <w:rPr>
          <w:b/>
          <w:bCs/>
          <w:sz w:val="96"/>
          <w:szCs w:val="96"/>
        </w:rPr>
      </w:pPr>
      <w:r>
        <w:rPr>
          <w:rFonts w:hint="eastAsia" w:ascii="宋体" w:hAnsi="宋体" w:cs="宋体"/>
          <w:b/>
          <w:bCs/>
          <w:color w:val="000000"/>
          <w:sz w:val="96"/>
          <w:szCs w:val="96"/>
        </w:rPr>
        <w:t>开</w:t>
      </w:r>
    </w:p>
    <w:p>
      <w:pPr>
        <w:jc w:val="center"/>
        <w:rPr>
          <w:b/>
          <w:bCs/>
          <w:sz w:val="96"/>
          <w:szCs w:val="96"/>
        </w:rPr>
      </w:pPr>
      <w:r>
        <w:rPr>
          <w:rFonts w:hint="eastAsia" w:ascii="宋体" w:hAnsi="宋体" w:cs="宋体"/>
          <w:b/>
          <w:bCs/>
          <w:color w:val="000000"/>
          <w:sz w:val="96"/>
          <w:szCs w:val="96"/>
        </w:rPr>
        <w:t>招</w:t>
      </w:r>
    </w:p>
    <w:p>
      <w:pPr>
        <w:jc w:val="center"/>
      </w:pPr>
      <w:r>
        <w:rPr>
          <w:rFonts w:hint="eastAsia" w:ascii="宋体" w:hAnsi="宋体" w:cs="宋体"/>
          <w:b/>
          <w:bCs/>
          <w:color w:val="000000"/>
          <w:sz w:val="96"/>
          <w:szCs w:val="96"/>
        </w:rPr>
        <w:t>标</w:t>
      </w:r>
    </w:p>
    <w:p>
      <w:pPr>
        <w:jc w:val="center"/>
        <w:rPr>
          <w:b/>
          <w:bCs/>
          <w:sz w:val="96"/>
          <w:szCs w:val="96"/>
        </w:rPr>
      </w:pPr>
      <w:r>
        <w:rPr>
          <w:rFonts w:hint="eastAsia" w:ascii="宋体" w:hAnsi="宋体" w:cs="宋体"/>
          <w:b/>
          <w:bCs/>
          <w:color w:val="000000"/>
          <w:sz w:val="96"/>
          <w:szCs w:val="96"/>
        </w:rPr>
        <w:t>文</w:t>
      </w:r>
    </w:p>
    <w:p>
      <w:pPr>
        <w:jc w:val="center"/>
        <w:rPr>
          <w:rFonts w:ascii="宋体" w:hAnsi="宋体" w:cs="宋体"/>
          <w:b/>
          <w:bCs/>
          <w:color w:val="000000"/>
          <w:sz w:val="96"/>
          <w:szCs w:val="96"/>
        </w:rPr>
      </w:pPr>
      <w:r>
        <w:rPr>
          <w:rFonts w:hint="eastAsia" w:ascii="宋体" w:hAnsi="宋体" w:cs="宋体"/>
          <w:b/>
          <w:bCs/>
          <w:color w:val="000000"/>
          <w:sz w:val="96"/>
          <w:szCs w:val="96"/>
        </w:rPr>
        <w:t>件</w:t>
      </w:r>
    </w:p>
    <w:p>
      <w:pPr>
        <w:pStyle w:val="2"/>
      </w:pPr>
    </w:p>
    <w:p>
      <w:pPr>
        <w:adjustRightInd w:val="0"/>
        <w:snapToGrid w:val="0"/>
        <w:spacing w:line="500" w:lineRule="exact"/>
        <w:jc w:val="center"/>
        <w:rPr>
          <w:rFonts w:ascii="宋体" w:hAnsi="宋体" w:cs="宋体"/>
          <w:b/>
          <w:bCs/>
          <w:color w:val="000000"/>
          <w:sz w:val="30"/>
          <w:szCs w:val="30"/>
        </w:rPr>
      </w:pPr>
    </w:p>
    <w:p>
      <w:pPr>
        <w:adjustRightInd w:val="0"/>
        <w:snapToGrid w:val="0"/>
        <w:spacing w:line="500" w:lineRule="exact"/>
        <w:jc w:val="center"/>
        <w:rPr>
          <w:rFonts w:ascii="宋体"/>
          <w:b/>
          <w:bCs/>
          <w:color w:val="000000"/>
          <w:sz w:val="30"/>
          <w:szCs w:val="30"/>
        </w:rPr>
      </w:pPr>
      <w:r>
        <w:rPr>
          <w:rFonts w:hint="eastAsia" w:ascii="宋体" w:hAnsi="宋体" w:cs="宋体"/>
          <w:b/>
          <w:bCs/>
          <w:color w:val="000000"/>
          <w:sz w:val="30"/>
          <w:szCs w:val="30"/>
        </w:rPr>
        <w:t>杭州市公共资源交易中心上城分中心</w:t>
      </w:r>
    </w:p>
    <w:p>
      <w:pPr>
        <w:adjustRightInd w:val="0"/>
        <w:snapToGrid w:val="0"/>
        <w:spacing w:line="500" w:lineRule="exact"/>
        <w:jc w:val="center"/>
        <w:rPr>
          <w:rFonts w:ascii="宋体" w:hAnsi="宋体" w:cs="宋体"/>
          <w:b/>
          <w:bCs/>
          <w:color w:val="000000"/>
          <w:sz w:val="30"/>
          <w:szCs w:val="30"/>
        </w:rPr>
      </w:pPr>
      <w:r>
        <w:rPr>
          <w:rFonts w:hint="eastAsia" w:ascii="宋体" w:hAnsi="宋体" w:cs="宋体"/>
          <w:b/>
          <w:bCs/>
          <w:color w:val="000000"/>
          <w:sz w:val="30"/>
          <w:szCs w:val="30"/>
        </w:rPr>
        <w:t>二〇二一年十一月</w:t>
      </w:r>
    </w:p>
    <w:p>
      <w:pPr>
        <w:spacing w:after="120" w:afterLines="50" w:line="500" w:lineRule="exact"/>
        <w:jc w:val="center"/>
        <w:rPr>
          <w:rFonts w:ascii="华文中宋" w:hAnsi="华文中宋" w:eastAsia="华文中宋" w:cs="华文中宋"/>
          <w:sz w:val="48"/>
          <w:szCs w:val="48"/>
        </w:rPr>
      </w:pPr>
      <w:r>
        <w:br w:type="page"/>
      </w:r>
      <w:r>
        <w:rPr>
          <w:rFonts w:hint="eastAsia" w:ascii="华文中宋" w:hAnsi="华文中宋" w:eastAsia="华文中宋" w:cs="华文中宋"/>
          <w:sz w:val="48"/>
          <w:szCs w:val="48"/>
        </w:rPr>
        <w:t>招标文件目录</w:t>
      </w:r>
    </w:p>
    <w:p>
      <w:pPr>
        <w:pStyle w:val="30"/>
        <w:tabs>
          <w:tab w:val="right" w:leader="dot" w:pos="8844"/>
        </w:tabs>
        <w:spacing w:line="360" w:lineRule="auto"/>
        <w:jc w:val="center"/>
        <w:rPr>
          <w:rFonts w:ascii="仿宋_GB2312" w:hAnsi="仿宋_GB2312" w:eastAsia="仿宋_GB2312" w:cs="仿宋_GB2312"/>
          <w:b/>
          <w:bCs/>
          <w:sz w:val="32"/>
        </w:rPr>
      </w:pPr>
      <w:r>
        <w:rPr>
          <w:rFonts w:hint="eastAsia" w:ascii="仿宋_GB2312" w:hAnsi="仿宋_GB2312" w:eastAsia="仿宋_GB2312" w:cs="仿宋_GB2312"/>
          <w:b/>
          <w:bCs/>
          <w:sz w:val="32"/>
        </w:rPr>
        <w:t>第一册 专用条款</w:t>
      </w:r>
    </w:p>
    <w:p>
      <w:pPr>
        <w:pStyle w:val="30"/>
        <w:tabs>
          <w:tab w:val="right" w:leader="dot" w:pos="893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"1-1" \h \u </w:instrText>
      </w:r>
      <w:r>
        <w:rPr>
          <w:rFonts w:hint="eastAsia" w:ascii="仿宋_GB2312" w:hAnsi="仿宋_GB2312" w:eastAsia="仿宋_GB2312" w:cs="仿宋_GB2312"/>
          <w:sz w:val="30"/>
          <w:szCs w:val="30"/>
        </w:rPr>
        <w:fldChar w:fldCharType="separate"/>
      </w:r>
      <w:r>
        <w:fldChar w:fldCharType="begin"/>
      </w:r>
      <w:r>
        <w:instrText xml:space="preserve"> HYPERLINK \l "_Toc12976" </w:instrText>
      </w:r>
      <w:r>
        <w:fldChar w:fldCharType="separate"/>
      </w:r>
      <w:r>
        <w:rPr>
          <w:rFonts w:hint="eastAsia" w:ascii="仿宋_GB2312" w:hAnsi="仿宋_GB2312" w:eastAsia="仿宋_GB2312" w:cs="仿宋_GB2312"/>
          <w:sz w:val="30"/>
          <w:szCs w:val="30"/>
        </w:rPr>
        <w:t>第一部分 投标邀请书</w:t>
      </w:r>
      <w:bookmarkStart w:id="1" w:name="_Hlt37918967"/>
      <w:bookmarkStart w:id="2" w:name="_Hlt38526193"/>
      <w:bookmarkStart w:id="3" w:name="_Hlt38526192"/>
      <w:r>
        <w:rPr>
          <w:rFonts w:hint="eastAsia" w:ascii="仿宋_GB2312" w:hAnsi="仿宋_GB2312" w:eastAsia="仿宋_GB2312" w:cs="仿宋_GB2312"/>
          <w:sz w:val="30"/>
          <w:szCs w:val="30"/>
        </w:rPr>
        <w:tab/>
      </w:r>
      <w:bookmarkEnd w:id="1"/>
      <w:bookmarkEnd w:id="2"/>
      <w:bookmarkEnd w:id="3"/>
      <w:bookmarkStart w:id="4" w:name="_Hlt37857687"/>
      <w:bookmarkStart w:id="5" w:name="_Hlt37857651"/>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_Toc12976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bookmarkEnd w:id="4"/>
      <w:bookmarkEnd w:id="5"/>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"_Toc22159" </w:instrText>
      </w:r>
      <w:r>
        <w:fldChar w:fldCharType="separate"/>
      </w:r>
      <w:r>
        <w:rPr>
          <w:rFonts w:hint="eastAsia" w:ascii="仿宋_GB2312" w:hAnsi="仿宋_GB2312" w:eastAsia="仿宋_GB2312" w:cs="仿宋_GB2312"/>
          <w:sz w:val="30"/>
          <w:szCs w:val="30"/>
        </w:rPr>
        <w:t>第二部分 前附表</w:t>
      </w:r>
      <w:bookmarkStart w:id="6" w:name="_Hlt37918975"/>
      <w:r>
        <w:rPr>
          <w:rFonts w:hint="eastAsia" w:ascii="仿宋_GB2312" w:hAnsi="仿宋_GB2312" w:eastAsia="仿宋_GB2312" w:cs="仿宋_GB2312"/>
          <w:sz w:val="30"/>
          <w:szCs w:val="30"/>
        </w:rPr>
        <w:tab/>
      </w:r>
      <w:bookmarkEnd w:id="6"/>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"_Toc30953" </w:instrText>
      </w:r>
      <w:r>
        <w:fldChar w:fldCharType="separate"/>
      </w:r>
      <w:r>
        <w:rPr>
          <w:rFonts w:hint="eastAsia" w:ascii="仿宋_GB2312" w:hAnsi="仿宋_GB2312" w:eastAsia="仿宋_GB2312" w:cs="仿宋_GB2312"/>
          <w:sz w:val="30"/>
          <w:szCs w:val="30"/>
        </w:rPr>
        <w:t>第三部分 采购需求及评分</w:t>
      </w:r>
      <w:bookmarkStart w:id="7" w:name="_Hlt37918982"/>
      <w:r>
        <w:rPr>
          <w:rFonts w:hint="eastAsia" w:ascii="仿宋_GB2312" w:hAnsi="仿宋_GB2312" w:eastAsia="仿宋_GB2312" w:cs="仿宋_GB2312"/>
          <w:sz w:val="30"/>
          <w:szCs w:val="30"/>
        </w:rPr>
        <w:t>标</w:t>
      </w:r>
      <w:bookmarkEnd w:id="7"/>
      <w:r>
        <w:rPr>
          <w:rFonts w:hint="eastAsia" w:ascii="仿宋_GB2312" w:hAnsi="仿宋_GB2312" w:eastAsia="仿宋_GB2312" w:cs="仿宋_GB2312"/>
          <w:sz w:val="30"/>
          <w:szCs w:val="30"/>
        </w:rPr>
        <w:t>准</w:t>
      </w:r>
      <w:bookmarkStart w:id="8" w:name="_Hlt37857699"/>
      <w:r>
        <w:rPr>
          <w:rFonts w:hint="eastAsia" w:ascii="仿宋_GB2312" w:hAnsi="仿宋_GB2312" w:eastAsia="仿宋_GB2312" w:cs="仿宋_GB2312"/>
          <w:sz w:val="30"/>
          <w:szCs w:val="30"/>
        </w:rPr>
        <w:tab/>
      </w:r>
      <w:bookmarkEnd w:id="8"/>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"_Toc27753" </w:instrText>
      </w:r>
      <w:r>
        <w:fldChar w:fldCharType="separate"/>
      </w:r>
      <w:r>
        <w:rPr>
          <w:rFonts w:hint="eastAsia" w:ascii="仿宋_GB2312" w:hAnsi="仿宋_GB2312" w:eastAsia="仿宋_GB2312" w:cs="仿宋_GB2312"/>
          <w:sz w:val="30"/>
          <w:szCs w:val="30"/>
        </w:rPr>
        <w:t>第四部分 关键信息</w:t>
      </w:r>
      <w:bookmarkStart w:id="9" w:name="_Hlt37918990"/>
      <w:r>
        <w:rPr>
          <w:rFonts w:hint="eastAsia" w:ascii="仿宋_GB2312" w:hAnsi="仿宋_GB2312" w:eastAsia="仿宋_GB2312" w:cs="仿宋_GB2312"/>
          <w:sz w:val="30"/>
          <w:szCs w:val="30"/>
        </w:rPr>
        <w:tab/>
      </w:r>
      <w:bookmarkEnd w:id="9"/>
      <w:r>
        <w:rPr>
          <w:rFonts w:hint="eastAsia" w:ascii="仿宋_GB2312" w:hAnsi="仿宋_GB2312" w:eastAsia="仿宋_GB2312" w:cs="仿宋_GB2312"/>
          <w:sz w:val="30"/>
          <w:szCs w:val="30"/>
        </w:rPr>
        <w:t>46</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"_Toc13553" </w:instrText>
      </w:r>
      <w:r>
        <w:fldChar w:fldCharType="separate"/>
      </w:r>
      <w:r>
        <w:rPr>
          <w:rFonts w:hint="eastAsia" w:ascii="仿宋_GB2312" w:hAnsi="仿宋_GB2312" w:eastAsia="仿宋_GB2312" w:cs="仿宋_GB2312"/>
          <w:sz w:val="30"/>
          <w:szCs w:val="30"/>
        </w:rPr>
        <w:t>第五部分 投标文</w:t>
      </w:r>
      <w:bookmarkStart w:id="10" w:name="_Hlt39766493"/>
      <w:r>
        <w:rPr>
          <w:rFonts w:hint="eastAsia" w:ascii="仿宋_GB2312" w:hAnsi="仿宋_GB2312" w:eastAsia="仿宋_GB2312" w:cs="仿宋_GB2312"/>
          <w:sz w:val="30"/>
          <w:szCs w:val="30"/>
        </w:rPr>
        <w:t>件</w:t>
      </w:r>
      <w:bookmarkEnd w:id="10"/>
      <w:bookmarkStart w:id="11" w:name="_Hlt37918997"/>
      <w:r>
        <w:rPr>
          <w:rFonts w:hint="eastAsia" w:ascii="仿宋_GB2312" w:hAnsi="仿宋_GB2312" w:eastAsia="仿宋_GB2312" w:cs="仿宋_GB2312"/>
          <w:sz w:val="30"/>
          <w:szCs w:val="30"/>
        </w:rPr>
        <w:tab/>
      </w:r>
      <w:bookmarkEnd w:id="11"/>
      <w:bookmarkStart w:id="12" w:name="_Hlt55581993"/>
      <w:r>
        <w:rPr>
          <w:rFonts w:hint="eastAsia" w:ascii="仿宋_GB2312" w:hAnsi="仿宋_GB2312" w:eastAsia="仿宋_GB2312" w:cs="仿宋_GB2312"/>
          <w:sz w:val="30"/>
          <w:szCs w:val="30"/>
        </w:rPr>
        <w:t>5</w:t>
      </w:r>
      <w:bookmarkEnd w:id="12"/>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p>
    <w:p>
      <w:pPr>
        <w:pStyle w:val="30"/>
        <w:tabs>
          <w:tab w:val="right" w:leader="dot" w:pos="8844"/>
        </w:tabs>
        <w:spacing w:line="360" w:lineRule="auto"/>
        <w:jc w:val="center"/>
        <w:rPr>
          <w:rFonts w:ascii="仿宋_GB2312" w:hAnsi="仿宋_GB2312" w:eastAsia="仿宋_GB2312" w:cs="仿宋_GB2312"/>
          <w:b/>
          <w:bCs/>
          <w:sz w:val="32"/>
        </w:rPr>
      </w:pP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b/>
          <w:bCs/>
          <w:sz w:val="32"/>
        </w:rPr>
        <w:t>第二册 通用条款</w:t>
      </w:r>
    </w:p>
    <w:p>
      <w:pPr>
        <w:pStyle w:val="30"/>
        <w:tabs>
          <w:tab w:val="right" w:leader="dot" w:pos="893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"1-1" \h \u </w:instrText>
      </w:r>
      <w:r>
        <w:rPr>
          <w:rFonts w:hint="eastAsia" w:ascii="仿宋_GB2312" w:hAnsi="仿宋_GB2312" w:eastAsia="仿宋_GB2312" w:cs="仿宋_GB2312"/>
          <w:sz w:val="30"/>
          <w:szCs w:val="30"/>
        </w:rPr>
        <w:fldChar w:fldCharType="separate"/>
      </w:r>
      <w:r>
        <w:fldChar w:fldCharType="begin"/>
      </w:r>
      <w:r>
        <w:instrText xml:space="preserve"> HYPERLINK \l "_Toc14830" </w:instrText>
      </w:r>
      <w:r>
        <w:fldChar w:fldCharType="separate"/>
      </w:r>
      <w:r>
        <w:rPr>
          <w:rFonts w:hint="eastAsia" w:ascii="仿宋_GB2312" w:hAnsi="仿宋_GB2312" w:eastAsia="仿宋_GB2312" w:cs="仿宋_GB2312"/>
          <w:sz w:val="30"/>
          <w:szCs w:val="30"/>
        </w:rPr>
        <w:t>第一部分 总则</w:t>
      </w:r>
      <w:bookmarkStart w:id="13" w:name="_Hlt39743110"/>
      <w:bookmarkStart w:id="14" w:name="_Hlt39743111"/>
      <w:r>
        <w:rPr>
          <w:rFonts w:hint="eastAsia" w:ascii="仿宋_GB2312" w:hAnsi="仿宋_GB2312" w:eastAsia="仿宋_GB2312" w:cs="仿宋_GB2312"/>
          <w:sz w:val="30"/>
          <w:szCs w:val="30"/>
        </w:rPr>
        <w:tab/>
      </w:r>
      <w:bookmarkEnd w:id="13"/>
      <w:bookmarkEnd w:id="14"/>
      <w:bookmarkStart w:id="15" w:name="_Hlt55582000"/>
      <w:r>
        <w:rPr>
          <w:rFonts w:hint="eastAsia" w:ascii="仿宋_GB2312" w:hAnsi="仿宋_GB2312" w:eastAsia="仿宋_GB2312" w:cs="仿宋_GB2312"/>
          <w:sz w:val="30"/>
          <w:szCs w:val="30"/>
        </w:rPr>
        <w:t>8</w:t>
      </w:r>
      <w:bookmarkEnd w:id="15"/>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"_Toc12634" </w:instrText>
      </w:r>
      <w:r>
        <w:fldChar w:fldCharType="separate"/>
      </w:r>
      <w:r>
        <w:rPr>
          <w:rFonts w:hint="eastAsia" w:ascii="仿宋_GB2312" w:hAnsi="仿宋_GB2312" w:eastAsia="仿宋_GB2312" w:cs="仿宋_GB2312"/>
          <w:sz w:val="30"/>
          <w:szCs w:val="30"/>
        </w:rPr>
        <w:t>第二部分 招标文件的澄清或修改</w:t>
      </w:r>
      <w:bookmarkStart w:id="16" w:name="_Hlt40108601"/>
      <w:r>
        <w:rPr>
          <w:rFonts w:hint="eastAsia" w:ascii="仿宋_GB2312" w:hAnsi="仿宋_GB2312" w:eastAsia="仿宋_GB2312" w:cs="仿宋_GB2312"/>
          <w:sz w:val="30"/>
          <w:szCs w:val="30"/>
        </w:rPr>
        <w:tab/>
      </w:r>
      <w:bookmarkEnd w:id="16"/>
      <w:bookmarkStart w:id="17" w:name="_Hlt55582007"/>
      <w:r>
        <w:rPr>
          <w:rFonts w:hint="eastAsia" w:ascii="仿宋_GB2312" w:hAnsi="仿宋_GB2312" w:eastAsia="仿宋_GB2312" w:cs="仿宋_GB2312"/>
          <w:sz w:val="30"/>
          <w:szCs w:val="30"/>
        </w:rPr>
        <w:t>8</w:t>
      </w:r>
      <w:bookmarkEnd w:id="17"/>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"_Toc32047" </w:instrText>
      </w:r>
      <w:r>
        <w:fldChar w:fldCharType="separate"/>
      </w:r>
      <w:r>
        <w:rPr>
          <w:rFonts w:hint="eastAsia" w:ascii="仿宋_GB2312" w:hAnsi="仿宋_GB2312" w:eastAsia="仿宋_GB2312" w:cs="仿宋_GB2312"/>
          <w:sz w:val="30"/>
          <w:szCs w:val="30"/>
        </w:rPr>
        <w:t>第三部分 投标文件的补充、修改和撤回</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86</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"_Toc12058" </w:instrText>
      </w:r>
      <w:r>
        <w:fldChar w:fldCharType="separate"/>
      </w:r>
      <w:r>
        <w:rPr>
          <w:rFonts w:hint="eastAsia" w:ascii="仿宋_GB2312" w:hAnsi="仿宋_GB2312" w:eastAsia="仿宋_GB2312" w:cs="仿宋_GB2312"/>
          <w:sz w:val="30"/>
          <w:szCs w:val="30"/>
        </w:rPr>
        <w:t>第四部分 政策法规的特殊规定</w:t>
      </w:r>
      <w:bookmarkStart w:id="18" w:name="_Hlt38809623"/>
      <w:bookmarkStart w:id="19" w:name="_Hlt38809624"/>
      <w:r>
        <w:rPr>
          <w:rFonts w:hint="eastAsia" w:ascii="仿宋_GB2312" w:hAnsi="仿宋_GB2312" w:eastAsia="仿宋_GB2312" w:cs="仿宋_GB2312"/>
          <w:sz w:val="30"/>
          <w:szCs w:val="30"/>
        </w:rPr>
        <w:tab/>
      </w:r>
      <w:bookmarkEnd w:id="18"/>
      <w:bookmarkEnd w:id="19"/>
      <w:bookmarkStart w:id="20" w:name="_Hlt55582020"/>
      <w:r>
        <w:rPr>
          <w:rFonts w:hint="eastAsia" w:ascii="仿宋_GB2312" w:hAnsi="仿宋_GB2312" w:eastAsia="仿宋_GB2312" w:cs="仿宋_GB2312"/>
          <w:sz w:val="30"/>
          <w:szCs w:val="30"/>
        </w:rPr>
        <w:t>8</w:t>
      </w:r>
      <w:bookmarkEnd w:id="20"/>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"_Toc5640" </w:instrText>
      </w:r>
      <w:r>
        <w:fldChar w:fldCharType="separate"/>
      </w:r>
      <w:r>
        <w:rPr>
          <w:rFonts w:hint="eastAsia" w:ascii="仿宋_GB2312" w:hAnsi="仿宋_GB2312" w:eastAsia="仿宋_GB2312" w:cs="仿宋_GB2312"/>
          <w:sz w:val="30"/>
          <w:szCs w:val="30"/>
        </w:rPr>
        <w:t>第五部分 开标与评标</w:t>
      </w:r>
      <w:bookmarkStart w:id="21" w:name="_Hlt37857303"/>
      <w:r>
        <w:rPr>
          <w:rFonts w:hint="eastAsia" w:ascii="仿宋_GB2312" w:hAnsi="仿宋_GB2312" w:eastAsia="仿宋_GB2312" w:cs="仿宋_GB2312"/>
          <w:sz w:val="30"/>
          <w:szCs w:val="30"/>
        </w:rPr>
        <w:tab/>
      </w:r>
      <w:bookmarkEnd w:id="21"/>
      <w:r>
        <w:rPr>
          <w:rFonts w:hint="eastAsia" w:ascii="仿宋_GB2312" w:hAnsi="仿宋_GB2312" w:eastAsia="仿宋_GB2312" w:cs="仿宋_GB2312"/>
          <w:sz w:val="30"/>
          <w:szCs w:val="30"/>
        </w:rPr>
        <w:t>90</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"_Toc29788" </w:instrText>
      </w:r>
      <w:r>
        <w:fldChar w:fldCharType="separate"/>
      </w:r>
      <w:r>
        <w:rPr>
          <w:rFonts w:hint="eastAsia" w:ascii="仿宋_GB2312" w:hAnsi="仿宋_GB2312" w:eastAsia="仿宋_GB2312" w:cs="仿宋_GB2312"/>
          <w:sz w:val="30"/>
          <w:szCs w:val="30"/>
        </w:rPr>
        <w:t xml:space="preserve">第六部分 </w:t>
      </w:r>
      <w:bookmarkStart w:id="22" w:name="_Hlt37857775"/>
      <w:bookmarkStart w:id="23" w:name="_Hlt37857383"/>
      <w:r>
        <w:rPr>
          <w:rFonts w:hint="eastAsia" w:ascii="仿宋_GB2312" w:hAnsi="仿宋_GB2312" w:eastAsia="仿宋_GB2312" w:cs="仿宋_GB2312"/>
          <w:sz w:val="30"/>
          <w:szCs w:val="30"/>
        </w:rPr>
        <w:t>合同授予</w:t>
      </w:r>
      <w:r>
        <w:rPr>
          <w:rFonts w:hint="eastAsia" w:ascii="仿宋_GB2312" w:hAnsi="仿宋_GB2312" w:eastAsia="仿宋_GB2312" w:cs="仿宋_GB2312"/>
          <w:sz w:val="30"/>
          <w:szCs w:val="30"/>
        </w:rPr>
        <w:tab/>
      </w:r>
      <w:bookmarkEnd w:id="22"/>
      <w:bookmarkEnd w:id="23"/>
      <w:bookmarkStart w:id="24" w:name="_Hlt55582057"/>
      <w:r>
        <w:rPr>
          <w:rFonts w:hint="eastAsia" w:ascii="仿宋_GB2312" w:hAnsi="仿宋_GB2312" w:eastAsia="仿宋_GB2312" w:cs="仿宋_GB2312"/>
          <w:sz w:val="30"/>
          <w:szCs w:val="30"/>
        </w:rPr>
        <w:t>9</w:t>
      </w:r>
      <w:bookmarkEnd w:id="24"/>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p>
    <w:p>
      <w:pPr>
        <w:pStyle w:val="30"/>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"_Toc23388" </w:instrText>
      </w:r>
      <w:r>
        <w:fldChar w:fldCharType="separate"/>
      </w:r>
      <w:r>
        <w:rPr>
          <w:rFonts w:hint="eastAsia" w:ascii="仿宋_GB2312" w:hAnsi="仿宋_GB2312" w:eastAsia="仿宋_GB2312" w:cs="仿宋_GB2312"/>
          <w:sz w:val="30"/>
          <w:szCs w:val="30"/>
        </w:rPr>
        <w:t>第七部分 询问、质</w:t>
      </w:r>
      <w:bookmarkStart w:id="25" w:name="_Hlt39766485"/>
      <w:r>
        <w:rPr>
          <w:rFonts w:hint="eastAsia" w:ascii="仿宋_GB2312" w:hAnsi="仿宋_GB2312" w:eastAsia="仿宋_GB2312" w:cs="仿宋_GB2312"/>
          <w:sz w:val="30"/>
          <w:szCs w:val="30"/>
        </w:rPr>
        <w:t>疑</w:t>
      </w:r>
      <w:bookmarkEnd w:id="25"/>
      <w:r>
        <w:rPr>
          <w:rFonts w:hint="eastAsia" w:ascii="仿宋_GB2312" w:hAnsi="仿宋_GB2312" w:eastAsia="仿宋_GB2312" w:cs="仿宋_GB2312"/>
          <w:sz w:val="30"/>
          <w:szCs w:val="30"/>
        </w:rPr>
        <w:t>和投诉</w:t>
      </w:r>
      <w:bookmarkStart w:id="26" w:name="_Hlt37857794"/>
      <w:bookmarkStart w:id="27" w:name="_Hlt37857409"/>
      <w:r>
        <w:rPr>
          <w:rFonts w:hint="eastAsia" w:ascii="仿宋_GB2312" w:hAnsi="仿宋_GB2312" w:eastAsia="仿宋_GB2312" w:cs="仿宋_GB2312"/>
          <w:sz w:val="30"/>
          <w:szCs w:val="30"/>
        </w:rPr>
        <w:tab/>
      </w:r>
      <w:bookmarkEnd w:id="26"/>
      <w:bookmarkEnd w:id="27"/>
      <w:bookmarkStart w:id="28" w:name="_Hlt55582065"/>
      <w:r>
        <w:rPr>
          <w:rFonts w:hint="eastAsia" w:ascii="仿宋_GB2312" w:hAnsi="仿宋_GB2312" w:eastAsia="仿宋_GB2312" w:cs="仿宋_GB2312"/>
          <w:sz w:val="30"/>
          <w:szCs w:val="30"/>
        </w:rPr>
        <w:t>1</w:t>
      </w:r>
      <w:bookmarkEnd w:id="28"/>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rPr>
        <w:fldChar w:fldCharType="end"/>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end"/>
      </w:r>
    </w:p>
    <w:p>
      <w:pPr>
        <w:pStyle w:val="2"/>
      </w:pPr>
      <w:r>
        <w:br w:type="page"/>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ascii="华文中宋" w:hAnsi="华文中宋" w:eastAsia="华文中宋" w:cs="宋体"/>
          <w:b/>
          <w:sz w:val="72"/>
          <w:szCs w:val="36"/>
        </w:rPr>
      </w:pPr>
      <w:r>
        <w:rPr>
          <w:rFonts w:hint="eastAsia" w:ascii="华文中宋" w:hAnsi="华文中宋" w:eastAsia="华文中宋" w:cs="宋体"/>
          <w:b/>
          <w:sz w:val="72"/>
          <w:szCs w:val="36"/>
        </w:rPr>
        <w:t>第一册 专用条款</w:t>
      </w:r>
    </w:p>
    <w:p>
      <w:pPr>
        <w:pStyle w:val="2"/>
        <w:spacing w:line="360" w:lineRule="auto"/>
        <w:ind w:firstLine="0" w:firstLineChars="0"/>
        <w:sectPr>
          <w:footerReference r:id="rId3" w:type="default"/>
          <w:pgSz w:w="11906" w:h="16838"/>
          <w:pgMar w:top="1474" w:right="1985" w:bottom="1588" w:left="2098" w:header="851" w:footer="992" w:gutter="0"/>
          <w:cols w:space="720" w:num="1"/>
          <w:docGrid w:linePitch="312" w:charSpace="0"/>
        </w:sectPr>
      </w:pPr>
    </w:p>
    <w:p>
      <w:pPr>
        <w:pStyle w:val="3"/>
        <w:spacing w:before="0" w:after="0" w:line="500" w:lineRule="exact"/>
        <w:jc w:val="center"/>
        <w:rPr>
          <w:rFonts w:ascii="华文中宋" w:hAnsi="华文中宋" w:eastAsia="华文中宋"/>
          <w:sz w:val="36"/>
          <w:szCs w:val="36"/>
        </w:rPr>
      </w:pPr>
      <w:bookmarkStart w:id="29" w:name="_Toc12976"/>
      <w:r>
        <w:rPr>
          <w:rFonts w:hint="eastAsia" w:ascii="华文中宋" w:hAnsi="华文中宋" w:eastAsia="华文中宋"/>
          <w:sz w:val="36"/>
          <w:szCs w:val="36"/>
        </w:rPr>
        <w:t>第一部分 投标邀请书</w:t>
      </w:r>
      <w:bookmarkEnd w:id="29"/>
    </w:p>
    <w:p>
      <w:pPr>
        <w:widowControl/>
        <w:shd w:val="clear" w:color="auto" w:fill="FFFFFF"/>
        <w:spacing w:line="500" w:lineRule="exact"/>
        <w:ind w:firstLine="480" w:firstLineChars="200"/>
        <w:jc w:val="left"/>
        <w:rPr>
          <w:rFonts w:ascii="仿宋_GB2312" w:hAnsi="仿宋_GB2312" w:eastAsia="仿宋_GB2312" w:cs="仿宋_GB2312"/>
          <w:bCs/>
          <w:sz w:val="24"/>
        </w:rPr>
      </w:pPr>
      <w:bookmarkStart w:id="30" w:name="OLE_LINK1"/>
      <w:r>
        <w:rPr>
          <w:rFonts w:hint="eastAsia" w:ascii="仿宋_GB2312" w:hAnsi="仿宋_GB2312" w:eastAsia="仿宋_GB2312" w:cs="仿宋_GB2312"/>
          <w:bCs/>
          <w:sz w:val="24"/>
        </w:rPr>
        <w:t>根据《中华人民共和国政府采购法》等有关规定，杭州市公共资源交易中心上城分中心（以下简称“采购代理机构”)受杭州东站枢纽管理委员会的委托，就</w:t>
      </w:r>
      <w:r>
        <w:rPr>
          <w:rFonts w:hint="eastAsia" w:ascii="仿宋_GB2312" w:eastAsia="仿宋_GB2312"/>
          <w:sz w:val="24"/>
          <w:szCs w:val="20"/>
        </w:rPr>
        <w:t>杭州东站枢纽区域综合养护服务项目</w:t>
      </w:r>
      <w:r>
        <w:rPr>
          <w:rFonts w:hint="eastAsia" w:ascii="仿宋_GB2312" w:hAnsi="仿宋_GB2312" w:eastAsia="仿宋_GB2312" w:cs="仿宋_GB2312"/>
          <w:bCs/>
          <w:sz w:val="24"/>
        </w:rPr>
        <w:t>进行公开招标，欢迎国内合格的供应商前来投标。</w:t>
      </w:r>
    </w:p>
    <w:bookmarkEnd w:id="30"/>
    <w:p>
      <w:pPr>
        <w:widowControl/>
        <w:numPr>
          <w:ilvl w:val="0"/>
          <w:numId w:val="1"/>
        </w:numPr>
        <w:spacing w:line="500" w:lineRule="exact"/>
        <w:ind w:right="60"/>
        <w:jc w:val="left"/>
        <w:rPr>
          <w:rFonts w:ascii="仿宋_GB2312" w:eastAsia="仿宋_GB2312"/>
          <w:sz w:val="24"/>
          <w:szCs w:val="20"/>
        </w:rPr>
      </w:pPr>
      <w:r>
        <w:rPr>
          <w:rFonts w:hint="eastAsia" w:ascii="仿宋_GB2312" w:hAnsi="宋体" w:eastAsia="仿宋_GB2312" w:cs="宋体"/>
          <w:b/>
          <w:bCs/>
          <w:kern w:val="0"/>
          <w:sz w:val="24"/>
        </w:rPr>
        <w:t>项目名称：</w:t>
      </w:r>
      <w:r>
        <w:rPr>
          <w:rFonts w:hint="eastAsia" w:ascii="仿宋_GB2312" w:eastAsia="仿宋_GB2312"/>
          <w:sz w:val="24"/>
          <w:szCs w:val="20"/>
        </w:rPr>
        <w:t>杭州东站枢纽区域综合养护服务项目</w:t>
      </w:r>
    </w:p>
    <w:p>
      <w:pPr>
        <w:widowControl/>
        <w:spacing w:line="500" w:lineRule="exact"/>
        <w:ind w:right="60"/>
        <w:jc w:val="left"/>
        <w:rPr>
          <w:rFonts w:ascii="仿宋_GB2312" w:hAnsi="宋体" w:eastAsia="仿宋_GB2312" w:cs="宋体"/>
          <w:bCs/>
          <w:kern w:val="0"/>
          <w:sz w:val="24"/>
        </w:rPr>
      </w:pPr>
      <w:r>
        <w:rPr>
          <w:rFonts w:hint="eastAsia" w:ascii="仿宋_GB2312" w:hAnsi="宋体" w:eastAsia="仿宋_GB2312" w:cs="宋体"/>
          <w:b/>
          <w:bCs/>
          <w:kern w:val="0"/>
          <w:sz w:val="24"/>
        </w:rPr>
        <w:t>二、项目</w:t>
      </w:r>
      <w:r>
        <w:rPr>
          <w:rFonts w:ascii="仿宋_GB2312" w:hAnsi="宋体" w:eastAsia="仿宋_GB2312" w:cs="宋体"/>
          <w:b/>
          <w:bCs/>
          <w:kern w:val="0"/>
          <w:sz w:val="24"/>
        </w:rPr>
        <w:t>编号</w:t>
      </w:r>
      <w:r>
        <w:rPr>
          <w:rFonts w:hint="eastAsia" w:ascii="仿宋_GB2312" w:hAnsi="宋体" w:eastAsia="仿宋_GB2312" w:cs="宋体"/>
          <w:b/>
          <w:bCs/>
          <w:kern w:val="0"/>
          <w:sz w:val="24"/>
        </w:rPr>
        <w:t>：</w:t>
      </w:r>
      <w:r>
        <w:rPr>
          <w:rFonts w:hint="eastAsia" w:ascii="仿宋_GB2312" w:hAnsi="宋体" w:eastAsia="仿宋_GB2312" w:cs="宋体"/>
          <w:bCs/>
          <w:kern w:val="0"/>
          <w:sz w:val="24"/>
        </w:rPr>
        <w:t xml:space="preserve">SCCG2021-GK-12 </w:t>
      </w:r>
    </w:p>
    <w:p>
      <w:pPr>
        <w:widowControl/>
        <w:spacing w:line="500" w:lineRule="exact"/>
        <w:ind w:right="60"/>
        <w:jc w:val="left"/>
        <w:rPr>
          <w:rFonts w:ascii="仿宋_GB2312" w:hAnsi="宋体" w:eastAsia="仿宋_GB2312" w:cs="宋体"/>
          <w:b/>
          <w:bCs/>
          <w:kern w:val="0"/>
          <w:sz w:val="24"/>
        </w:rPr>
      </w:pPr>
      <w:r>
        <w:rPr>
          <w:rFonts w:hint="eastAsia" w:ascii="仿宋_GB2312" w:hAnsi="宋体" w:eastAsia="仿宋_GB2312" w:cs="宋体"/>
          <w:b/>
          <w:bCs/>
          <w:kern w:val="0"/>
          <w:sz w:val="24"/>
        </w:rPr>
        <w:t>三、采购组织类型：</w:t>
      </w:r>
      <w:bookmarkStart w:id="31" w:name="B09_采购组织类型"/>
      <w:r>
        <w:rPr>
          <w:rFonts w:hint="eastAsia" w:ascii="仿宋_GB2312" w:hAnsi="宋体" w:eastAsia="仿宋_GB2312" w:cs="宋体"/>
          <w:bCs/>
          <w:kern w:val="0"/>
          <w:sz w:val="24"/>
        </w:rPr>
        <w:t>政府集中采购</w:t>
      </w:r>
      <w:bookmarkEnd w:id="31"/>
    </w:p>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四、项目概况：</w:t>
      </w:r>
    </w:p>
    <w:tbl>
      <w:tblPr>
        <w:tblStyle w:val="41"/>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2"/>
        <w:gridCol w:w="765"/>
        <w:gridCol w:w="1230"/>
        <w:gridCol w:w="1886"/>
        <w:gridCol w:w="769"/>
        <w:gridCol w:w="99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内容</w:t>
            </w:r>
          </w:p>
        </w:tc>
        <w:tc>
          <w:tcPr>
            <w:tcW w:w="702"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数量</w:t>
            </w:r>
          </w:p>
        </w:tc>
        <w:tc>
          <w:tcPr>
            <w:tcW w:w="765"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单位</w:t>
            </w:r>
          </w:p>
        </w:tc>
        <w:tc>
          <w:tcPr>
            <w:tcW w:w="1230"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预算金额</w:t>
            </w:r>
          </w:p>
          <w:p>
            <w:pPr>
              <w:pStyle w:val="2"/>
              <w:snapToGrid w:val="0"/>
              <w:ind w:firstLine="0" w:firstLineChars="0"/>
              <w:jc w:val="center"/>
              <w:rPr>
                <w:rFonts w:ascii="仿宋_GB2312" w:hAnsi="宋体"/>
                <w:kern w:val="0"/>
                <w:sz w:val="24"/>
              </w:rPr>
            </w:pPr>
            <w:r>
              <w:rPr>
                <w:rFonts w:hint="eastAsia" w:ascii="仿宋_GB2312" w:hAnsi="宋体" w:eastAsia="仿宋_GB2312" w:cs="宋体"/>
                <w:bCs/>
                <w:kern w:val="0"/>
                <w:sz w:val="24"/>
              </w:rPr>
              <w:t>（万元）</w:t>
            </w:r>
          </w:p>
        </w:tc>
        <w:tc>
          <w:tcPr>
            <w:tcW w:w="1886"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需求</w:t>
            </w:r>
          </w:p>
          <w:p>
            <w:pPr>
              <w:pStyle w:val="2"/>
              <w:snapToGrid w:val="0"/>
              <w:ind w:firstLine="0" w:firstLineChars="0"/>
              <w:jc w:val="center"/>
              <w:rPr>
                <w:rFonts w:ascii="仿宋_GB2312" w:hAnsi="宋体"/>
                <w:kern w:val="0"/>
                <w:sz w:val="24"/>
              </w:rPr>
            </w:pPr>
            <w:r>
              <w:rPr>
                <w:rFonts w:hint="eastAsia" w:ascii="仿宋_GB2312" w:hAnsi="宋体" w:eastAsia="仿宋_GB2312" w:cs="宋体"/>
                <w:bCs/>
                <w:kern w:val="0"/>
                <w:sz w:val="24"/>
              </w:rPr>
              <w:t>简介</w:t>
            </w:r>
          </w:p>
        </w:tc>
        <w:tc>
          <w:tcPr>
            <w:tcW w:w="769"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交货期限</w:t>
            </w:r>
          </w:p>
        </w:tc>
        <w:tc>
          <w:tcPr>
            <w:tcW w:w="993"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履约地</w:t>
            </w:r>
          </w:p>
        </w:tc>
        <w:tc>
          <w:tcPr>
            <w:tcW w:w="708"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2"/>
              <w:snapToGrid w:val="0"/>
              <w:ind w:firstLine="0" w:firstLineChars="0"/>
              <w:jc w:val="center"/>
              <w:rPr>
                <w:rFonts w:ascii="宋体" w:hAnsi="宋体" w:cs="宋体"/>
                <w:kern w:val="0"/>
                <w:sz w:val="20"/>
              </w:rPr>
            </w:pPr>
            <w:r>
              <w:rPr>
                <w:rFonts w:hint="eastAsia" w:ascii="仿宋_GB2312" w:eastAsia="仿宋_GB2312"/>
                <w:sz w:val="24"/>
                <w:szCs w:val="20"/>
              </w:rPr>
              <w:t>杭州东站枢纽区域综合养护服务项目</w:t>
            </w:r>
          </w:p>
        </w:tc>
        <w:tc>
          <w:tcPr>
            <w:tcW w:w="702" w:type="dxa"/>
            <w:vAlign w:val="center"/>
          </w:tcPr>
          <w:p>
            <w:pPr>
              <w:pStyle w:val="2"/>
              <w:snapToGrid w:val="0"/>
              <w:ind w:firstLine="0" w:firstLineChars="0"/>
              <w:jc w:val="center"/>
              <w:rPr>
                <w:rFonts w:ascii="宋体" w:hAnsi="宋体" w:cs="宋体"/>
                <w:kern w:val="0"/>
                <w:sz w:val="20"/>
              </w:rPr>
            </w:pPr>
            <w:r>
              <w:rPr>
                <w:rFonts w:hint="eastAsia" w:ascii="仿宋_GB2312" w:hAnsi="宋体" w:eastAsia="仿宋_GB2312" w:cs="宋体"/>
                <w:bCs/>
                <w:kern w:val="0"/>
                <w:sz w:val="24"/>
              </w:rPr>
              <w:t>1</w:t>
            </w:r>
          </w:p>
        </w:tc>
        <w:tc>
          <w:tcPr>
            <w:tcW w:w="765" w:type="dxa"/>
            <w:vAlign w:val="center"/>
          </w:tcPr>
          <w:p>
            <w:pPr>
              <w:pStyle w:val="2"/>
              <w:snapToGrid w:val="0"/>
              <w:ind w:firstLine="0" w:firstLineChars="0"/>
              <w:jc w:val="center"/>
              <w:rPr>
                <w:rFonts w:ascii="宋体" w:hAnsi="宋体" w:cs="宋体"/>
                <w:kern w:val="0"/>
                <w:sz w:val="20"/>
              </w:rPr>
            </w:pPr>
            <w:r>
              <w:rPr>
                <w:rFonts w:hint="eastAsia" w:ascii="仿宋_GB2312" w:eastAsia="仿宋_GB2312"/>
                <w:sz w:val="24"/>
                <w:szCs w:val="20"/>
              </w:rPr>
              <w:t>项</w:t>
            </w:r>
          </w:p>
        </w:tc>
        <w:tc>
          <w:tcPr>
            <w:tcW w:w="1230" w:type="dxa"/>
            <w:vAlign w:val="center"/>
          </w:tcPr>
          <w:p>
            <w:pPr>
              <w:pStyle w:val="2"/>
              <w:snapToGrid w:val="0"/>
              <w:ind w:firstLine="0" w:firstLineChars="0"/>
              <w:jc w:val="center"/>
              <w:rPr>
                <w:rFonts w:ascii="宋体" w:hAnsi="宋体"/>
                <w:kern w:val="0"/>
                <w:sz w:val="20"/>
              </w:rPr>
            </w:pPr>
            <w:r>
              <w:rPr>
                <w:rFonts w:hint="eastAsia" w:ascii="仿宋_GB2312" w:eastAsia="仿宋_GB2312"/>
                <w:sz w:val="24"/>
                <w:szCs w:val="20"/>
              </w:rPr>
              <w:t>2800</w:t>
            </w:r>
          </w:p>
        </w:tc>
        <w:tc>
          <w:tcPr>
            <w:tcW w:w="1886" w:type="dxa"/>
            <w:vAlign w:val="center"/>
          </w:tcPr>
          <w:p>
            <w:pPr>
              <w:pStyle w:val="2"/>
              <w:snapToGrid w:val="0"/>
              <w:ind w:firstLine="0" w:firstLineChars="0"/>
              <w:jc w:val="center"/>
              <w:rPr>
                <w:rFonts w:ascii="宋体" w:hAnsi="宋体" w:cs="宋体"/>
                <w:kern w:val="0"/>
                <w:sz w:val="20"/>
              </w:rPr>
            </w:pPr>
            <w:r>
              <w:rPr>
                <w:rFonts w:hint="eastAsia" w:ascii="仿宋_GB2312" w:eastAsia="仿宋_GB2312"/>
                <w:sz w:val="24"/>
                <w:szCs w:val="20"/>
              </w:rPr>
              <w:t>主要养护内容：道路市政养护、雨水管网养护、绿化养护、亮化养护、道路保洁、巡查、维护、垃圾外运处置、亚运保障</w:t>
            </w:r>
            <w:r>
              <w:rPr>
                <w:rFonts w:hint="eastAsia" w:ascii="仿宋_GB2312" w:eastAsia="仿宋_GB2312"/>
                <w:b/>
                <w:bCs/>
                <w:sz w:val="24"/>
                <w:szCs w:val="20"/>
              </w:rPr>
              <w:t>、</w:t>
            </w:r>
            <w:r>
              <w:rPr>
                <w:rFonts w:hint="eastAsia" w:ascii="仿宋_GB2312" w:eastAsia="仿宋_GB2312"/>
                <w:sz w:val="24"/>
                <w:szCs w:val="20"/>
              </w:rPr>
              <w:t>应急保障等</w:t>
            </w:r>
          </w:p>
        </w:tc>
        <w:tc>
          <w:tcPr>
            <w:tcW w:w="769" w:type="dxa"/>
            <w:vAlign w:val="center"/>
          </w:tcPr>
          <w:p>
            <w:pPr>
              <w:pStyle w:val="2"/>
              <w:snapToGrid w:val="0"/>
              <w:ind w:firstLine="0" w:firstLineChars="0"/>
              <w:jc w:val="center"/>
              <w:rPr>
                <w:rFonts w:ascii="宋体" w:hAnsi="宋体" w:cs="宋体"/>
                <w:kern w:val="0"/>
                <w:sz w:val="20"/>
              </w:rPr>
            </w:pPr>
            <w:r>
              <w:rPr>
                <w:rFonts w:hint="eastAsia" w:ascii="仿宋_GB2312" w:hAnsi="宋体" w:eastAsia="仿宋_GB2312" w:cs="宋体"/>
                <w:bCs/>
                <w:kern w:val="0"/>
                <w:sz w:val="24"/>
              </w:rPr>
              <w:t>合同签订后</w:t>
            </w:r>
          </w:p>
        </w:tc>
        <w:tc>
          <w:tcPr>
            <w:tcW w:w="993" w:type="dxa"/>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上城区</w:t>
            </w:r>
          </w:p>
        </w:tc>
        <w:tc>
          <w:tcPr>
            <w:tcW w:w="708" w:type="dxa"/>
            <w:vAlign w:val="center"/>
          </w:tcPr>
          <w:p>
            <w:pPr>
              <w:pStyle w:val="2"/>
              <w:snapToGrid w:val="0"/>
              <w:ind w:firstLine="0" w:firstLineChars="0"/>
              <w:jc w:val="center"/>
              <w:rPr>
                <w:rFonts w:ascii="宋体" w:hAnsi="宋体" w:cs="宋体"/>
                <w:kern w:val="0"/>
                <w:sz w:val="20"/>
              </w:rPr>
            </w:pPr>
          </w:p>
        </w:tc>
      </w:tr>
    </w:tbl>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五、投标人资格要求:</w:t>
      </w:r>
    </w:p>
    <w:tbl>
      <w:tblPr>
        <w:tblStyle w:val="4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531"/>
        <w:gridCol w:w="35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0" w:type="dxa"/>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1531"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资格要求</w:t>
            </w:r>
          </w:p>
        </w:tc>
        <w:tc>
          <w:tcPr>
            <w:tcW w:w="3522"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具体内容</w:t>
            </w:r>
          </w:p>
        </w:tc>
        <w:tc>
          <w:tcPr>
            <w:tcW w:w="2076"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0" w:type="dxa"/>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531"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基本要求</w:t>
            </w:r>
          </w:p>
        </w:tc>
        <w:tc>
          <w:tcPr>
            <w:tcW w:w="3522" w:type="dxa"/>
            <w:vAlign w:val="center"/>
          </w:tcPr>
          <w:p>
            <w:pPr>
              <w:pStyle w:val="2"/>
              <w:ind w:firstLine="0" w:firstLineChars="0"/>
              <w:jc w:val="left"/>
              <w:rPr>
                <w:rFonts w:ascii="仿宋_GB2312" w:hAnsi="宋体" w:eastAsia="仿宋_GB2312" w:cs="宋体"/>
                <w:kern w:val="0"/>
                <w:sz w:val="24"/>
              </w:rPr>
            </w:pPr>
            <w:r>
              <w:rPr>
                <w:rFonts w:hint="eastAsia" w:ascii="仿宋_GB2312" w:hAnsi="宋体" w:eastAsia="仿宋_GB2312" w:cs="宋体"/>
                <w:color w:val="000000"/>
                <w:kern w:val="0"/>
                <w:sz w:val="24"/>
              </w:rPr>
              <w:t>符合《中华人民共和国政府采购法》第二十二条规定。</w:t>
            </w:r>
          </w:p>
        </w:tc>
        <w:tc>
          <w:tcPr>
            <w:tcW w:w="2076" w:type="dxa"/>
            <w:vAlign w:val="center"/>
          </w:tcPr>
          <w:p>
            <w:pPr>
              <w:pStyle w:val="2"/>
              <w:ind w:firstLine="0" w:firstLineChars="0"/>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0" w:type="dxa"/>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531"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落实政府采购政策需满足的资格要求</w:t>
            </w:r>
          </w:p>
        </w:tc>
        <w:tc>
          <w:tcPr>
            <w:tcW w:w="3522"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无</w:t>
            </w:r>
          </w:p>
        </w:tc>
        <w:tc>
          <w:tcPr>
            <w:tcW w:w="2076" w:type="dxa"/>
            <w:vAlign w:val="center"/>
          </w:tcPr>
          <w:p>
            <w:pPr>
              <w:pStyle w:val="2"/>
              <w:ind w:firstLine="0" w:firstLineChars="0"/>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0" w:type="dxa"/>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531"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特定资格要求</w:t>
            </w:r>
          </w:p>
        </w:tc>
        <w:tc>
          <w:tcPr>
            <w:tcW w:w="3522" w:type="dxa"/>
            <w:vAlign w:val="center"/>
          </w:tcPr>
          <w:p>
            <w:pPr>
              <w:widowControl/>
              <w:adjustRightInd w:val="0"/>
              <w:snapToGrid w:val="0"/>
              <w:rPr>
                <w:rFonts w:ascii="仿宋_GB2312" w:hAnsi="宋体" w:eastAsia="仿宋_GB2312" w:cs="宋体"/>
                <w:kern w:val="0"/>
                <w:sz w:val="24"/>
              </w:rPr>
            </w:pPr>
            <w:r>
              <w:rPr>
                <w:rFonts w:hint="eastAsia" w:ascii="仿宋_GB2312" w:hAnsi="宋体" w:eastAsia="仿宋_GB2312" w:cs="宋体"/>
                <w:kern w:val="0"/>
                <w:sz w:val="24"/>
                <w:lang w:val="zh-CN"/>
              </w:rPr>
              <w:t>具有市政公用工程施工总承包三级（含）以上资质。</w:t>
            </w:r>
          </w:p>
        </w:tc>
        <w:tc>
          <w:tcPr>
            <w:tcW w:w="2076" w:type="dxa"/>
            <w:vAlign w:val="center"/>
          </w:tcPr>
          <w:p>
            <w:pPr>
              <w:pStyle w:val="2"/>
              <w:ind w:firstLine="0" w:firstLineChars="0"/>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0" w:type="dxa"/>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531" w:type="dxa"/>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其他</w:t>
            </w:r>
          </w:p>
        </w:tc>
        <w:tc>
          <w:tcPr>
            <w:tcW w:w="3522" w:type="dxa"/>
            <w:vAlign w:val="center"/>
          </w:tcPr>
          <w:p>
            <w:pPr>
              <w:pStyle w:val="2"/>
              <w:ind w:firstLine="0" w:firstLineChars="0"/>
              <w:jc w:val="left"/>
              <w:rPr>
                <w:rFonts w:ascii="仿宋_GB2312" w:hAnsi="宋体" w:eastAsia="仿宋_GB2312" w:cs="宋体"/>
                <w:color w:val="000000"/>
                <w:kern w:val="0"/>
                <w:sz w:val="24"/>
              </w:rPr>
            </w:pPr>
            <w:r>
              <w:rPr>
                <w:rFonts w:hint="eastAsia" w:ascii="仿宋_GB2312" w:hAnsi="仿宋_GB2312" w:eastAsia="仿宋_GB2312" w:cs="仿宋_GB2312"/>
                <w:bCs/>
                <w:kern w:val="0"/>
                <w:sz w:val="24"/>
              </w:rPr>
              <w:t>本项目不允许联合体参与投标，不允许转包，不允许分包。</w:t>
            </w:r>
          </w:p>
        </w:tc>
        <w:tc>
          <w:tcPr>
            <w:tcW w:w="2076" w:type="dxa"/>
            <w:vAlign w:val="center"/>
          </w:tcPr>
          <w:p>
            <w:pPr>
              <w:pStyle w:val="2"/>
              <w:ind w:firstLine="0" w:firstLineChars="0"/>
              <w:rPr>
                <w:rFonts w:ascii="仿宋_GB2312" w:hAnsi="仿宋_GB2312" w:eastAsia="仿宋_GB2312" w:cs="仿宋_GB2312"/>
                <w:bCs/>
                <w:kern w:val="0"/>
                <w:sz w:val="24"/>
              </w:rPr>
            </w:pPr>
            <w:r>
              <w:rPr>
                <w:rFonts w:hint="eastAsia" w:ascii="仿宋_GB2312" w:hAnsi="宋体" w:eastAsia="仿宋_GB2312" w:cs="宋体"/>
                <w:color w:val="000000"/>
                <w:kern w:val="0"/>
                <w:sz w:val="24"/>
              </w:rPr>
              <w:t>详见</w:t>
            </w:r>
            <w:r>
              <w:rPr>
                <w:rFonts w:hint="eastAsia" w:ascii="仿宋_GB2312" w:hAnsi="仿宋_GB2312" w:eastAsia="仿宋_GB2312" w:cs="仿宋_GB2312"/>
                <w:bCs/>
                <w:kern w:val="0"/>
                <w:sz w:val="24"/>
              </w:rPr>
              <w:t>招标文件“通用条款-总则”</w:t>
            </w:r>
          </w:p>
        </w:tc>
      </w:tr>
    </w:tbl>
    <w:p>
      <w:pPr>
        <w:widowControl/>
        <w:shd w:val="clear" w:color="auto" w:fill="FFFFFF"/>
        <w:spacing w:line="500" w:lineRule="exact"/>
        <w:jc w:val="left"/>
        <w:rPr>
          <w:rFonts w:ascii="仿宋_GB2312" w:hAnsi="仿宋_GB2312" w:eastAsia="仿宋_GB2312" w:cs="仿宋_GB2312"/>
          <w:b/>
          <w:bCs/>
          <w:sz w:val="24"/>
        </w:rPr>
        <w:sectPr>
          <w:pgSz w:w="11906" w:h="16838"/>
          <w:pgMar w:top="1474" w:right="1985" w:bottom="1588" w:left="2098" w:header="851" w:footer="992" w:gutter="0"/>
          <w:cols w:space="720" w:num="1"/>
          <w:docGrid w:linePitch="312" w:charSpace="0"/>
        </w:sectPr>
      </w:pPr>
    </w:p>
    <w:p>
      <w:pPr>
        <w:widowControl/>
        <w:shd w:val="clear" w:color="auto" w:fill="FFFFFF"/>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六、发布媒介与公告期限：</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1.发布媒介：浙江政府采购网“http://www.zjzfcg.gov.cn/”。</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2.公告期限：自“投标邀请书”发布之日起5个工作日。</w:t>
      </w:r>
    </w:p>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七、获取招标文件：</w:t>
      </w:r>
    </w:p>
    <w:p>
      <w:pPr>
        <w:widowControl/>
        <w:shd w:val="clear" w:color="auto" w:fill="FFFFFF"/>
        <w:spacing w:line="500" w:lineRule="exact"/>
        <w:ind w:firstLine="480" w:firstLineChars="200"/>
        <w:jc w:val="left"/>
        <w:rPr>
          <w:rFonts w:ascii="仿宋_GB2312" w:hAnsi="仿宋_GB2312" w:eastAsia="仿宋_GB2312" w:cs="仿宋_GB2312"/>
          <w:b/>
          <w:bCs/>
          <w:sz w:val="24"/>
        </w:rPr>
      </w:pPr>
      <w:r>
        <w:rPr>
          <w:rFonts w:hint="eastAsia" w:ascii="仿宋_GB2312" w:hAnsi="仿宋_GB2312" w:eastAsia="仿宋_GB2312" w:cs="仿宋_GB2312"/>
          <w:bCs/>
          <w:sz w:val="24"/>
        </w:rPr>
        <w:t>1.获取方式：投标人通过账号或者CA登录政采云平台，进入“项目采购”应用，在“获取采购文件”菜单中选择相应项目。</w:t>
      </w:r>
      <w:r>
        <w:rPr>
          <w:rFonts w:hint="eastAsia" w:ascii="仿宋_GB2312" w:hAnsi="仿宋_GB2312" w:eastAsia="仿宋_GB2312" w:cs="仿宋_GB2312"/>
          <w:b/>
          <w:bCs/>
          <w:sz w:val="24"/>
        </w:rPr>
        <w:t>若投标人非浙江政府采购网注册供应商，则需在浙江政府采购网“注册供应商”菜单申请入驻为供应商，通过初审后方可依照上述方式获取招标文件。</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投标人以其它的方式获取招标文件，会面临无法收到采购人或者采购代理机构对已发出的招标文件等进行必要的澄清或者修改通知的风险。</w:t>
      </w:r>
    </w:p>
    <w:p>
      <w:pPr>
        <w:widowControl/>
        <w:shd w:val="clear" w:color="auto" w:fill="FFFFFF"/>
        <w:spacing w:line="500" w:lineRule="exact"/>
        <w:ind w:firstLine="480" w:firstLineChars="200"/>
        <w:jc w:val="left"/>
        <w:rPr>
          <w:rFonts w:ascii="仿宋_GB2312" w:hAnsi="仿宋_GB2312" w:eastAsia="仿宋_GB2312" w:cs="仿宋_GB2312"/>
          <w:bCs/>
          <w:color w:val="FF0000"/>
          <w:sz w:val="24"/>
        </w:rPr>
      </w:pPr>
      <w:r>
        <w:rPr>
          <w:rFonts w:hint="eastAsia" w:ascii="仿宋_GB2312" w:hAnsi="仿宋_GB2312" w:eastAsia="仿宋_GB2312" w:cs="仿宋_GB2312"/>
          <w:bCs/>
          <w:sz w:val="24"/>
        </w:rPr>
        <w:t>2.获取招标文件的</w:t>
      </w:r>
      <w:r>
        <w:rPr>
          <w:rFonts w:hint="eastAsia" w:ascii="仿宋_GB2312" w:hAnsi="仿宋_GB2312" w:eastAsia="仿宋_GB2312" w:cs="仿宋_GB2312"/>
          <w:bCs/>
          <w:color w:val="000000"/>
          <w:sz w:val="24"/>
        </w:rPr>
        <w:t>时间期</w:t>
      </w:r>
      <w:r>
        <w:rPr>
          <w:rFonts w:hint="eastAsia" w:ascii="仿宋_GB2312" w:hAnsi="仿宋_GB2312" w:eastAsia="仿宋_GB2312" w:cs="仿宋_GB2312"/>
          <w:bCs/>
          <w:sz w:val="24"/>
        </w:rPr>
        <w:t>限：</w:t>
      </w:r>
      <w:r>
        <w:rPr>
          <w:rFonts w:hint="eastAsia" w:ascii="仿宋_GB2312" w:hAnsi="仿宋_GB2312" w:eastAsia="仿宋_GB2312" w:cs="仿宋_GB2312"/>
          <w:bCs/>
          <w:color w:val="auto"/>
          <w:sz w:val="24"/>
          <w:highlight w:val="none"/>
        </w:rPr>
        <w:t>2021年</w:t>
      </w:r>
      <w:r>
        <w:rPr>
          <w:rFonts w:hint="eastAsia" w:ascii="仿宋_GB2312" w:hAnsi="仿宋_GB2312" w:eastAsia="仿宋_GB2312" w:cs="仿宋_GB2312"/>
          <w:bCs/>
          <w:color w:val="auto"/>
          <w:sz w:val="24"/>
          <w:highlight w:val="none"/>
          <w:lang w:val="en-US" w:eastAsia="zh-CN"/>
        </w:rPr>
        <w:t>12</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bCs/>
          <w:color w:val="auto"/>
          <w:sz w:val="24"/>
          <w:highlight w:val="none"/>
          <w:lang w:val="en-US" w:eastAsia="zh-CN"/>
        </w:rPr>
        <w:t>1</w:t>
      </w:r>
      <w:r>
        <w:rPr>
          <w:rFonts w:hint="eastAsia" w:ascii="仿宋_GB2312" w:hAnsi="仿宋_GB2312" w:eastAsia="仿宋_GB2312" w:cs="仿宋_GB2312"/>
          <w:bCs/>
          <w:color w:val="auto"/>
          <w:sz w:val="24"/>
          <w:highlight w:val="none"/>
        </w:rPr>
        <w:t>日至202</w:t>
      </w:r>
      <w:r>
        <w:rPr>
          <w:rFonts w:hint="eastAsia" w:ascii="仿宋_GB2312" w:hAnsi="仿宋_GB2312" w:eastAsia="仿宋_GB2312" w:cs="仿宋_GB2312"/>
          <w:bCs/>
          <w:color w:val="auto"/>
          <w:sz w:val="24"/>
          <w:highlight w:val="none"/>
          <w:lang w:val="en-US" w:eastAsia="zh-CN"/>
        </w:rPr>
        <w:t>1</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bCs/>
          <w:color w:val="auto"/>
          <w:sz w:val="24"/>
          <w:highlight w:val="none"/>
          <w:lang w:val="en-US" w:eastAsia="zh-CN"/>
        </w:rPr>
        <w:t>12</w:t>
      </w:r>
      <w:r>
        <w:rPr>
          <w:rFonts w:hint="eastAsia" w:ascii="仿宋_GB2312" w:hAnsi="仿宋_GB2312" w:eastAsia="仿宋_GB2312" w:cs="仿宋_GB2312"/>
          <w:bCs/>
          <w:color w:val="auto"/>
          <w:sz w:val="24"/>
          <w:highlight w:val="none"/>
        </w:rPr>
        <w:t>月</w:t>
      </w:r>
      <w:r>
        <w:rPr>
          <w:rFonts w:hint="eastAsia" w:ascii="仿宋_GB2312" w:hAnsi="仿宋_GB2312" w:eastAsia="仿宋_GB2312" w:cs="仿宋_GB2312"/>
          <w:bCs/>
          <w:color w:val="auto"/>
          <w:sz w:val="24"/>
          <w:highlight w:val="none"/>
          <w:lang w:val="en-US" w:eastAsia="zh-CN"/>
        </w:rPr>
        <w:t>22</w:t>
      </w:r>
      <w:r>
        <w:rPr>
          <w:rFonts w:hint="eastAsia" w:ascii="仿宋_GB2312" w:hAnsi="仿宋_GB2312" w:eastAsia="仿宋_GB2312" w:cs="仿宋_GB2312"/>
          <w:bCs/>
          <w:color w:val="auto"/>
          <w:sz w:val="24"/>
          <w:highlight w:val="none"/>
        </w:rPr>
        <w:t>日</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3.获取招标文件时须提交的文件资料：无。</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4.售价：免费。</w:t>
      </w:r>
    </w:p>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八、递交投标文件截止时间和地点：</w:t>
      </w:r>
    </w:p>
    <w:p>
      <w:pPr>
        <w:widowControl/>
        <w:shd w:val="clear" w:color="auto" w:fill="FFFFFF"/>
        <w:spacing w:line="500" w:lineRule="exact"/>
        <w:ind w:firstLine="480" w:firstLineChars="200"/>
        <w:jc w:val="left"/>
        <w:rPr>
          <w:rFonts w:ascii="仿宋_GB2312" w:hAnsi="仿宋_GB2312" w:eastAsia="仿宋_GB2312" w:cs="仿宋_GB2312"/>
          <w:bCs/>
          <w:color w:val="FF0000"/>
          <w:sz w:val="24"/>
        </w:rPr>
      </w:pPr>
      <w:r>
        <w:rPr>
          <w:rFonts w:hint="eastAsia" w:ascii="仿宋_GB2312" w:hAnsi="仿宋_GB2312" w:eastAsia="仿宋_GB2312" w:cs="仿宋_GB2312"/>
          <w:bCs/>
          <w:sz w:val="24"/>
        </w:rPr>
        <w:t>1</w:t>
      </w:r>
      <w:r>
        <w:rPr>
          <w:rFonts w:hint="eastAsia" w:ascii="仿宋_GB2312" w:hAnsi="仿宋_GB2312" w:eastAsia="仿宋_GB2312" w:cs="仿宋_GB2312"/>
          <w:bCs/>
          <w:color w:val="000000"/>
          <w:sz w:val="24"/>
        </w:rPr>
        <w:t>.截止时间</w:t>
      </w:r>
      <w:r>
        <w:rPr>
          <w:rFonts w:hint="eastAsia" w:ascii="仿宋_GB2312" w:hAnsi="仿宋_GB2312" w:eastAsia="仿宋_GB2312" w:cs="仿宋_GB2312"/>
          <w:bCs/>
          <w:color w:val="FF0000"/>
          <w:sz w:val="24"/>
        </w:rPr>
        <w:t>：</w:t>
      </w:r>
      <w:r>
        <w:rPr>
          <w:rFonts w:hint="eastAsia" w:ascii="仿宋_GB2312" w:hAnsi="仿宋_GB2312" w:eastAsia="仿宋_GB2312" w:cs="仿宋_GB2312"/>
          <w:bCs/>
          <w:color w:val="FF0000"/>
          <w:sz w:val="24"/>
          <w:highlight w:val="none"/>
        </w:rPr>
        <w:t>2021年12月</w:t>
      </w:r>
      <w:r>
        <w:rPr>
          <w:rFonts w:hint="eastAsia" w:ascii="仿宋_GB2312" w:hAnsi="仿宋_GB2312" w:eastAsia="仿宋_GB2312" w:cs="仿宋_GB2312"/>
          <w:bCs/>
          <w:color w:val="FF0000"/>
          <w:sz w:val="24"/>
          <w:highlight w:val="none"/>
          <w:lang w:val="en-US" w:eastAsia="zh-CN"/>
        </w:rPr>
        <w:t>22</w:t>
      </w:r>
      <w:r>
        <w:rPr>
          <w:rFonts w:hint="eastAsia" w:ascii="仿宋_GB2312" w:hAnsi="仿宋_GB2312" w:eastAsia="仿宋_GB2312" w:cs="仿宋_GB2312"/>
          <w:bCs/>
          <w:color w:val="FF0000"/>
          <w:sz w:val="24"/>
          <w:highlight w:val="none"/>
        </w:rPr>
        <w:t>日10时00分00秒</w:t>
      </w:r>
      <w:r>
        <w:rPr>
          <w:rFonts w:hint="eastAsia" w:ascii="仿宋_GB2312" w:hAnsi="仿宋_GB2312" w:eastAsia="仿宋_GB2312" w:cs="仿宋_GB2312"/>
          <w:bCs/>
          <w:color w:val="FF0000"/>
          <w:sz w:val="24"/>
        </w:rPr>
        <w:t>（北京时间）</w:t>
      </w:r>
    </w:p>
    <w:p>
      <w:pPr>
        <w:widowControl/>
        <w:shd w:val="clear" w:color="auto" w:fill="FFFFFF"/>
        <w:spacing w:line="500" w:lineRule="exact"/>
        <w:ind w:firstLine="480" w:firstLineChars="20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2.递交地点：杭州市上城区凤起东路888号（运河东路200号）四楼杭州市公共资源交易中心上城分中心406室。</w:t>
      </w:r>
    </w:p>
    <w:p>
      <w:pPr>
        <w:widowControl/>
        <w:shd w:val="clear" w:color="auto" w:fill="FFFFFF"/>
        <w:spacing w:line="500" w:lineRule="exact"/>
        <w:ind w:firstLine="424" w:firstLineChars="177"/>
        <w:jc w:val="left"/>
        <w:rPr>
          <w:rFonts w:ascii="仿宋_GB2312" w:hAnsi="仿宋_GB2312" w:eastAsia="仿宋_GB2312" w:cs="仿宋_GB2312"/>
          <w:bCs/>
          <w:sz w:val="24"/>
        </w:rPr>
      </w:pPr>
      <w:r>
        <w:rPr>
          <w:rFonts w:hint="eastAsia" w:ascii="仿宋_GB2312" w:hAnsi="仿宋_GB2312" w:eastAsia="仿宋_GB2312" w:cs="仿宋_GB2312"/>
          <w:bCs/>
          <w:sz w:val="24"/>
        </w:rPr>
        <w:t>注：</w:t>
      </w:r>
    </w:p>
    <w:p>
      <w:pPr>
        <w:widowControl/>
        <w:shd w:val="clear" w:color="auto" w:fill="FFFFFF"/>
        <w:spacing w:line="500" w:lineRule="exact"/>
        <w:ind w:firstLine="424" w:firstLineChars="177"/>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sz w:val="24"/>
        </w:rPr>
        <w:t>（1）电子投标文件的递交：投标人应在投标文件</w:t>
      </w:r>
      <w:r>
        <w:rPr>
          <w:rFonts w:hint="eastAsia" w:ascii="仿宋_GB2312" w:hAnsi="仿宋_GB2312" w:eastAsia="仿宋_GB2312" w:cs="仿宋_GB2312"/>
          <w:bCs/>
          <w:color w:val="auto"/>
          <w:sz w:val="24"/>
          <w:highlight w:val="none"/>
        </w:rPr>
        <w:t>截止时间</w:t>
      </w:r>
      <w:r>
        <w:rPr>
          <w:rFonts w:hint="eastAsia" w:ascii="仿宋_GB2312" w:hAnsi="仿宋_GB2312" w:eastAsia="仿宋_GB2312" w:cs="仿宋_GB2312"/>
          <w:color w:val="auto"/>
          <w:sz w:val="24"/>
          <w:highlight w:val="none"/>
        </w:rPr>
        <w:t>2021年12月</w:t>
      </w:r>
      <w:r>
        <w:rPr>
          <w:rFonts w:hint="eastAsia" w:ascii="仿宋_GB2312" w:hAnsi="仿宋_GB2312" w:eastAsia="仿宋_GB2312" w:cs="仿宋_GB2312"/>
          <w:color w:val="auto"/>
          <w:sz w:val="24"/>
          <w:highlight w:val="none"/>
          <w:lang w:val="en-US" w:eastAsia="zh-CN"/>
        </w:rPr>
        <w:t>22</w:t>
      </w:r>
      <w:r>
        <w:rPr>
          <w:rFonts w:hint="eastAsia" w:ascii="仿宋_GB2312" w:hAnsi="仿宋_GB2312" w:eastAsia="仿宋_GB2312" w:cs="仿宋_GB2312"/>
          <w:color w:val="auto"/>
          <w:sz w:val="24"/>
          <w:highlight w:val="none"/>
        </w:rPr>
        <w:t>日10时00分00秒前将加密的电子投标文件上传至政采云</w:t>
      </w:r>
      <w:r>
        <w:rPr>
          <w:rFonts w:hint="eastAsia" w:ascii="仿宋_GB2312" w:hAnsi="仿宋_GB2312" w:eastAsia="仿宋_GB2312" w:cs="仿宋_GB2312"/>
          <w:bCs/>
          <w:color w:val="auto"/>
          <w:sz w:val="24"/>
          <w:highlight w:val="none"/>
        </w:rPr>
        <w:t>平台。</w:t>
      </w:r>
    </w:p>
    <w:p>
      <w:pPr>
        <w:widowControl/>
        <w:shd w:val="clear" w:color="auto" w:fill="FFFFFF"/>
        <w:spacing w:line="500" w:lineRule="exact"/>
        <w:ind w:firstLine="424" w:firstLineChars="177"/>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（2）备份投标文件的递交：投标人应于</w:t>
      </w:r>
      <w:r>
        <w:rPr>
          <w:rFonts w:hint="eastAsia" w:ascii="仿宋_GB2312" w:hAnsi="仿宋_GB2312" w:eastAsia="仿宋_GB2312" w:cs="仿宋_GB2312"/>
          <w:color w:val="auto"/>
          <w:sz w:val="24"/>
          <w:highlight w:val="none"/>
        </w:rPr>
        <w:t>2021年12月</w:t>
      </w:r>
      <w:r>
        <w:rPr>
          <w:rFonts w:hint="eastAsia" w:ascii="仿宋_GB2312" w:hAnsi="仿宋_GB2312" w:eastAsia="仿宋_GB2312" w:cs="仿宋_GB2312"/>
          <w:color w:val="auto"/>
          <w:sz w:val="24"/>
          <w:highlight w:val="none"/>
          <w:lang w:val="en-US" w:eastAsia="zh-CN"/>
        </w:rPr>
        <w:t>22</w:t>
      </w:r>
      <w:r>
        <w:rPr>
          <w:rFonts w:hint="eastAsia" w:ascii="仿宋_GB2312" w:hAnsi="仿宋_GB2312" w:eastAsia="仿宋_GB2312" w:cs="仿宋_GB2312"/>
          <w:color w:val="auto"/>
          <w:sz w:val="24"/>
          <w:highlight w:val="none"/>
        </w:rPr>
        <w:t>日10时00分00秒前递交以介质存储的数据电文形式的备</w:t>
      </w:r>
      <w:r>
        <w:rPr>
          <w:rFonts w:hint="eastAsia" w:ascii="仿宋_GB2312" w:hAnsi="仿宋_GB2312" w:eastAsia="仿宋_GB2312" w:cs="仿宋_GB2312"/>
          <w:bCs/>
          <w:color w:val="auto"/>
          <w:sz w:val="24"/>
          <w:highlight w:val="none"/>
        </w:rPr>
        <w:t>份投标文件。因投标人未及时递交备份投标文件而造成的后果由投标人承担。</w:t>
      </w:r>
    </w:p>
    <w:p>
      <w:pPr>
        <w:widowControl/>
        <w:shd w:val="clear" w:color="auto" w:fill="FFFFFF"/>
        <w:spacing w:line="500" w:lineRule="exact"/>
        <w:jc w:val="left"/>
        <w:rPr>
          <w:rFonts w:ascii="仿宋_GB2312" w:hAnsi="仿宋_GB2312" w:eastAsia="仿宋_GB2312" w:cs="仿宋_GB2312"/>
          <w:bCs/>
          <w:sz w:val="24"/>
        </w:rPr>
      </w:pPr>
      <w:r>
        <w:rPr>
          <w:rFonts w:hint="eastAsia" w:ascii="仿宋_GB2312" w:hAnsi="仿宋_GB2312" w:eastAsia="仿宋_GB2312" w:cs="仿宋_GB2312"/>
          <w:b/>
          <w:bCs/>
          <w:sz w:val="24"/>
        </w:rPr>
        <w:t>九、投标保证金：</w:t>
      </w:r>
      <w:r>
        <w:rPr>
          <w:rFonts w:hint="eastAsia" w:ascii="仿宋_GB2312" w:hAnsi="仿宋_GB2312" w:eastAsia="仿宋_GB2312" w:cs="仿宋_GB2312"/>
          <w:bCs/>
          <w:sz w:val="24"/>
        </w:rPr>
        <w:t>本项目不收取投标保证金。</w:t>
      </w:r>
    </w:p>
    <w:p>
      <w:pPr>
        <w:widowControl/>
        <w:shd w:val="clear" w:color="auto" w:fill="FFFFFF"/>
        <w:spacing w:line="50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十、其他：</w:t>
      </w:r>
    </w:p>
    <w:p>
      <w:pPr>
        <w:widowControl/>
        <w:shd w:val="clear" w:color="auto" w:fill="FFFFFF"/>
        <w:spacing w:line="500" w:lineRule="exact"/>
        <w:ind w:firstLine="424" w:firstLineChars="177"/>
        <w:jc w:val="left"/>
        <w:rPr>
          <w:rFonts w:ascii="仿宋_GB2312" w:hAnsi="仿宋_GB2312" w:eastAsia="仿宋_GB2312" w:cs="仿宋_GB2312"/>
          <w:bCs/>
          <w:color w:val="FF0000"/>
          <w:sz w:val="24"/>
        </w:rPr>
      </w:pPr>
      <w:r>
        <w:rPr>
          <w:rFonts w:hint="eastAsia" w:ascii="仿宋_GB2312" w:hAnsi="仿宋_GB2312" w:eastAsia="仿宋_GB2312" w:cs="仿宋_GB2312"/>
          <w:bCs/>
          <w:color w:val="FF0000"/>
          <w:sz w:val="24"/>
        </w:rPr>
        <w:t>1.本项目实行电子投标，采购人、采购代理机构将依托政采云平台完成本项目的电子交易活动，投标人应按照本项目招标文件和政采云平台的要求编制、加密并递交投标文件。投标人在使用系统进行投标的过程中遇到涉及平台使用的任何问题，可致电政采云平台技术支持热线咨询，联系方式：</w:t>
      </w:r>
      <w:r>
        <w:rPr>
          <w:rFonts w:ascii="仿宋_GB2312" w:hAnsi="仿宋_GB2312" w:eastAsia="仿宋_GB2312" w:cs="仿宋_GB2312"/>
          <w:bCs/>
          <w:color w:val="FF0000"/>
          <w:sz w:val="24"/>
        </w:rPr>
        <w:t>400-881-7190</w:t>
      </w:r>
      <w:r>
        <w:rPr>
          <w:rFonts w:hint="eastAsia" w:ascii="仿宋_GB2312" w:hAnsi="仿宋_GB2312" w:eastAsia="仿宋_GB2312" w:cs="仿宋_GB2312"/>
          <w:bCs/>
          <w:color w:val="FF0000"/>
          <w:sz w:val="24"/>
        </w:rPr>
        <w:t>。</w:t>
      </w:r>
    </w:p>
    <w:p>
      <w:pPr>
        <w:widowControl/>
        <w:shd w:val="clear" w:color="auto" w:fill="FFFFFF"/>
        <w:spacing w:line="500" w:lineRule="exact"/>
        <w:ind w:firstLine="424" w:firstLineChars="177"/>
        <w:jc w:val="left"/>
        <w:rPr>
          <w:rFonts w:ascii="仿宋_GB2312" w:hAnsi="仿宋_GB2312" w:eastAsia="仿宋_GB2312" w:cs="仿宋_GB2312"/>
          <w:bCs/>
          <w:color w:val="FF0000"/>
          <w:sz w:val="24"/>
        </w:rPr>
      </w:pPr>
      <w:r>
        <w:rPr>
          <w:rFonts w:hint="eastAsia" w:ascii="仿宋_GB2312" w:hAnsi="仿宋_GB2312" w:eastAsia="仿宋_GB2312" w:cs="仿宋_GB2312"/>
          <w:bCs/>
          <w:color w:val="FF0000"/>
          <w:sz w:val="24"/>
        </w:rPr>
        <w:t>2.投标人应在开标前完成CA数字证书办理。因办理CA数字证书时间较长，请各投标人合理预估时间，及时办理。办理流程详见http://zfcg.czt.zj.gov.cn/bidClientTemplate/2019-05-27/12945.html。</w:t>
      </w:r>
    </w:p>
    <w:p>
      <w:pPr>
        <w:widowControl/>
        <w:shd w:val="clear" w:color="auto" w:fill="FFFFFF"/>
        <w:spacing w:line="500" w:lineRule="exact"/>
        <w:ind w:firstLine="424" w:firstLineChars="177"/>
        <w:jc w:val="left"/>
        <w:rPr>
          <w:rFonts w:ascii="仿宋_GB2312" w:hAnsi="仿宋_GB2312" w:eastAsia="仿宋_GB2312" w:cs="仿宋_GB2312"/>
          <w:bCs/>
          <w:color w:val="FF0000"/>
          <w:sz w:val="24"/>
        </w:rPr>
      </w:pPr>
      <w:r>
        <w:rPr>
          <w:rFonts w:hint="eastAsia" w:ascii="仿宋_GB2312" w:hAnsi="仿宋_GB2312" w:eastAsia="仿宋_GB2312" w:cs="仿宋_GB2312"/>
          <w:bCs/>
          <w:color w:val="FF0000"/>
          <w:sz w:val="24"/>
        </w:rPr>
        <w:t>3.投标人通过政采云电子交易客户端制作投标文件。请投标人自行下载并安装，下载网址：http://www.zjzfcg.gov.cn/bidClientTemplate/2019-05-27/12946.html。</w:t>
      </w:r>
    </w:p>
    <w:p>
      <w:pPr>
        <w:widowControl/>
        <w:shd w:val="clear" w:color="auto" w:fill="FFFFFF"/>
        <w:spacing w:line="500" w:lineRule="exact"/>
        <w:ind w:firstLine="424" w:firstLineChars="177"/>
        <w:jc w:val="left"/>
        <w:rPr>
          <w:rFonts w:ascii="仿宋_GB2312" w:hAnsi="仿宋_GB2312" w:eastAsia="仿宋_GB2312" w:cs="仿宋_GB2312"/>
          <w:bCs/>
          <w:color w:val="FF0000"/>
          <w:sz w:val="24"/>
        </w:rPr>
      </w:pPr>
      <w:r>
        <w:rPr>
          <w:rFonts w:hint="eastAsia" w:ascii="仿宋_GB2312" w:hAnsi="仿宋_GB2312" w:eastAsia="仿宋_GB2312" w:cs="仿宋_GB2312"/>
          <w:bCs/>
          <w:color w:val="FF0000"/>
          <w:sz w:val="24"/>
        </w:rPr>
        <w:t>4.</w:t>
      </w:r>
      <w:r>
        <w:rPr>
          <w:rFonts w:hint="eastAsia"/>
        </w:rPr>
        <w:t xml:space="preserve"> </w:t>
      </w:r>
      <w:r>
        <w:rPr>
          <w:rFonts w:hint="eastAsia" w:ascii="仿宋_GB2312" w:hAnsi="仿宋_GB2312" w:eastAsia="仿宋_GB2312" w:cs="仿宋_GB2312"/>
          <w:bCs/>
          <w:color w:val="FF0000"/>
          <w:sz w:val="24"/>
        </w:rPr>
        <w:t>电子投标具体流程：详见政采云平台“服务中心-帮助文档-项目采购-操作流程-电子招投标-政府采购项目电子交易管理操作指南-供应商”的《政府采购项目电子交易-不见面开评标管理操作指南-供应商》，注：需政采云平台账号登陆后才可查看。</w:t>
      </w:r>
    </w:p>
    <w:p>
      <w:pPr>
        <w:widowControl/>
        <w:shd w:val="clear" w:color="auto" w:fill="FFFFFF"/>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十一、开标时间和地点</w:t>
      </w:r>
    </w:p>
    <w:p>
      <w:pPr>
        <w:widowControl/>
        <w:shd w:val="clear" w:color="auto" w:fill="FFFFFF"/>
        <w:spacing w:line="500" w:lineRule="exact"/>
        <w:ind w:firstLine="424" w:firstLineChars="177"/>
        <w:jc w:val="left"/>
        <w:rPr>
          <w:rFonts w:ascii="仿宋_GB2312" w:hAnsi="仿宋_GB2312" w:eastAsia="仿宋_GB2312" w:cs="仿宋_GB2312"/>
          <w:bCs/>
          <w:sz w:val="24"/>
        </w:rPr>
      </w:pPr>
      <w:r>
        <w:rPr>
          <w:rFonts w:hint="eastAsia" w:ascii="仿宋_GB2312" w:hAnsi="仿宋_GB2312" w:eastAsia="仿宋_GB2312" w:cs="仿宋_GB2312"/>
          <w:bCs/>
          <w:sz w:val="24"/>
        </w:rPr>
        <w:t>1.开标时间：</w:t>
      </w:r>
      <w:r>
        <w:rPr>
          <w:rFonts w:hint="eastAsia" w:ascii="仿宋_GB2312" w:hAnsi="仿宋_GB2312" w:eastAsia="仿宋_GB2312" w:cs="仿宋_GB2312"/>
          <w:bCs/>
          <w:color w:val="FF0000"/>
          <w:sz w:val="24"/>
          <w:highlight w:val="none"/>
        </w:rPr>
        <w:t>2021年12月</w:t>
      </w:r>
      <w:r>
        <w:rPr>
          <w:rFonts w:hint="eastAsia" w:ascii="仿宋_GB2312" w:hAnsi="仿宋_GB2312" w:eastAsia="仿宋_GB2312" w:cs="仿宋_GB2312"/>
          <w:bCs/>
          <w:color w:val="FF0000"/>
          <w:sz w:val="24"/>
          <w:highlight w:val="none"/>
          <w:lang w:val="en-US" w:eastAsia="zh-CN"/>
        </w:rPr>
        <w:t>22</w:t>
      </w:r>
      <w:r>
        <w:rPr>
          <w:rFonts w:hint="eastAsia" w:ascii="仿宋_GB2312" w:hAnsi="仿宋_GB2312" w:eastAsia="仿宋_GB2312" w:cs="仿宋_GB2312"/>
          <w:bCs/>
          <w:color w:val="FF0000"/>
          <w:sz w:val="24"/>
          <w:highlight w:val="none"/>
        </w:rPr>
        <w:t>日10时00分00秒</w:t>
      </w:r>
      <w:r>
        <w:rPr>
          <w:rFonts w:hint="eastAsia" w:ascii="仿宋_GB2312" w:hAnsi="仿宋_GB2312" w:eastAsia="仿宋_GB2312" w:cs="仿宋_GB2312"/>
          <w:bCs/>
          <w:sz w:val="24"/>
        </w:rPr>
        <w:t>（</w:t>
      </w:r>
      <w:r>
        <w:rPr>
          <w:rFonts w:hint="eastAsia" w:ascii="仿宋_GB2312" w:hAnsi="仿宋_GB2312" w:eastAsia="仿宋_GB2312" w:cs="仿宋_GB2312"/>
          <w:bCs/>
          <w:color w:val="000000"/>
          <w:sz w:val="24"/>
        </w:rPr>
        <w:t>北京时间）</w:t>
      </w:r>
    </w:p>
    <w:p>
      <w:pPr>
        <w:widowControl/>
        <w:shd w:val="clear" w:color="auto" w:fill="FFFFFF"/>
        <w:spacing w:line="500" w:lineRule="exact"/>
        <w:ind w:firstLine="424" w:firstLineChars="177"/>
        <w:jc w:val="left"/>
        <w:rPr>
          <w:rFonts w:ascii="仿宋_GB2312" w:hAnsi="仿宋_GB2312" w:eastAsia="仿宋_GB2312" w:cs="仿宋_GB2312"/>
          <w:bCs/>
          <w:sz w:val="24"/>
        </w:rPr>
      </w:pPr>
      <w:r>
        <w:rPr>
          <w:rFonts w:hint="eastAsia" w:ascii="仿宋_GB2312" w:hAnsi="仿宋_GB2312" w:eastAsia="仿宋_GB2312" w:cs="仿宋_GB2312"/>
          <w:bCs/>
          <w:sz w:val="24"/>
        </w:rPr>
        <w:t>2.开标地点：杭州市上城区凤起东路888号（运河东路200号）四楼杭州市公共资源交易中心上城分中心406室。</w:t>
      </w:r>
    </w:p>
    <w:p>
      <w:pPr>
        <w:widowControl/>
        <w:tabs>
          <w:tab w:val="left" w:pos="426"/>
        </w:tabs>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十二、采购人信息</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名  称：杭州东站枢纽管理委员会</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地  址：杭州市上城区环站北路999号</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联系人：沈工</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电  话：0571-56669936</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传  真：0571-56669936</w:t>
      </w:r>
    </w:p>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十三、采购代理机构信息</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名  称：杭州市公共资源交易中心上城分中心</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地  址：杭州市上城区凤起东路888号（运河东路200号）四楼杭州市公共资源交易中心上城分中心411室</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联系人：孙工</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电  话：0571-87654765</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传  真：0571-87654765</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邮  箱：/</w:t>
      </w:r>
    </w:p>
    <w:p>
      <w:pPr>
        <w:widowControl/>
        <w:tabs>
          <w:tab w:val="left" w:pos="426"/>
        </w:tabs>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十四、质疑接收人信息</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联系人：宋工</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电  话：0571-87654292</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传  真：0571-87654242</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邮  箱：hzjgjyzx@163.com</w:t>
      </w:r>
    </w:p>
    <w:p>
      <w:pPr>
        <w:widowControl/>
        <w:tabs>
          <w:tab w:val="left" w:pos="426"/>
        </w:tabs>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十五、同级政府采购监督管理部门信息</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名  称：杭州市上城区财政局</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地  址：杭州市上城区鲲鹏路366号</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联系人：刘工</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监督投诉电话：</w:t>
      </w:r>
      <w:r>
        <w:rPr>
          <w:rFonts w:hint="eastAsia" w:ascii="仿宋_GB2312" w:hAnsi="宋体" w:eastAsia="仿宋_GB2312" w:cs="宋体"/>
          <w:kern w:val="0"/>
          <w:sz w:val="24"/>
        </w:rPr>
        <w:t>0571-87242073</w:t>
      </w:r>
    </w:p>
    <w:p>
      <w:pPr>
        <w:widowControl/>
        <w:shd w:val="clear" w:color="auto" w:fill="FFFFFF"/>
        <w:spacing w:line="500" w:lineRule="exact"/>
        <w:ind w:firstLine="480" w:firstLineChars="200"/>
        <w:jc w:val="left"/>
        <w:rPr>
          <w:rFonts w:ascii="仿宋_GB2312" w:hAnsi="仿宋_GB2312" w:eastAsia="仿宋_GB2312" w:cs="仿宋_GB2312"/>
          <w:bCs/>
          <w:sz w:val="24"/>
        </w:rPr>
        <w:sectPr>
          <w:pgSz w:w="11906" w:h="16838"/>
          <w:pgMar w:top="1474" w:right="1985" w:bottom="1588" w:left="2098" w:header="851" w:footer="992" w:gutter="0"/>
          <w:cols w:space="720" w:num="1"/>
          <w:docGrid w:linePitch="312" w:charSpace="0"/>
        </w:sectPr>
      </w:pPr>
      <w:r>
        <w:rPr>
          <w:rFonts w:hint="eastAsia" w:ascii="仿宋_GB2312" w:hAnsi="仿宋_GB2312" w:eastAsia="仿宋_GB2312" w:cs="仿宋_GB2312"/>
          <w:bCs/>
          <w:sz w:val="24"/>
        </w:rPr>
        <w:t>传  真：/</w:t>
      </w:r>
    </w:p>
    <w:p>
      <w:pPr>
        <w:pStyle w:val="3"/>
        <w:spacing w:before="0" w:after="120" w:afterLines="50" w:line="500" w:lineRule="exact"/>
        <w:jc w:val="center"/>
        <w:rPr>
          <w:rFonts w:ascii="华文中宋" w:hAnsi="华文中宋" w:eastAsia="华文中宋"/>
          <w:sz w:val="36"/>
          <w:szCs w:val="36"/>
        </w:rPr>
      </w:pPr>
      <w:bookmarkStart w:id="32" w:name="_Toc22159"/>
      <w:bookmarkStart w:id="33" w:name="_Toc646"/>
      <w:r>
        <w:rPr>
          <w:rFonts w:hint="eastAsia" w:ascii="华文中宋" w:hAnsi="华文中宋" w:eastAsia="华文中宋"/>
          <w:sz w:val="36"/>
          <w:szCs w:val="36"/>
        </w:rPr>
        <w:t>第二部分 前附表</w:t>
      </w:r>
      <w:bookmarkEnd w:id="32"/>
      <w:bookmarkEnd w:id="33"/>
    </w:p>
    <w:tbl>
      <w:tblPr>
        <w:tblStyle w:val="41"/>
        <w:tblW w:w="91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91"/>
        <w:gridCol w:w="1378"/>
        <w:gridCol w:w="3525"/>
        <w:gridCol w:w="1418"/>
        <w:gridCol w:w="2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序号</w:t>
            </w:r>
          </w:p>
        </w:tc>
        <w:tc>
          <w:tcPr>
            <w:tcW w:w="8434" w:type="dxa"/>
            <w:gridSpan w:val="4"/>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szCs w:val="21"/>
              </w:rPr>
            </w:pPr>
            <w:r>
              <w:rPr>
                <w:rFonts w:hint="eastAsia" w:ascii="仿宋_GB2312" w:hAnsi="仿宋" w:eastAsia="仿宋_GB2312" w:cs="宋体"/>
                <w:b/>
                <w:szCs w:val="21"/>
              </w:rPr>
              <w:t>1</w:t>
            </w:r>
          </w:p>
        </w:tc>
        <w:tc>
          <w:tcPr>
            <w:tcW w:w="1378" w:type="dxa"/>
            <w:vAlign w:val="center"/>
          </w:tcPr>
          <w:p>
            <w:pPr>
              <w:jc w:val="center"/>
              <w:rPr>
                <w:rFonts w:ascii="仿宋_GB2312" w:hAnsi="仿宋" w:eastAsia="仿宋_GB2312" w:cs="宋体"/>
                <w:szCs w:val="21"/>
              </w:rPr>
            </w:pPr>
            <w:r>
              <w:rPr>
                <w:rFonts w:hint="eastAsia" w:ascii="仿宋_GB2312" w:hAnsi="仿宋" w:eastAsia="仿宋_GB2312" w:cs="宋体"/>
                <w:b/>
                <w:szCs w:val="21"/>
              </w:rPr>
              <w:t>项目名称</w:t>
            </w:r>
          </w:p>
        </w:tc>
        <w:tc>
          <w:tcPr>
            <w:tcW w:w="3525" w:type="dxa"/>
            <w:vAlign w:val="center"/>
          </w:tcPr>
          <w:p>
            <w:pPr>
              <w:jc w:val="left"/>
              <w:rPr>
                <w:rFonts w:ascii="仿宋_GB2312" w:hAnsi="仿宋" w:eastAsia="仿宋_GB2312"/>
                <w:szCs w:val="21"/>
              </w:rPr>
            </w:pPr>
            <w:r>
              <w:rPr>
                <w:rFonts w:hint="eastAsia" w:ascii="仿宋_GB2312" w:eastAsia="仿宋_GB2312"/>
                <w:szCs w:val="20"/>
              </w:rPr>
              <w:t>杭州东站枢纽区域综合养护服务项目</w:t>
            </w:r>
          </w:p>
        </w:tc>
        <w:tc>
          <w:tcPr>
            <w:tcW w:w="1418" w:type="dxa"/>
            <w:vAlign w:val="center"/>
          </w:tcPr>
          <w:p>
            <w:pPr>
              <w:jc w:val="center"/>
              <w:rPr>
                <w:rFonts w:ascii="仿宋_GB2312" w:hAnsi="仿宋" w:eastAsia="仿宋_GB2312"/>
                <w:sz w:val="24"/>
              </w:rPr>
            </w:pPr>
            <w:r>
              <w:rPr>
                <w:rFonts w:hint="eastAsia" w:ascii="仿宋_GB2312" w:hAnsi="仿宋" w:eastAsia="仿宋_GB2312" w:cs="宋体"/>
                <w:b/>
                <w:szCs w:val="21"/>
              </w:rPr>
              <w:t>项目编号</w:t>
            </w:r>
          </w:p>
        </w:tc>
        <w:tc>
          <w:tcPr>
            <w:tcW w:w="2113" w:type="dxa"/>
            <w:vAlign w:val="center"/>
          </w:tcPr>
          <w:p>
            <w:pPr>
              <w:jc w:val="left"/>
              <w:rPr>
                <w:rFonts w:ascii="仿宋_GB2312" w:hAnsi="仿宋" w:eastAsia="仿宋_GB2312"/>
                <w:sz w:val="24"/>
              </w:rPr>
            </w:pPr>
            <w:r>
              <w:rPr>
                <w:rFonts w:hint="eastAsia" w:ascii="仿宋_GB2312" w:eastAsia="仿宋_GB2312"/>
                <w:szCs w:val="20"/>
              </w:rPr>
              <w:t xml:space="preserve">SCCG2021-GK-12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szCs w:val="21"/>
              </w:rPr>
            </w:pPr>
            <w:r>
              <w:rPr>
                <w:rFonts w:hint="eastAsia" w:ascii="仿宋_GB2312" w:hAnsi="仿宋" w:eastAsia="仿宋_GB2312" w:cs="宋体"/>
                <w:b/>
                <w:szCs w:val="21"/>
              </w:rPr>
              <w:t>2</w:t>
            </w:r>
          </w:p>
        </w:tc>
        <w:tc>
          <w:tcPr>
            <w:tcW w:w="1378" w:type="dxa"/>
            <w:vAlign w:val="center"/>
          </w:tcPr>
          <w:p>
            <w:pPr>
              <w:jc w:val="center"/>
              <w:rPr>
                <w:rFonts w:ascii="仿宋_GB2312" w:hAnsi="仿宋" w:eastAsia="仿宋_GB2312" w:cs="宋体"/>
                <w:szCs w:val="21"/>
              </w:rPr>
            </w:pPr>
            <w:r>
              <w:rPr>
                <w:rFonts w:hint="eastAsia" w:ascii="仿宋_GB2312" w:hAnsi="仿宋" w:eastAsia="仿宋_GB2312" w:cs="宋体"/>
                <w:b/>
                <w:szCs w:val="21"/>
              </w:rPr>
              <w:t>采购人</w:t>
            </w:r>
          </w:p>
        </w:tc>
        <w:tc>
          <w:tcPr>
            <w:tcW w:w="7056" w:type="dxa"/>
            <w:gridSpan w:val="3"/>
            <w:vAlign w:val="center"/>
          </w:tcPr>
          <w:p>
            <w:pPr>
              <w:jc w:val="left"/>
              <w:rPr>
                <w:rFonts w:ascii="仿宋_GB2312" w:hAnsi="仿宋" w:eastAsia="仿宋_GB2312"/>
                <w:szCs w:val="21"/>
              </w:rPr>
            </w:pPr>
            <w:r>
              <w:rPr>
                <w:rFonts w:hint="eastAsia" w:ascii="仿宋_GB2312" w:eastAsia="仿宋_GB2312"/>
                <w:szCs w:val="20"/>
              </w:rPr>
              <w:t>杭州东站枢纽管理委员会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365" w:hRule="atLeast"/>
          <w:tblHeader/>
          <w:jc w:val="center"/>
        </w:trPr>
        <w:tc>
          <w:tcPr>
            <w:tcW w:w="691" w:type="dxa"/>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3</w:t>
            </w:r>
          </w:p>
        </w:tc>
        <w:tc>
          <w:tcPr>
            <w:tcW w:w="1378" w:type="dxa"/>
            <w:vAlign w:val="center"/>
          </w:tcPr>
          <w:p>
            <w:pPr>
              <w:jc w:val="center"/>
              <w:rPr>
                <w:rFonts w:ascii="仿宋_GB2312" w:hAnsi="仿宋" w:eastAsia="仿宋_GB2312" w:cs="宋体"/>
                <w:bCs/>
                <w:szCs w:val="21"/>
              </w:rPr>
            </w:pPr>
            <w:r>
              <w:rPr>
                <w:rFonts w:hint="eastAsia" w:ascii="仿宋_GB2312" w:hAnsi="仿宋" w:eastAsia="仿宋_GB2312" w:cs="宋体"/>
                <w:b/>
                <w:szCs w:val="21"/>
              </w:rPr>
              <w:t>项目概况</w:t>
            </w:r>
          </w:p>
        </w:tc>
        <w:tc>
          <w:tcPr>
            <w:tcW w:w="7056" w:type="dxa"/>
            <w:gridSpan w:val="3"/>
            <w:vAlign w:val="center"/>
          </w:tcPr>
          <w:p>
            <w:pPr>
              <w:pStyle w:val="2"/>
              <w:ind w:firstLine="0" w:firstLineChars="0"/>
              <w:rPr>
                <w:rFonts w:ascii="仿宋_GB2312" w:hAnsi="仿宋" w:eastAsia="仿宋_GB2312" w:cs="宋体"/>
                <w:b/>
                <w:bCs/>
                <w:szCs w:val="21"/>
              </w:rPr>
            </w:pPr>
            <w:r>
              <w:rPr>
                <w:rFonts w:hint="eastAsia" w:ascii="仿宋_GB2312" w:hAnsi="仿宋" w:eastAsia="仿宋_GB2312" w:cs="宋体"/>
                <w:b/>
                <w:bCs/>
                <w:szCs w:val="21"/>
              </w:rPr>
              <w:t>(1)本项目预算：2800万元。</w:t>
            </w:r>
          </w:p>
          <w:p>
            <w:pPr>
              <w:pStyle w:val="2"/>
              <w:ind w:firstLine="0" w:firstLineChars="0"/>
              <w:rPr>
                <w:rFonts w:ascii="仿宋_GB2312" w:hAnsi="仿宋" w:eastAsia="仿宋_GB2312" w:cs="宋体"/>
                <w:szCs w:val="21"/>
              </w:rPr>
            </w:pPr>
            <w:r>
              <w:rPr>
                <w:rFonts w:hint="eastAsia" w:ascii="仿宋_GB2312" w:hAnsi="仿宋" w:eastAsia="仿宋_GB2312" w:cs="宋体"/>
                <w:szCs w:val="21"/>
              </w:rPr>
              <w:t>(2)根据《政府采购促进中小企业发展管理办法》财库〔2020〕46号文件的规定，本项目专门面向小微企业采购（预留份额）（如有）/本项目对小型和微型企业产品的投标价格将给予10%比例的扣除，用扣除后的价格参与评审（如有）。</w:t>
            </w:r>
          </w:p>
          <w:p>
            <w:pPr>
              <w:pStyle w:val="2"/>
              <w:ind w:firstLine="0" w:firstLineChars="0"/>
              <w:rPr>
                <w:rFonts w:ascii="仿宋_GB2312" w:hAnsi="仿宋" w:eastAsia="仿宋_GB2312" w:cs="宋体"/>
                <w:szCs w:val="21"/>
              </w:rPr>
            </w:pPr>
            <w:r>
              <w:rPr>
                <w:rFonts w:hint="eastAsia" w:ascii="仿宋_GB2312" w:hAnsi="仿宋" w:eastAsia="仿宋_GB2312"/>
                <w:szCs w:val="21"/>
              </w:rPr>
              <w:t>(3)本项目采用全流程电子化交易。</w:t>
            </w:r>
          </w:p>
          <w:p>
            <w:pPr>
              <w:pStyle w:val="2"/>
              <w:ind w:firstLine="0" w:firstLineChars="0"/>
              <w:rPr>
                <w:rFonts w:ascii="仿宋_GB2312" w:hAnsi="仿宋" w:eastAsia="仿宋_GB2312" w:cs="宋体"/>
                <w:szCs w:val="21"/>
              </w:rPr>
            </w:pPr>
            <w:r>
              <w:rPr>
                <w:rFonts w:hint="eastAsia" w:ascii="仿宋_GB2312" w:hAnsi="仿宋" w:eastAsia="仿宋_GB2312" w:cs="宋体"/>
                <w:szCs w:val="21"/>
              </w:rPr>
              <w:t>(4)项目属性：服务类。</w:t>
            </w:r>
          </w:p>
          <w:p>
            <w:pPr>
              <w:pStyle w:val="2"/>
              <w:ind w:firstLine="0" w:firstLineChars="0"/>
              <w:rPr>
                <w:rFonts w:ascii="仿宋_GB2312" w:hAnsi="仿宋" w:eastAsia="仿宋_GB2312" w:cs="宋体"/>
                <w:szCs w:val="21"/>
              </w:rPr>
            </w:pPr>
            <w:r>
              <w:rPr>
                <w:rFonts w:hint="eastAsia" w:ascii="仿宋_GB2312" w:hAnsi="仿宋" w:eastAsia="仿宋_GB2312" w:cs="宋体"/>
                <w:szCs w:val="21"/>
              </w:rPr>
              <w:t>(5)</w:t>
            </w:r>
            <w:r>
              <w:rPr>
                <w:rFonts w:hint="eastAsia" w:ascii="仿宋_GB2312" w:hAnsi="仿宋" w:eastAsia="仿宋_GB2312" w:cs="宋体"/>
                <w:bCs/>
                <w:szCs w:val="21"/>
                <w:lang w:bidi="ar"/>
              </w:rPr>
              <w:t>项目对应的中小企业划分标准所属行业: 其他未列明行业</w:t>
            </w:r>
            <w:r>
              <w:rPr>
                <w:rFonts w:hint="eastAsia" w:ascii="仿宋" w:hAnsi="仿宋" w:eastAsia="仿宋"/>
                <w:szCs w:val="21"/>
                <w:shd w:val="clear" w:color="auto" w:fill="FFFFFF"/>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szCs w:val="21"/>
              </w:rPr>
            </w:pPr>
            <w:r>
              <w:rPr>
                <w:rFonts w:hint="eastAsia" w:ascii="仿宋_GB2312" w:hAnsi="仿宋" w:eastAsia="仿宋_GB2312" w:cs="宋体"/>
                <w:b/>
                <w:szCs w:val="21"/>
              </w:rPr>
              <w:t>4</w:t>
            </w:r>
          </w:p>
        </w:tc>
        <w:tc>
          <w:tcPr>
            <w:tcW w:w="1378" w:type="dxa"/>
            <w:vAlign w:val="center"/>
          </w:tcPr>
          <w:p>
            <w:pPr>
              <w:jc w:val="center"/>
              <w:rPr>
                <w:rFonts w:ascii="仿宋_GB2312" w:hAnsi="仿宋" w:eastAsia="仿宋_GB2312" w:cs="宋体"/>
                <w:szCs w:val="21"/>
              </w:rPr>
            </w:pPr>
            <w:r>
              <w:rPr>
                <w:rFonts w:hint="eastAsia" w:ascii="仿宋_GB2312" w:hAnsi="仿宋" w:eastAsia="仿宋_GB2312" w:cs="宋体"/>
                <w:b/>
                <w:szCs w:val="21"/>
              </w:rPr>
              <w:t>投标有效期</w:t>
            </w:r>
          </w:p>
        </w:tc>
        <w:tc>
          <w:tcPr>
            <w:tcW w:w="7056" w:type="dxa"/>
            <w:gridSpan w:val="3"/>
            <w:vAlign w:val="center"/>
          </w:tcPr>
          <w:p>
            <w:pPr>
              <w:jc w:val="left"/>
              <w:rPr>
                <w:rFonts w:ascii="仿宋_GB2312" w:hAnsi="仿宋" w:eastAsia="仿宋_GB2312" w:cs="宋体"/>
                <w:bCs/>
                <w:szCs w:val="21"/>
              </w:rPr>
            </w:pPr>
            <w:r>
              <w:rPr>
                <w:rFonts w:hint="eastAsia" w:ascii="仿宋_GB2312" w:eastAsia="仿宋_GB2312"/>
                <w:szCs w:val="20"/>
              </w:rPr>
              <w:t>90天。（从投标截止之日算起）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szCs w:val="21"/>
              </w:rPr>
            </w:pPr>
            <w:r>
              <w:rPr>
                <w:rFonts w:hint="eastAsia" w:ascii="仿宋_GB2312" w:hAnsi="仿宋" w:eastAsia="仿宋_GB2312" w:cs="宋体"/>
                <w:b/>
                <w:szCs w:val="21"/>
              </w:rPr>
              <w:t>5</w:t>
            </w:r>
          </w:p>
        </w:tc>
        <w:tc>
          <w:tcPr>
            <w:tcW w:w="1378" w:type="dxa"/>
            <w:vAlign w:val="center"/>
          </w:tcPr>
          <w:p>
            <w:pPr>
              <w:jc w:val="center"/>
              <w:rPr>
                <w:rFonts w:ascii="仿宋_GB2312" w:hAnsi="仿宋" w:eastAsia="仿宋_GB2312" w:cs="宋体"/>
                <w:szCs w:val="21"/>
              </w:rPr>
            </w:pPr>
            <w:r>
              <w:rPr>
                <w:rFonts w:hint="eastAsia" w:ascii="仿宋_GB2312" w:hAnsi="仿宋" w:eastAsia="仿宋_GB2312" w:cs="宋体"/>
                <w:b/>
                <w:szCs w:val="21"/>
              </w:rPr>
              <w:t>评标方法</w:t>
            </w:r>
          </w:p>
        </w:tc>
        <w:tc>
          <w:tcPr>
            <w:tcW w:w="7056" w:type="dxa"/>
            <w:gridSpan w:val="3"/>
            <w:vAlign w:val="center"/>
          </w:tcPr>
          <w:p>
            <w:pPr>
              <w:jc w:val="left"/>
              <w:rPr>
                <w:rFonts w:ascii="仿宋_GB2312" w:hAnsi="仿宋" w:eastAsia="仿宋_GB2312" w:cs="宋体"/>
                <w:bCs/>
                <w:szCs w:val="21"/>
              </w:rPr>
            </w:pPr>
            <w:r>
              <w:rPr>
                <w:rFonts w:hint="eastAsia" w:ascii="仿宋_GB2312" w:hAnsi="仿宋" w:eastAsia="仿宋_GB2312" w:cs="宋体"/>
                <w:bCs/>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szCs w:val="21"/>
              </w:rPr>
            </w:pPr>
            <w:r>
              <w:rPr>
                <w:rFonts w:hint="eastAsia" w:ascii="仿宋_GB2312" w:hAnsi="仿宋" w:eastAsia="仿宋_GB2312" w:cs="宋体"/>
                <w:b/>
                <w:szCs w:val="21"/>
              </w:rPr>
              <w:t>6</w:t>
            </w:r>
          </w:p>
        </w:tc>
        <w:tc>
          <w:tcPr>
            <w:tcW w:w="1378" w:type="dxa"/>
            <w:vAlign w:val="center"/>
          </w:tcPr>
          <w:p>
            <w:pPr>
              <w:jc w:val="center"/>
              <w:rPr>
                <w:rFonts w:ascii="仿宋_GB2312" w:hAnsi="仿宋" w:eastAsia="仿宋_GB2312" w:cs="宋体"/>
                <w:szCs w:val="21"/>
              </w:rPr>
            </w:pPr>
            <w:r>
              <w:rPr>
                <w:rFonts w:hint="eastAsia" w:ascii="仿宋_GB2312" w:hAnsi="仿宋" w:eastAsia="仿宋_GB2312" w:cs="宋体"/>
                <w:b/>
                <w:szCs w:val="21"/>
              </w:rPr>
              <w:t>资金结算</w:t>
            </w:r>
          </w:p>
        </w:tc>
        <w:tc>
          <w:tcPr>
            <w:tcW w:w="7056" w:type="dxa"/>
            <w:gridSpan w:val="3"/>
            <w:vAlign w:val="center"/>
          </w:tcPr>
          <w:p>
            <w:pPr>
              <w:jc w:val="left"/>
              <w:rPr>
                <w:rFonts w:ascii="仿宋_GB2312" w:hAnsi="仿宋" w:eastAsia="仿宋_GB2312" w:cs="宋体"/>
                <w:bCs/>
                <w:szCs w:val="21"/>
              </w:rPr>
            </w:pPr>
            <w:r>
              <w:rPr>
                <w:rFonts w:hint="eastAsia" w:ascii="仿宋_GB2312" w:hAnsi="仿宋" w:eastAsia="仿宋_GB2312" w:cs="宋体"/>
                <w:bCs/>
                <w:szCs w:val="21"/>
              </w:rPr>
              <w:t>按合同约定付款。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7</w:t>
            </w:r>
          </w:p>
        </w:tc>
        <w:tc>
          <w:tcPr>
            <w:tcW w:w="1378" w:type="dxa"/>
            <w:vAlign w:val="center"/>
          </w:tcPr>
          <w:p>
            <w:pPr>
              <w:adjustRightInd w:val="0"/>
              <w:snapToGrid w:val="0"/>
              <w:jc w:val="center"/>
              <w:rPr>
                <w:rFonts w:ascii="仿宋_GB2312" w:hAnsi="仿宋" w:eastAsia="仿宋_GB2312"/>
                <w:b/>
                <w:bCs/>
                <w:szCs w:val="21"/>
              </w:rPr>
            </w:pPr>
            <w:r>
              <w:rPr>
                <w:rFonts w:hint="eastAsia" w:ascii="仿宋_GB2312" w:hAnsi="仿宋" w:eastAsia="仿宋_GB2312" w:cs="宋体"/>
                <w:b/>
                <w:bCs/>
                <w:szCs w:val="21"/>
              </w:rPr>
              <w:t>投标报价</w:t>
            </w:r>
          </w:p>
          <w:p>
            <w:pPr>
              <w:adjustRightInd w:val="0"/>
              <w:snapToGrid w:val="0"/>
              <w:jc w:val="center"/>
              <w:rPr>
                <w:rFonts w:ascii="仿宋_GB2312" w:hAnsi="仿宋" w:eastAsia="仿宋_GB2312"/>
                <w:szCs w:val="21"/>
              </w:rPr>
            </w:pPr>
            <w:r>
              <w:rPr>
                <w:rFonts w:hint="eastAsia" w:ascii="仿宋_GB2312" w:hAnsi="仿宋" w:eastAsia="仿宋_GB2312" w:cs="宋体"/>
                <w:b/>
                <w:bCs/>
                <w:szCs w:val="21"/>
              </w:rPr>
              <w:t>与费用</w:t>
            </w:r>
          </w:p>
        </w:tc>
        <w:tc>
          <w:tcPr>
            <w:tcW w:w="7056" w:type="dxa"/>
            <w:gridSpan w:val="3"/>
            <w:vAlign w:val="center"/>
          </w:tcPr>
          <w:p>
            <w:pPr>
              <w:jc w:val="left"/>
              <w:rPr>
                <w:rFonts w:ascii="仿宋_GB2312" w:hAnsi="仿宋" w:eastAsia="仿宋_GB2312" w:cs="宋体"/>
                <w:bCs/>
                <w:szCs w:val="21"/>
              </w:rPr>
            </w:pPr>
            <w:r>
              <w:rPr>
                <w:rFonts w:hint="eastAsia" w:ascii="仿宋_GB2312" w:hAnsi="仿宋" w:eastAsia="仿宋_GB2312" w:cs="宋体"/>
                <w:bCs/>
                <w:szCs w:val="21"/>
              </w:rPr>
              <w:t>（1）本项目中价格全部采用人民币报价。</w:t>
            </w:r>
          </w:p>
          <w:p>
            <w:pPr>
              <w:tabs>
                <w:tab w:val="left" w:pos="571"/>
              </w:tabs>
              <w:jc w:val="left"/>
              <w:rPr>
                <w:rFonts w:ascii="仿宋_GB2312" w:hAnsi="仿宋" w:eastAsia="仿宋_GB2312" w:cs="宋体"/>
                <w:bCs/>
                <w:szCs w:val="21"/>
              </w:rPr>
            </w:pPr>
            <w:r>
              <w:rPr>
                <w:rFonts w:hint="eastAsia" w:ascii="仿宋_GB2312" w:hAnsi="仿宋" w:eastAsia="仿宋_GB2312" w:cs="宋体"/>
                <w:bCs/>
                <w:szCs w:val="21"/>
              </w:rPr>
              <w:t xml:space="preserve">（2）投标人报价应包含但不限于人员工资福利、津贴、各种社会保险、服装费、人员食宿与交通、所有设备的日常保养人工费和税金等一切费用。 </w:t>
            </w:r>
          </w:p>
          <w:p>
            <w:pPr>
              <w:tabs>
                <w:tab w:val="left" w:pos="571"/>
              </w:tabs>
              <w:jc w:val="left"/>
              <w:rPr>
                <w:rFonts w:ascii="仿宋_GB2312" w:hAnsi="仿宋" w:eastAsia="仿宋_GB2312" w:cs="宋体"/>
                <w:bCs/>
                <w:szCs w:val="21"/>
              </w:rPr>
            </w:pPr>
            <w:r>
              <w:rPr>
                <w:rFonts w:hint="eastAsia" w:ascii="仿宋_GB2312" w:hAnsi="仿宋" w:eastAsia="仿宋_GB2312" w:cs="宋体"/>
                <w:bCs/>
                <w:szCs w:val="21"/>
              </w:rPr>
              <w:t>（3）本项目不接受选择性报价。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8</w:t>
            </w:r>
          </w:p>
        </w:tc>
        <w:tc>
          <w:tcPr>
            <w:tcW w:w="1378" w:type="dxa"/>
            <w:vAlign w:val="center"/>
          </w:tcPr>
          <w:p>
            <w:pPr>
              <w:adjustRightInd w:val="0"/>
              <w:snapToGrid w:val="0"/>
              <w:jc w:val="center"/>
              <w:rPr>
                <w:rFonts w:ascii="仿宋_GB2312" w:hAnsi="仿宋" w:eastAsia="仿宋_GB2312" w:cs="宋体"/>
                <w:b/>
                <w:bCs/>
                <w:color w:val="000000"/>
                <w:szCs w:val="21"/>
              </w:rPr>
            </w:pPr>
            <w:r>
              <w:rPr>
                <w:rFonts w:hint="eastAsia" w:ascii="仿宋_GB2312" w:hAnsi="仿宋" w:eastAsia="仿宋_GB2312" w:cs="宋体"/>
                <w:b/>
                <w:bCs/>
                <w:color w:val="000000"/>
                <w:szCs w:val="21"/>
              </w:rPr>
              <w:t>投标人</w:t>
            </w:r>
          </w:p>
          <w:p>
            <w:pPr>
              <w:adjustRightInd w:val="0"/>
              <w:snapToGrid w:val="0"/>
              <w:jc w:val="center"/>
              <w:rPr>
                <w:rFonts w:ascii="仿宋_GB2312" w:hAnsi="仿宋" w:eastAsia="仿宋_GB2312" w:cs="宋体"/>
                <w:color w:val="000000"/>
                <w:szCs w:val="21"/>
              </w:rPr>
            </w:pPr>
            <w:r>
              <w:rPr>
                <w:rFonts w:hint="eastAsia" w:ascii="仿宋_GB2312" w:hAnsi="仿宋" w:eastAsia="仿宋_GB2312" w:cs="宋体"/>
                <w:b/>
                <w:bCs/>
                <w:color w:val="000000"/>
                <w:szCs w:val="21"/>
              </w:rPr>
              <w:t>资格要求</w:t>
            </w:r>
          </w:p>
        </w:tc>
        <w:tc>
          <w:tcPr>
            <w:tcW w:w="7056" w:type="dxa"/>
            <w:gridSpan w:val="3"/>
            <w:vAlign w:val="center"/>
          </w:tcPr>
          <w:p>
            <w:pPr>
              <w:jc w:val="left"/>
              <w:rPr>
                <w:rFonts w:ascii="仿宋_GB2312" w:hAnsi="仿宋" w:eastAsia="仿宋_GB2312" w:cs="宋体"/>
                <w:bCs/>
                <w:color w:val="000000"/>
                <w:szCs w:val="21"/>
              </w:rPr>
            </w:pPr>
            <w:r>
              <w:rPr>
                <w:rFonts w:hint="eastAsia" w:ascii="仿宋_GB2312" w:hAnsi="仿宋" w:eastAsia="仿宋_GB2312" w:cs="宋体"/>
                <w:bCs/>
                <w:color w:val="000000"/>
                <w:szCs w:val="21"/>
              </w:rPr>
              <w:t>（1）基本要求：符合《中华人民共和国政府采购法》第二十二条规定。</w:t>
            </w:r>
          </w:p>
          <w:p>
            <w:pPr>
              <w:jc w:val="left"/>
              <w:rPr>
                <w:rFonts w:ascii="仿宋_GB2312" w:hAnsi="仿宋" w:eastAsia="仿宋_GB2312" w:cs="宋体"/>
                <w:bCs/>
                <w:color w:val="000000"/>
                <w:szCs w:val="21"/>
              </w:rPr>
            </w:pPr>
            <w:r>
              <w:rPr>
                <w:rFonts w:hint="eastAsia" w:ascii="仿宋_GB2312" w:hAnsi="仿宋" w:eastAsia="仿宋_GB2312" w:cs="宋体"/>
                <w:bCs/>
                <w:color w:val="000000"/>
                <w:szCs w:val="21"/>
              </w:rPr>
              <w:t>（2）特定资格要求：具有市政公用工程施工总承包三级（含）以上资质。</w:t>
            </w:r>
          </w:p>
          <w:p>
            <w:pPr>
              <w:jc w:val="left"/>
              <w:rPr>
                <w:rFonts w:ascii="仿宋_GB2312" w:hAnsi="仿宋" w:eastAsia="仿宋_GB2312" w:cs="宋体"/>
                <w:bCs/>
                <w:color w:val="000000"/>
                <w:szCs w:val="21"/>
              </w:rPr>
            </w:pPr>
            <w:r>
              <w:rPr>
                <w:rFonts w:hint="eastAsia" w:ascii="仿宋_GB2312" w:hAnsi="仿宋" w:eastAsia="仿宋_GB2312" w:cs="宋体"/>
                <w:bCs/>
                <w:color w:val="000000"/>
                <w:szCs w:val="21"/>
              </w:rPr>
              <w:t>（3）本项目不允许联合体参与投标，不允许转包，不允许分包。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9</w:t>
            </w:r>
          </w:p>
        </w:tc>
        <w:tc>
          <w:tcPr>
            <w:tcW w:w="1378" w:type="dxa"/>
            <w:vAlign w:val="center"/>
          </w:tcPr>
          <w:p>
            <w:pPr>
              <w:jc w:val="center"/>
              <w:rPr>
                <w:rFonts w:ascii="仿宋_GB2312" w:hAnsi="仿宋" w:eastAsia="仿宋_GB2312" w:cs="仿宋_GB2312"/>
                <w:b/>
                <w:szCs w:val="21"/>
              </w:rPr>
            </w:pPr>
            <w:r>
              <w:rPr>
                <w:rFonts w:hint="eastAsia" w:ascii="仿宋_GB2312" w:hAnsi="仿宋" w:eastAsia="仿宋_GB2312" w:cs="仿宋_GB2312"/>
                <w:b/>
                <w:szCs w:val="21"/>
              </w:rPr>
              <w:t>开标前答疑会</w:t>
            </w:r>
          </w:p>
          <w:p>
            <w:pPr>
              <w:jc w:val="center"/>
              <w:rPr>
                <w:rFonts w:ascii="仿宋_GB2312" w:hAnsi="仿宋" w:eastAsia="仿宋_GB2312" w:cs="宋体"/>
                <w:szCs w:val="21"/>
              </w:rPr>
            </w:pPr>
            <w:r>
              <w:rPr>
                <w:rFonts w:hint="eastAsia" w:ascii="仿宋_GB2312" w:hAnsi="仿宋" w:eastAsia="仿宋_GB2312" w:cs="仿宋_GB2312"/>
                <w:b/>
                <w:szCs w:val="21"/>
              </w:rPr>
              <w:t>或</w:t>
            </w:r>
            <w:r>
              <w:rPr>
                <w:rFonts w:hint="eastAsia" w:ascii="仿宋_GB2312" w:hAnsi="仿宋" w:eastAsia="仿宋_GB2312" w:cs="宋体"/>
                <w:b/>
                <w:szCs w:val="21"/>
              </w:rPr>
              <w:t>现场踏勘</w:t>
            </w:r>
          </w:p>
        </w:tc>
        <w:tc>
          <w:tcPr>
            <w:tcW w:w="7056" w:type="dxa"/>
            <w:gridSpan w:val="3"/>
            <w:vAlign w:val="center"/>
          </w:tcPr>
          <w:p>
            <w:pPr>
              <w:jc w:val="left"/>
              <w:rPr>
                <w:rFonts w:ascii="仿宋_GB2312" w:hAnsi="仿宋" w:eastAsia="仿宋_GB2312" w:cs="宋体"/>
                <w:bCs/>
                <w:szCs w:val="21"/>
              </w:rPr>
            </w:pPr>
            <w:r>
              <w:rPr>
                <w:rFonts w:hint="eastAsia" w:ascii="仿宋_GB2312" w:hAnsi="仿宋" w:eastAsia="仿宋_GB2312" w:cs="宋体"/>
                <w:bCs/>
                <w:szCs w:val="21"/>
              </w:rPr>
              <w:t>（1）开标前答疑会：不组织。</w:t>
            </w:r>
          </w:p>
          <w:p>
            <w:pPr>
              <w:jc w:val="left"/>
              <w:rPr>
                <w:rFonts w:hint="eastAsia" w:ascii="仿宋_GB2312" w:hAnsi="仿宋" w:eastAsia="仿宋_GB2312" w:cs="宋体"/>
                <w:b/>
                <w:bCs/>
                <w:szCs w:val="21"/>
                <w:lang w:eastAsia="zh-CN"/>
              </w:rPr>
            </w:pPr>
            <w:r>
              <w:rPr>
                <w:rFonts w:hint="eastAsia" w:ascii="仿宋_GB2312" w:hAnsi="仿宋" w:eastAsia="仿宋_GB2312" w:cs="宋体"/>
                <w:bCs/>
                <w:szCs w:val="21"/>
              </w:rPr>
              <w:t>（2）现场踏勘：</w:t>
            </w:r>
            <w:r>
              <w:rPr>
                <w:rFonts w:hint="eastAsia" w:ascii="仿宋_GB2312" w:hAnsi="仿宋" w:eastAsia="仿宋_GB2312" w:cs="宋体"/>
                <w:bCs/>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10</w:t>
            </w:r>
          </w:p>
        </w:tc>
        <w:tc>
          <w:tcPr>
            <w:tcW w:w="1378" w:type="dxa"/>
            <w:vAlign w:val="center"/>
          </w:tcPr>
          <w:p>
            <w:pPr>
              <w:jc w:val="center"/>
              <w:rPr>
                <w:rFonts w:ascii="仿宋_GB2312" w:hAnsi="仿宋" w:eastAsia="仿宋_GB2312" w:cs="仿宋_GB2312"/>
                <w:b/>
                <w:szCs w:val="21"/>
              </w:rPr>
            </w:pPr>
            <w:r>
              <w:rPr>
                <w:rFonts w:hint="eastAsia" w:ascii="仿宋_GB2312" w:hAnsi="仿宋" w:eastAsia="仿宋_GB2312" w:cs="仿宋_GB2312"/>
                <w:b/>
                <w:szCs w:val="21"/>
              </w:rPr>
              <w:t>投标文件份数</w:t>
            </w:r>
          </w:p>
        </w:tc>
        <w:tc>
          <w:tcPr>
            <w:tcW w:w="7056" w:type="dxa"/>
            <w:gridSpan w:val="3"/>
            <w:vAlign w:val="center"/>
          </w:tcPr>
          <w:p>
            <w:pPr>
              <w:snapToGrid w:val="0"/>
              <w:spacing w:line="276" w:lineRule="auto"/>
              <w:rPr>
                <w:rFonts w:ascii="仿宋_GB2312" w:hAnsi="宋体" w:eastAsia="仿宋_GB2312" w:cs="宋体"/>
                <w:color w:val="FF0000"/>
              </w:rPr>
            </w:pPr>
            <w:r>
              <w:rPr>
                <w:rFonts w:ascii="仿宋_GB2312" w:hAnsi="宋体" w:eastAsia="仿宋_GB2312" w:cs="宋体"/>
                <w:color w:val="FF0000"/>
              </w:rPr>
              <w:t>本项目实行</w:t>
            </w:r>
            <w:r>
              <w:rPr>
                <w:rFonts w:hint="eastAsia" w:ascii="仿宋_GB2312" w:hAnsi="宋体" w:eastAsia="仿宋_GB2312" w:cs="宋体"/>
                <w:color w:val="FF0000"/>
              </w:rPr>
              <w:t>电子投标，投标人应准备电子投标文件、以介质存储的数据电文形式的备份投标文件、</w:t>
            </w:r>
            <w:r>
              <w:rPr>
                <w:rFonts w:ascii="仿宋_GB2312" w:hAnsi="宋体" w:eastAsia="仿宋_GB2312" w:cs="宋体"/>
                <w:color w:val="FF0000"/>
              </w:rPr>
              <w:t>纸质</w:t>
            </w:r>
            <w:r>
              <w:rPr>
                <w:rFonts w:hint="eastAsia" w:ascii="仿宋_GB2312" w:hAnsi="宋体" w:eastAsia="仿宋_GB2312" w:cs="宋体"/>
                <w:color w:val="FF0000"/>
              </w:rPr>
              <w:t>备份</w:t>
            </w:r>
            <w:r>
              <w:rPr>
                <w:rFonts w:ascii="仿宋_GB2312" w:hAnsi="宋体" w:eastAsia="仿宋_GB2312" w:cs="宋体"/>
                <w:color w:val="FF0000"/>
              </w:rPr>
              <w:t>投标文件</w:t>
            </w:r>
            <w:r>
              <w:rPr>
                <w:rFonts w:hint="eastAsia" w:ascii="仿宋_GB2312" w:hAnsi="宋体" w:eastAsia="仿宋_GB2312" w:cs="宋体"/>
                <w:color w:val="FF0000"/>
              </w:rPr>
              <w:t>三类：</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（1）电子投标文件一份，</w:t>
            </w:r>
            <w:r>
              <w:rPr>
                <w:rFonts w:hint="eastAsia" w:ascii="仿宋_GB2312" w:hAnsi="宋体" w:eastAsia="仿宋_GB2312" w:cs="宋体"/>
              </w:rPr>
              <w:t>按政采云平台</w:t>
            </w:r>
            <w:r>
              <w:rPr>
                <w:rFonts w:ascii="仿宋_GB2312" w:hAnsi="宋体" w:eastAsia="仿宋_GB2312" w:cs="宋体"/>
              </w:rPr>
              <w:t>项目采购-电子招投标操作指南</w:t>
            </w:r>
            <w:r>
              <w:rPr>
                <w:rFonts w:hint="eastAsia" w:ascii="仿宋_GB2312" w:hAnsi="宋体" w:eastAsia="仿宋_GB2312" w:cs="宋体"/>
              </w:rPr>
              <w:t>及本招标文件要求递交</w:t>
            </w:r>
            <w:r>
              <w:rPr>
                <w:rFonts w:ascii="仿宋_GB2312" w:hAnsi="宋体" w:eastAsia="仿宋_GB2312" w:cs="宋体"/>
              </w:rPr>
              <w:t>。</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（2）以介质存储的数据电文形式的备份投标文件一份，按政采云平台项目采购-电子招投标操作指南中上传的电子投标文件格式，建议以DVD光盘形式提供。</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（3）纸质备份投标文件：资格文件正本一份，无需提供副本；报价文件正本一份，副本一份；商务技术文件正本一份，副本一份，并按招标文件要求制作。</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备份投标文件应当密封包装并在包装上加盖公章并注明投标项目名称，投标人名称(联合体投标的，包装物封面需注明联合体投标，并注明联合体成员各方的名称和联合体协议中约定的牵头人的名称)。</w:t>
            </w:r>
          </w:p>
          <w:p>
            <w:pPr>
              <w:pStyle w:val="2"/>
              <w:ind w:firstLine="2" w:firstLineChars="1"/>
              <w:rPr>
                <w:rFonts w:ascii="仿宋_GB2312" w:hAnsi="仿宋" w:eastAsia="仿宋_GB2312" w:cs="宋体"/>
                <w:b/>
                <w:bCs/>
                <w:szCs w:val="21"/>
              </w:rPr>
            </w:pPr>
            <w:r>
              <w:rPr>
                <w:rFonts w:hint="eastAsia" w:ascii="仿宋_GB2312" w:hAnsi="仿宋" w:eastAsia="仿宋_GB2312" w:cs="宋体"/>
                <w:b/>
                <w:bCs/>
                <w:szCs w:val="21"/>
              </w:rPr>
              <w:t>但采购人、采购代理机构不强制或变相强制投标人提交备份投标文件。</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（4）直接提交备份投标文件的，投标人应于投标截止时间前在投标邀请书中载明的开标地点将备份投标文件提交给采购代理机构，采购代理机构将拒绝接受逾期送达的备份投标文件。</w:t>
            </w:r>
          </w:p>
          <w:p>
            <w:pPr>
              <w:pStyle w:val="2"/>
              <w:ind w:firstLine="2" w:firstLineChars="1"/>
              <w:rPr>
                <w:rFonts w:ascii="仿宋_GB2312" w:hAnsi="仿宋" w:eastAsia="仿宋_GB2312" w:cs="宋体"/>
                <w:b/>
                <w:bCs/>
                <w:szCs w:val="21"/>
              </w:rPr>
            </w:pPr>
            <w:r>
              <w:rPr>
                <w:rFonts w:hint="eastAsia" w:ascii="仿宋_GB2312" w:hAnsi="仿宋" w:eastAsia="仿宋_GB2312" w:cs="宋体"/>
                <w:bCs/>
                <w:szCs w:val="21"/>
              </w:rPr>
              <w:t>（5）以邮政快递方式递交备份投标文件的，投标人应先将备份投标文件按要求密封和标记，再进行邮政快递包装后邮寄。备份投标文件须在投标截止时间之前送达杭州市上城区凤起东路888号（运河东路200号）四楼杭州市公共资源交易中心上城分中心411室；送达时间以签收人签收时间为准（联系电话：0571-87654765）。</w:t>
            </w:r>
            <w:r>
              <w:rPr>
                <w:rFonts w:hint="eastAsia" w:ascii="仿宋_GB2312" w:hAnsi="仿宋" w:eastAsia="仿宋_GB2312" w:cs="宋体"/>
                <w:b/>
                <w:bCs/>
                <w:color w:val="FF0000"/>
                <w:szCs w:val="21"/>
              </w:rPr>
              <w:t>采购代理机构将拒绝接受逾期送达的备份投标文件。邮寄过程中，电子备份投标文件发生泄露、遗失、损坏或延期送达等情况的，由投标人自行负责。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11</w:t>
            </w:r>
          </w:p>
        </w:tc>
        <w:tc>
          <w:tcPr>
            <w:tcW w:w="1378" w:type="dxa"/>
            <w:vAlign w:val="center"/>
          </w:tcPr>
          <w:p>
            <w:pPr>
              <w:jc w:val="center"/>
              <w:rPr>
                <w:rFonts w:ascii="仿宋_GB2312" w:hAnsi="仿宋" w:eastAsia="仿宋_GB2312" w:cs="仿宋_GB2312"/>
                <w:b/>
                <w:szCs w:val="21"/>
              </w:rPr>
            </w:pPr>
            <w:r>
              <w:rPr>
                <w:rFonts w:hint="eastAsia" w:ascii="仿宋_GB2312" w:hAnsi="仿宋" w:eastAsia="仿宋_GB2312" w:cs="仿宋_GB2312"/>
                <w:b/>
                <w:szCs w:val="21"/>
              </w:rPr>
              <w:t>投标文件的启用顺序和效力</w:t>
            </w:r>
          </w:p>
        </w:tc>
        <w:tc>
          <w:tcPr>
            <w:tcW w:w="7056" w:type="dxa"/>
            <w:gridSpan w:val="3"/>
            <w:vAlign w:val="center"/>
          </w:tcPr>
          <w:p>
            <w:pPr>
              <w:jc w:val="left"/>
              <w:rPr>
                <w:rFonts w:ascii="仿宋_GB2312" w:hAnsi="仿宋" w:eastAsia="仿宋_GB2312" w:cs="宋体"/>
                <w:bCs/>
                <w:szCs w:val="21"/>
              </w:rPr>
            </w:pPr>
            <w:r>
              <w:rPr>
                <w:rFonts w:hint="eastAsia" w:ascii="仿宋_GB2312" w:hAnsi="仿宋" w:eastAsia="仿宋_GB2312" w:cs="宋体"/>
                <w:bCs/>
                <w:szCs w:val="21"/>
              </w:rPr>
              <w:t>（1）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jc w:val="left"/>
              <w:rPr>
                <w:rFonts w:ascii="仿宋_GB2312" w:hAnsi="宋体" w:eastAsia="仿宋_GB2312" w:cs="宋体"/>
                <w:color w:val="FF0000"/>
              </w:rPr>
            </w:pPr>
            <w:r>
              <w:rPr>
                <w:rFonts w:hint="eastAsia" w:ascii="仿宋_GB2312" w:hAnsi="仿宋" w:eastAsia="仿宋_GB2312" w:cs="宋体"/>
                <w:bCs/>
                <w:szCs w:val="21"/>
              </w:rPr>
              <w:t>(2)若投标人在规定时间内无法解密或解密失败，采购代理机构将开启投标人递交的以介质存储的数据电文形式的备份投标文件，上传至政采云平台项目采购模块，以完成开标，电子投标文件自动失效。若因政采云平台原因无法读取或电子开评标无法正常进行，采购代理将开启投标人递交的纸质备份投标文件，以完成开标，电子投标文件及以介质存储的数据电文形式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12</w:t>
            </w:r>
          </w:p>
        </w:tc>
        <w:tc>
          <w:tcPr>
            <w:tcW w:w="1378" w:type="dxa"/>
            <w:vAlign w:val="center"/>
          </w:tcPr>
          <w:p>
            <w:pPr>
              <w:adjustRightInd w:val="0"/>
              <w:snapToGrid w:val="0"/>
              <w:jc w:val="center"/>
              <w:rPr>
                <w:rFonts w:ascii="仿宋_GB2312" w:hAnsi="仿宋" w:eastAsia="仿宋_GB2312" w:cs="宋体"/>
                <w:b/>
                <w:bCs/>
                <w:szCs w:val="21"/>
                <w:highlight w:val="none"/>
              </w:rPr>
            </w:pPr>
            <w:r>
              <w:rPr>
                <w:rFonts w:hint="eastAsia" w:ascii="仿宋_GB2312" w:hAnsi="仿宋" w:eastAsia="仿宋_GB2312" w:cs="宋体"/>
                <w:b/>
                <w:bCs/>
                <w:szCs w:val="21"/>
                <w:highlight w:val="none"/>
              </w:rPr>
              <w:t>投标文件</w:t>
            </w:r>
          </w:p>
          <w:p>
            <w:pPr>
              <w:adjustRightInd w:val="0"/>
              <w:snapToGrid w:val="0"/>
              <w:jc w:val="center"/>
              <w:rPr>
                <w:rFonts w:ascii="仿宋_GB2312" w:hAnsi="仿宋" w:eastAsia="仿宋_GB2312" w:cs="宋体"/>
                <w:b/>
                <w:bCs/>
                <w:szCs w:val="21"/>
                <w:highlight w:val="none"/>
              </w:rPr>
            </w:pPr>
            <w:r>
              <w:rPr>
                <w:rFonts w:hint="eastAsia" w:ascii="仿宋_GB2312" w:hAnsi="仿宋" w:eastAsia="仿宋_GB2312" w:cs="宋体"/>
                <w:b/>
                <w:bCs/>
                <w:szCs w:val="21"/>
                <w:highlight w:val="none"/>
              </w:rPr>
              <w:t>递交截止时间</w:t>
            </w:r>
          </w:p>
        </w:tc>
        <w:tc>
          <w:tcPr>
            <w:tcW w:w="7056" w:type="dxa"/>
            <w:gridSpan w:val="3"/>
            <w:vAlign w:val="center"/>
          </w:tcPr>
          <w:p>
            <w:pPr>
              <w:jc w:val="left"/>
              <w:rPr>
                <w:rFonts w:ascii="仿宋_GB2312" w:hAnsi="仿宋" w:eastAsia="仿宋_GB2312" w:cs="宋体"/>
                <w:b/>
                <w:color w:val="FF0000"/>
                <w:szCs w:val="21"/>
                <w:highlight w:val="none"/>
              </w:rPr>
            </w:pPr>
            <w:r>
              <w:rPr>
                <w:rFonts w:hint="eastAsia" w:ascii="仿宋_GB2312" w:hAnsi="仿宋" w:eastAsia="仿宋_GB2312" w:cs="宋体"/>
                <w:b/>
                <w:color w:val="FF0000"/>
                <w:szCs w:val="21"/>
                <w:highlight w:val="none"/>
              </w:rPr>
              <w:t>2021年12月</w:t>
            </w:r>
            <w:r>
              <w:rPr>
                <w:rFonts w:hint="eastAsia" w:ascii="仿宋_GB2312" w:hAnsi="仿宋" w:eastAsia="仿宋_GB2312" w:cs="宋体"/>
                <w:b/>
                <w:color w:val="FF0000"/>
                <w:szCs w:val="21"/>
                <w:highlight w:val="none"/>
                <w:lang w:val="en-US" w:eastAsia="zh-CN"/>
              </w:rPr>
              <w:t>22</w:t>
            </w:r>
            <w:r>
              <w:rPr>
                <w:rFonts w:hint="eastAsia" w:ascii="仿宋_GB2312" w:hAnsi="仿宋" w:eastAsia="仿宋_GB2312" w:cs="宋体"/>
                <w:b/>
                <w:color w:val="FF0000"/>
                <w:szCs w:val="21"/>
                <w:highlight w:val="none"/>
              </w:rPr>
              <w:t>日10:00:00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13</w:t>
            </w:r>
          </w:p>
        </w:tc>
        <w:tc>
          <w:tcPr>
            <w:tcW w:w="1378"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投标文件</w:t>
            </w:r>
          </w:p>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递交地点</w:t>
            </w:r>
          </w:p>
        </w:tc>
        <w:tc>
          <w:tcPr>
            <w:tcW w:w="7056" w:type="dxa"/>
            <w:gridSpan w:val="3"/>
            <w:vAlign w:val="center"/>
          </w:tcPr>
          <w:p>
            <w:pPr>
              <w:jc w:val="left"/>
              <w:rPr>
                <w:rFonts w:ascii="仿宋_GB2312" w:hAnsi="仿宋" w:eastAsia="仿宋_GB2312" w:cs="宋体"/>
                <w:b/>
                <w:szCs w:val="21"/>
              </w:rPr>
            </w:pPr>
            <w:r>
              <w:rPr>
                <w:rFonts w:hint="eastAsia" w:ascii="仿宋_GB2312" w:hAnsi="仿宋" w:eastAsia="仿宋_GB2312" w:cs="宋体"/>
                <w:bCs/>
                <w:szCs w:val="21"/>
              </w:rPr>
              <w:t>杭州市上城区凤起东路888号（运河东路200号）四楼杭州市公共资源交易中心上城分中心406室。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14</w:t>
            </w:r>
          </w:p>
        </w:tc>
        <w:tc>
          <w:tcPr>
            <w:tcW w:w="1378" w:type="dxa"/>
            <w:vAlign w:val="center"/>
          </w:tcPr>
          <w:p>
            <w:pPr>
              <w:jc w:val="center"/>
              <w:rPr>
                <w:rFonts w:ascii="仿宋_GB2312" w:hAnsi="仿宋" w:eastAsia="仿宋_GB2312" w:cs="宋体"/>
                <w:b/>
                <w:szCs w:val="21"/>
                <w:highlight w:val="none"/>
              </w:rPr>
            </w:pPr>
            <w:r>
              <w:rPr>
                <w:rFonts w:hint="eastAsia" w:ascii="仿宋_GB2312" w:hAnsi="仿宋" w:eastAsia="仿宋_GB2312" w:cs="宋体"/>
                <w:b/>
                <w:szCs w:val="21"/>
                <w:highlight w:val="none"/>
              </w:rPr>
              <w:t>开标时间</w:t>
            </w:r>
          </w:p>
        </w:tc>
        <w:tc>
          <w:tcPr>
            <w:tcW w:w="7056" w:type="dxa"/>
            <w:gridSpan w:val="3"/>
            <w:vAlign w:val="center"/>
          </w:tcPr>
          <w:p>
            <w:pPr>
              <w:jc w:val="left"/>
              <w:rPr>
                <w:rFonts w:ascii="仿宋_GB2312" w:hAnsi="仿宋" w:eastAsia="仿宋_GB2312" w:cs="宋体"/>
                <w:b/>
                <w:color w:val="FF0000"/>
                <w:szCs w:val="21"/>
                <w:highlight w:val="none"/>
              </w:rPr>
            </w:pPr>
            <w:r>
              <w:rPr>
                <w:rFonts w:hint="eastAsia" w:ascii="仿宋_GB2312" w:hAnsi="仿宋" w:eastAsia="仿宋_GB2312" w:cs="宋体"/>
                <w:b/>
                <w:color w:val="FF0000"/>
                <w:szCs w:val="21"/>
                <w:highlight w:val="none"/>
              </w:rPr>
              <w:t>2021年12月</w:t>
            </w:r>
            <w:r>
              <w:rPr>
                <w:rFonts w:hint="eastAsia" w:ascii="仿宋_GB2312" w:hAnsi="仿宋" w:eastAsia="仿宋_GB2312" w:cs="宋体"/>
                <w:b/>
                <w:color w:val="FF0000"/>
                <w:szCs w:val="21"/>
                <w:highlight w:val="none"/>
                <w:lang w:val="en-US" w:eastAsia="zh-CN"/>
              </w:rPr>
              <w:t>22</w:t>
            </w:r>
            <w:r>
              <w:rPr>
                <w:rFonts w:hint="eastAsia" w:ascii="仿宋_GB2312" w:hAnsi="仿宋" w:eastAsia="仿宋_GB2312" w:cs="宋体"/>
                <w:b/>
                <w:color w:val="FF0000"/>
                <w:szCs w:val="21"/>
                <w:highlight w:val="none"/>
              </w:rPr>
              <w:t>日10:00:00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15</w:t>
            </w:r>
          </w:p>
        </w:tc>
        <w:tc>
          <w:tcPr>
            <w:tcW w:w="1378" w:type="dxa"/>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开标地点</w:t>
            </w:r>
          </w:p>
        </w:tc>
        <w:tc>
          <w:tcPr>
            <w:tcW w:w="7056" w:type="dxa"/>
            <w:gridSpan w:val="3"/>
            <w:vAlign w:val="center"/>
          </w:tcPr>
          <w:p>
            <w:pPr>
              <w:jc w:val="left"/>
              <w:rPr>
                <w:rFonts w:ascii="仿宋_GB2312" w:hAnsi="仿宋" w:eastAsia="仿宋_GB2312"/>
                <w:szCs w:val="21"/>
              </w:rPr>
            </w:pPr>
            <w:r>
              <w:rPr>
                <w:rFonts w:hint="eastAsia" w:ascii="仿宋_GB2312" w:hAnsi="仿宋" w:eastAsia="仿宋_GB2312" w:cs="宋体"/>
                <w:bCs/>
                <w:szCs w:val="21"/>
              </w:rPr>
              <w:t>杭州市上城区凤起东路888号（运河东路200号）四楼杭州市公共资源交易中心上城分中心406室。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szCs w:val="21"/>
              </w:rPr>
            </w:pPr>
            <w:r>
              <w:rPr>
                <w:rFonts w:hint="eastAsia" w:ascii="仿宋_GB2312" w:hAnsi="仿宋" w:eastAsia="仿宋_GB2312" w:cs="宋体"/>
                <w:b/>
                <w:szCs w:val="21"/>
              </w:rPr>
              <w:t>16</w:t>
            </w:r>
          </w:p>
        </w:tc>
        <w:tc>
          <w:tcPr>
            <w:tcW w:w="1378" w:type="dxa"/>
            <w:vAlign w:val="center"/>
          </w:tcPr>
          <w:p>
            <w:pPr>
              <w:jc w:val="center"/>
              <w:rPr>
                <w:rFonts w:ascii="仿宋_GB2312" w:hAnsi="仿宋" w:eastAsia="仿宋_GB2312" w:cs="宋体"/>
                <w:szCs w:val="21"/>
              </w:rPr>
            </w:pPr>
            <w:r>
              <w:rPr>
                <w:rFonts w:hint="eastAsia" w:ascii="仿宋_GB2312" w:hAnsi="仿宋" w:eastAsia="仿宋_GB2312" w:cs="宋体"/>
                <w:b/>
                <w:szCs w:val="21"/>
              </w:rPr>
              <w:t>样品提供</w:t>
            </w:r>
          </w:p>
        </w:tc>
        <w:tc>
          <w:tcPr>
            <w:tcW w:w="7056" w:type="dxa"/>
            <w:gridSpan w:val="3"/>
            <w:vAlign w:val="center"/>
          </w:tcPr>
          <w:p>
            <w:pPr>
              <w:snapToGrid w:val="0"/>
              <w:jc w:val="left"/>
              <w:rPr>
                <w:rFonts w:ascii="仿宋_GB2312" w:hAnsi="宋体" w:eastAsia="仿宋_GB2312" w:cs="宋体"/>
              </w:rPr>
            </w:pPr>
            <w:r>
              <w:rPr>
                <w:rFonts w:hint="eastAsia" w:ascii="仿宋_GB2312" w:hAnsi="仿宋" w:eastAsia="仿宋_GB2312" w:cs="宋体"/>
                <w:bCs/>
                <w:szCs w:val="21"/>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b/>
                <w:szCs w:val="21"/>
              </w:rPr>
            </w:pPr>
            <w:r>
              <w:rPr>
                <w:rFonts w:hint="eastAsia" w:ascii="仿宋_GB2312" w:hAnsi="仿宋" w:eastAsia="仿宋_GB2312" w:cs="宋体"/>
                <w:b/>
                <w:szCs w:val="21"/>
              </w:rPr>
              <w:t>17</w:t>
            </w:r>
          </w:p>
        </w:tc>
        <w:tc>
          <w:tcPr>
            <w:tcW w:w="1378" w:type="dxa"/>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szCs w:val="21"/>
              </w:rPr>
              <w:t>现场演示</w:t>
            </w:r>
          </w:p>
        </w:tc>
        <w:tc>
          <w:tcPr>
            <w:tcW w:w="7056" w:type="dxa"/>
            <w:gridSpan w:val="3"/>
            <w:vAlign w:val="center"/>
          </w:tcPr>
          <w:p>
            <w:pPr>
              <w:shd w:val="solid" w:color="FFFFFF" w:fill="auto"/>
              <w:autoSpaceDN w:val="0"/>
              <w:jc w:val="left"/>
              <w:textAlignment w:val="center"/>
              <w:rPr>
                <w:rFonts w:ascii="仿宋_GB2312" w:hAnsi="仿宋" w:eastAsia="仿宋_GB2312" w:cs="宋体"/>
                <w:b/>
                <w:color w:val="FF0000"/>
                <w:szCs w:val="21"/>
              </w:rPr>
            </w:pPr>
            <w:r>
              <w:rPr>
                <w:rFonts w:hint="eastAsia" w:ascii="仿宋_GB2312" w:hAnsi="仿宋" w:eastAsia="仿宋_GB2312" w:cs="宋体"/>
                <w:b/>
                <w:color w:val="FF0000"/>
                <w:szCs w:val="21"/>
              </w:rPr>
              <w:t>需要现场演示。</w:t>
            </w:r>
          </w:p>
          <w:p>
            <w:pPr>
              <w:jc w:val="left"/>
              <w:rPr>
                <w:rFonts w:ascii="仿宋_GB2312" w:hAnsi="宋体" w:eastAsia="仿宋_GB2312" w:cs="宋体"/>
                <w:b/>
                <w:bCs/>
              </w:rPr>
            </w:pPr>
            <w:r>
              <w:rPr>
                <w:rFonts w:hint="eastAsia" w:ascii="仿宋_GB2312" w:hAnsi="宋体" w:eastAsia="仿宋_GB2312" w:cs="宋体"/>
                <w:b/>
                <w:bCs/>
              </w:rPr>
              <w:t>注意事项：</w:t>
            </w:r>
          </w:p>
          <w:p>
            <w:pPr>
              <w:shd w:val="solid" w:color="FFFFFF" w:fill="auto"/>
              <w:autoSpaceDN w:val="0"/>
              <w:jc w:val="left"/>
              <w:textAlignment w:val="center"/>
              <w:rPr>
                <w:rFonts w:ascii="仿宋_GB2312" w:hAnsi="宋体" w:eastAsia="仿宋_GB2312" w:cs="宋体"/>
              </w:rPr>
            </w:pPr>
            <w:r>
              <w:rPr>
                <w:rFonts w:hint="eastAsia" w:ascii="仿宋_GB2312" w:hAnsi="宋体" w:eastAsia="仿宋_GB2312" w:cs="宋体"/>
              </w:rPr>
              <w:t>（1）</w:t>
            </w:r>
            <w:r>
              <w:rPr>
                <w:rFonts w:hint="eastAsia" w:ascii="仿宋_GB2312" w:hAnsi="宋体" w:eastAsia="仿宋_GB2312" w:cs="宋体"/>
                <w:b/>
                <w:bCs/>
              </w:rPr>
              <w:t>现场演示时间：不超过20分钟（包含专家问答环节）。</w:t>
            </w:r>
          </w:p>
          <w:p>
            <w:pPr>
              <w:snapToGrid w:val="0"/>
              <w:jc w:val="left"/>
              <w:rPr>
                <w:rFonts w:ascii="仿宋_GB2312" w:hAnsi="宋体" w:eastAsia="仿宋_GB2312" w:cs="宋体"/>
                <w:b/>
              </w:rPr>
            </w:pPr>
            <w:r>
              <w:rPr>
                <w:rFonts w:hint="eastAsia" w:ascii="仿宋_GB2312" w:hAnsi="宋体" w:eastAsia="仿宋_GB2312" w:cs="宋体"/>
              </w:rPr>
              <w:t>（2）现场演示内容将作为评标委员会评标内容之一，详见评分标准。</w:t>
            </w:r>
          </w:p>
          <w:p>
            <w:pPr>
              <w:pStyle w:val="2"/>
              <w:ind w:firstLine="0" w:firstLineChars="0"/>
            </w:pPr>
            <w:r>
              <w:rPr>
                <w:rFonts w:hint="eastAsia" w:ascii="仿宋_GB2312" w:hAnsi="宋体" w:eastAsia="仿宋_GB2312" w:cs="宋体"/>
              </w:rPr>
              <w:t>（3）现场演示人员要求：现场演示人员为法定代表人或者投标人授权代表，不得超过2人，现场演示人员进场时携带身份证和授权委托书，否则不得进场讲标。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b/>
                <w:szCs w:val="21"/>
              </w:rPr>
            </w:pPr>
            <w:r>
              <w:rPr>
                <w:rFonts w:hint="eastAsia" w:ascii="仿宋_GB2312" w:hAnsi="仿宋" w:eastAsia="仿宋_GB2312" w:cs="宋体"/>
                <w:b/>
                <w:szCs w:val="21"/>
              </w:rPr>
              <w:t>18</w:t>
            </w:r>
          </w:p>
        </w:tc>
        <w:tc>
          <w:tcPr>
            <w:tcW w:w="1378" w:type="dxa"/>
            <w:vAlign w:val="center"/>
          </w:tcPr>
          <w:p>
            <w:pPr>
              <w:jc w:val="center"/>
              <w:rPr>
                <w:rFonts w:ascii="仿宋_GB2312" w:hAnsi="仿宋" w:eastAsia="仿宋_GB2312" w:cs="宋体"/>
                <w:b/>
                <w:szCs w:val="21"/>
              </w:rPr>
            </w:pPr>
            <w:r>
              <w:rPr>
                <w:rFonts w:hint="eastAsia" w:ascii="仿宋_GB2312" w:hAnsi="仿宋" w:eastAsia="仿宋_GB2312" w:cs="宋体"/>
                <w:b/>
                <w:szCs w:val="21"/>
              </w:rPr>
              <w:t>全流程电子化项目投标说明</w:t>
            </w:r>
          </w:p>
        </w:tc>
        <w:tc>
          <w:tcPr>
            <w:tcW w:w="7056" w:type="dxa"/>
            <w:gridSpan w:val="3"/>
            <w:vAlign w:val="center"/>
          </w:tcPr>
          <w:p>
            <w:pPr>
              <w:pStyle w:val="2"/>
              <w:numPr>
                <w:ilvl w:val="0"/>
                <w:numId w:val="2"/>
              </w:numPr>
              <w:shd w:val="solid" w:color="FFFFFF" w:fill="auto"/>
              <w:autoSpaceDN w:val="0"/>
              <w:ind w:left="4" w:firstLineChars="0"/>
              <w:jc w:val="left"/>
              <w:textAlignment w:val="center"/>
              <w:rPr>
                <w:color w:val="FF0000"/>
              </w:rPr>
            </w:pPr>
            <w:r>
              <w:rPr>
                <w:rFonts w:hint="eastAsia" w:ascii="仿宋_GB2312" w:hAnsi="宋体" w:eastAsia="仿宋_GB2312" w:cs="宋体"/>
                <w:b/>
                <w:color w:val="FF0000"/>
                <w:szCs w:val="21"/>
              </w:rPr>
              <w:t>（1）投标人应在开标前完成CA数字证书办理。因办理CA数字证书时间较长，请各投标人合理预估时间，及时办理。办理流程详见http://zfcg.czt.zj.gov.cn/bidClientTemplate/2019-05-27/12945.html。</w:t>
            </w:r>
          </w:p>
          <w:p>
            <w:pPr>
              <w:pStyle w:val="2"/>
              <w:numPr>
                <w:ilvl w:val="0"/>
                <w:numId w:val="2"/>
              </w:numPr>
              <w:shd w:val="solid" w:color="FFFFFF" w:fill="auto"/>
              <w:autoSpaceDN w:val="0"/>
              <w:ind w:left="4" w:firstLineChars="0"/>
              <w:jc w:val="left"/>
              <w:textAlignment w:val="center"/>
              <w:rPr>
                <w:rFonts w:ascii="仿宋_GB2312" w:hAnsi="宋体" w:eastAsia="仿宋_GB2312" w:cs="宋体"/>
                <w:b/>
                <w:color w:val="FF0000"/>
                <w:szCs w:val="21"/>
              </w:rPr>
            </w:pPr>
            <w:r>
              <w:rPr>
                <w:rFonts w:hint="eastAsia" w:ascii="仿宋_GB2312" w:hAnsi="宋体" w:eastAsia="仿宋_GB2312" w:cs="宋体"/>
                <w:b/>
                <w:color w:val="FF0000"/>
                <w:szCs w:val="21"/>
              </w:rPr>
              <w:t>（2）投标人通过政采云电子交易客户端制作投标文件。请投标人自行下载并安装，下载网址：http://www.zjzfcg.gov.cn/bidClientTemplate/2019-05-27/12946.html。（3）电子投标具体流程：详见政采云平台“服务中心-帮助文档-项目采购-操作流程-电子招投标-政府采购项目电子交易管理操作指南-供应商”的《政府采购项目电子交易-不见面开评标管理操作指南-供应商》，注：需政采云平台账号登陆后才可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vAlign w:val="center"/>
          </w:tcPr>
          <w:p>
            <w:pPr>
              <w:jc w:val="center"/>
              <w:rPr>
                <w:rFonts w:ascii="仿宋_GB2312" w:hAnsi="仿宋" w:eastAsia="仿宋_GB2312" w:cs="宋体"/>
                <w:b/>
                <w:szCs w:val="21"/>
              </w:rPr>
            </w:pPr>
            <w:r>
              <w:rPr>
                <w:rFonts w:hint="eastAsia" w:ascii="仿宋_GB2312" w:hAnsi="仿宋" w:eastAsia="仿宋_GB2312" w:cs="宋体"/>
                <w:b/>
                <w:szCs w:val="21"/>
              </w:rPr>
              <w:t>19</w:t>
            </w:r>
          </w:p>
        </w:tc>
        <w:tc>
          <w:tcPr>
            <w:tcW w:w="1378" w:type="dxa"/>
            <w:vAlign w:val="center"/>
          </w:tcPr>
          <w:p>
            <w:pPr>
              <w:jc w:val="center"/>
              <w:rPr>
                <w:rFonts w:ascii="仿宋_GB2312" w:hAnsi="仿宋" w:eastAsia="仿宋_GB2312" w:cs="宋体"/>
                <w:b/>
                <w:szCs w:val="21"/>
              </w:rPr>
            </w:pPr>
            <w:r>
              <w:rPr>
                <w:rFonts w:hint="eastAsia" w:ascii="仿宋_GB2312" w:hAnsi="仿宋" w:eastAsia="仿宋_GB2312" w:cs="宋体"/>
                <w:b/>
                <w:szCs w:val="21"/>
              </w:rPr>
              <w:t>备注</w:t>
            </w:r>
          </w:p>
        </w:tc>
        <w:tc>
          <w:tcPr>
            <w:tcW w:w="7056" w:type="dxa"/>
            <w:gridSpan w:val="3"/>
            <w:vAlign w:val="center"/>
          </w:tcPr>
          <w:p>
            <w:pPr>
              <w:snapToGrid w:val="0"/>
              <w:spacing w:line="276" w:lineRule="auto"/>
              <w:rPr>
                <w:rFonts w:ascii="仿宋_GB2312" w:hAnsi="仿宋_GB2312" w:eastAsia="仿宋_GB2312" w:cs="仿宋_GB2312"/>
                <w:bCs/>
                <w:kern w:val="10"/>
              </w:rPr>
            </w:pPr>
            <w:r>
              <w:rPr>
                <w:rFonts w:hint="eastAsia" w:ascii="仿宋_GB2312" w:eastAsia="仿宋_GB2312"/>
                <w:bCs/>
              </w:rPr>
              <w:t>1.</w:t>
            </w:r>
            <w:r>
              <w:rPr>
                <w:rFonts w:hint="eastAsia" w:ascii="仿宋_GB2312" w:hAnsi="仿宋_GB2312" w:eastAsia="仿宋_GB2312" w:cs="仿宋_GB2312"/>
                <w:bCs/>
                <w:kern w:val="10"/>
              </w:rPr>
              <w:t>投标人提供的审查文件及评分过程中需要提供的证书等证明材料均采用扫描件的形式提供，且保证内容清晰可辩，因投标人未按要求提供材料造成的后果由投标人承担。</w:t>
            </w:r>
          </w:p>
          <w:p>
            <w:pPr>
              <w:jc w:val="left"/>
              <w:rPr>
                <w:rFonts w:ascii="仿宋_GB2312" w:hAnsi="仿宋" w:eastAsia="仿宋_GB2312" w:cs="宋体"/>
                <w:b/>
                <w:bCs/>
                <w:sz w:val="24"/>
              </w:rPr>
            </w:pPr>
            <w:r>
              <w:rPr>
                <w:rFonts w:hint="eastAsia" w:ascii="仿宋_GB2312" w:hAnsi="仿宋" w:eastAsia="仿宋_GB2312" w:cs="宋体"/>
                <w:bCs/>
                <w:szCs w:val="21"/>
              </w:rPr>
              <w:t>2.</w:t>
            </w:r>
            <w:r>
              <w:rPr>
                <w:rFonts w:hint="eastAsia" w:ascii="仿宋_GB2312" w:hAnsi="宋体" w:eastAsia="仿宋_GB2312" w:cs="宋体"/>
                <w:bCs/>
                <w:szCs w:val="21"/>
              </w:rPr>
              <w:t>本招标文件其他部分相关内容如与本表不一致，以本表为准。</w:t>
            </w:r>
          </w:p>
        </w:tc>
      </w:tr>
    </w:tbl>
    <w:p>
      <w:pPr>
        <w:widowControl/>
        <w:spacing w:line="500" w:lineRule="exact"/>
        <w:jc w:val="left"/>
        <w:sectPr>
          <w:pgSz w:w="11906" w:h="16838"/>
          <w:pgMar w:top="1474" w:right="1985" w:bottom="1588" w:left="2098" w:header="851" w:footer="992" w:gutter="0"/>
          <w:cols w:space="720" w:num="1"/>
          <w:docGrid w:linePitch="312" w:charSpace="0"/>
        </w:sectPr>
      </w:pPr>
    </w:p>
    <w:p>
      <w:pPr>
        <w:pStyle w:val="3"/>
        <w:spacing w:before="0" w:after="0" w:line="500" w:lineRule="exact"/>
        <w:jc w:val="center"/>
        <w:rPr>
          <w:rFonts w:ascii="华文中宋" w:hAnsi="华文中宋" w:eastAsia="华文中宋"/>
          <w:sz w:val="36"/>
          <w:szCs w:val="36"/>
        </w:rPr>
      </w:pPr>
      <w:r>
        <w:rPr>
          <w:rFonts w:hint="eastAsia" w:ascii="华文中宋" w:hAnsi="华文中宋" w:eastAsia="华文中宋"/>
          <w:sz w:val="36"/>
          <w:szCs w:val="36"/>
        </w:rPr>
        <w:t>第三部分 采购需求及评分标准</w:t>
      </w:r>
    </w:p>
    <w:p>
      <w:pPr>
        <w:spacing w:line="360" w:lineRule="auto"/>
        <w:ind w:firstLine="354" w:firstLineChars="147"/>
        <w:rPr>
          <w:rFonts w:ascii="仿宋_GB2312" w:hAnsi="仿宋" w:eastAsia="仿宋_GB2312"/>
          <w:b/>
          <w:bCs/>
          <w:sz w:val="24"/>
        </w:rPr>
      </w:pPr>
      <w:r>
        <w:rPr>
          <w:rFonts w:hint="eastAsia" w:ascii="仿宋_GB2312" w:hAnsi="仿宋" w:eastAsia="仿宋_GB2312"/>
          <w:b/>
          <w:bCs/>
          <w:sz w:val="24"/>
        </w:rPr>
        <w:t>一、项目概况</w:t>
      </w:r>
    </w:p>
    <w:p>
      <w:pPr>
        <w:pStyle w:val="195"/>
        <w:spacing w:line="360" w:lineRule="auto"/>
        <w:ind w:left="-109" w:leftChars="-52" w:firstLine="480"/>
        <w:rPr>
          <w:rFonts w:ascii="仿宋" w:hAnsi="仿宋" w:eastAsia="仿宋" w:cs="宋体"/>
          <w:kern w:val="0"/>
          <w:sz w:val="28"/>
          <w:szCs w:val="28"/>
        </w:rPr>
      </w:pPr>
      <w:r>
        <w:rPr>
          <w:rFonts w:hint="eastAsia" w:ascii="仿宋_GB2312" w:hAnsi="宋体" w:eastAsia="仿宋_GB2312" w:cs="宋体"/>
          <w:color w:val="000000"/>
          <w:sz w:val="24"/>
        </w:rPr>
        <w:t>本次招标为杭州东站枢纽管理委员会杭州东站枢纽区域综合养护服务项目，投标方应根据招标文件所提出的服务要求，综合考虑适应性，选择具有最佳性能价格比的报价前来投标。</w:t>
      </w:r>
      <w:r>
        <w:rPr>
          <w:rFonts w:hint="eastAsia" w:ascii="仿宋" w:hAnsi="仿宋" w:eastAsia="仿宋" w:cs="宋体"/>
          <w:b/>
          <w:bCs/>
          <w:color w:val="FF0000"/>
          <w:kern w:val="0"/>
          <w:sz w:val="28"/>
          <w:szCs w:val="28"/>
        </w:rPr>
        <w:t>（</w:t>
      </w:r>
      <w:r>
        <w:rPr>
          <w:rFonts w:hint="eastAsia" w:ascii="仿宋_GB2312" w:hAnsi="宋体" w:eastAsia="仿宋_GB2312" w:cs="宋体"/>
          <w:b/>
          <w:color w:val="FF0000"/>
          <w:sz w:val="24"/>
        </w:rPr>
        <w:t>由于各个养护经费开支需在预算内，因此各报价均不得超过各养护服务的分预算。）</w:t>
      </w:r>
    </w:p>
    <w:p>
      <w:pPr>
        <w:widowControl/>
        <w:adjustRightInd w:val="0"/>
        <w:snapToGrid w:val="0"/>
        <w:ind w:firstLine="482" w:firstLineChars="200"/>
        <w:rPr>
          <w:rFonts w:ascii="仿宋_GB2312" w:hAnsi="仿宋_GB2312" w:eastAsia="仿宋_GB2312" w:cs="仿宋_GB2312"/>
          <w:sz w:val="28"/>
          <w:szCs w:val="28"/>
        </w:rPr>
      </w:pPr>
      <w:r>
        <w:rPr>
          <w:rFonts w:hint="eastAsia" w:ascii="仿宋_GB2312" w:hAnsi="仿宋_GB2312" w:eastAsia="仿宋_GB2312" w:cs="仿宋_GB2312"/>
          <w:b/>
          <w:bCs/>
          <w:sz w:val="24"/>
        </w:rPr>
        <w:t>项目标的：</w:t>
      </w:r>
      <w:r>
        <w:rPr>
          <w:rFonts w:hint="eastAsia" w:ascii="仿宋_GB2312" w:hAnsi="仿宋_GB2312"/>
          <w:b/>
          <w:sz w:val="24"/>
        </w:rPr>
        <w:t>2800</w:t>
      </w:r>
      <w:r>
        <w:rPr>
          <w:rFonts w:hint="eastAsia" w:ascii="仿宋_GB2312" w:hAnsi="宋体"/>
          <w:b/>
          <w:color w:val="000000"/>
          <w:sz w:val="24"/>
        </w:rPr>
        <w:t>万</w:t>
      </w:r>
      <w:r>
        <w:rPr>
          <w:rFonts w:hint="eastAsia" w:ascii="仿宋_GB2312" w:hAnsi="宋体" w:eastAsia="仿宋_GB2312" w:cs="宋体"/>
          <w:color w:val="000000"/>
          <w:sz w:val="24"/>
        </w:rPr>
        <w:t>，各项组成详情如下：</w:t>
      </w:r>
    </w:p>
    <w:tbl>
      <w:tblPr>
        <w:tblStyle w:val="41"/>
        <w:tblW w:w="897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07"/>
        <w:gridCol w:w="810"/>
        <w:gridCol w:w="600"/>
        <w:gridCol w:w="130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hint="eastAsia" w:ascii="仿宋_GB2312" w:eastAsia="仿宋_GB2312"/>
                <w:sz w:val="24"/>
                <w:szCs w:val="20"/>
                <w:highlight w:val="none"/>
                <w:lang w:eastAsia="zh-CN"/>
              </w:rPr>
            </w:pPr>
            <w:r>
              <w:rPr>
                <w:rFonts w:hint="eastAsia" w:ascii="仿宋_GB2312" w:eastAsia="仿宋_GB2312"/>
                <w:sz w:val="24"/>
                <w:szCs w:val="20"/>
                <w:highlight w:val="none"/>
                <w:lang w:eastAsia="zh-CN"/>
              </w:rPr>
              <w:t>预算</w:t>
            </w: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内容</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数量</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预算金额(万元)</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hint="eastAsia" w:ascii="仿宋_GB2312" w:eastAsia="仿宋_GB2312"/>
                <w:sz w:val="24"/>
                <w:szCs w:val="20"/>
                <w:lang w:eastAsia="zh-CN"/>
              </w:rPr>
            </w:pPr>
            <w:r>
              <w:rPr>
                <w:rFonts w:hint="eastAsia" w:ascii="仿宋_GB2312" w:eastAsia="仿宋_GB2312"/>
                <w:sz w:val="24"/>
                <w:szCs w:val="20"/>
              </w:rPr>
              <w:t>备注说明</w:t>
            </w:r>
            <w:r>
              <w:rPr>
                <w:rFonts w:hint="eastAsia" w:ascii="仿宋_GB2312" w:eastAsia="仿宋_GB2312"/>
                <w:sz w:val="24"/>
                <w:szCs w:val="20"/>
                <w:lang w:eastAsia="zh-CN"/>
              </w:rPr>
              <w:t>（含单项预算）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hint="eastAsia" w:ascii="仿宋_GB2312" w:eastAsia="仿宋_GB2312"/>
                <w:sz w:val="24"/>
                <w:szCs w:val="20"/>
                <w:highlight w:val="none"/>
                <w:lang w:eastAsia="zh-CN"/>
              </w:rPr>
            </w:pPr>
            <w:r>
              <w:rPr>
                <w:rFonts w:hint="eastAsia" w:ascii="仿宋_GB2312" w:eastAsia="仿宋_GB2312"/>
                <w:sz w:val="24"/>
                <w:szCs w:val="20"/>
                <w:highlight w:val="none"/>
                <w:lang w:eastAsia="zh-CN"/>
              </w:rPr>
              <w:t>总预算</w:t>
            </w: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sz w:val="24"/>
                <w:szCs w:val="20"/>
              </w:rPr>
            </w:pPr>
            <w:r>
              <w:rPr>
                <w:rFonts w:hint="eastAsia" w:ascii="仿宋_GB2312" w:eastAsia="仿宋_GB2312"/>
                <w:sz w:val="24"/>
                <w:szCs w:val="20"/>
              </w:rPr>
              <w:t>杭州东站枢纽区域综合养护服务项目</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1.0</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bCs/>
                <w:sz w:val="24"/>
                <w:szCs w:val="20"/>
              </w:rPr>
            </w:pPr>
            <w:r>
              <w:rPr>
                <w:rFonts w:hint="eastAsia" w:ascii="仿宋_GB2312" w:eastAsia="仿宋_GB2312"/>
                <w:bCs/>
                <w:sz w:val="24"/>
                <w:szCs w:val="20"/>
              </w:rPr>
              <w:t>2800</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bCs/>
                <w:sz w:val="24"/>
                <w:szCs w:val="20"/>
              </w:rPr>
            </w:pPr>
            <w:r>
              <w:rPr>
                <w:rFonts w:hint="eastAsia" w:ascii="仿宋_GB2312" w:eastAsia="仿宋_GB2312"/>
                <w:bCs/>
                <w:sz w:val="24"/>
                <w:szCs w:val="20"/>
              </w:rPr>
              <w:t>主要养护内容：道路市政养护、雨水管网养护、绿化养护、亮化养护、道路保洁、巡查、维护、垃圾外运处置、亚运保障、应急保障等。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restart"/>
            <w:tcBorders>
              <w:top w:val="single" w:color="auto" w:sz="4" w:space="0"/>
              <w:left w:val="single" w:color="auto" w:sz="4" w:space="0"/>
              <w:right w:val="single" w:color="auto" w:sz="4" w:space="0"/>
            </w:tcBorders>
            <w:vAlign w:val="center"/>
          </w:tcPr>
          <w:p>
            <w:pPr>
              <w:spacing w:line="276" w:lineRule="auto"/>
              <w:ind w:left="60" w:right="60"/>
              <w:jc w:val="center"/>
              <w:rPr>
                <w:rFonts w:hint="eastAsia" w:ascii="仿宋_GB2312" w:eastAsia="仿宋_GB2312"/>
                <w:sz w:val="24"/>
                <w:szCs w:val="20"/>
                <w:highlight w:val="none"/>
                <w:lang w:eastAsia="zh-CN"/>
              </w:rPr>
            </w:pPr>
            <w:r>
              <w:rPr>
                <w:rFonts w:hint="eastAsia" w:ascii="仿宋_GB2312" w:eastAsia="仿宋_GB2312"/>
                <w:sz w:val="24"/>
                <w:szCs w:val="20"/>
                <w:highlight w:val="none"/>
                <w:lang w:eastAsia="zh-CN"/>
              </w:rPr>
              <w:t>分项预算</w:t>
            </w: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sz w:val="24"/>
                <w:szCs w:val="20"/>
              </w:rPr>
            </w:pPr>
            <w:r>
              <w:rPr>
                <w:rFonts w:hint="eastAsia" w:ascii="仿宋_GB2312" w:eastAsia="仿宋_GB2312"/>
                <w:sz w:val="24"/>
                <w:szCs w:val="20"/>
              </w:rPr>
              <w:t>市政养护</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1.0</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564.29</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hint="default" w:ascii="仿宋_GB2312" w:eastAsia="仿宋_GB2312"/>
                <w:sz w:val="24"/>
                <w:szCs w:val="20"/>
                <w:lang w:val="en-US" w:eastAsia="zh-CN"/>
              </w:rPr>
            </w:pPr>
            <w:r>
              <w:rPr>
                <w:rFonts w:hint="eastAsia" w:ascii="仿宋_GB2312" w:eastAsia="仿宋_GB2312"/>
                <w:sz w:val="24"/>
                <w:szCs w:val="20"/>
              </w:rPr>
              <w:t>其中王家井天桥26.75万</w:t>
            </w:r>
            <w:r>
              <w:rPr>
                <w:rFonts w:hint="eastAsia" w:ascii="仿宋_GB2312" w:eastAsia="仿宋_GB2312"/>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Merge w:val="continue"/>
            <w:tcBorders>
              <w:left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sz w:val="24"/>
                <w:szCs w:val="20"/>
              </w:rPr>
            </w:pPr>
            <w:r>
              <w:rPr>
                <w:rFonts w:hint="eastAsia" w:ascii="仿宋_GB2312" w:eastAsia="仿宋_GB2312"/>
                <w:sz w:val="24"/>
                <w:szCs w:val="20"/>
              </w:rPr>
              <w:t>雨水管网养护</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1.0</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248.51</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color w:val="auto"/>
                <w:sz w:val="24"/>
                <w:szCs w:val="20"/>
                <w:highlight w:val="none"/>
                <w:lang w:eastAsia="zh-CN"/>
              </w:rPr>
              <w:t>其中污水泵房</w:t>
            </w:r>
            <w:r>
              <w:rPr>
                <w:rFonts w:hint="eastAsia" w:ascii="仿宋_GB2312" w:eastAsia="仿宋_GB2312"/>
                <w:color w:val="auto"/>
                <w:sz w:val="24"/>
                <w:szCs w:val="20"/>
                <w:highlight w:val="none"/>
                <w:lang w:val="en-US" w:eastAsia="zh-CN"/>
              </w:rPr>
              <w:t>3.90万。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tcBorders>
              <w:left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sz w:val="24"/>
                <w:szCs w:val="20"/>
              </w:rPr>
            </w:pPr>
            <w:r>
              <w:rPr>
                <w:rFonts w:hint="eastAsia" w:ascii="仿宋_GB2312" w:eastAsia="仿宋_GB2312"/>
                <w:sz w:val="24"/>
                <w:szCs w:val="20"/>
              </w:rPr>
              <w:t>保洁长效养护</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1.0</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1905.1</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hAnsi="仿宋_GB2312" w:eastAsia="仿宋_GB2312" w:cs="仿宋_GB2312"/>
                <w:sz w:val="24"/>
              </w:rPr>
              <w:t>其中公厕261.7万，道路保洁</w:t>
            </w:r>
            <w:r>
              <w:rPr>
                <w:rFonts w:hint="eastAsia" w:ascii="仿宋_GB2312" w:eastAsia="仿宋_GB2312"/>
                <w:sz w:val="24"/>
                <w:szCs w:val="20"/>
              </w:rPr>
              <w:t>1631.4</w:t>
            </w:r>
            <w:r>
              <w:rPr>
                <w:rFonts w:hint="eastAsia" w:ascii="仿宋_GB2312" w:hAnsi="仿宋_GB2312" w:eastAsia="仿宋_GB2312" w:cs="仿宋_GB2312"/>
                <w:sz w:val="24"/>
              </w:rPr>
              <w:t>万，牛皮癣12万。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tcBorders>
              <w:left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sz w:val="24"/>
                <w:szCs w:val="20"/>
              </w:rPr>
            </w:pPr>
            <w:r>
              <w:rPr>
                <w:rFonts w:hint="eastAsia" w:ascii="仿宋_GB2312" w:eastAsia="仿宋_GB2312"/>
                <w:sz w:val="24"/>
                <w:szCs w:val="20"/>
              </w:rPr>
              <w:t>绿化养护</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1.0</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69.31</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Merge w:val="continue"/>
            <w:tcBorders>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rPr>
            </w:pPr>
          </w:p>
        </w:tc>
        <w:tc>
          <w:tcPr>
            <w:tcW w:w="180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rPr>
                <w:rFonts w:ascii="仿宋_GB2312" w:eastAsia="仿宋_GB2312"/>
                <w:sz w:val="24"/>
              </w:rPr>
            </w:pPr>
            <w:r>
              <w:rPr>
                <w:rFonts w:hint="eastAsia" w:ascii="仿宋_GB2312" w:eastAsia="仿宋_GB2312"/>
                <w:sz w:val="24"/>
              </w:rPr>
              <w:t>亮化养护</w:t>
            </w:r>
          </w:p>
        </w:tc>
        <w:tc>
          <w:tcPr>
            <w:tcW w:w="81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rPr>
            </w:pPr>
            <w:r>
              <w:rPr>
                <w:rFonts w:hint="eastAsia" w:ascii="仿宋_GB2312" w:eastAsia="仿宋_GB2312"/>
                <w:sz w:val="24"/>
              </w:rPr>
              <w:t>1.0</w:t>
            </w:r>
          </w:p>
        </w:tc>
        <w:tc>
          <w:tcPr>
            <w:tcW w:w="600"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rPr>
            </w:pPr>
            <w:r>
              <w:rPr>
                <w:rFonts w:hint="eastAsia" w:ascii="仿宋_GB2312" w:eastAsia="仿宋_GB2312"/>
                <w:sz w:val="24"/>
              </w:rPr>
              <w:t>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rPr>
            </w:pPr>
            <w:r>
              <w:rPr>
                <w:rFonts w:hint="eastAsia" w:ascii="仿宋_GB2312" w:eastAsia="仿宋_GB2312"/>
                <w:sz w:val="24"/>
                <w:szCs w:val="20"/>
              </w:rPr>
              <w:t>12.79</w:t>
            </w:r>
          </w:p>
        </w:tc>
        <w:tc>
          <w:tcPr>
            <w:tcW w:w="3697"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rPr>
                <w:rFonts w:ascii="仿宋_GB2312" w:eastAsia="仿宋_GB2312"/>
                <w:sz w:val="24"/>
              </w:rPr>
            </w:pPr>
          </w:p>
        </w:tc>
      </w:tr>
    </w:tbl>
    <w:p>
      <w:pPr>
        <w:rPr>
          <w:rFonts w:ascii="仿宋_GB2312" w:hAnsi="仿宋_GB2312" w:eastAsia="仿宋_GB2312" w:cs="仿宋_GB2312"/>
          <w:b/>
          <w:bCs/>
          <w:sz w:val="24"/>
        </w:rPr>
      </w:pPr>
      <w:r>
        <w:rPr>
          <w:rFonts w:hint="eastAsia" w:ascii="仿宋_GB2312" w:hAnsi="仿宋_GB2312" w:eastAsia="仿宋_GB2312" w:cs="仿宋_GB2312"/>
          <w:b/>
          <w:bCs/>
          <w:sz w:val="24"/>
        </w:rPr>
        <w:t>备注：</w:t>
      </w:r>
    </w:p>
    <w:p>
      <w:pPr>
        <w:pStyle w:val="23"/>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1.如在养护中出现设施量的调整，依据实际调整设施量乘以中标单项报价予以结算，但调整后的总价不得超</w:t>
      </w:r>
      <w:bookmarkStart w:id="133" w:name="_GoBack"/>
      <w:bookmarkEnd w:id="133"/>
      <w:r>
        <w:rPr>
          <w:rFonts w:hint="eastAsia" w:ascii="仿宋_GB2312" w:hAnsi="仿宋_GB2312" w:eastAsia="仿宋_GB2312" w:cs="仿宋_GB2312"/>
          <w:sz w:val="24"/>
        </w:rPr>
        <w:t>过总报价。</w:t>
      </w:r>
    </w:p>
    <w:p>
      <w:pPr>
        <w:pStyle w:val="23"/>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2.养护设施因非乙方造成的原因停止养护的，按照中标单项报价乘以设施量进行扣减，直至恢复养护。</w:t>
      </w:r>
    </w:p>
    <w:p>
      <w:pPr>
        <w:pStyle w:val="23"/>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3.亮化</w:t>
      </w:r>
      <w:r>
        <w:rPr>
          <w:rFonts w:hint="eastAsia" w:ascii="仿宋_GB2312" w:hAnsi="仿宋_GB2312" w:eastAsia="仿宋_GB2312" w:cs="仿宋_GB2312"/>
          <w:sz w:val="24"/>
        </w:rPr>
        <w:t>招标设施量中单盏灯的年维护费报价不得超过41.68元/年的110%。（41.68元/年为原江干区景观照明设施项目2021年度最高报价）</w:t>
      </w:r>
    </w:p>
    <w:p>
      <w:pPr>
        <w:pStyle w:val="23"/>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二、招标作业内容</w:t>
      </w:r>
    </w:p>
    <w:p>
      <w:pPr>
        <w:pStyle w:val="23"/>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1、道路、人行道两侧〈横向为建（构）筑物至路边侧石〉的清洁保洁、绿化带的保洁及环卫设施和交通隔离设施的保洁和整理。</w:t>
      </w:r>
    </w:p>
    <w:p>
      <w:pPr>
        <w:pStyle w:val="23"/>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lang w:val="zh-CN"/>
        </w:rPr>
        <w:t>2、垃圾清运：垃圾清运</w:t>
      </w:r>
      <w:r>
        <w:rPr>
          <w:rFonts w:hint="eastAsia" w:ascii="仿宋_GB2312" w:hAnsi="仿宋_GB2312" w:eastAsia="仿宋_GB2312" w:cs="仿宋_GB2312"/>
          <w:sz w:val="24"/>
          <w:szCs w:val="28"/>
          <w:lang w:val="zh-CN"/>
        </w:rPr>
        <w:t>需由中标单位负责，主要负责养护区域内的垃圾清运，</w:t>
      </w:r>
      <w:r>
        <w:rPr>
          <w:rFonts w:hint="eastAsia" w:ascii="仿宋_GB2312" w:hAnsi="仿宋_GB2312" w:eastAsia="仿宋_GB2312" w:cs="仿宋_GB2312"/>
          <w:sz w:val="24"/>
          <w:szCs w:val="28"/>
        </w:rPr>
        <w:t>符合杭州市垃圾分类要求，</w:t>
      </w:r>
      <w:r>
        <w:rPr>
          <w:rFonts w:hint="eastAsia" w:ascii="仿宋_GB2312" w:hAnsi="仿宋_GB2312" w:eastAsia="仿宋_GB2312" w:cs="仿宋_GB2312"/>
          <w:sz w:val="24"/>
          <w:szCs w:val="28"/>
          <w:lang w:val="zh-CN"/>
        </w:rPr>
        <w:t>清运费含在投标总费用中，平时及时制止偷倒乱倒行为，及时清除无主垃圾及废土（</w:t>
      </w:r>
      <w:r>
        <w:rPr>
          <w:rFonts w:hint="eastAsia" w:ascii="仿宋_GB2312" w:hAnsi="仿宋_GB2312" w:eastAsia="仿宋_GB2312" w:cs="仿宋_GB2312"/>
          <w:sz w:val="24"/>
          <w:szCs w:val="28"/>
        </w:rPr>
        <w:t>含管委会大楼垃圾清运</w:t>
      </w:r>
      <w:r>
        <w:rPr>
          <w:rFonts w:hint="eastAsia" w:ascii="仿宋_GB2312" w:hAnsi="仿宋_GB2312" w:eastAsia="仿宋_GB2312" w:cs="仿宋_GB2312"/>
          <w:sz w:val="24"/>
          <w:szCs w:val="28"/>
          <w:lang w:val="zh-CN"/>
        </w:rPr>
        <w:t>）。</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3、及时清除道路沿线“牛皮癣”。</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4、市政设施日常维修、保养、设施巡查、临时维护（配套管线、管沟、无产权单位窨井发生下沉、坍塌等）、道路常规检测及评价、大面积维修、桥梁检测及栏杆保洁等；加大市政道路沿街商户</w:t>
      </w:r>
      <w:r>
        <w:rPr>
          <w:rFonts w:hint="eastAsia" w:ascii="仿宋_GB2312" w:hAnsi="仿宋_GB2312" w:eastAsia="仿宋_GB2312" w:cs="仿宋_GB2312"/>
          <w:sz w:val="24"/>
          <w:szCs w:val="28"/>
        </w:rPr>
        <w:t>及周边工地</w:t>
      </w:r>
      <w:r>
        <w:rPr>
          <w:rFonts w:hint="eastAsia" w:ascii="仿宋_GB2312" w:hAnsi="仿宋_GB2312" w:eastAsia="仿宋_GB2312" w:cs="仿宋_GB2312"/>
          <w:sz w:val="24"/>
          <w:szCs w:val="28"/>
          <w:lang w:val="zh-CN"/>
        </w:rPr>
        <w:t>排水系统外接查处，防止私自乱接行为。</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5、雨水管道疏通及清污泥及外运；雨水检查井清捞污泥及外运；管道检测：封拆管堵、冲洗管道、管道检测；雨水管网的日常巡视检查。</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szCs w:val="28"/>
          <w:lang w:val="zh-CN"/>
        </w:rPr>
        <w:t>6、养护范围中明确的全部绿地养护内容，</w:t>
      </w:r>
      <w:r>
        <w:rPr>
          <w:rFonts w:hint="eastAsia" w:ascii="仿宋_GB2312" w:hAnsi="仿宋_GB2312" w:eastAsia="仿宋_GB2312" w:cs="仿宋_GB2312"/>
          <w:sz w:val="24"/>
          <w:szCs w:val="28"/>
        </w:rPr>
        <w:t>符合园林绿化相关文件标准，</w:t>
      </w:r>
      <w:r>
        <w:rPr>
          <w:rFonts w:hint="eastAsia" w:ascii="仿宋_GB2312" w:hAnsi="仿宋_GB2312" w:eastAsia="仿宋_GB2312" w:cs="仿宋_GB2312"/>
          <w:sz w:val="24"/>
          <w:szCs w:val="28"/>
          <w:lang w:val="zh-CN"/>
        </w:rPr>
        <w:t>包括养护期内死亡苗木补植、现有植物的养护管理和园林建筑、小品等所有配套设施及附属物的保洁和维护以及行</w:t>
      </w:r>
      <w:r>
        <w:rPr>
          <w:rFonts w:hint="eastAsia" w:ascii="仿宋_GB2312" w:hAnsi="仿宋_GB2312" w:eastAsia="仿宋_GB2312" w:cs="仿宋_GB2312"/>
          <w:sz w:val="24"/>
          <w:lang w:val="zh-CN"/>
        </w:rPr>
        <w:t>道树抗台应急措施，及甲方临时交办的绿化养护任务。</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7、各类大型保障及应急保障（如防汛、抗台、抗雪）及甲方交办的其他应急事项。</w:t>
      </w:r>
    </w:p>
    <w:p>
      <w:pPr>
        <w:pStyle w:val="2"/>
        <w:ind w:firstLine="480"/>
        <w:rPr>
          <w:rFonts w:eastAsia="仿宋_GB2312"/>
        </w:rPr>
      </w:pPr>
      <w:r>
        <w:rPr>
          <w:rFonts w:hint="eastAsia" w:ascii="仿宋_GB2312" w:hAnsi="仿宋_GB2312" w:eastAsia="仿宋_GB2312" w:cs="仿宋_GB2312"/>
          <w:sz w:val="24"/>
        </w:rPr>
        <w:t>8、养护范围中明确的全部亮化养护内容及长效养护。</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9</w:t>
      </w:r>
      <w:r>
        <w:rPr>
          <w:rFonts w:hint="eastAsia" w:ascii="仿宋_GB2312" w:hAnsi="仿宋_GB2312" w:eastAsia="仿宋_GB2312" w:cs="仿宋_GB2312"/>
          <w:sz w:val="24"/>
          <w:lang w:val="zh-CN"/>
        </w:rPr>
        <w:t>、项目人员按行业标准和管委会招标文件要求安排落实、合理配置。</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10</w:t>
      </w:r>
      <w:r>
        <w:rPr>
          <w:rFonts w:hint="eastAsia" w:ascii="仿宋_GB2312" w:hAnsi="仿宋_GB2312" w:eastAsia="仿宋_GB2312" w:cs="仿宋_GB2312"/>
          <w:sz w:val="24"/>
          <w:lang w:val="zh-CN"/>
        </w:rPr>
        <w:t>、项目设备设施按行业标准和管委会招标文件要求安排落实、合理配置。</w:t>
      </w:r>
    </w:p>
    <w:p>
      <w:pPr>
        <w:widowControl/>
        <w:adjustRightInd w:val="0"/>
        <w:snapToGrid w:val="0"/>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rPr>
        <w:t>三</w:t>
      </w:r>
      <w:r>
        <w:rPr>
          <w:rFonts w:hint="eastAsia" w:ascii="仿宋_GB2312" w:hAnsi="仿宋_GB2312" w:eastAsia="仿宋_GB2312" w:cs="仿宋_GB2312"/>
          <w:b/>
          <w:bCs/>
          <w:sz w:val="24"/>
          <w:lang w:val="zh-CN"/>
        </w:rPr>
        <w:t>、服务</w:t>
      </w:r>
      <w:r>
        <w:rPr>
          <w:rFonts w:hint="eastAsia" w:ascii="仿宋_GB2312" w:hAnsi="仿宋_GB2312" w:eastAsia="仿宋_GB2312" w:cs="仿宋_GB2312"/>
          <w:b/>
          <w:bCs/>
          <w:sz w:val="24"/>
        </w:rPr>
        <w:t>要求</w:t>
      </w:r>
      <w:r>
        <w:rPr>
          <w:rFonts w:hint="eastAsia" w:ascii="仿宋_GB2312" w:hAnsi="仿宋_GB2312" w:eastAsia="仿宋_GB2312" w:cs="仿宋_GB2312"/>
          <w:b/>
          <w:bCs/>
          <w:sz w:val="24"/>
          <w:lang w:val="zh-CN"/>
        </w:rPr>
        <w:t>及范围</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1、根据所属范围做好环卫、市政、绿化、亮化等综合养护工作。</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按要求配备</w:t>
      </w:r>
      <w:r>
        <w:rPr>
          <w:rFonts w:hint="eastAsia" w:ascii="仿宋_GB2312" w:hAnsi="仿宋_GB2312" w:eastAsia="仿宋_GB2312" w:cs="仿宋_GB2312"/>
          <w:sz w:val="24"/>
        </w:rPr>
        <w:t>6</w:t>
      </w:r>
      <w:r>
        <w:rPr>
          <w:rFonts w:hint="eastAsia" w:ascii="仿宋_GB2312" w:hAnsi="仿宋_GB2312" w:eastAsia="仿宋_GB2312" w:cs="仿宋_GB2312"/>
          <w:sz w:val="24"/>
          <w:lang w:val="zh-CN"/>
        </w:rPr>
        <w:t>名</w:t>
      </w:r>
      <w:r>
        <w:rPr>
          <w:rFonts w:hint="eastAsia" w:ascii="仿宋_GB2312" w:hAnsi="仿宋_GB2312" w:eastAsia="仿宋_GB2312" w:cs="仿宋_GB2312"/>
          <w:sz w:val="24"/>
        </w:rPr>
        <w:t>工作人员</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全职</w:t>
      </w:r>
      <w:r>
        <w:rPr>
          <w:rFonts w:hint="eastAsia" w:ascii="仿宋_GB2312" w:hAnsi="仿宋_GB2312" w:eastAsia="仿宋_GB2312" w:cs="仿宋_GB2312"/>
          <w:sz w:val="24"/>
          <w:lang w:val="zh-CN"/>
        </w:rPr>
        <w:t>驻点东站管委会，</w:t>
      </w:r>
      <w:r>
        <w:rPr>
          <w:rFonts w:hint="eastAsia" w:ascii="仿宋_GB2312" w:hAnsi="仿宋_GB2312" w:eastAsia="仿宋_GB2312" w:cs="仿宋_GB2312"/>
          <w:sz w:val="24"/>
        </w:rPr>
        <w:t>2名</w:t>
      </w:r>
      <w:r>
        <w:rPr>
          <w:rFonts w:hint="eastAsia" w:ascii="仿宋_GB2312" w:hAnsi="仿宋_GB2312" w:eastAsia="仿宋_GB2312" w:cs="仿宋_GB2312"/>
          <w:sz w:val="24"/>
          <w:lang w:val="zh-CN"/>
        </w:rPr>
        <w:t>负责内勤，</w:t>
      </w:r>
      <w:r>
        <w:rPr>
          <w:rFonts w:hint="eastAsia" w:ascii="仿宋_GB2312" w:hAnsi="仿宋_GB2312" w:eastAsia="仿宋_GB2312" w:cs="仿宋_GB2312"/>
          <w:sz w:val="24"/>
        </w:rPr>
        <w:t>2名</w:t>
      </w:r>
      <w:r>
        <w:rPr>
          <w:rFonts w:hint="eastAsia" w:ascii="仿宋_GB2312" w:hAnsi="仿宋_GB2312" w:eastAsia="仿宋_GB2312" w:cs="仿宋_GB2312"/>
          <w:sz w:val="24"/>
          <w:lang w:val="zh-CN"/>
        </w:rPr>
        <w:t>巡查工作</w:t>
      </w:r>
      <w:r>
        <w:rPr>
          <w:rFonts w:hint="eastAsia" w:ascii="仿宋_GB2312" w:hAnsi="仿宋_GB2312" w:eastAsia="仿宋_GB2312" w:cs="仿宋_GB2312"/>
          <w:sz w:val="24"/>
        </w:rPr>
        <w:t>，2名垃圾分类督导员），</w:t>
      </w:r>
      <w:r>
        <w:rPr>
          <w:rFonts w:hint="eastAsia" w:ascii="仿宋_GB2312" w:hAnsi="仿宋_GB2312" w:eastAsia="仿宋_GB2312" w:cs="仿宋_GB2312"/>
          <w:sz w:val="24"/>
          <w:lang w:val="zh-CN"/>
        </w:rPr>
        <w:t>要求年龄小于</w:t>
      </w:r>
      <w:r>
        <w:rPr>
          <w:rFonts w:hint="eastAsia" w:ascii="仿宋_GB2312" w:hAnsi="仿宋_GB2312" w:eastAsia="仿宋_GB2312" w:cs="仿宋_GB2312"/>
          <w:sz w:val="24"/>
        </w:rPr>
        <w:t>35</w:t>
      </w:r>
      <w:r>
        <w:rPr>
          <w:rFonts w:hint="eastAsia" w:ascii="仿宋_GB2312" w:hAnsi="仿宋_GB2312" w:eastAsia="仿宋_GB2312" w:cs="仿宋_GB2312"/>
          <w:sz w:val="24"/>
          <w:lang w:val="zh-CN"/>
        </w:rPr>
        <w:t>周岁，具有</w:t>
      </w:r>
      <w:r>
        <w:rPr>
          <w:rFonts w:hint="eastAsia" w:ascii="仿宋_GB2312" w:hAnsi="仿宋_GB2312" w:eastAsia="仿宋_GB2312" w:cs="仿宋_GB2312"/>
          <w:sz w:val="24"/>
        </w:rPr>
        <w:t>一定</w:t>
      </w:r>
      <w:r>
        <w:rPr>
          <w:rFonts w:hint="eastAsia" w:ascii="仿宋_GB2312" w:hAnsi="仿宋_GB2312" w:eastAsia="仿宋_GB2312" w:cs="仿宋_GB2312"/>
          <w:sz w:val="24"/>
          <w:lang w:val="zh-CN"/>
        </w:rPr>
        <w:t>市政、环卫、绿化、</w:t>
      </w:r>
      <w:r>
        <w:rPr>
          <w:rFonts w:hint="eastAsia" w:ascii="仿宋_GB2312" w:hAnsi="仿宋_GB2312" w:eastAsia="仿宋_GB2312" w:cs="仿宋_GB2312"/>
          <w:sz w:val="24"/>
        </w:rPr>
        <w:t>垃圾分类</w:t>
      </w:r>
      <w:r>
        <w:rPr>
          <w:rFonts w:hint="eastAsia" w:ascii="仿宋_GB2312" w:hAnsi="仿宋_GB2312" w:eastAsia="仿宋_GB2312" w:cs="仿宋_GB2312"/>
          <w:sz w:val="24"/>
          <w:lang w:val="zh-CN"/>
        </w:rPr>
        <w:t>等工作经验</w:t>
      </w:r>
      <w:r>
        <w:rPr>
          <w:rFonts w:hint="eastAsia" w:ascii="仿宋_GB2312" w:hAnsi="仿宋_GB2312" w:eastAsia="仿宋_GB2312" w:cs="仿宋_GB2312"/>
          <w:sz w:val="24"/>
        </w:rPr>
        <w:t>或有相关</w:t>
      </w:r>
      <w:r>
        <w:rPr>
          <w:rFonts w:hint="eastAsia" w:ascii="仿宋_GB2312" w:hAnsi="仿宋_GB2312" w:eastAsia="仿宋_GB2312" w:cs="仿宋_GB2312"/>
          <w:sz w:val="24"/>
          <w:lang w:val="zh-CN"/>
        </w:rPr>
        <w:t>资质</w:t>
      </w:r>
      <w:r>
        <w:rPr>
          <w:rFonts w:hint="eastAsia" w:ascii="仿宋_GB2312" w:hAnsi="仿宋_GB2312" w:eastAsia="仿宋_GB2312" w:cs="仿宋_GB2312"/>
          <w:sz w:val="24"/>
        </w:rPr>
        <w:t>的优先</w:t>
      </w:r>
      <w:r>
        <w:rPr>
          <w:rFonts w:hint="eastAsia" w:ascii="仿宋_GB2312" w:hAnsi="仿宋_GB2312" w:eastAsia="仿宋_GB2312" w:cs="仿宋_GB2312"/>
          <w:sz w:val="24"/>
          <w:lang w:val="zh-CN"/>
        </w:rPr>
        <w:t>，考虑到工作的稳定性和专业性，月工资不得低于4800/月，</w:t>
      </w:r>
      <w:r>
        <w:rPr>
          <w:rFonts w:hint="eastAsia" w:ascii="仿宋_GB2312" w:hAnsi="仿宋_GB2312" w:eastAsia="仿宋_GB2312" w:cs="仿宋_GB2312"/>
          <w:sz w:val="24"/>
        </w:rPr>
        <w:t>费用</w:t>
      </w:r>
      <w:r>
        <w:rPr>
          <w:rFonts w:hint="eastAsia" w:ascii="仿宋_GB2312" w:hAnsi="仿宋_GB2312" w:eastAsia="仿宋_GB2312" w:cs="仿宋_GB2312"/>
          <w:sz w:val="24"/>
          <w:lang w:val="zh-CN"/>
        </w:rPr>
        <w:t>由中标方承担），全职负责相关台账制作，对上对下信息报送、起草工作总结、四化监管、考核巡查、综合养护和环境大整治及</w:t>
      </w:r>
      <w:r>
        <w:rPr>
          <w:rFonts w:hint="eastAsia" w:ascii="仿宋_GB2312" w:hAnsi="仿宋_GB2312" w:eastAsia="仿宋_GB2312" w:cs="仿宋_GB2312"/>
          <w:sz w:val="24"/>
        </w:rPr>
        <w:t>垃圾分类宣传</w:t>
      </w:r>
      <w:r>
        <w:rPr>
          <w:rFonts w:hint="eastAsia" w:ascii="仿宋_GB2312" w:hAnsi="仿宋_GB2312" w:eastAsia="仿宋_GB2312" w:cs="仿宋_GB2312"/>
          <w:sz w:val="24"/>
          <w:lang w:val="zh-CN"/>
        </w:rPr>
        <w:t>等相关工作，确保日常各项工作有序开展。派驻人员</w:t>
      </w:r>
      <w:r>
        <w:rPr>
          <w:rFonts w:hint="eastAsia" w:ascii="仿宋_GB2312" w:hAnsi="仿宋_GB2312" w:eastAsia="仿宋_GB2312" w:cs="仿宋_GB2312"/>
          <w:sz w:val="24"/>
        </w:rPr>
        <w:t>需</w:t>
      </w:r>
      <w:r>
        <w:rPr>
          <w:rFonts w:hint="eastAsia" w:ascii="仿宋_GB2312" w:hAnsi="仿宋_GB2312" w:eastAsia="仿宋_GB2312" w:cs="仿宋_GB2312"/>
          <w:sz w:val="24"/>
          <w:lang w:val="zh-CN"/>
        </w:rPr>
        <w:t>配有电脑、扫描打印复印一体机、移动硬盘</w:t>
      </w:r>
      <w:r>
        <w:rPr>
          <w:rFonts w:hint="eastAsia" w:ascii="仿宋_GB2312" w:hAnsi="仿宋_GB2312" w:eastAsia="仿宋_GB2312" w:cs="仿宋_GB2312"/>
          <w:sz w:val="24"/>
        </w:rPr>
        <w:t>U盘</w:t>
      </w:r>
      <w:r>
        <w:rPr>
          <w:rFonts w:hint="eastAsia" w:ascii="仿宋_GB2312" w:hAnsi="仿宋_GB2312" w:eastAsia="仿宋_GB2312" w:cs="仿宋_GB2312"/>
          <w:sz w:val="24"/>
          <w:lang w:val="zh-CN"/>
        </w:rPr>
        <w:t>等必须办公用品。东站管委会有权要求中标方撤换不能胜任或玩忽职守、不负责任的人员。</w:t>
      </w:r>
    </w:p>
    <w:p>
      <w:pPr>
        <w:adjustRightInd w:val="0"/>
        <w:snapToGrid w:val="0"/>
        <w:ind w:right="24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3、成立一支专业性强的综合养护应急队伍（不少于</w:t>
      </w:r>
      <w:r>
        <w:rPr>
          <w:rFonts w:hint="eastAsia" w:ascii="仿宋_GB2312" w:hAnsi="仿宋_GB2312"/>
          <w:sz w:val="24"/>
        </w:rPr>
        <w:t>30名</w:t>
      </w:r>
      <w:r>
        <w:rPr>
          <w:rFonts w:hint="eastAsia" w:ascii="仿宋_GB2312" w:hAnsi="仿宋_GB2312" w:eastAsia="仿宋_GB2312" w:cs="仿宋_GB2312"/>
          <w:sz w:val="24"/>
        </w:rPr>
        <w:t>，配齐设施设备，费用由中标方支付），主要用于处理东站区域范围内综合养护突发应急事件。要求应对突发事件，保洁方面（包括路面污染、偷倒垃圾等）必须在</w:t>
      </w:r>
      <w:r>
        <w:rPr>
          <w:rFonts w:hint="eastAsia" w:ascii="仿宋_GB2312" w:hAnsi="仿宋_GB2312"/>
          <w:sz w:val="24"/>
        </w:rPr>
        <w:t>5分钟</w:t>
      </w:r>
      <w:r>
        <w:rPr>
          <w:rFonts w:hint="eastAsia" w:ascii="仿宋_GB2312" w:hAnsi="仿宋_GB2312" w:eastAsia="仿宋_GB2312" w:cs="仿宋_GB2312"/>
          <w:sz w:val="24"/>
        </w:rPr>
        <w:t>内到达现场进行处置；绿化（树木倾倒、树枝掉落等）、市政（道路积水、污水溢流临时处置等）、亮化方面必须在</w:t>
      </w:r>
      <w:r>
        <w:rPr>
          <w:rFonts w:hint="eastAsia" w:ascii="仿宋_GB2312" w:hAnsi="仿宋_GB2312"/>
          <w:sz w:val="24"/>
        </w:rPr>
        <w:t>30分钟</w:t>
      </w:r>
      <w:r>
        <w:rPr>
          <w:rFonts w:hint="eastAsia" w:ascii="仿宋_GB2312" w:hAnsi="仿宋_GB2312" w:eastAsia="仿宋_GB2312" w:cs="仿宋_GB2312"/>
          <w:sz w:val="24"/>
        </w:rPr>
        <w:t>内进行处置，并按东站管委会要求按时整改到位。</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针对大型保障性活动确保应急保障人员班组</w:t>
      </w:r>
      <w:r>
        <w:rPr>
          <w:rFonts w:hint="eastAsia" w:ascii="仿宋_GB2312" w:hAnsi="仿宋_GB2312"/>
          <w:sz w:val="24"/>
          <w:lang w:val="zh-CN"/>
        </w:rPr>
        <w:t>10分钟</w:t>
      </w:r>
      <w:r>
        <w:rPr>
          <w:rFonts w:hint="eastAsia" w:ascii="仿宋_GB2312" w:hAnsi="仿宋_GB2312" w:eastAsia="仿宋_GB2312" w:cs="仿宋_GB2312"/>
          <w:sz w:val="24"/>
          <w:lang w:val="zh-CN"/>
        </w:rPr>
        <w:t>之内到达现场，领导带队值班，全力保障东站枢纽区域各项活动。遇防汛抗台、抗雪防冻等应急工作，确保四级响应拉动后</w:t>
      </w:r>
      <w:r>
        <w:rPr>
          <w:rFonts w:hint="eastAsia" w:ascii="仿宋_GB2312" w:hAnsi="仿宋_GB2312"/>
          <w:sz w:val="24"/>
          <w:lang w:val="zh-CN"/>
        </w:rPr>
        <w:t>30分钟</w:t>
      </w:r>
      <w:r>
        <w:rPr>
          <w:rFonts w:hint="eastAsia" w:ascii="仿宋_GB2312" w:hAnsi="仿宋_GB2312" w:eastAsia="仿宋_GB2312" w:cs="仿宋_GB2312"/>
          <w:sz w:val="24"/>
          <w:lang w:val="zh-CN"/>
        </w:rPr>
        <w:t>内到达现场，三级响应及以上在点位上立即开展抢险救灾工作。确保各项大型保障及应急保障中能够“行动迅速、措施得力、应对有效”。</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5、绿化养护中重点</w:t>
      </w:r>
      <w:r>
        <w:rPr>
          <w:rFonts w:hint="eastAsia" w:ascii="仿宋_GB2312" w:hAnsi="仿宋_GB2312" w:eastAsia="仿宋_GB2312" w:cs="仿宋_GB2312"/>
          <w:sz w:val="24"/>
          <w:lang w:val="zh-CN"/>
        </w:rPr>
        <w:t>做好匝道花箱日常管养工作（含四季常绿花卉植株养护、抗腐蚀抗暴晒材质花箱更换、智能化滴灌系统及相关土建配套设施维护等），保证在一年三季盛花开放，开花率不低于80%。对影响匝道景观的花箱花卉进行更换调整。</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6、根据行业主管部门要求做好东站垃圾分类工作（含分类设施、分类质量、分类辅导、分类清运、分类宣传等相关工作，并纳入考核）。制定一套体现东站特色的垃圾分类方案并负责实施到位。</w:t>
      </w:r>
    </w:p>
    <w:p>
      <w:pPr>
        <w:widowControl/>
        <w:adjustRightInd w:val="0"/>
        <w:snapToGrid w:val="0"/>
        <w:ind w:firstLine="480" w:firstLineChars="200"/>
        <w:rPr>
          <w:rFonts w:ascii="仿宋_GB2312" w:hAnsi="仿宋_GB2312"/>
          <w:sz w:val="24"/>
        </w:rPr>
      </w:pPr>
      <w:r>
        <w:rPr>
          <w:rFonts w:hint="eastAsia" w:ascii="仿宋_GB2312" w:hAnsi="仿宋_GB2312" w:eastAsia="仿宋_GB2312" w:cs="仿宋_GB2312"/>
          <w:sz w:val="24"/>
        </w:rPr>
        <w:t>7、建设至少两处智能垃圾投放宣传点、开展每年至少一次大型的垃圾分类宣传活动（包含舞台搭建、主持人及布景等）、承办月度垃圾分类例会（实地现场参观、会议场地等保障工作）、开展一年至少两次垃圾分类培训等工作。</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8、要求中标单位与东站枢纽垃圾分类相关单位签订再生资源回收合作协议。建立再生资源可回收体系，实现东站枢纽辖区可回收物应收尽收，做到日产日清。</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9、中标后按行业主管和甲方需求</w:t>
      </w:r>
      <w:r>
        <w:rPr>
          <w:rFonts w:hint="eastAsia" w:ascii="仿宋_GB2312" w:hAnsi="仿宋_GB2312" w:eastAsia="仿宋_GB2312" w:cs="仿宋_GB2312"/>
          <w:sz w:val="24"/>
          <w:lang w:val="zh-CN"/>
        </w:rPr>
        <w:t>更换区域内垃圾分类设施为4色桶（约</w:t>
      </w:r>
      <w:r>
        <w:rPr>
          <w:rFonts w:hint="eastAsia" w:ascii="仿宋_GB2312" w:hAnsi="仿宋_GB2312" w:eastAsia="仿宋_GB2312" w:cs="仿宋_GB2312"/>
          <w:sz w:val="24"/>
        </w:rPr>
        <w:t>130组</w:t>
      </w:r>
      <w:r>
        <w:rPr>
          <w:rFonts w:hint="eastAsia" w:ascii="仿宋_GB2312" w:hAnsi="仿宋_GB2312" w:eastAsia="仿宋_GB2312" w:cs="仿宋_GB2312"/>
          <w:sz w:val="24"/>
          <w:lang w:val="zh-CN"/>
        </w:rPr>
        <w:t>）。</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10、中标后按要求增设吸烟区（或柱）。（主干道、东西广场、二层平台等核心区）</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w:t>
      </w:r>
      <w:r>
        <w:rPr>
          <w:rFonts w:hint="eastAsia" w:ascii="仿宋_GB2312" w:hAnsi="仿宋_GB2312" w:eastAsia="仿宋_GB2312" w:cs="仿宋_GB2312"/>
          <w:sz w:val="24"/>
          <w:lang w:val="zh-CN"/>
        </w:rPr>
        <w:t>在东站枢纽管辖范围内建立固定办公场所1处；设置机械、设备、车辆停放及应急物资存放场所不少于2处；设置大型车辆、机械停放场所</w:t>
      </w:r>
      <w:r>
        <w:rPr>
          <w:rFonts w:hint="eastAsia" w:ascii="仿宋_GB2312" w:hAnsi="仿宋_GB2312" w:eastAsia="仿宋_GB2312" w:cs="仿宋_GB2312"/>
          <w:sz w:val="24"/>
        </w:rPr>
        <w:t>1处；</w:t>
      </w:r>
      <w:r>
        <w:rPr>
          <w:rFonts w:hint="eastAsia" w:ascii="仿宋_GB2312" w:hAnsi="仿宋_GB2312" w:eastAsia="仿宋_GB2312" w:cs="仿宋_GB2312"/>
          <w:sz w:val="24"/>
          <w:lang w:val="zh-CN"/>
        </w:rPr>
        <w:t>增设东站范围内备用绿化培育场地1处,面积不少于100平方米；改造东站花园兜下匝道仓库1处；新增便民服务点</w:t>
      </w: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 xml:space="preserve">处。（费用由中标方承担） </w:t>
      </w:r>
      <w:r>
        <w:rPr>
          <w:rFonts w:hint="eastAsia" w:ascii="仿宋_GB2312" w:hAnsi="仿宋_GB2312" w:eastAsia="仿宋_GB2312" w:cs="仿宋_GB2312"/>
          <w:sz w:val="24"/>
        </w:rPr>
        <w:t xml:space="preserve">  </w:t>
      </w:r>
    </w:p>
    <w:p>
      <w:pPr>
        <w:adjustRightInd w:val="0"/>
        <w:snapToGrid w:val="0"/>
        <w:ind w:right="24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12、</w:t>
      </w:r>
      <w:r>
        <w:rPr>
          <w:rFonts w:hint="eastAsia" w:ascii="仿宋_GB2312" w:hAnsi="仿宋_GB2312" w:eastAsia="仿宋_GB2312" w:cs="仿宋_GB2312"/>
          <w:sz w:val="24"/>
          <w:lang w:val="zh-CN"/>
        </w:rPr>
        <w:t>为贯彻落实《杭州市人民政府办公厅关于进一步解决环卫工人实际困难保</w:t>
      </w:r>
    </w:p>
    <w:p>
      <w:pPr>
        <w:adjustRightInd w:val="0"/>
        <w:snapToGrid w:val="0"/>
        <w:ind w:right="240"/>
        <w:rPr>
          <w:rFonts w:ascii="仿宋_GB2312" w:hAnsi="仿宋_GB2312" w:eastAsia="仿宋_GB2312" w:cs="仿宋_GB2312"/>
          <w:sz w:val="24"/>
          <w:lang w:val="zh-CN"/>
        </w:rPr>
      </w:pPr>
      <w:r>
        <w:rPr>
          <w:rFonts w:hint="eastAsia" w:ascii="仿宋_GB2312" w:hAnsi="仿宋_GB2312" w:eastAsia="仿宋_GB2312" w:cs="仿宋_GB2312"/>
          <w:sz w:val="24"/>
          <w:lang w:val="zh-CN"/>
        </w:rPr>
        <w:t>障其合法权益的意见》（杭政办[2008]14号）文件精神，实施单位应设至少5处环卫驿站（车站东西两边各两处，二层平台东</w:t>
      </w:r>
      <w:r>
        <w:rPr>
          <w:rFonts w:hint="eastAsia" w:ascii="仿宋_GB2312" w:hAnsi="仿宋_GB2312" w:eastAsia="仿宋_GB2312" w:cs="仿宋_GB2312"/>
          <w:sz w:val="24"/>
        </w:rPr>
        <w:t>北</w:t>
      </w:r>
      <w:r>
        <w:rPr>
          <w:rFonts w:hint="eastAsia" w:ascii="仿宋_GB2312" w:hAnsi="仿宋_GB2312" w:eastAsia="仿宋_GB2312" w:cs="仿宋_GB2312"/>
          <w:sz w:val="24"/>
          <w:lang w:val="zh-CN"/>
        </w:rPr>
        <w:t>角一处），每处不少于30平方米，其中一处为花园兜仓库内部增设。若需沿用上年度中标单位的驿站，所移交驿站的相关建设费用由两家单位协商解决。</w:t>
      </w:r>
    </w:p>
    <w:p>
      <w:pPr>
        <w:widowControl/>
        <w:adjustRightInd w:val="0"/>
        <w:snapToGrid w:val="0"/>
        <w:ind w:firstLine="480" w:firstLineChars="200"/>
        <w:rPr>
          <w:sz w:val="24"/>
          <w:lang w:val="zh-CN"/>
        </w:rPr>
      </w:pPr>
      <w:r>
        <w:rPr>
          <w:rFonts w:hint="eastAsia" w:ascii="仿宋_GB2312" w:hAnsi="仿宋_GB2312" w:eastAsia="仿宋_GB2312" w:cs="仿宋_GB2312"/>
          <w:sz w:val="24"/>
        </w:rPr>
        <w:t>13</w:t>
      </w:r>
      <w:r>
        <w:rPr>
          <w:rFonts w:hint="eastAsia" w:ascii="仿宋_GB2312" w:hAnsi="仿宋_GB2312" w:eastAsia="仿宋_GB2312" w:cs="仿宋_GB2312"/>
          <w:sz w:val="24"/>
          <w:lang w:val="zh-CN"/>
        </w:rPr>
        <w:t>、为提升城市管理水平智慧化，探索实施</w:t>
      </w:r>
      <w:r>
        <w:rPr>
          <w:rFonts w:hint="eastAsia" w:ascii="仿宋_GB2312" w:hAnsi="仿宋_GB2312" w:eastAsia="仿宋_GB2312" w:cs="仿宋_GB2312"/>
          <w:sz w:val="24"/>
        </w:rPr>
        <w:t>搭建一个智慧“综合监管+管养”平台，包含设施、运行、监管、养护、人员等各类信息的综合化数字集成平台，达到数据互通互联，养护流程的精细化和标准化，实现管与养的一体化。</w:t>
      </w:r>
      <w:r>
        <w:rPr>
          <w:rFonts w:hint="eastAsia" w:ascii="仿宋_GB2312" w:hAnsi="仿宋_GB2312" w:eastAsia="仿宋_GB2312" w:cs="仿宋_GB2312"/>
          <w:sz w:val="24"/>
          <w:lang w:val="zh-CN"/>
        </w:rPr>
        <w:t>智慧系统中数据、资源、信息凡涉及东站的无条件全部开放共享，智慧系统接口具有可扩展，以便日后接入市、区系统。</w:t>
      </w:r>
      <w:r>
        <w:rPr>
          <w:rFonts w:hint="eastAsia" w:ascii="仿宋_GB2312" w:hAnsi="仿宋_GB2312" w:eastAsia="仿宋_GB2312" w:cs="仿宋_GB2312"/>
          <w:sz w:val="24"/>
        </w:rPr>
        <w:t>例如系统功能要包含</w:t>
      </w:r>
      <w:r>
        <w:rPr>
          <w:rFonts w:hint="eastAsia" w:ascii="仿宋_GB2312" w:hAnsi="仿宋_GB2312" w:eastAsia="仿宋_GB2312" w:cs="仿宋_GB2312"/>
          <w:sz w:val="24"/>
          <w:lang w:val="zh-CN"/>
        </w:rPr>
        <w:t>对人员、机具、设备的全方位定位监管、运动轨迹、机械设备运行频率和状况等的可视化</w:t>
      </w:r>
      <w:r>
        <w:rPr>
          <w:rFonts w:hint="eastAsia" w:ascii="仿宋_GB2312" w:hAnsi="仿宋_GB2312" w:eastAsia="仿宋_GB2312" w:cs="仿宋_GB2312"/>
          <w:sz w:val="24"/>
        </w:rPr>
        <w:t>。同时按照甲方要求做好相关数据的保密工作。（费用由中标方承担）</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14、新单位中标后不允许再聘用原东站综合养护班组任何成员。中层领导更换必须书面上报东站管委会，经同意后更换。如若由上一家中标单位中标，则不受本条要求限制。</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15、市政养护在日常养护基础上，中标后对较严重路段进行大面积大路段的翻新工作，进行有机更新，保证每年不低于15%的市政道路翻修的覆盖率。</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16、加大绿化树圈的长效养护，中标后对东站养护路段绿化树圈拱起情况通过有效方式进行全方位整改。</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17、做好王家井上匝道匝道花箱的延伸（需增添花箱，月季品种由甲方指定），挡墙的油漆。（费用由中标方承担）</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18、根据东站二层出发平台的特点，每年对人行道板区域打蜡不得少于2次。</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19、辖区四环内甲方指定道路加设绿化隔离栏、绿化中分带护栏处按要求加种安吉拉月季，有效阻挡行人翻跃护栏的现象。做好全福桥路（出租车通道旁）土地翻新和绿化的补植。（费用由中标方承担）</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20、做好亚运期间环境综合保障工作,做好一线工作人员储备、突发事件应急响应方案、高温期间机械化高效作业、开展迎亚运专项培训等。</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21、为保障日常作业的规范化、标准化，制定东站综合养护作业标准并在市级以上平台发布。</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22、每年定期对辖区15%的市政道路（雨水管网）、区域重点路段或东站管委会要求的相关道路做道路、CCTV等相关检测，确保道路行车安全。</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23、做好P西网约车通道、网约车停车场及新风路非机动车停车场、环站西路非机动车停车场、东侧非机动车停车场的日常环卫保洁工作，同时做好P西16B电梯2部的日常维保工作。</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24、每个岗位工作人员配备带定位的对讲机，对讲机要求能够和综合管理队伍互通，加强应急保障的能力，提升应急保障的速度，并将系统接入管委会数据中心。</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25、做好辖区四环内甲方指定的零星绿地、三不管绿地及花箱的日常养护工作。</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因东站城市管理的特殊性，无条件做好市容市貌（如店招店牌、电子显示屏、广告的拆除等）、数字城管、亮化抄告、各类迎检、活动等各项应急任务的兜底整改修复工作，视实际情况协助处理非养护范围内的保洁、市政、绿化、亮灯工作，所需费用包含在总价内。</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27、在服务期间遇突发应急各类事件（如疫情防控、环境大整治、无障碍设施建设以及上级部门安排的其他事项），需无条件做好各项服务配合工作，涉及到费用由中标方自行承担。</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28、做好东公交公厕污水管网及污水泵的养护维修更换，涉及到的养护维护费用包含在综合养护总价内。</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做好王家井天桥的综合一体化管养，包含保洁、市政、亮灯、电梯、监控、设施设备及管理用房等，每年不少于一次桥梁检测(甲方同意后可请第三方进行检测)，新增一处不锈钢管理用房建设（15平方米左右），所涉及的费用包含在项目总价内。</w:t>
      </w:r>
    </w:p>
    <w:p>
      <w:pPr>
        <w:widowControl/>
        <w:adjustRightInd w:val="0"/>
        <w:snapToGrid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30、增设天城路、新风路等东站枢纽重要路口的隔离设施，并做好日常管养，如花箱、隔离墩等。（费用由中标方承担）</w:t>
      </w:r>
    </w:p>
    <w:p>
      <w:pPr>
        <w:widowControl/>
        <w:adjustRightInd w:val="0"/>
        <w:snapToGrid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31、建设</w:t>
      </w:r>
      <w:r>
        <w:rPr>
          <w:rFonts w:hint="eastAsia" w:ascii="仿宋_GB2312" w:hAnsi="仿宋_GB2312" w:eastAsia="仿宋_GB2312" w:cs="仿宋_GB2312"/>
          <w:sz w:val="24"/>
          <w:lang w:val="en-US" w:eastAsia="zh-CN"/>
        </w:rPr>
        <w:t>一处</w:t>
      </w:r>
      <w:r>
        <w:rPr>
          <w:rFonts w:hint="eastAsia" w:ascii="仿宋_GB2312" w:hAnsi="仿宋_GB2312" w:eastAsia="仿宋_GB2312" w:cs="仿宋_GB2312"/>
          <w:sz w:val="24"/>
        </w:rPr>
        <w:t>东站垃圾分类集置</w:t>
      </w:r>
      <w:r>
        <w:rPr>
          <w:rFonts w:hint="eastAsia" w:ascii="仿宋_GB2312" w:hAnsi="仿宋_GB2312" w:eastAsia="仿宋_GB2312" w:cs="仿宋_GB2312"/>
          <w:sz w:val="24"/>
          <w:lang w:val="en-US" w:eastAsia="zh-CN"/>
        </w:rPr>
        <w:t>点</w:t>
      </w:r>
      <w:r>
        <w:rPr>
          <w:rFonts w:hint="eastAsia" w:ascii="仿宋_GB2312" w:hAnsi="仿宋_GB2312" w:eastAsia="仿宋_GB2312" w:cs="仿宋_GB2312"/>
          <w:sz w:val="24"/>
        </w:rPr>
        <w:t>（位于环站南路东宁路交叉口西南侧），面积不小于</w:t>
      </w: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0平方米，</w:t>
      </w:r>
      <w:r>
        <w:rPr>
          <w:rFonts w:hint="eastAsia" w:ascii="仿宋_GB2312" w:hAnsi="仿宋_GB2312" w:eastAsia="仿宋_GB2312" w:cs="仿宋_GB2312"/>
          <w:sz w:val="24"/>
          <w:lang w:val="en-US" w:eastAsia="zh-CN"/>
        </w:rPr>
        <w:t>具备</w:t>
      </w:r>
      <w:r>
        <w:rPr>
          <w:rFonts w:hint="eastAsia" w:ascii="仿宋_GB2312" w:hAnsi="仿宋_GB2312" w:eastAsia="仿宋_GB2312" w:cs="仿宋_GB2312"/>
          <w:sz w:val="24"/>
        </w:rPr>
        <w:t>垃圾分拣、可回收物</w:t>
      </w:r>
      <w:r>
        <w:rPr>
          <w:rFonts w:hint="eastAsia" w:ascii="仿宋_GB2312" w:hAnsi="仿宋_GB2312" w:eastAsia="仿宋_GB2312" w:cs="仿宋_GB2312"/>
          <w:sz w:val="24"/>
          <w:lang w:val="en-US" w:eastAsia="zh-CN"/>
        </w:rPr>
        <w:t>分拣处置</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桶身清洗</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污水合规排放</w:t>
      </w:r>
      <w:r>
        <w:rPr>
          <w:rFonts w:hint="eastAsia" w:ascii="仿宋_GB2312" w:hAnsi="仿宋_GB2312" w:eastAsia="仿宋_GB2312" w:cs="仿宋_GB2312"/>
          <w:sz w:val="24"/>
        </w:rPr>
        <w:t>等</w:t>
      </w:r>
      <w:r>
        <w:rPr>
          <w:rFonts w:hint="eastAsia" w:ascii="仿宋_GB2312" w:hAnsi="仿宋_GB2312" w:eastAsia="仿宋_GB2312" w:cs="仿宋_GB2312"/>
          <w:sz w:val="24"/>
          <w:lang w:val="en-US" w:eastAsia="zh-CN"/>
        </w:rPr>
        <w:t>功能</w:t>
      </w:r>
      <w:r>
        <w:rPr>
          <w:rFonts w:hint="eastAsia" w:ascii="仿宋_GB2312" w:hAnsi="仿宋_GB2312" w:eastAsia="仿宋_GB2312" w:cs="仿宋_GB2312"/>
          <w:sz w:val="24"/>
        </w:rPr>
        <w:t>，并落实专人做好日常管理。（费用由中标方承担）</w:t>
      </w:r>
    </w:p>
    <w:p>
      <w:pPr>
        <w:widowControl/>
        <w:adjustRightInd w:val="0"/>
        <w:snapToGrid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32、做好“两区一通道”隔离处置点医疗废弃垃圾处置工作。</w:t>
      </w:r>
    </w:p>
    <w:p>
      <w:pPr>
        <w:widowControl/>
        <w:adjustRightInd w:val="0"/>
        <w:snapToGrid w:val="0"/>
        <w:ind w:firstLine="480" w:firstLineChars="200"/>
        <w:rPr>
          <w:rFonts w:eastAsia="仿宋_GB2312"/>
        </w:rPr>
      </w:pPr>
      <w:r>
        <w:rPr>
          <w:rFonts w:hint="eastAsia" w:ascii="仿宋_GB2312" w:hAnsi="仿宋_GB2312" w:eastAsia="仿宋_GB2312" w:cs="仿宋_GB2312"/>
          <w:sz w:val="24"/>
        </w:rPr>
        <w:t>33、本项目中新能源或清洁能源车辆不低于环卫车辆总数的3</w:t>
      </w:r>
      <w:r>
        <w:rPr>
          <w:rFonts w:hint="eastAsia" w:ascii="仿宋_GB2312" w:hAnsi="宋体" w:eastAsia="仿宋_GB2312" w:cs="宋体"/>
          <w:kern w:val="0"/>
          <w:sz w:val="24"/>
        </w:rPr>
        <w:t>0%，后期如有新增或更新的环卫作业车辆必须全部为新能源或清洁能源车。</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34、其他东站管委会交办的临时应急任务。</w:t>
      </w:r>
    </w:p>
    <w:p>
      <w:pPr>
        <w:pStyle w:val="2"/>
      </w:pPr>
    </w:p>
    <w:p>
      <w:pPr>
        <w:widowControl/>
        <w:adjustRightInd w:val="0"/>
        <w:snapToGrid w:val="0"/>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四、项目技术规范</w:t>
      </w:r>
    </w:p>
    <w:p>
      <w:pPr>
        <w:pStyle w:val="2"/>
        <w:ind w:firstLine="480"/>
        <w:rPr>
          <w:color w:val="000000"/>
        </w:rPr>
      </w:pPr>
      <w:r>
        <w:rPr>
          <w:rFonts w:hint="eastAsia" w:ascii="仿宋_GB2312" w:hAnsi="宋体" w:eastAsia="仿宋_GB2312" w:cs="宋体"/>
          <w:color w:val="000000"/>
          <w:kern w:val="0"/>
          <w:sz w:val="24"/>
          <w:lang w:val="zh-CN"/>
        </w:rPr>
        <w:t>中标人必须符合《城市生活垃圾管理办法》（建设部令157号）和《关于进一步规范浙江省城市生活垃圾经营性服务管理的实施意见》（浙建〔2013〕5号）相关规定。</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、道路市政养护规范</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《城市桥梁养护技术规范》CJJ99-2</w:t>
      </w:r>
      <w:r>
        <w:rPr>
          <w:rFonts w:hint="eastAsia" w:ascii="仿宋_GB2312" w:hAnsi="仿宋_GB2312" w:eastAsia="仿宋_GB2312" w:cs="仿宋_GB2312"/>
          <w:sz w:val="24"/>
        </w:rPr>
        <w:t>017。</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1.2《城市桥梁检测和养护维修管理办法》建设部2003年118号令</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1.3《杭州市市政设施管理条例》</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1.4《杭州市城市排水管渠养护管理标准</w:t>
      </w:r>
      <w:r>
        <w:rPr>
          <w:rFonts w:hint="eastAsia" w:ascii="仿宋_GB2312" w:hAnsi="仿宋_GB2312" w:eastAsia="仿宋_GB2312" w:cs="仿宋_GB2312"/>
          <w:sz w:val="24"/>
        </w:rPr>
        <w:t>(试行）</w:t>
      </w:r>
      <w:r>
        <w:rPr>
          <w:rFonts w:hint="eastAsia" w:ascii="仿宋_GB2312" w:hAnsi="仿宋_GB2312" w:eastAsia="仿宋_GB2312" w:cs="仿宋_GB2312"/>
          <w:sz w:val="24"/>
          <w:lang w:val="zh-CN"/>
        </w:rPr>
        <w:t>》（杭城管委[2012]285号）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1.5《城镇道路市政养护技术规范》CJJ36-20</w:t>
      </w: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6</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1.6《城市道路养护规范》（DB3301/T0012-2013）（杭州市地方标准规范）。</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1.7《城镇排水管道维护安全技术规程》（CJJ 6-2009）。</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1.8《城镇排水管渠与泵站维护技术规程》（CJJ 68-2007）。</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1.9</w:t>
      </w:r>
      <w:r>
        <w:rPr>
          <w:rFonts w:hint="eastAsia" w:ascii="仿宋_GB2312" w:hAnsi="仿宋_GB2312" w:eastAsia="仿宋_GB2312" w:cs="仿宋_GB2312"/>
          <w:sz w:val="24"/>
          <w:lang w:val="zh-CN"/>
        </w:rPr>
        <w:t>《杭州市城市排水管理办法》。</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1.10</w:t>
      </w:r>
      <w:r>
        <w:rPr>
          <w:rFonts w:hint="eastAsia" w:ascii="仿宋_GB2312" w:hAnsi="仿宋_GB2312" w:eastAsia="仿宋_GB2312" w:cs="仿宋_GB2312"/>
          <w:sz w:val="24"/>
          <w:lang w:val="zh-CN"/>
        </w:rPr>
        <w:t>《关于印发&lt;杭州市区城市道路设施完好度检查考核细则（2017年修订版）&gt;的通知》（杭城管委[2017]98号）。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1</w:t>
      </w: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《关于印发&lt;杭州市区城市道路路面技术状况检测方案）&gt;的通知》（杭城管委[2016]292号）。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1.12</w:t>
      </w:r>
      <w:r>
        <w:rPr>
          <w:rFonts w:hint="eastAsia" w:ascii="仿宋_GB2312" w:hAnsi="仿宋_GB2312" w:eastAsia="仿宋_GB2312" w:cs="仿宋_GB2312"/>
          <w:sz w:val="24"/>
          <w:lang w:val="zh-CN"/>
        </w:rPr>
        <w:t>《关于进一步规范城市桥梁检查检测工作的通知》（杭城管委[2017]247号）。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1.13</w:t>
      </w:r>
      <w:r>
        <w:rPr>
          <w:rFonts w:hint="eastAsia" w:ascii="仿宋_GB2312" w:hAnsi="仿宋_GB2312" w:eastAsia="仿宋_GB2312" w:cs="仿宋_GB2312"/>
          <w:sz w:val="24"/>
          <w:lang w:val="zh-CN"/>
        </w:rPr>
        <w:t>《关于印发杭州市城管队伍正规化建设督察考核办法（试行）的通知》（杭城管委[2018]62号）。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1.14</w:t>
      </w:r>
      <w:r>
        <w:rPr>
          <w:rFonts w:hint="eastAsia" w:ascii="仿宋_GB2312" w:hAnsi="仿宋_GB2312" w:eastAsia="仿宋_GB2312" w:cs="仿宋_GB2312"/>
          <w:sz w:val="24"/>
          <w:lang w:val="zh-CN"/>
        </w:rPr>
        <w:t>《杭州市市政设施养护人员作业行为规范》（杭设监政[2018]9号）。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城市绿化养护规范</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2.1《杭州市城区绿地养护质量标准》</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2.2</w:t>
      </w:r>
      <w:r>
        <w:rPr>
          <w:rFonts w:hint="eastAsia" w:ascii="仿宋_GB2312" w:hAnsi="仿宋_GB2312" w:eastAsia="仿宋_GB2312" w:cs="仿宋_GB2312"/>
          <w:sz w:val="24"/>
          <w:lang w:val="zh-CN"/>
        </w:rPr>
        <w:t>《杭州市城区绿化养护管理综合考核办法》</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2.3</w:t>
      </w:r>
      <w:r>
        <w:rPr>
          <w:rFonts w:hint="eastAsia" w:ascii="仿宋_GB2312" w:hAnsi="仿宋_GB2312" w:eastAsia="仿宋_GB2312" w:cs="仿宋_GB2312"/>
          <w:sz w:val="24"/>
          <w:lang w:val="zh-CN"/>
        </w:rPr>
        <w:t>《杭州市城市绿化管理办法》</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w:t>
      </w:r>
      <w:r>
        <w:rPr>
          <w:rFonts w:hint="eastAsia" w:ascii="仿宋_GB2312" w:hAnsi="仿宋_GB2312" w:eastAsia="仿宋_GB2312" w:cs="仿宋_GB2312"/>
          <w:sz w:val="24"/>
          <w:lang w:val="zh-CN"/>
        </w:rPr>
        <w:t>《杭州市绿地养护检查评分标准》</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3、城市环境卫生作业规范</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3.1</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2018年</w:t>
      </w:r>
      <w:r>
        <w:rPr>
          <w:rFonts w:hint="eastAsia" w:ascii="仿宋_GB2312" w:hAnsi="仿宋_GB2312" w:eastAsia="仿宋_GB2312" w:cs="仿宋_GB2312"/>
          <w:sz w:val="24"/>
          <w:lang w:val="zh-CN"/>
        </w:rPr>
        <w:t>杭州市城区清洁度检查考核实施细则》</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w:t>
      </w:r>
      <w:r>
        <w:rPr>
          <w:rFonts w:hint="eastAsia" w:ascii="仿宋_GB2312" w:hAnsi="仿宋_GB2312" w:eastAsia="仿宋_GB2312" w:cs="仿宋_GB2312"/>
          <w:sz w:val="24"/>
          <w:lang w:val="zh-CN"/>
        </w:rPr>
        <w:t>《20</w:t>
      </w:r>
      <w:r>
        <w:rPr>
          <w:rFonts w:hint="eastAsia" w:ascii="仿宋_GB2312" w:hAnsi="仿宋_GB2312" w:eastAsia="仿宋_GB2312" w:cs="仿宋_GB2312"/>
          <w:sz w:val="24"/>
        </w:rPr>
        <w:t>21</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度上城</w:t>
      </w:r>
      <w:r>
        <w:rPr>
          <w:rFonts w:hint="eastAsia" w:ascii="仿宋_GB2312" w:hAnsi="仿宋_GB2312" w:eastAsia="仿宋_GB2312" w:cs="仿宋_GB2312"/>
          <w:sz w:val="24"/>
          <w:lang w:val="zh-CN"/>
        </w:rPr>
        <w:t>区</w:t>
      </w:r>
      <w:r>
        <w:rPr>
          <w:rFonts w:hint="eastAsia" w:ascii="仿宋_GB2312" w:hAnsi="仿宋_GB2312" w:eastAsia="仿宋_GB2312" w:cs="仿宋_GB2312"/>
          <w:sz w:val="24"/>
        </w:rPr>
        <w:t>城市目标管理考核相关评分细则的通知</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上</w:t>
      </w:r>
      <w:r>
        <w:rPr>
          <w:rFonts w:hint="eastAsia" w:ascii="仿宋_GB2312" w:hAnsi="仿宋_GB2312" w:eastAsia="仿宋_GB2312" w:cs="仿宋_GB2312"/>
          <w:sz w:val="24"/>
          <w:lang w:val="zh-CN"/>
        </w:rPr>
        <w:t>城管领办﹝20</w:t>
      </w:r>
      <w:r>
        <w:rPr>
          <w:rFonts w:hint="eastAsia" w:ascii="仿宋_GB2312" w:hAnsi="仿宋_GB2312" w:eastAsia="仿宋_GB2312" w:cs="仿宋_GB2312"/>
          <w:sz w:val="24"/>
        </w:rPr>
        <w:t>21</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《关于调整市区道路、公厕分类管理经费定额的通知》（杭城管委﹝2015﹞256号）及杭州市区城市道路保洁分类管理指标（杭城管委〔2013〕211号）</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 xml:space="preserve"> 《杭州市城市市容和环境卫生管理条例》</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3.5《杭州市城市环境卫生作业规范》</w:t>
      </w:r>
      <w:r>
        <w:rPr>
          <w:rFonts w:hint="eastAsia" w:ascii="仿宋_GB2312" w:hAnsi="仿宋_GB2312" w:eastAsia="仿宋_GB2312" w:cs="仿宋_GB2312"/>
          <w:sz w:val="24"/>
        </w:rPr>
        <w:t>(DB 3301/T 0006-2013)</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rPr>
        <w:t>6《杭州市公共厕所保洁与服务规范》(DB 3301/T 74-2016)</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4、杭州东站枢纽管理委员会综合养护考核办法</w:t>
      </w:r>
    </w:p>
    <w:p>
      <w:pPr>
        <w:widowControl/>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4.1《杭州市城市照明设施养护维修服务标准》（DB 3301/T 0165-2015）</w:t>
      </w:r>
    </w:p>
    <w:p>
      <w:pPr>
        <w:widowControl/>
        <w:adjustRightInd w:val="0"/>
        <w:snapToGrid w:val="0"/>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注：如市、区相应规范标准有更新，按照最新版本执行。</w:t>
      </w:r>
    </w:p>
    <w:p>
      <w:pPr>
        <w:pStyle w:val="2"/>
        <w:rPr>
          <w:lang w:val="zh-CN"/>
        </w:rPr>
      </w:pPr>
    </w:p>
    <w:p>
      <w:pPr>
        <w:widowControl/>
        <w:adjustRightInd w:val="0"/>
        <w:snapToGrid w:val="0"/>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五、费用支付方式及项目服务期限</w:t>
      </w:r>
    </w:p>
    <w:p>
      <w:pPr>
        <w:widowControl/>
        <w:adjustRightInd w:val="0"/>
        <w:snapToGrid w:val="0"/>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lang w:val="zh-CN"/>
        </w:rPr>
        <w:t>费用支付方式</w:t>
      </w:r>
      <w:r>
        <w:rPr>
          <w:rFonts w:hint="eastAsia" w:ascii="仿宋_GB2312" w:hAnsi="仿宋_GB2312" w:eastAsia="仿宋_GB2312" w:cs="仿宋_GB2312"/>
          <w:sz w:val="24"/>
          <w:lang w:val="zh-CN"/>
        </w:rPr>
        <w:t>：按月支付。根据合同中标价总额，每月度的费用于次月进行结算（根据每月考核结果及增减相应的养护经费后予以支付）。甲方提前告知乙方，乙方按被告知的每月应得养护经费向甲方结算，并出具有效收据及相关资料。</w:t>
      </w:r>
    </w:p>
    <w:p>
      <w:pPr>
        <w:widowControl/>
        <w:adjustRightInd w:val="0"/>
        <w:snapToGrid w:val="0"/>
        <w:ind w:firstLine="482" w:firstLineChars="200"/>
        <w:rPr>
          <w:rFonts w:ascii="仿宋_GB2312" w:hAnsi="仿宋_GB2312" w:eastAsia="仿宋_GB2312" w:cs="仿宋_GB2312"/>
          <w:color w:val="000000"/>
          <w:sz w:val="24"/>
          <w:szCs w:val="28"/>
          <w:lang w:val="zh-CN"/>
        </w:rPr>
      </w:pPr>
      <w:r>
        <w:rPr>
          <w:rFonts w:hint="eastAsia" w:ascii="仿宋_GB2312" w:hAnsi="仿宋_GB2312" w:eastAsia="仿宋_GB2312" w:cs="仿宋_GB2312"/>
          <w:b/>
          <w:bCs/>
          <w:color w:val="000000"/>
          <w:sz w:val="24"/>
          <w:lang w:val="zh-CN"/>
        </w:rPr>
        <w:t>项目服务期限：</w:t>
      </w:r>
      <w:r>
        <w:rPr>
          <w:rFonts w:hint="eastAsia" w:ascii="仿宋_GB2312" w:hAnsi="仿宋_GB2312" w:eastAsia="仿宋_GB2312" w:cs="仿宋_GB2312"/>
          <w:color w:val="000000"/>
          <w:sz w:val="24"/>
          <w:szCs w:val="28"/>
          <w:lang w:val="zh-CN"/>
        </w:rPr>
        <w:t>项目期限一年，该次报价为一年的最终报价（具体服务时间以合同为准）。</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zh-CN"/>
        </w:rPr>
        <w:t>履约保证金的缴纳：</w:t>
      </w:r>
      <w:r>
        <w:rPr>
          <w:rFonts w:hint="eastAsia" w:ascii="仿宋_GB2312" w:hAnsi="仿宋_GB2312" w:eastAsia="仿宋_GB2312" w:cs="仿宋_GB2312"/>
          <w:sz w:val="24"/>
        </w:rPr>
        <w:t>本合同以签订合同之日起三十日内，乙方向甲方按</w:t>
      </w:r>
      <w:r>
        <w:rPr>
          <w:rFonts w:hint="eastAsia" w:ascii="仿宋_GB2312" w:hAnsi="仿宋_GB2312" w:eastAsia="仿宋_GB2312" w:cs="仿宋_GB2312"/>
          <w:b/>
          <w:sz w:val="24"/>
        </w:rPr>
        <w:t>合同总价金额的</w:t>
      </w:r>
      <w:r>
        <w:rPr>
          <w:rFonts w:hint="eastAsia" w:ascii="仿宋_GB2312" w:hAnsi="仿宋_GB2312" w:eastAsia="仿宋_GB2312" w:cs="仿宋_GB2312"/>
          <w:sz w:val="24"/>
          <w:u w:val="single"/>
        </w:rPr>
        <w:t xml:space="preserve">3 </w:t>
      </w:r>
      <w:r>
        <w:rPr>
          <w:rFonts w:hint="eastAsia" w:ascii="仿宋_GB2312" w:hAnsi="仿宋_GB2312" w:eastAsia="仿宋_GB2312" w:cs="仿宋_GB2312"/>
          <w:b/>
          <w:sz w:val="24"/>
        </w:rPr>
        <w:t>%缴纳履约保证金</w:t>
      </w:r>
      <w:r>
        <w:rPr>
          <w:rFonts w:hint="eastAsia" w:ascii="仿宋_GB2312" w:hAnsi="仿宋_GB2312" w:eastAsia="仿宋_GB2312" w:cs="仿宋_GB2312"/>
          <w:sz w:val="24"/>
          <w:u w:val="single"/>
        </w:rPr>
        <w:t xml:space="preserve">  XXX</w:t>
      </w:r>
      <w:r>
        <w:rPr>
          <w:rFonts w:hint="eastAsia" w:ascii="仿宋_GB2312" w:hAnsi="仿宋_GB2312" w:eastAsia="仿宋_GB2312" w:cs="仿宋_GB2312"/>
          <w:b/>
          <w:sz w:val="24"/>
        </w:rPr>
        <w:t>元</w:t>
      </w:r>
      <w:r>
        <w:rPr>
          <w:rFonts w:hint="eastAsia" w:ascii="仿宋_GB2312" w:hAnsi="仿宋_GB2312" w:eastAsia="仿宋_GB2312" w:cs="仿宋_GB2312"/>
          <w:bCs/>
          <w:sz w:val="24"/>
        </w:rPr>
        <w:t>（取整数、不计息，缴纳形式建议银行转账或银行保函，有效期为一年），作为合同生效的必要条件。履约保证金在合同期满无违约的情况下无息退还。如乙方存在任何违约行为的，上述履约保证金将首先用于弥补因乙方违约行为而导致的任何对第三方的赔偿、补偿及其他聘请任何中介机构、鉴定机构等服务机构的支出，然后用于对甲方损失的弥补。履约保证金因上述原因减少的，乙方应及时予以补充，在甲方要求乙方补充履约保证金15日内将履约保证金补充金额打至甲方执行账户。</w:t>
      </w:r>
    </w:p>
    <w:p>
      <w:pPr>
        <w:widowControl/>
        <w:adjustRightInd w:val="0"/>
        <w:snapToGrid w:val="0"/>
        <w:ind w:firstLine="480" w:firstLineChars="200"/>
        <w:rPr>
          <w:rFonts w:ascii="仿宋_GB2312" w:hAnsi="仿宋_GB2312" w:eastAsia="仿宋_GB2312" w:cs="仿宋_GB2312"/>
          <w:sz w:val="24"/>
          <w:lang w:val="zh-CN"/>
        </w:rPr>
      </w:pPr>
    </w:p>
    <w:p>
      <w:pPr>
        <w:pStyle w:val="2"/>
        <w:rPr>
          <w:lang w:val="zh-CN"/>
        </w:rPr>
      </w:pPr>
    </w:p>
    <w:p>
      <w:pPr>
        <w:widowControl/>
        <w:adjustRightInd w:val="0"/>
        <w:snapToGrid w:val="0"/>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rPr>
        <w:t>六</w:t>
      </w:r>
      <w:r>
        <w:rPr>
          <w:rFonts w:hint="eastAsia" w:ascii="仿宋_GB2312" w:hAnsi="仿宋_GB2312" w:eastAsia="仿宋_GB2312" w:cs="仿宋_GB2312"/>
          <w:b/>
          <w:bCs/>
          <w:sz w:val="24"/>
          <w:lang w:val="zh-CN"/>
        </w:rPr>
        <w:t>、人员及设备物资要求</w:t>
      </w:r>
    </w:p>
    <w:p>
      <w:pPr>
        <w:widowControl/>
        <w:adjustRightInd w:val="0"/>
        <w:snapToGrid w:val="0"/>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rPr>
        <w:t>中层管理人员配置要求</w:t>
      </w:r>
      <w:r>
        <w:rPr>
          <w:rFonts w:hint="eastAsia" w:ascii="仿宋_GB2312" w:hAnsi="仿宋_GB2312" w:eastAsia="仿宋_GB2312" w:cs="仿宋_GB2312"/>
          <w:sz w:val="24"/>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967"/>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pPr>
              <w:pStyle w:val="2"/>
              <w:ind w:firstLine="480"/>
              <w:jc w:val="center"/>
              <w:rPr>
                <w:rFonts w:ascii="仿宋_GB2312" w:hAnsi="仿宋_GB2312" w:eastAsia="仿宋_GB2312" w:cs="仿宋_GB2312"/>
                <w:sz w:val="24"/>
              </w:rPr>
            </w:pPr>
            <w:r>
              <w:rPr>
                <w:rFonts w:hint="eastAsia" w:ascii="仿宋_GB2312" w:hAnsi="仿宋_GB2312" w:eastAsia="仿宋_GB2312" w:cs="仿宋_GB2312"/>
                <w:sz w:val="24"/>
              </w:rPr>
              <w:t>品类</w:t>
            </w:r>
          </w:p>
        </w:tc>
        <w:tc>
          <w:tcPr>
            <w:tcW w:w="967" w:type="dxa"/>
            <w:vAlign w:val="center"/>
          </w:tcPr>
          <w:p>
            <w:pPr>
              <w:pStyle w:val="2"/>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4747" w:type="dxa"/>
            <w:vAlign w:val="center"/>
          </w:tcPr>
          <w:p>
            <w:pPr>
              <w:pStyle w:val="2"/>
              <w:ind w:firstLine="480"/>
              <w:jc w:val="center"/>
              <w:rPr>
                <w:rFonts w:ascii="仿宋_GB2312" w:hAnsi="仿宋_GB2312" w:eastAsia="仿宋_GB2312" w:cs="仿宋_GB2312"/>
                <w:sz w:val="24"/>
              </w:rPr>
            </w:pPr>
            <w:r>
              <w:rPr>
                <w:rFonts w:hint="eastAsia" w:ascii="仿宋_GB2312" w:hAnsi="仿宋_GB2312" w:eastAsia="仿宋_GB2312" w:cs="仿宋_GB2312"/>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pPr>
              <w:pStyle w:val="2"/>
              <w:ind w:firstLine="48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项目总负责人</w:t>
            </w:r>
          </w:p>
        </w:tc>
        <w:tc>
          <w:tcPr>
            <w:tcW w:w="967" w:type="dxa"/>
            <w:vAlign w:val="center"/>
          </w:tcPr>
          <w:p>
            <w:pPr>
              <w:pStyle w:val="2"/>
              <w:ind w:firstLine="0" w:firstLineChars="0"/>
              <w:jc w:val="center"/>
              <w:rPr>
                <w:rFonts w:ascii="仿宋_GB2312" w:hAnsi="仿宋_GB2312" w:eastAsia="仿宋_GB2312" w:cs="仿宋_GB2312"/>
                <w:sz w:val="24"/>
                <w:lang w:val="zh-CN"/>
              </w:rPr>
            </w:pPr>
            <w:r>
              <w:rPr>
                <w:rFonts w:hint="eastAsia" w:ascii="仿宋_GB2312" w:hAnsi="仿宋_GB2312" w:eastAsia="仿宋_GB2312" w:cs="仿宋_GB2312"/>
                <w:sz w:val="24"/>
              </w:rPr>
              <w:t>1名</w:t>
            </w:r>
          </w:p>
        </w:tc>
        <w:tc>
          <w:tcPr>
            <w:tcW w:w="4747" w:type="dxa"/>
            <w:vAlign w:val="center"/>
          </w:tcPr>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全职常驻，中级工程师及以上职称，年龄45周岁以下，大专及以上学历，具备5年及以上公建类或交通枢纽项目管理工作经验。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pPr>
              <w:pStyle w:val="2"/>
              <w:ind w:firstLine="48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专职安全员</w:t>
            </w:r>
          </w:p>
        </w:tc>
        <w:tc>
          <w:tcPr>
            <w:tcW w:w="967" w:type="dxa"/>
            <w:vAlign w:val="center"/>
          </w:tcPr>
          <w:p>
            <w:pPr>
              <w:pStyle w:val="2"/>
              <w:ind w:firstLine="0" w:firstLineChars="0"/>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1名</w:t>
            </w:r>
          </w:p>
        </w:tc>
        <w:tc>
          <w:tcPr>
            <w:tcW w:w="4747" w:type="dxa"/>
            <w:vAlign w:val="center"/>
          </w:tcPr>
          <w:p>
            <w:pPr>
              <w:pStyle w:val="2"/>
              <w:ind w:firstLine="0" w:firstLineChars="0"/>
              <w:rPr>
                <w:rFonts w:ascii="仿宋_GB2312" w:hAnsi="仿宋_GB2312" w:eastAsia="仿宋_GB2312" w:cs="仿宋_GB2312"/>
                <w:sz w:val="24"/>
                <w:highlight w:val="yellow"/>
              </w:rPr>
            </w:pPr>
            <w:r>
              <w:rPr>
                <w:rFonts w:hint="eastAsia" w:ascii="仿宋_GB2312" w:hAnsi="仿宋_GB2312" w:eastAsia="仿宋_GB2312" w:cs="仿宋_GB2312"/>
                <w:sz w:val="24"/>
              </w:rPr>
              <w:t>年龄45周岁以下，大专及以上学历，具有安全员证书以及安全生产考核合格证书（C证）。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85" w:type="dxa"/>
            <w:vAlign w:val="center"/>
          </w:tcPr>
          <w:p>
            <w:pPr>
              <w:pStyle w:val="2"/>
              <w:ind w:firstLine="480"/>
              <w:jc w:val="center"/>
              <w:rPr>
                <w:rFonts w:ascii="仿宋_GB2312" w:hAnsi="仿宋_GB2312" w:eastAsia="仿宋_GB2312" w:cs="仿宋_GB2312"/>
                <w:sz w:val="24"/>
                <w:lang w:val="zh-CN"/>
              </w:rPr>
            </w:pPr>
            <w:r>
              <w:rPr>
                <w:rFonts w:hint="eastAsia" w:ascii="仿宋_GB2312" w:hAnsi="仿宋_GB2312" w:eastAsia="仿宋_GB2312" w:cs="仿宋_GB2312"/>
                <w:sz w:val="24"/>
                <w:lang w:val="zh-CN"/>
              </w:rPr>
              <w:t>内勤</w:t>
            </w:r>
          </w:p>
        </w:tc>
        <w:tc>
          <w:tcPr>
            <w:tcW w:w="967" w:type="dxa"/>
            <w:vAlign w:val="center"/>
          </w:tcPr>
          <w:p>
            <w:pPr>
              <w:pStyle w:val="2"/>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3名</w:t>
            </w:r>
          </w:p>
        </w:tc>
        <w:tc>
          <w:tcPr>
            <w:tcW w:w="4747" w:type="dxa"/>
            <w:vAlign w:val="center"/>
          </w:tcPr>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全职，其中2名驻点东站管委会，要求年龄35周岁以下，要求有文字功底且熟练使用各类办公软件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pPr>
              <w:pStyle w:val="2"/>
              <w:ind w:firstLine="480"/>
              <w:jc w:val="center"/>
              <w:rPr>
                <w:rFonts w:ascii="仿宋_GB2312" w:hAnsi="仿宋_GB2312" w:eastAsia="仿宋_GB2312" w:cs="仿宋_GB2312"/>
                <w:kern w:val="0"/>
                <w:sz w:val="24"/>
              </w:rPr>
            </w:pPr>
            <w:r>
              <w:rPr>
                <w:rFonts w:hint="eastAsia" w:ascii="仿宋_GB2312" w:hAnsi="仿宋_GB2312" w:eastAsia="仿宋_GB2312" w:cs="仿宋_GB2312"/>
                <w:sz w:val="24"/>
                <w:lang w:val="zh-CN"/>
              </w:rPr>
              <w:t>道路保洁、绿化、市政、亮化长效养护</w:t>
            </w:r>
            <w:r>
              <w:rPr>
                <w:rFonts w:hint="eastAsia" w:ascii="仿宋_GB2312" w:hAnsi="仿宋_GB2312" w:eastAsia="仿宋_GB2312" w:cs="仿宋_GB2312"/>
                <w:sz w:val="24"/>
              </w:rPr>
              <w:t>条线</w:t>
            </w:r>
            <w:r>
              <w:rPr>
                <w:rFonts w:hint="eastAsia" w:ascii="仿宋_GB2312" w:hAnsi="仿宋_GB2312" w:eastAsia="仿宋_GB2312" w:cs="仿宋_GB2312"/>
                <w:sz w:val="24"/>
                <w:lang w:val="zh-CN"/>
              </w:rPr>
              <w:t>项目主管</w:t>
            </w:r>
          </w:p>
        </w:tc>
        <w:tc>
          <w:tcPr>
            <w:tcW w:w="967" w:type="dxa"/>
            <w:vAlign w:val="center"/>
          </w:tcPr>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各1名</w:t>
            </w:r>
          </w:p>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共4名</w:t>
            </w:r>
          </w:p>
        </w:tc>
        <w:tc>
          <w:tcPr>
            <w:tcW w:w="4747" w:type="dxa"/>
            <w:vAlign w:val="center"/>
          </w:tcPr>
          <w:p>
            <w:pPr>
              <w:pStyle w:val="2"/>
              <w:ind w:firstLine="0" w:firstLineChars="0"/>
              <w:rPr>
                <w:rFonts w:ascii="仿宋_GB2312" w:hAnsi="仿宋_GB2312" w:eastAsia="仿宋_GB2312" w:cs="仿宋_GB2312"/>
                <w:kern w:val="0"/>
                <w:sz w:val="24"/>
              </w:rPr>
            </w:pPr>
            <w:r>
              <w:rPr>
                <w:rFonts w:hint="eastAsia" w:ascii="仿宋_GB2312" w:hAnsi="仿宋_GB2312" w:eastAsia="仿宋_GB2312" w:cs="仿宋_GB2312"/>
                <w:sz w:val="24"/>
              </w:rPr>
              <w:t>年龄45周岁以下，大专及以上学历，具有3年及以上相关城市管理经验。一个职位不可兼任，专用本项目，全职驻东站工作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pPr>
              <w:pStyle w:val="2"/>
              <w:ind w:firstLine="480"/>
              <w:jc w:val="center"/>
              <w:rPr>
                <w:rFonts w:ascii="仿宋_GB2312" w:hAnsi="仿宋_GB2312" w:eastAsia="仿宋_GB2312" w:cs="仿宋_GB2312"/>
                <w:kern w:val="0"/>
                <w:sz w:val="24"/>
                <w:lang w:val="zh-CN"/>
              </w:rPr>
            </w:pPr>
            <w:r>
              <w:rPr>
                <w:rFonts w:hint="eastAsia" w:ascii="仿宋_GB2312" w:hAnsi="仿宋_GB2312" w:eastAsia="仿宋_GB2312" w:cs="仿宋_GB2312"/>
                <w:sz w:val="24"/>
                <w:lang w:val="zh-CN"/>
              </w:rPr>
              <w:t>道路保洁、绿化、市政、亮化养护各巡查人员</w:t>
            </w:r>
          </w:p>
        </w:tc>
        <w:tc>
          <w:tcPr>
            <w:tcW w:w="967" w:type="dxa"/>
            <w:vAlign w:val="center"/>
          </w:tcPr>
          <w:p>
            <w:pPr>
              <w:pStyle w:val="2"/>
              <w:ind w:firstLine="0" w:firstLineChars="0"/>
              <w:rPr>
                <w:rFonts w:ascii="仿宋_GB2312" w:hAnsi="仿宋_GB2312" w:eastAsia="仿宋_GB2312" w:cs="仿宋_GB2312"/>
                <w:sz w:val="24"/>
                <w:lang w:val="zh-CN"/>
              </w:rPr>
            </w:pPr>
            <w:r>
              <w:rPr>
                <w:rFonts w:hint="eastAsia" w:ascii="仿宋_GB2312" w:hAnsi="仿宋_GB2312" w:eastAsia="仿宋_GB2312" w:cs="仿宋_GB2312"/>
                <w:sz w:val="24"/>
              </w:rPr>
              <w:t>各</w:t>
            </w:r>
            <w:r>
              <w:rPr>
                <w:rFonts w:hint="eastAsia" w:ascii="仿宋_GB2312" w:hAnsi="仿宋_GB2312" w:eastAsia="仿宋_GB2312" w:cs="仿宋_GB2312"/>
                <w:sz w:val="24"/>
                <w:lang w:val="zh-CN"/>
              </w:rPr>
              <w:t>2名</w:t>
            </w:r>
          </w:p>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共8名</w:t>
            </w:r>
          </w:p>
        </w:tc>
        <w:tc>
          <w:tcPr>
            <w:tcW w:w="4747" w:type="dxa"/>
            <w:vAlign w:val="center"/>
          </w:tcPr>
          <w:p>
            <w:pPr>
              <w:pStyle w:val="2"/>
              <w:ind w:firstLine="0" w:firstLineChars="0"/>
              <w:rPr>
                <w:rFonts w:ascii="仿宋_GB2312" w:hAnsi="仿宋_GB2312" w:eastAsia="仿宋_GB2312" w:cs="仿宋_GB2312"/>
                <w:kern w:val="0"/>
                <w:sz w:val="24"/>
              </w:rPr>
            </w:pPr>
            <w:r>
              <w:rPr>
                <w:rFonts w:hint="eastAsia" w:ascii="仿宋_GB2312" w:hAnsi="仿宋_GB2312" w:eastAsia="仿宋_GB2312" w:cs="仿宋_GB2312"/>
                <w:sz w:val="24"/>
              </w:rPr>
              <w:t>年龄在45周岁以下，具有环卫、绿化、市政等3年及以上相关工作经验。一个职位不可兼任，专用本项目，全职驻东站工作 。</w:t>
            </w:r>
            <w:r>
              <w:rPr>
                <w:rFonts w:hint="eastAsia" w:ascii="仿宋_GB2312" w:hAnsi="仿宋_GB2312" w:eastAsia="仿宋_GB2312" w:cs="仿宋_GB2312"/>
                <w:sz w:val="24"/>
                <w:lang w:val="zh-CN"/>
              </w:rPr>
              <w:t>及时发现问题-上报问题-处置问题，形成工作闭环，并做好总结。同时总公司</w:t>
            </w:r>
            <w:r>
              <w:rPr>
                <w:rFonts w:hint="eastAsia" w:ascii="仿宋_GB2312" w:hAnsi="仿宋_GB2312" w:eastAsia="仿宋_GB2312" w:cs="仿宋_GB2312"/>
                <w:sz w:val="24"/>
              </w:rPr>
              <w:t>派遣</w:t>
            </w:r>
            <w:r>
              <w:rPr>
                <w:rFonts w:hint="eastAsia" w:ascii="仿宋_GB2312" w:hAnsi="仿宋_GB2312" w:eastAsia="仿宋_GB2312" w:cs="仿宋_GB2312"/>
                <w:sz w:val="24"/>
                <w:lang w:val="zh-CN"/>
              </w:rPr>
              <w:t>1名督查人员，及时了解和处置一线情况。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5" w:type="dxa"/>
            <w:vAlign w:val="center"/>
          </w:tcPr>
          <w:p>
            <w:pPr>
              <w:pStyle w:val="2"/>
              <w:ind w:firstLine="480"/>
              <w:jc w:val="center"/>
              <w:rPr>
                <w:rFonts w:ascii="仿宋_GB2312" w:hAnsi="仿宋_GB2312" w:eastAsia="仿宋_GB2312" w:cs="仿宋_GB2312"/>
                <w:sz w:val="24"/>
              </w:rPr>
            </w:pPr>
            <w:r>
              <w:rPr>
                <w:rFonts w:hint="eastAsia" w:ascii="仿宋_GB2312" w:hAnsi="仿宋_GB2312" w:eastAsia="仿宋_GB2312" w:cs="仿宋_GB2312"/>
                <w:sz w:val="24"/>
                <w:lang w:val="zh-CN"/>
              </w:rPr>
              <w:t>技术负责人、质量负责人、机械设备负责人、</w:t>
            </w:r>
            <w:r>
              <w:rPr>
                <w:rFonts w:hint="eastAsia" w:ascii="仿宋_GB2312" w:hAnsi="仿宋_GB2312" w:eastAsia="仿宋_GB2312" w:cs="仿宋_GB2312"/>
                <w:sz w:val="24"/>
              </w:rPr>
              <w:t>安全主管、资料员</w:t>
            </w:r>
          </w:p>
        </w:tc>
        <w:tc>
          <w:tcPr>
            <w:tcW w:w="967" w:type="dxa"/>
            <w:vAlign w:val="center"/>
          </w:tcPr>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各1名</w:t>
            </w:r>
          </w:p>
          <w:p>
            <w:pPr>
              <w:pStyle w:val="2"/>
              <w:ind w:firstLine="0" w:firstLineChars="0"/>
              <w:rPr>
                <w:rFonts w:ascii="仿宋_GB2312" w:hAnsi="仿宋_GB2312" w:eastAsia="仿宋_GB2312" w:cs="仿宋_GB2312"/>
                <w:sz w:val="24"/>
              </w:rPr>
            </w:pPr>
            <w:r>
              <w:rPr>
                <w:rFonts w:hint="eastAsia" w:ascii="仿宋_GB2312" w:hAnsi="仿宋_GB2312" w:eastAsia="仿宋_GB2312" w:cs="仿宋_GB2312"/>
                <w:sz w:val="24"/>
              </w:rPr>
              <w:t>共5名</w:t>
            </w:r>
          </w:p>
        </w:tc>
        <w:tc>
          <w:tcPr>
            <w:tcW w:w="4747" w:type="dxa"/>
            <w:vAlign w:val="center"/>
          </w:tcPr>
          <w:p>
            <w:pPr>
              <w:pStyle w:val="2"/>
              <w:ind w:firstLine="480"/>
              <w:jc w:val="center"/>
              <w:rPr>
                <w:rFonts w:ascii="仿宋_GB2312" w:hAnsi="仿宋_GB2312" w:eastAsia="仿宋_GB2312" w:cs="仿宋_GB2312"/>
                <w:sz w:val="24"/>
              </w:rPr>
            </w:pPr>
            <w:r>
              <w:rPr>
                <w:rFonts w:hint="eastAsia" w:ascii="仿宋_GB2312" w:hAnsi="仿宋_GB2312" w:eastAsia="仿宋_GB2312" w:cs="仿宋_GB2312"/>
                <w:sz w:val="24"/>
              </w:rPr>
              <w:t>可公司内兼职</w:t>
            </w:r>
          </w:p>
        </w:tc>
      </w:tr>
    </w:tbl>
    <w:p>
      <w:pPr>
        <w:widowControl/>
        <w:adjustRightInd w:val="0"/>
        <w:snapToGrid w:val="0"/>
        <w:rPr>
          <w:rFonts w:ascii="仿宋_GB2312" w:hAnsi="仿宋_GB2312" w:eastAsia="仿宋_GB2312" w:cs="仿宋_GB2312"/>
          <w:b/>
          <w:bCs/>
          <w:sz w:val="24"/>
        </w:rPr>
      </w:pPr>
    </w:p>
    <w:p>
      <w:pPr>
        <w:widowControl/>
        <w:adjustRightInd w:val="0"/>
        <w:snapToGrid w:val="0"/>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一线人员配置要求</w:t>
      </w:r>
      <w:r>
        <w:rPr>
          <w:rFonts w:hint="eastAsia" w:ascii="仿宋_GB2312" w:hAnsi="仿宋_GB2312" w:eastAsia="仿宋_GB2312" w:cs="仿宋_GB2312"/>
          <w:sz w:val="24"/>
        </w:rPr>
        <w:t>：按照行业主管部门要求各条线分别进行配置。（男性年龄60周岁以下，女性年龄50周岁以下，身体健康，工作认真负责，定期接受培训，熟练掌握垃圾分类等知识）</w:t>
      </w:r>
    </w:p>
    <w:p>
      <w:pPr>
        <w:widowControl/>
        <w:adjustRightInd w:val="0"/>
        <w:snapToGrid w:val="0"/>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rPr>
        <w:t>1.</w:t>
      </w:r>
      <w:r>
        <w:rPr>
          <w:rFonts w:hint="eastAsia" w:ascii="仿宋_GB2312" w:hAnsi="仿宋_GB2312" w:eastAsia="仿宋_GB2312" w:cs="仿宋_GB2312"/>
          <w:b/>
          <w:bCs/>
          <w:sz w:val="24"/>
          <w:lang w:val="zh-CN"/>
        </w:rPr>
        <w:t>道路保洁班组人员配备：</w:t>
      </w:r>
      <w:r>
        <w:rPr>
          <w:rFonts w:hint="eastAsia" w:ascii="仿宋_GB2312" w:hAnsi="仿宋_GB2312" w:eastAsia="仿宋_GB2312" w:cs="仿宋_GB2312"/>
          <w:b/>
          <w:bCs/>
          <w:sz w:val="24"/>
        </w:rPr>
        <w:t>331人。1）</w:t>
      </w:r>
      <w:r>
        <w:rPr>
          <w:rFonts w:hint="eastAsia" w:ascii="仿宋_GB2312" w:hAnsi="仿宋_GB2312" w:eastAsia="仿宋_GB2312" w:cs="仿宋_GB2312"/>
          <w:sz w:val="24"/>
          <w:lang w:val="zh-CN"/>
        </w:rPr>
        <w:t>安排一类道路（24小时）</w:t>
      </w:r>
      <w:r>
        <w:rPr>
          <w:rFonts w:hint="eastAsia" w:ascii="仿宋_GB2312" w:hAnsi="仿宋_GB2312" w:eastAsia="仿宋_GB2312" w:cs="仿宋_GB2312"/>
          <w:sz w:val="24"/>
        </w:rPr>
        <w:t>50</w:t>
      </w:r>
      <w:r>
        <w:rPr>
          <w:rFonts w:hint="eastAsia" w:ascii="仿宋_GB2312" w:hAnsi="仿宋_GB2312" w:eastAsia="仿宋_GB2312" w:cs="仿宋_GB2312"/>
          <w:sz w:val="24"/>
          <w:lang w:val="zh-CN"/>
        </w:rPr>
        <w:t>00㎡/人，一类道路（18小时）</w:t>
      </w:r>
      <w:r>
        <w:rPr>
          <w:rFonts w:hint="eastAsia" w:ascii="仿宋_GB2312" w:hAnsi="仿宋_GB2312" w:eastAsia="仿宋_GB2312" w:cs="仿宋_GB2312"/>
          <w:sz w:val="24"/>
        </w:rPr>
        <w:t>50</w:t>
      </w:r>
      <w:r>
        <w:rPr>
          <w:rFonts w:hint="eastAsia" w:ascii="仿宋_GB2312" w:hAnsi="仿宋_GB2312" w:eastAsia="仿宋_GB2312" w:cs="仿宋_GB2312"/>
          <w:sz w:val="24"/>
          <w:lang w:val="zh-CN"/>
        </w:rPr>
        <w:t>00㎡/人，二类道路16小时5500㎡/人（东站四种道路：1、东站区域24小时一类道路，全时段必须</w:t>
      </w:r>
      <w:r>
        <w:rPr>
          <w:rFonts w:hint="eastAsia" w:ascii="仿宋_GB2312" w:hAnsi="仿宋_GB2312" w:eastAsia="仿宋_GB2312" w:cs="仿宋_GB2312"/>
          <w:b/>
          <w:bCs/>
          <w:sz w:val="24"/>
        </w:rPr>
        <w:t>176</w:t>
      </w:r>
      <w:r>
        <w:rPr>
          <w:rFonts w:hint="eastAsia" w:ascii="仿宋_GB2312" w:hAnsi="仿宋_GB2312" w:eastAsia="仿宋_GB2312" w:cs="仿宋_GB2312"/>
          <w:b/>
          <w:bCs/>
          <w:sz w:val="24"/>
          <w:lang w:val="zh-CN"/>
        </w:rPr>
        <w:t>人</w:t>
      </w:r>
      <w:r>
        <w:rPr>
          <w:rFonts w:hint="eastAsia" w:ascii="仿宋_GB2312" w:hAnsi="仿宋_GB2312" w:eastAsia="仿宋_GB2312" w:cs="仿宋_GB2312"/>
          <w:sz w:val="24"/>
          <w:lang w:val="zh-CN"/>
        </w:rPr>
        <w:t>在岗；</w:t>
      </w:r>
      <w:r>
        <w:rPr>
          <w:rFonts w:hint="eastAsia" w:ascii="仿宋_GB2312" w:hAnsi="仿宋_GB2312" w:eastAsia="仿宋_GB2312" w:cs="仿宋_GB2312"/>
          <w:b/>
          <w:bCs/>
          <w:sz w:val="24"/>
          <w:lang w:val="zh-CN"/>
        </w:rPr>
        <w:t>2）</w:t>
      </w:r>
      <w:r>
        <w:rPr>
          <w:rFonts w:hint="eastAsia" w:ascii="仿宋_GB2312" w:hAnsi="仿宋_GB2312" w:eastAsia="仿宋_GB2312" w:cs="仿宋_GB2312"/>
          <w:sz w:val="24"/>
          <w:lang w:val="zh-CN"/>
        </w:rPr>
        <w:t>东站区域18小时一类道路，全时段必须</w:t>
      </w:r>
      <w:r>
        <w:rPr>
          <w:rFonts w:hint="eastAsia" w:ascii="仿宋_GB2312" w:hAnsi="仿宋_GB2312" w:eastAsia="仿宋_GB2312" w:cs="仿宋_GB2312"/>
          <w:b/>
          <w:bCs/>
          <w:sz w:val="24"/>
        </w:rPr>
        <w:t>102</w:t>
      </w:r>
      <w:r>
        <w:rPr>
          <w:rFonts w:hint="eastAsia" w:ascii="仿宋_GB2312" w:hAnsi="仿宋_GB2312" w:eastAsia="仿宋_GB2312" w:cs="仿宋_GB2312"/>
          <w:b/>
          <w:bCs/>
          <w:sz w:val="24"/>
          <w:lang w:val="zh-CN"/>
        </w:rPr>
        <w:t>人</w:t>
      </w:r>
      <w:r>
        <w:rPr>
          <w:rFonts w:hint="eastAsia" w:ascii="仿宋_GB2312" w:hAnsi="仿宋_GB2312" w:eastAsia="仿宋_GB2312" w:cs="仿宋_GB2312"/>
          <w:sz w:val="24"/>
          <w:lang w:val="zh-CN"/>
        </w:rPr>
        <w:t>在岗；</w:t>
      </w:r>
      <w:r>
        <w:rPr>
          <w:rFonts w:hint="eastAsia" w:ascii="仿宋_GB2312" w:hAnsi="仿宋_GB2312" w:eastAsia="仿宋_GB2312" w:cs="仿宋_GB2312"/>
          <w:b/>
          <w:bCs/>
          <w:sz w:val="24"/>
          <w:lang w:val="zh-CN"/>
        </w:rPr>
        <w:t>3）</w:t>
      </w:r>
      <w:r>
        <w:rPr>
          <w:rFonts w:hint="eastAsia" w:ascii="仿宋_GB2312" w:hAnsi="仿宋_GB2312" w:eastAsia="仿宋_GB2312" w:cs="仿宋_GB2312"/>
          <w:sz w:val="24"/>
          <w:lang w:val="zh-CN"/>
        </w:rPr>
        <w:t>二类道路全时段必须</w:t>
      </w:r>
      <w:r>
        <w:rPr>
          <w:rFonts w:hint="eastAsia" w:ascii="仿宋_GB2312" w:hAnsi="仿宋_GB2312" w:eastAsia="仿宋_GB2312" w:cs="仿宋_GB2312"/>
          <w:b/>
          <w:bCs/>
          <w:sz w:val="24"/>
        </w:rPr>
        <w:t>4</w:t>
      </w:r>
      <w:r>
        <w:rPr>
          <w:rFonts w:hint="eastAsia" w:ascii="仿宋_GB2312" w:hAnsi="仿宋_GB2312" w:eastAsia="仿宋_GB2312" w:cs="仿宋_GB2312"/>
          <w:b/>
          <w:bCs/>
          <w:sz w:val="24"/>
          <w:lang w:val="zh-CN"/>
        </w:rPr>
        <w:t>人</w:t>
      </w:r>
      <w:r>
        <w:rPr>
          <w:rFonts w:hint="eastAsia" w:ascii="仿宋_GB2312" w:hAnsi="仿宋_GB2312" w:eastAsia="仿宋_GB2312" w:cs="仿宋_GB2312"/>
          <w:sz w:val="24"/>
          <w:lang w:val="zh-CN"/>
        </w:rPr>
        <w:t>在岗；</w:t>
      </w:r>
      <w:r>
        <w:rPr>
          <w:rFonts w:hint="eastAsia" w:ascii="仿宋_GB2312" w:hAnsi="仿宋_GB2312" w:eastAsia="仿宋_GB2312" w:cs="仿宋_GB2312"/>
          <w:sz w:val="24"/>
        </w:rPr>
        <w:t>其他路段全时段必须</w:t>
      </w:r>
      <w:r>
        <w:rPr>
          <w:rFonts w:hint="eastAsia" w:ascii="仿宋_GB2312" w:hAnsi="仿宋_GB2312" w:eastAsia="仿宋_GB2312" w:cs="仿宋_GB2312"/>
          <w:b/>
          <w:bCs/>
          <w:sz w:val="24"/>
        </w:rPr>
        <w:t>10</w:t>
      </w:r>
      <w:r>
        <w:rPr>
          <w:rFonts w:hint="eastAsia" w:ascii="仿宋_GB2312" w:hAnsi="仿宋_GB2312" w:eastAsia="仿宋_GB2312" w:cs="仿宋_GB2312"/>
          <w:sz w:val="24"/>
        </w:rPr>
        <w:t>人在岗；</w:t>
      </w:r>
      <w:r>
        <w:rPr>
          <w:rFonts w:hint="eastAsia" w:ascii="仿宋_GB2312" w:hAnsi="仿宋_GB2312" w:eastAsia="仿宋_GB2312" w:cs="仿宋_GB2312"/>
          <w:b/>
          <w:bCs/>
          <w:sz w:val="24"/>
        </w:rPr>
        <w:t>4）</w:t>
      </w:r>
      <w:r>
        <w:rPr>
          <w:rFonts w:hint="eastAsia" w:ascii="仿宋_GB2312" w:hAnsi="仿宋_GB2312" w:eastAsia="仿宋_GB2312" w:cs="仿宋_GB2312"/>
          <w:sz w:val="24"/>
          <w:lang w:val="zh-CN"/>
        </w:rPr>
        <w:t>公厕保洁人员安排</w:t>
      </w:r>
      <w:r>
        <w:rPr>
          <w:rFonts w:hint="eastAsia" w:ascii="仿宋_GB2312" w:hAnsi="仿宋_GB2312" w:eastAsia="仿宋_GB2312" w:cs="仿宋_GB2312"/>
          <w:sz w:val="24"/>
        </w:rPr>
        <w:t>三星16小时公厕2人/个，三星24小时公厕3人/个（东站两种公厕：1、三星16小时，全时段必须</w:t>
      </w:r>
      <w:r>
        <w:rPr>
          <w:rFonts w:hint="eastAsia" w:ascii="仿宋_GB2312" w:hAnsi="仿宋_GB2312" w:eastAsia="仿宋_GB2312" w:cs="仿宋_GB2312"/>
          <w:b/>
          <w:bCs/>
          <w:sz w:val="24"/>
        </w:rPr>
        <w:t>6人在岗</w:t>
      </w:r>
      <w:r>
        <w:rPr>
          <w:rFonts w:hint="eastAsia" w:ascii="仿宋_GB2312" w:hAnsi="仿宋_GB2312" w:eastAsia="仿宋_GB2312" w:cs="仿宋_GB2312"/>
          <w:sz w:val="24"/>
        </w:rPr>
        <w:t>；2、三星24小时，全时段必须</w:t>
      </w:r>
      <w:r>
        <w:rPr>
          <w:rFonts w:hint="eastAsia" w:ascii="仿宋_GB2312" w:hAnsi="仿宋_GB2312" w:eastAsia="仿宋_GB2312" w:cs="仿宋_GB2312"/>
          <w:b/>
          <w:bCs/>
          <w:sz w:val="24"/>
        </w:rPr>
        <w:t>33人在岗</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w:t>
      </w:r>
    </w:p>
    <w:p>
      <w:pPr>
        <w:widowControl/>
        <w:adjustRightInd w:val="0"/>
        <w:snapToGrid w:val="0"/>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rPr>
        <w:t>2.</w:t>
      </w:r>
      <w:r>
        <w:rPr>
          <w:rFonts w:hint="eastAsia" w:ascii="仿宋_GB2312" w:hAnsi="仿宋_GB2312" w:eastAsia="仿宋_GB2312" w:cs="仿宋_GB2312"/>
          <w:b/>
          <w:bCs/>
          <w:sz w:val="24"/>
          <w:lang w:val="zh-CN"/>
        </w:rPr>
        <w:t>市政道路养护班组</w:t>
      </w:r>
      <w:r>
        <w:rPr>
          <w:rFonts w:hint="eastAsia" w:ascii="仿宋_GB2312" w:hAnsi="仿宋_GB2312" w:eastAsia="仿宋_GB2312" w:cs="仿宋_GB2312"/>
          <w:b/>
          <w:bCs/>
          <w:sz w:val="24"/>
        </w:rPr>
        <w:t>人员</w:t>
      </w:r>
      <w:r>
        <w:rPr>
          <w:rFonts w:hint="eastAsia" w:ascii="仿宋_GB2312" w:hAnsi="仿宋_GB2312" w:eastAsia="仿宋_GB2312" w:cs="仿宋_GB2312"/>
          <w:b/>
          <w:bCs/>
          <w:sz w:val="24"/>
          <w:lang w:val="zh-CN"/>
        </w:rPr>
        <w:t>配备</w:t>
      </w:r>
      <w:r>
        <w:rPr>
          <w:rFonts w:hint="eastAsia" w:ascii="仿宋_GB2312" w:hAnsi="仿宋_GB2312" w:eastAsia="仿宋_GB2312" w:cs="仿宋_GB2312"/>
          <w:b/>
          <w:bCs/>
          <w:sz w:val="24"/>
        </w:rPr>
        <w:t>：</w:t>
      </w:r>
      <w:r>
        <w:rPr>
          <w:rFonts w:hint="eastAsia" w:ascii="仿宋_GB2312" w:hAnsi="仿宋_GB2312" w:eastAsia="仿宋_GB2312" w:cs="仿宋_GB2312"/>
          <w:sz w:val="24"/>
          <w:lang w:val="zh-CN"/>
        </w:rPr>
        <w:t>人员数量安排合理（如道路市政养护工、沥青混凝土摊铺机操作工、压路机操作工、铣刨工、排水养护工）投入本项目的班组人员需固定，且不能与本年度其他标段的人员重复。道路总面积50万平方米以下至少配备1个沥青班组人员（每个班组8-10人）、2个人行道班组（每个班组5人）。</w:t>
      </w:r>
      <w:r>
        <w:rPr>
          <w:rFonts w:hint="eastAsia" w:ascii="仿宋_GB2312" w:hAnsi="仿宋_GB2312" w:eastAsia="仿宋_GB2312" w:cs="仿宋_GB2312"/>
          <w:b/>
          <w:bCs/>
          <w:sz w:val="24"/>
          <w:lang w:val="zh-CN"/>
        </w:rPr>
        <w:t>雨水管网</w:t>
      </w:r>
      <w:r>
        <w:rPr>
          <w:rFonts w:hint="eastAsia" w:ascii="仿宋_GB2312" w:hAnsi="仿宋_GB2312" w:eastAsia="仿宋_GB2312" w:cs="仿宋_GB2312"/>
          <w:sz w:val="24"/>
          <w:lang w:val="zh-CN"/>
        </w:rPr>
        <w:t>至少配备1个雨水管网班组人员（每个班组6人）。</w:t>
      </w:r>
    </w:p>
    <w:p>
      <w:pPr>
        <w:widowControl/>
        <w:adjustRightInd w:val="0"/>
        <w:snapToGrid w:val="0"/>
        <w:ind w:firstLine="482" w:firstLineChars="200"/>
        <w:rPr>
          <w:rFonts w:ascii="仿宋_GB2312" w:hAnsi="仿宋_GB2312" w:eastAsia="仿宋_GB2312" w:cs="仿宋_GB2312"/>
          <w:sz w:val="24"/>
          <w:lang w:val="zh-CN"/>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zh-CN"/>
        </w:rPr>
        <w:t>道路绿化班组</w:t>
      </w:r>
      <w:r>
        <w:rPr>
          <w:rFonts w:hint="eastAsia" w:ascii="仿宋_GB2312" w:hAnsi="仿宋_GB2312" w:eastAsia="仿宋_GB2312" w:cs="仿宋_GB2312"/>
          <w:b/>
          <w:bCs/>
          <w:sz w:val="24"/>
        </w:rPr>
        <w:t>人员</w:t>
      </w:r>
      <w:r>
        <w:rPr>
          <w:rFonts w:hint="eastAsia" w:ascii="仿宋_GB2312" w:hAnsi="仿宋_GB2312" w:eastAsia="仿宋_GB2312" w:cs="仿宋_GB2312"/>
          <w:b/>
          <w:bCs/>
          <w:sz w:val="24"/>
          <w:lang w:val="zh-CN"/>
        </w:rPr>
        <w:t>配备：</w:t>
      </w:r>
      <w:r>
        <w:rPr>
          <w:rFonts w:hint="eastAsia" w:ascii="仿宋_GB2312" w:hAnsi="仿宋_GB2312" w:eastAsia="仿宋_GB2312" w:cs="仿宋_GB2312"/>
          <w:sz w:val="24"/>
          <w:lang w:val="zh-CN"/>
        </w:rPr>
        <w:t>建议绿地养护</w:t>
      </w:r>
      <w:r>
        <w:rPr>
          <w:rFonts w:hint="eastAsia" w:ascii="仿宋_GB2312" w:hAnsi="仿宋_GB2312" w:eastAsia="仿宋_GB2312" w:cs="仿宋_GB2312"/>
          <w:sz w:val="24"/>
        </w:rPr>
        <w:t>5000</w:t>
      </w:r>
      <w:r>
        <w:rPr>
          <w:rFonts w:hint="eastAsia" w:ascii="仿宋_GB2312" w:hAnsi="仿宋_GB2312" w:eastAsia="仿宋_GB2312" w:cs="仿宋_GB2312"/>
          <w:sz w:val="24"/>
          <w:lang w:val="zh-CN"/>
        </w:rPr>
        <w:t>㎡/人，绿化养护配有专门的绿化管理小组包括植保员、绿化修剪技工、绿地养护工共计（</w:t>
      </w:r>
      <w:r>
        <w:rPr>
          <w:rFonts w:hint="eastAsia" w:ascii="仿宋_GB2312" w:hAnsi="仿宋_GB2312" w:eastAsia="仿宋_GB2312" w:cs="仿宋_GB2312"/>
          <w:sz w:val="24"/>
        </w:rPr>
        <w:t>12-16</w:t>
      </w:r>
      <w:r>
        <w:rPr>
          <w:rFonts w:hint="eastAsia" w:ascii="仿宋_GB2312" w:hAnsi="仿宋_GB2312" w:eastAsia="仿宋_GB2312" w:cs="仿宋_GB2312"/>
          <w:sz w:val="24"/>
          <w:lang w:val="zh-CN"/>
        </w:rPr>
        <w:t>人）。</w:t>
      </w:r>
    </w:p>
    <w:p>
      <w:pPr>
        <w:widowControl/>
        <w:adjustRightInd w:val="0"/>
        <w:snapToGrid w:val="0"/>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w:t>
      </w:r>
      <w:r>
        <w:rPr>
          <w:rFonts w:hint="eastAsia" w:ascii="仿宋_GB2312" w:hAnsi="仿宋_GB2312" w:eastAsia="仿宋_GB2312" w:cs="仿宋_GB2312"/>
          <w:b/>
          <w:bCs/>
          <w:sz w:val="24"/>
          <w:lang w:val="zh-CN"/>
        </w:rPr>
        <w:t>亮化长效养护班组：</w:t>
      </w:r>
      <w:r>
        <w:rPr>
          <w:rFonts w:hint="eastAsia" w:ascii="仿宋_GB2312" w:hAnsi="仿宋_GB2312" w:eastAsia="仿宋_GB2312" w:cs="仿宋_GB2312"/>
          <w:sz w:val="24"/>
          <w:lang w:val="zh-CN"/>
        </w:rPr>
        <w:t>配备具高空作业设备、安全防护设备和有高空作业资质的专业养护人员</w:t>
      </w:r>
      <w:r>
        <w:rPr>
          <w:rFonts w:hint="eastAsia" w:ascii="仿宋_GB2312" w:hAnsi="仿宋_GB2312" w:eastAsia="仿宋_GB2312" w:cs="仿宋_GB2312"/>
          <w:sz w:val="24"/>
        </w:rPr>
        <w:t>2名。</w:t>
      </w:r>
    </w:p>
    <w:p>
      <w:pPr>
        <w:pStyle w:val="2"/>
        <w:ind w:firstLine="482"/>
      </w:pPr>
      <w:r>
        <w:rPr>
          <w:rFonts w:hint="eastAsia" w:ascii="仿宋_GB2312" w:hAnsi="仿宋_GB2312" w:eastAsia="仿宋_GB2312" w:cs="仿宋_GB2312"/>
          <w:b/>
          <w:bCs/>
          <w:sz w:val="24"/>
          <w:szCs w:val="28"/>
        </w:rPr>
        <w:t>以上管理人员之间不得互相兼任职务。</w:t>
      </w:r>
    </w:p>
    <w:tbl>
      <w:tblPr>
        <w:tblStyle w:val="41"/>
        <w:tblW w:w="8797" w:type="dxa"/>
        <w:jc w:val="center"/>
        <w:tblLayout w:type="fixed"/>
        <w:tblCellMar>
          <w:top w:w="15" w:type="dxa"/>
          <w:left w:w="15" w:type="dxa"/>
          <w:bottom w:w="15" w:type="dxa"/>
          <w:right w:w="15" w:type="dxa"/>
        </w:tblCellMar>
      </w:tblPr>
      <w:tblGrid>
        <w:gridCol w:w="747"/>
        <w:gridCol w:w="1500"/>
        <w:gridCol w:w="2650"/>
        <w:gridCol w:w="1252"/>
        <w:gridCol w:w="1631"/>
        <w:gridCol w:w="1017"/>
      </w:tblGrid>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道路名称</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起止点</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保洁面积(m2)</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定级类别</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保洁作业人员</w:t>
            </w:r>
          </w:p>
        </w:tc>
      </w:tr>
      <w:tr>
        <w:tblPrEx>
          <w:tblCellMar>
            <w:top w:w="15" w:type="dxa"/>
            <w:left w:w="15" w:type="dxa"/>
            <w:bottom w:w="15" w:type="dxa"/>
            <w:right w:w="15" w:type="dxa"/>
          </w:tblCellMar>
        </w:tblPrEx>
        <w:trPr>
          <w:trHeight w:val="662"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东站东广场（硬化部分）</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东广场二层广场、东公交出口至火车东站P东停车场入口</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45059.79</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18</w:t>
            </w:r>
          </w:p>
        </w:tc>
      </w:tr>
      <w:tr>
        <w:tblPrEx>
          <w:tblCellMar>
            <w:top w:w="15" w:type="dxa"/>
            <w:left w:w="15" w:type="dxa"/>
            <w:bottom w:w="15" w:type="dxa"/>
            <w:right w:w="15" w:type="dxa"/>
          </w:tblCellMar>
        </w:tblPrEx>
        <w:trPr>
          <w:trHeight w:val="662"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highlight w:val="yellow"/>
              </w:rPr>
            </w:pPr>
            <w:r>
              <w:rPr>
                <w:rFonts w:hint="eastAsia" w:ascii="仿宋_GB2312" w:hAnsi="仿宋_GB2312" w:eastAsia="仿宋_GB2312" w:cs="仿宋_GB2312"/>
                <w:color w:val="000000"/>
                <w:kern w:val="0"/>
                <w:sz w:val="20"/>
                <w:szCs w:val="20"/>
              </w:rPr>
              <w:t>2</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东站东广场匝道</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上下二层广场匝道、站东二路（新塘路-出租车地下入口）</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11638.71</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662"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highlight w:val="yellow"/>
              </w:rPr>
            </w:pPr>
            <w:r>
              <w:rPr>
                <w:rFonts w:hint="eastAsia" w:ascii="仿宋_GB2312" w:hAnsi="仿宋_GB2312" w:eastAsia="仿宋_GB2312" w:cs="仿宋_GB2312"/>
                <w:color w:val="000000"/>
                <w:kern w:val="0"/>
                <w:sz w:val="20"/>
                <w:szCs w:val="20"/>
              </w:rPr>
              <w:t>3</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东站西广场（硬化部分）</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广场西字铺装、中间大道铺装、弧形通新风路铺装、通往主楼道路铺装、林间铺装小路、广场层至路面及前端铺装、站西一、二路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37331.42</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r>
      <w:tr>
        <w:tblPrEx>
          <w:tblCellMar>
            <w:top w:w="15" w:type="dxa"/>
            <w:left w:w="15" w:type="dxa"/>
            <w:bottom w:w="15" w:type="dxa"/>
            <w:right w:w="15" w:type="dxa"/>
          </w:tblCellMar>
        </w:tblPrEx>
        <w:trPr>
          <w:trHeight w:val="66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4</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东站西广场匝道</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QC匝道（出租车专用/站房高架-西广场地下通道）、地面出租车通道（王家井-西广场通道）、上下匝道</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13531.38</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5</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环站东路</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天城路-环站南路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57062.28</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6</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环站东路延伸</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环站北路-天城路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25675.77</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10</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7</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东宁路1</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环站北路-环站南路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82785.65</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8</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东宁路2</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环站南路-艮山西路、环站北路-机场路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31134.91</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12</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9</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鸿泰路1</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东宁路-环站东路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10164.09</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10</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和兴路1</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东宁路-环站东路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9505.67</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394"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11</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花园兜街</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东宁路-站东一路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7675.09</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一类街巷</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12</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花园兜街</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东宁路-环站东路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11196.33</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一类街巷</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13</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天城路1（隧道除外）</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环站东路-环站西路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40452.94</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16</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14</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新风路1</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王家井街-环站北路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24506.3</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10</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15</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新风路1延伸</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王家井街-新塘路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37197.69</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16</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16</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环站西路1</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新塘路-环站北路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43268.1</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17</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环站西路2</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环站北路-机场路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10080.75</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二类道路16小时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18</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环站南路1（隧道除外）</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新风路-环站东路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32845.01</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19</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环站北路（隧道除外）</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环站西路-环站东路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47600.17</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20</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20</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王家井街</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环站西路-全福桥路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13045.97</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21</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麦庙路</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环站西路-新风路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8267.4</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589"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22</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全福桥路1</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环站北路-王家井街</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11224.33</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一类道路18小时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23</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新塘路1（隧道除外）</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新风路-环站东路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40110.88</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16</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24</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学风巷</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麦庙街-环站北路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1790.09</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二类街巷</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25</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学风直弄</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学风巷-环站西路</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1589.06</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二类街巷</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870"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26</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候车高架层四周车行道</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候车高架层东车行道、候车高架层西车行道、候车高架层南车行道、候车高架层北车行道</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rPr>
              <w:t>30777.17</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12</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szCs w:val="20"/>
              </w:rPr>
              <w:t>27</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候车高架层四周人行道、东西看台</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候车高架层东人行道、候车高架层西人行道、候车高架层南人行道、候车高架层北人行道、东西看台</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17920.05</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28</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东广场公交走道</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东广场公交走道</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1499.12</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一类道路24小时</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550"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sz w:val="20"/>
                <w:szCs w:val="2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rPr>
              <w:t>小计</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sz w:val="20"/>
                <w:szCs w:val="20"/>
              </w:rPr>
            </w:pP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b/>
                <w:bCs/>
                <w:sz w:val="20"/>
                <w:szCs w:val="20"/>
              </w:rPr>
              <w:t>292</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名称</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地点</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定级类别</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厕位</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保洁作业人员</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东广场公厕</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东广场</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三星16小时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15</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西广场公厕</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西广场</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三星16小时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16</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东公交公厕</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东公交</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三星24小时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21</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4</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西公交公厕（全幅桥路）</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全幅桥路</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三星16小时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15</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5</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出租车（北3）</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到达层</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三星24小时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22</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南3</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到达层</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三星24小时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32.5</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495"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7</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出租车（北2）</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到达层</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三星24小时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22</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8</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南2</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到达层</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三星24小时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31.5</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90"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9</w:t>
            </w:r>
          </w:p>
        </w:tc>
        <w:tc>
          <w:tcPr>
            <w:tcW w:w="15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B1铁路自助取票处（西）</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到达层</w:t>
            </w:r>
          </w:p>
        </w:tc>
        <w:tc>
          <w:tcPr>
            <w:tcW w:w="125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三星24小时</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33</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6</w:t>
            </w:r>
          </w:p>
        </w:tc>
      </w:tr>
      <w:tr>
        <w:tblPrEx>
          <w:tblCellMar>
            <w:top w:w="15" w:type="dxa"/>
            <w:left w:w="15" w:type="dxa"/>
            <w:bottom w:w="15" w:type="dxa"/>
            <w:right w:w="15" w:type="dxa"/>
          </w:tblCellMar>
        </w:tblPrEx>
        <w:trPr>
          <w:trHeight w:val="286"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sz w:val="20"/>
                <w:szCs w:val="2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rPr>
              <w:t>小计</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0"/>
                <w:szCs w:val="20"/>
              </w:rPr>
            </w:pP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rPr>
              <w:t>39</w:t>
            </w:r>
          </w:p>
        </w:tc>
      </w:tr>
      <w:tr>
        <w:tblPrEx>
          <w:tblCellMar>
            <w:top w:w="15" w:type="dxa"/>
            <w:left w:w="15" w:type="dxa"/>
            <w:bottom w:w="15" w:type="dxa"/>
            <w:right w:w="15" w:type="dxa"/>
          </w:tblCellMar>
        </w:tblPrEx>
        <w:trPr>
          <w:trHeight w:val="301" w:hRule="atLeast"/>
          <w:jc w:val="center"/>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sz w:val="20"/>
                <w:szCs w:val="20"/>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kern w:val="0"/>
                <w:sz w:val="20"/>
                <w:szCs w:val="20"/>
              </w:rPr>
              <w:t>合计</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4"/>
              </w:rPr>
            </w:pP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4"/>
              </w:rPr>
            </w:pP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b/>
                <w:sz w:val="24"/>
              </w:rPr>
            </w:pP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rPr>
              <w:t>331</w:t>
            </w:r>
          </w:p>
        </w:tc>
      </w:tr>
    </w:tbl>
    <w:p>
      <w:pPr>
        <w:widowControl/>
        <w:adjustRightInd w:val="0"/>
        <w:snapToGrid w:val="0"/>
        <w:ind w:firstLine="420" w:firstLineChars="200"/>
        <w:rPr>
          <w:rFonts w:eastAsia="仿宋_GB2312"/>
        </w:rPr>
      </w:pPr>
    </w:p>
    <w:p>
      <w:pPr>
        <w:widowControl/>
        <w:adjustRightInd w:val="0"/>
        <w:snapToGrid w:val="0"/>
        <w:ind w:firstLine="482" w:firstLineChars="200"/>
        <w:rPr>
          <w:rFonts w:ascii="仿宋_GB2312" w:hAnsi="仿宋_GB2312" w:eastAsia="仿宋_GB2312" w:cs="仿宋_GB2312"/>
          <w:b/>
          <w:bCs/>
          <w:sz w:val="24"/>
          <w:szCs w:val="28"/>
        </w:rPr>
      </w:pPr>
    </w:p>
    <w:p>
      <w:pPr>
        <w:pStyle w:val="2"/>
      </w:pPr>
    </w:p>
    <w:p>
      <w:pPr>
        <w:widowControl/>
        <w:adjustRightInd w:val="0"/>
        <w:snapToGrid w:val="0"/>
        <w:rPr>
          <w:rFonts w:ascii="仿宋_GB2312" w:hAnsi="仿宋_GB2312" w:eastAsia="仿宋_GB2312" w:cs="仿宋_GB2312"/>
          <w:b/>
          <w:bCs/>
          <w:sz w:val="24"/>
          <w:szCs w:val="28"/>
          <w:lang w:val="zh-CN"/>
        </w:rPr>
      </w:pPr>
      <w:r>
        <w:rPr>
          <w:rFonts w:hint="eastAsia" w:ascii="仿宋_GB2312" w:hAnsi="仿宋_GB2312" w:eastAsia="仿宋_GB2312" w:cs="仿宋_GB2312"/>
          <w:b/>
          <w:bCs/>
          <w:sz w:val="24"/>
          <w:szCs w:val="28"/>
        </w:rPr>
        <w:t>七</w:t>
      </w:r>
      <w:r>
        <w:rPr>
          <w:rFonts w:hint="eastAsia" w:ascii="仿宋_GB2312" w:hAnsi="仿宋_GB2312" w:eastAsia="仿宋_GB2312" w:cs="仿宋_GB2312"/>
          <w:b/>
          <w:bCs/>
          <w:sz w:val="24"/>
          <w:szCs w:val="28"/>
          <w:lang w:val="zh-CN"/>
        </w:rPr>
        <w:t>、机具设备投入要求</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rPr>
        <w:t>机械</w:t>
      </w:r>
      <w:r>
        <w:rPr>
          <w:rFonts w:hint="eastAsia" w:ascii="仿宋_GB2312" w:hAnsi="仿宋_GB2312" w:eastAsia="仿宋_GB2312" w:cs="仿宋_GB2312"/>
          <w:sz w:val="24"/>
          <w:szCs w:val="28"/>
          <w:lang w:val="zh-CN"/>
        </w:rPr>
        <w:t>设备要求清单：</w:t>
      </w:r>
    </w:p>
    <w:tbl>
      <w:tblPr>
        <w:tblStyle w:val="41"/>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805"/>
        <w:gridCol w:w="788"/>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序号</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设备名称</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数量</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rPr>
              <w:t>1</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rPr>
            </w:pPr>
            <w:r>
              <w:rPr>
                <w:rFonts w:hint="eastAsia" w:ascii="仿宋_GB2312" w:hAnsi="宋体" w:eastAsia="仿宋_GB2312" w:cs="Arial"/>
                <w:kern w:val="0"/>
              </w:rPr>
              <w:t>带定位数字对讲机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w:t>
            </w:r>
          </w:p>
        </w:tc>
        <w:tc>
          <w:tcPr>
            <w:tcW w:w="4707" w:type="dxa"/>
            <w:vAlign w:val="center"/>
          </w:tcPr>
          <w:p>
            <w:pPr>
              <w:autoSpaceDE w:val="0"/>
              <w:autoSpaceDN w:val="0"/>
              <w:adjustRightInd w:val="0"/>
              <w:spacing w:line="276" w:lineRule="auto"/>
              <w:jc w:val="left"/>
              <w:rPr>
                <w:rFonts w:ascii="仿宋_GB2312" w:hAnsi="宋体" w:eastAsia="仿宋_GB2312" w:cs="Arial"/>
                <w:kern w:val="0"/>
              </w:rPr>
            </w:pPr>
            <w:r>
              <w:rPr>
                <w:rFonts w:hint="eastAsia" w:ascii="仿宋_GB2312" w:hAnsi="宋体" w:eastAsia="仿宋_GB2312" w:cs="Arial"/>
                <w:kern w:val="0"/>
              </w:rPr>
              <w:t>根据甲方需求配备，要求每个岗位配备一台对讲机，</w:t>
            </w:r>
            <w:r>
              <w:rPr>
                <w:rFonts w:hint="eastAsia" w:ascii="仿宋_GB2312" w:hAnsi="仿宋_GB2312" w:eastAsia="仿宋_GB2312" w:cs="仿宋_GB2312"/>
                <w:sz w:val="22"/>
              </w:rPr>
              <w:t>对讲机要求能够和综合管理队伍频道互通，信息通畅。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2</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压路机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w:t>
            </w:r>
            <w:r>
              <w:rPr>
                <w:rFonts w:hint="eastAsia" w:ascii="仿宋_GB2312" w:hAnsi="宋体" w:eastAsia="仿宋_GB2312" w:cs="Arial"/>
                <w:kern w:val="0"/>
                <w:lang w:val="zh-CN"/>
              </w:rPr>
              <w:t>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3</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摊铺机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w:t>
            </w:r>
            <w:r>
              <w:rPr>
                <w:rFonts w:hint="eastAsia" w:ascii="仿宋_GB2312" w:hAnsi="宋体" w:eastAsia="仿宋_GB2312" w:cs="Arial"/>
                <w:kern w:val="0"/>
                <w:lang w:val="zh-CN"/>
              </w:rPr>
              <w:t>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摊铺宽度≥5米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4</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铣刨机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w:t>
            </w:r>
            <w:r>
              <w:rPr>
                <w:rFonts w:hint="eastAsia" w:ascii="仿宋_GB2312" w:hAnsi="宋体" w:eastAsia="仿宋_GB2312" w:cs="Arial"/>
                <w:kern w:val="0"/>
                <w:lang w:val="zh-CN"/>
              </w:rPr>
              <w:t>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刨宽度为50厘米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5</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沥青保温车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1</w:t>
            </w:r>
            <w:r>
              <w:rPr>
                <w:rFonts w:hint="eastAsia" w:ascii="仿宋_GB2312" w:hAnsi="宋体" w:eastAsia="仿宋_GB2312" w:cs="Arial"/>
                <w:kern w:val="0"/>
                <w:lang w:val="zh-CN"/>
              </w:rPr>
              <w:t>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6</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沥青洒布车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lang w:val="zh-CN"/>
              </w:rPr>
              <w:t>1辆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需要时及时提供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7</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装载车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3台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大于</w:t>
            </w:r>
            <w:r>
              <w:rPr>
                <w:rFonts w:hint="eastAsia" w:ascii="仿宋_GB2312" w:hAnsi="宋体" w:eastAsia="仿宋_GB2312" w:cs="Arial"/>
                <w:kern w:val="0"/>
              </w:rPr>
              <w:t>0.</w:t>
            </w:r>
            <w:r>
              <w:rPr>
                <w:rFonts w:hint="eastAsia" w:ascii="仿宋_GB2312" w:hAnsi="宋体" w:eastAsia="仿宋_GB2312" w:cs="Arial"/>
                <w:kern w:val="0"/>
                <w:lang w:val="zh-CN"/>
              </w:rPr>
              <w:t>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8</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下水道联合疏通车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1台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总重量≥</w:t>
            </w:r>
            <w:r>
              <w:rPr>
                <w:rFonts w:hint="eastAsia" w:ascii="仿宋_GB2312" w:hAnsi="宋体" w:eastAsia="仿宋_GB2312" w:cs="Arial"/>
                <w:kern w:val="0"/>
              </w:rPr>
              <w:t>9500</w:t>
            </w:r>
            <w:r>
              <w:rPr>
                <w:rFonts w:hint="eastAsia" w:ascii="仿宋_GB2312" w:hAnsi="宋体" w:eastAsia="仿宋_GB2312" w:cs="Arial"/>
                <w:kern w:val="0"/>
                <w:lang w:val="zh-CN"/>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9</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潜望镜</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1台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10</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C</w:t>
            </w:r>
            <w:r>
              <w:rPr>
                <w:rFonts w:hint="eastAsia" w:ascii="仿宋_GB2312" w:hAnsi="宋体" w:eastAsia="仿宋_GB2312" w:cs="Arial"/>
                <w:kern w:val="0"/>
              </w:rPr>
              <w:t>CTV</w:t>
            </w:r>
            <w:r>
              <w:rPr>
                <w:rFonts w:hint="eastAsia" w:ascii="仿宋_GB2312" w:hAnsi="宋体" w:eastAsia="仿宋_GB2312" w:cs="Arial"/>
                <w:kern w:val="0"/>
                <w:lang w:val="zh-CN"/>
              </w:rPr>
              <w:t>管道检测仪</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w:t>
            </w:r>
            <w:r>
              <w:rPr>
                <w:rFonts w:hint="eastAsia" w:ascii="仿宋_GB2312" w:hAnsi="宋体" w:eastAsia="仿宋_GB2312" w:cs="Arial"/>
                <w:kern w:val="0"/>
                <w:lang w:val="zh-CN"/>
              </w:rPr>
              <w:t>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需要时及时提供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11</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气囊</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10</w:t>
            </w:r>
            <w:r>
              <w:rPr>
                <w:rFonts w:hint="eastAsia" w:ascii="仿宋_GB2312" w:hAnsi="宋体" w:eastAsia="仿宋_GB2312" w:cs="Arial"/>
                <w:kern w:val="0"/>
                <w:lang w:val="zh-CN"/>
              </w:rPr>
              <w:t>套</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适合养护管道的各种管径，需要时及时提供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12</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桥梁检测车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lang w:val="zh-CN"/>
              </w:rPr>
              <w:t>1辆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需要时及时提供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13</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切割机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5</w:t>
            </w:r>
            <w:r>
              <w:rPr>
                <w:rFonts w:hint="eastAsia" w:ascii="仿宋_GB2312" w:hAnsi="宋体" w:eastAsia="仿宋_GB2312" w:cs="Arial"/>
                <w:kern w:val="0"/>
                <w:lang w:val="zh-CN"/>
              </w:rPr>
              <w:t>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14</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铲车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lang w:val="zh-CN"/>
              </w:rPr>
              <w:t>1辆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15</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撒布机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lang w:val="zh-CN"/>
              </w:rPr>
              <w:t>1台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大于1吨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Cs w:val="22"/>
              </w:rPr>
            </w:pPr>
            <w:r>
              <w:rPr>
                <w:rFonts w:hint="eastAsia" w:ascii="仿宋_GB2312" w:hAnsi="宋体" w:eastAsia="仿宋_GB2312" w:cs="Arial"/>
                <w:kern w:val="0"/>
              </w:rPr>
              <w:t>16</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大型除雪设备</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2台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抗雪防冻期间投入东站的应急保障（单独用于本项目）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17</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扫雪设备</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2台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机动车辆加装式铲雪板、滚雪装备、加装式除雪板，抗雪防冻期间投入东站的应急保障（单独用于本项目）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zh-CN" w:eastAsia="zh-CN" w:bidi="ar-SA"/>
              </w:rPr>
            </w:pPr>
            <w:r>
              <w:rPr>
                <w:rFonts w:hint="eastAsia" w:ascii="仿宋_GB2312" w:hAnsi="宋体" w:eastAsia="仿宋_GB2312" w:cs="Arial"/>
                <w:kern w:val="0"/>
                <w:lang w:val="zh-CN"/>
              </w:rPr>
              <w:t>1</w:t>
            </w:r>
            <w:r>
              <w:rPr>
                <w:rFonts w:hint="eastAsia" w:ascii="仿宋_GB2312" w:hAnsi="宋体" w:eastAsia="仿宋_GB2312" w:cs="Arial"/>
                <w:kern w:val="0"/>
              </w:rPr>
              <w:t>8</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手推式扫雪车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8台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抗雪防冻期间投入东站的应急保障（单独用于本项目）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zh-CN" w:eastAsia="zh-CN" w:bidi="ar-SA"/>
              </w:rPr>
            </w:pPr>
            <w:r>
              <w:rPr>
                <w:rFonts w:hint="eastAsia" w:ascii="仿宋_GB2312" w:hAnsi="宋体" w:eastAsia="仿宋_GB2312" w:cs="Arial"/>
                <w:kern w:val="0"/>
                <w:lang w:val="zh-CN"/>
              </w:rPr>
              <w:t>1</w:t>
            </w:r>
            <w:r>
              <w:rPr>
                <w:rFonts w:hint="eastAsia" w:ascii="仿宋_GB2312" w:hAnsi="宋体" w:eastAsia="仿宋_GB2312" w:cs="Arial"/>
                <w:kern w:val="0"/>
              </w:rPr>
              <w:t>9</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rPr>
              <w:t>四轮电动车（巡逻）</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用于东站范围内的日常巡查（单独用于本项目）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zh-CN" w:eastAsia="zh-CN" w:bidi="ar-SA"/>
              </w:rPr>
            </w:pPr>
            <w:r>
              <w:rPr>
                <w:rFonts w:hint="eastAsia" w:ascii="仿宋_GB2312" w:hAnsi="宋体" w:eastAsia="仿宋_GB2312" w:cs="Arial"/>
                <w:kern w:val="0"/>
              </w:rPr>
              <w:t>20</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应急车辆</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2辆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（中标后一个月内提供到位）单独用于本项目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21</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应急发电机</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1台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50KW（单独用于本项目）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4"/>
                <w:lang w:val="en-US" w:eastAsia="zh-CN" w:bidi="ar-SA"/>
              </w:rPr>
            </w:pPr>
            <w:r>
              <w:rPr>
                <w:rFonts w:hint="eastAsia" w:ascii="仿宋_GB2312" w:hAnsi="宋体" w:eastAsia="仿宋_GB2312" w:cs="Arial"/>
                <w:kern w:val="0"/>
              </w:rPr>
              <w:t>22</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应急水泵</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8</w:t>
            </w:r>
            <w:r>
              <w:rPr>
                <w:rFonts w:hint="eastAsia" w:ascii="仿宋_GB2312" w:hAnsi="宋体" w:eastAsia="仿宋_GB2312" w:cs="Arial"/>
                <w:kern w:val="0"/>
                <w:lang w:val="zh-CN"/>
              </w:rPr>
              <w:t>套</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rPr>
              <w:t>300m³/h</w:t>
            </w:r>
            <w:r>
              <w:rPr>
                <w:rFonts w:hint="eastAsia" w:ascii="仿宋_GB2312" w:hAnsi="宋体" w:eastAsia="仿宋_GB2312" w:cs="Arial"/>
                <w:kern w:val="0"/>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23</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登高车</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2辆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需要时及时提供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24</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洒水车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w:t>
            </w:r>
            <w:r>
              <w:rPr>
                <w:rFonts w:hint="eastAsia" w:ascii="仿宋_GB2312" w:hAnsi="宋体" w:eastAsia="仿宋_GB2312" w:cs="Arial"/>
                <w:kern w:val="0"/>
                <w:lang w:val="zh-CN"/>
              </w:rPr>
              <w:t>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总重量≥15000千克（单独用于本项目）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25</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szCs w:val="22"/>
                <w:lang w:val="zh-CN"/>
              </w:rPr>
            </w:pPr>
            <w:r>
              <w:rPr>
                <w:rFonts w:hint="eastAsia" w:ascii="仿宋_GB2312" w:hAnsi="宋体" w:eastAsia="仿宋_GB2312" w:cs="Arial"/>
                <w:kern w:val="0"/>
                <w:lang w:val="zh-CN"/>
              </w:rPr>
              <w:t>多功能抑尘车</w:t>
            </w:r>
          </w:p>
        </w:tc>
        <w:tc>
          <w:tcPr>
            <w:tcW w:w="788"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rPr>
              <w:t>1辆</w:t>
            </w:r>
          </w:p>
        </w:tc>
        <w:tc>
          <w:tcPr>
            <w:tcW w:w="4707" w:type="dxa"/>
            <w:vAlign w:val="center"/>
          </w:tcPr>
          <w:p>
            <w:pPr>
              <w:autoSpaceDE w:val="0"/>
              <w:autoSpaceDN w:val="0"/>
              <w:adjustRightInd w:val="0"/>
              <w:spacing w:line="276" w:lineRule="auto"/>
              <w:jc w:val="center"/>
              <w:rPr>
                <w:rFonts w:ascii="仿宋_GB2312" w:hAnsi="宋体" w:eastAsia="仿宋_GB2312" w:cs="Arial"/>
                <w:kern w:val="0"/>
                <w:szCs w:val="22"/>
                <w:lang w:val="zh-CN"/>
              </w:rPr>
            </w:pPr>
            <w:r>
              <w:rPr>
                <w:rFonts w:hint="eastAsia" w:ascii="仿宋_GB2312" w:hAnsi="宋体" w:eastAsia="仿宋_GB2312" w:cs="Arial"/>
                <w:kern w:val="0"/>
                <w:lang w:val="zh-CN"/>
              </w:rPr>
              <w:t>总重量≥15000千克（单独用于本项目）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26</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rPr>
            </w:pPr>
            <w:r>
              <w:rPr>
                <w:rFonts w:hint="eastAsia" w:ascii="仿宋_GB2312" w:hAnsi="宋体" w:eastAsia="仿宋_GB2312" w:cs="Arial"/>
                <w:kern w:val="0"/>
              </w:rPr>
              <w:t>护栏冲洗车（双向）</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总重量≥</w:t>
            </w:r>
            <w:r>
              <w:rPr>
                <w:rFonts w:hint="eastAsia" w:ascii="仿宋_GB2312" w:hAnsi="宋体" w:eastAsia="仿宋_GB2312" w:cs="Arial"/>
                <w:kern w:val="0"/>
              </w:rPr>
              <w:t>7000</w:t>
            </w:r>
            <w:r>
              <w:rPr>
                <w:rFonts w:hint="eastAsia" w:ascii="仿宋_GB2312" w:hAnsi="宋体" w:eastAsia="仿宋_GB2312" w:cs="Arial"/>
                <w:kern w:val="0"/>
                <w:lang w:val="zh-CN"/>
              </w:rPr>
              <w:t>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27</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机扫车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w:t>
            </w:r>
            <w:r>
              <w:rPr>
                <w:rFonts w:hint="eastAsia" w:ascii="仿宋_GB2312" w:hAnsi="宋体" w:eastAsia="仿宋_GB2312" w:cs="Arial"/>
                <w:kern w:val="0"/>
                <w:lang w:val="zh-CN"/>
              </w:rPr>
              <w:t>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总重量≥1</w:t>
            </w:r>
            <w:r>
              <w:rPr>
                <w:rFonts w:hint="eastAsia" w:ascii="仿宋_GB2312" w:hAnsi="宋体" w:eastAsia="仿宋_GB2312" w:cs="Arial"/>
                <w:kern w:val="0"/>
              </w:rPr>
              <w:t>0</w:t>
            </w:r>
            <w:r>
              <w:rPr>
                <w:rFonts w:hint="eastAsia" w:ascii="仿宋_GB2312" w:hAnsi="宋体" w:eastAsia="仿宋_GB2312" w:cs="Arial"/>
                <w:kern w:val="0"/>
                <w:lang w:val="zh-CN"/>
              </w:rPr>
              <w:t>000千克（单独用于本项目）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28</w:t>
            </w:r>
          </w:p>
        </w:tc>
        <w:tc>
          <w:tcPr>
            <w:tcW w:w="2805" w:type="dxa"/>
            <w:vAlign w:val="center"/>
          </w:tcPr>
          <w:p>
            <w:pPr>
              <w:autoSpaceDE w:val="0"/>
              <w:autoSpaceDN w:val="0"/>
              <w:adjustRightInd w:val="0"/>
              <w:spacing w:line="276" w:lineRule="auto"/>
              <w:ind w:firstLine="210" w:firstLineChars="100"/>
              <w:jc w:val="center"/>
              <w:rPr>
                <w:rFonts w:ascii="仿宋_GB2312" w:hAnsi="宋体" w:eastAsia="仿宋_GB2312" w:cs="Arial"/>
                <w:kern w:val="0"/>
              </w:rPr>
            </w:pPr>
            <w:r>
              <w:rPr>
                <w:rFonts w:hint="eastAsia" w:ascii="仿宋_GB2312" w:hAnsi="宋体" w:eastAsia="仿宋_GB2312" w:cs="Arial"/>
                <w:kern w:val="0"/>
                <w:lang w:val="zh-CN"/>
              </w:rPr>
              <w:t>多功能洗扫车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2</w:t>
            </w:r>
            <w:r>
              <w:rPr>
                <w:rFonts w:hint="eastAsia" w:ascii="仿宋_GB2312" w:hAnsi="宋体" w:eastAsia="仿宋_GB2312" w:cs="Arial"/>
                <w:kern w:val="0"/>
                <w:lang w:val="zh-CN"/>
              </w:rPr>
              <w:t>辆</w:t>
            </w:r>
          </w:p>
        </w:tc>
        <w:tc>
          <w:tcPr>
            <w:tcW w:w="4707"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lang w:val="zh-CN"/>
              </w:rPr>
              <w:t>总重量≥</w:t>
            </w:r>
            <w:r>
              <w:rPr>
                <w:rFonts w:hint="eastAsia" w:ascii="仿宋_GB2312" w:hAnsi="宋体" w:eastAsia="仿宋_GB2312" w:cs="Arial"/>
                <w:kern w:val="0"/>
              </w:rPr>
              <w:t>6</w:t>
            </w:r>
            <w:r>
              <w:rPr>
                <w:rFonts w:hint="eastAsia" w:ascii="仿宋_GB2312" w:hAnsi="宋体" w:eastAsia="仿宋_GB2312" w:cs="Arial"/>
                <w:kern w:val="0"/>
                <w:lang w:val="zh-CN"/>
              </w:rPr>
              <w:t>000千克（单独用于本项目）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29</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rPr>
            </w:pPr>
            <w:r>
              <w:rPr>
                <w:rFonts w:hint="eastAsia" w:ascii="仿宋_GB2312" w:hAnsi="宋体" w:eastAsia="仿宋_GB2312" w:cs="Arial"/>
                <w:kern w:val="0"/>
                <w:lang w:val="zh-CN"/>
              </w:rPr>
              <w:t>高压冲洗车</w:t>
            </w:r>
            <w:r>
              <w:rPr>
                <w:rFonts w:hint="eastAsia" w:ascii="仿宋_GB2312" w:hAnsi="宋体" w:eastAsia="仿宋_GB2312" w:cs="Arial"/>
                <w:kern w:val="0"/>
              </w:rPr>
              <w:t>(清洗车)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1</w:t>
            </w:r>
            <w:r>
              <w:rPr>
                <w:rFonts w:hint="eastAsia" w:ascii="仿宋_GB2312" w:hAnsi="宋体" w:eastAsia="仿宋_GB2312" w:cs="Arial"/>
                <w:kern w:val="0"/>
                <w:lang w:val="zh-CN"/>
              </w:rPr>
              <w:t>辆</w:t>
            </w:r>
          </w:p>
        </w:tc>
        <w:tc>
          <w:tcPr>
            <w:tcW w:w="4707" w:type="dxa"/>
            <w:vAlign w:val="center"/>
          </w:tcPr>
          <w:p>
            <w:pPr>
              <w:tabs>
                <w:tab w:val="left" w:pos="1390"/>
              </w:tabs>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总重量≥</w:t>
            </w:r>
            <w:r>
              <w:rPr>
                <w:rFonts w:hint="eastAsia" w:ascii="仿宋_GB2312" w:hAnsi="宋体" w:eastAsia="仿宋_GB2312" w:cs="Arial"/>
                <w:kern w:val="0"/>
              </w:rPr>
              <w:t>15000</w:t>
            </w:r>
            <w:r>
              <w:rPr>
                <w:rFonts w:hint="eastAsia" w:ascii="仿宋_GB2312" w:hAnsi="宋体" w:eastAsia="仿宋_GB2312" w:cs="Arial"/>
                <w:kern w:val="0"/>
                <w:lang w:val="zh-CN"/>
              </w:rPr>
              <w:t>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30</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小型冲洗车（路面养护车）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3</w:t>
            </w:r>
            <w:r>
              <w:rPr>
                <w:rFonts w:hint="eastAsia" w:ascii="仿宋_GB2312" w:hAnsi="宋体" w:eastAsia="仿宋_GB2312" w:cs="Arial"/>
                <w:kern w:val="0"/>
                <w:lang w:val="zh-CN"/>
              </w:rPr>
              <w:t>辆</w:t>
            </w:r>
          </w:p>
        </w:tc>
        <w:tc>
          <w:tcPr>
            <w:tcW w:w="4707" w:type="dxa"/>
            <w:vAlign w:val="center"/>
          </w:tcPr>
          <w:p>
            <w:pPr>
              <w:tabs>
                <w:tab w:val="left" w:pos="1390"/>
              </w:tabs>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总重量≥</w:t>
            </w:r>
            <w:r>
              <w:rPr>
                <w:rFonts w:hint="eastAsia" w:ascii="仿宋_GB2312" w:hAnsi="宋体" w:eastAsia="仿宋_GB2312" w:cs="Arial"/>
                <w:kern w:val="0"/>
              </w:rPr>
              <w:t>1800</w:t>
            </w:r>
            <w:r>
              <w:rPr>
                <w:rFonts w:hint="eastAsia" w:ascii="仿宋_GB2312" w:hAnsi="宋体" w:eastAsia="仿宋_GB2312" w:cs="Arial"/>
                <w:kern w:val="0"/>
                <w:lang w:val="zh-CN"/>
              </w:rPr>
              <w:t>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31</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三轮电动保洁车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rPr>
              <w:t>24</w:t>
            </w:r>
            <w:r>
              <w:rPr>
                <w:rFonts w:hint="eastAsia" w:ascii="仿宋_GB2312" w:hAnsi="宋体" w:eastAsia="仿宋_GB2312" w:cs="Arial"/>
                <w:kern w:val="0"/>
                <w:lang w:val="zh-CN"/>
              </w:rPr>
              <w:t>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32</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桶装垃圾运输车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4台</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汽油的，单独用于本项目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33</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餐厨垃圾车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2台</w:t>
            </w:r>
          </w:p>
        </w:tc>
        <w:tc>
          <w:tcPr>
            <w:tcW w:w="4707"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lang w:val="zh-CN"/>
              </w:rPr>
              <w:t>总质量大于</w:t>
            </w:r>
            <w:r>
              <w:rPr>
                <w:rFonts w:hint="eastAsia" w:ascii="仿宋_GB2312" w:hAnsi="宋体" w:eastAsia="仿宋_GB2312" w:cs="Arial"/>
                <w:kern w:val="0"/>
              </w:rPr>
              <w:t>6000千克</w:t>
            </w:r>
            <w:r>
              <w:rPr>
                <w:rFonts w:hint="eastAsia" w:ascii="仿宋_GB2312" w:hAnsi="宋体" w:eastAsia="仿宋_GB2312" w:cs="Arial"/>
                <w:kern w:val="0"/>
                <w:lang w:val="zh-CN"/>
              </w:rPr>
              <w:t>（至少一台单独用于本项目）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34</w:t>
            </w:r>
          </w:p>
        </w:tc>
        <w:tc>
          <w:tcPr>
            <w:tcW w:w="2805"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流动回收车</w:t>
            </w:r>
          </w:p>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（回收可回收垃圾）</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2辆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35</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垃圾压缩车</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lang w:val="zh-CN"/>
              </w:rPr>
            </w:pPr>
            <w:r>
              <w:rPr>
                <w:rFonts w:hint="eastAsia" w:ascii="仿宋_GB2312" w:hAnsi="宋体" w:eastAsia="仿宋_GB2312" w:cs="Arial"/>
                <w:kern w:val="0"/>
                <w:lang w:val="zh-CN"/>
              </w:rPr>
              <w:t>1辆</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rPr>
              <w:t>5</w:t>
            </w:r>
            <w:r>
              <w:rPr>
                <w:rFonts w:hint="eastAsia" w:ascii="仿宋_GB2312" w:hAnsi="宋体" w:eastAsia="仿宋_GB2312" w:cs="Arial"/>
                <w:kern w:val="0"/>
                <w:lang w:val="zh-CN"/>
              </w:rPr>
              <w:t>吨以上（单独用于本项目）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94" w:type="dxa"/>
            <w:vAlign w:val="center"/>
          </w:tcPr>
          <w:p>
            <w:pPr>
              <w:autoSpaceDE w:val="0"/>
              <w:autoSpaceDN w:val="0"/>
              <w:adjustRightInd w:val="0"/>
              <w:spacing w:line="276" w:lineRule="auto"/>
              <w:jc w:val="center"/>
              <w:rPr>
                <w:rFonts w:hint="eastAsia" w:ascii="仿宋_GB2312" w:hAnsi="宋体" w:eastAsia="仿宋_GB2312" w:cs="Arial"/>
                <w:kern w:val="0"/>
                <w:szCs w:val="22"/>
                <w:lang w:eastAsia="zh-CN"/>
              </w:rPr>
            </w:pPr>
            <w:r>
              <w:rPr>
                <w:rFonts w:hint="eastAsia" w:ascii="仿宋_GB2312" w:hAnsi="宋体" w:eastAsia="仿宋_GB2312" w:cs="Arial"/>
                <w:kern w:val="0"/>
                <w:szCs w:val="22"/>
              </w:rPr>
              <w:t>3</w:t>
            </w:r>
            <w:r>
              <w:rPr>
                <w:rFonts w:hint="eastAsia" w:ascii="仿宋_GB2312" w:hAnsi="宋体" w:eastAsia="仿宋_GB2312" w:cs="Arial"/>
                <w:kern w:val="0"/>
                <w:szCs w:val="22"/>
                <w:lang w:val="en-US" w:eastAsia="zh-CN"/>
              </w:rPr>
              <w:t>6</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rPr>
              <w:t>鼓风机</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18台</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rPr>
            </w:pPr>
            <w:r>
              <w:rPr>
                <w:rFonts w:hint="eastAsia" w:ascii="仿宋_GB2312" w:hAnsi="宋体" w:eastAsia="仿宋_GB2312" w:cs="Arial"/>
                <w:kern w:val="0"/>
              </w:rPr>
              <w:t>用于公厕按需配置，每个厕所2台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4" w:type="dxa"/>
            <w:vAlign w:val="center"/>
          </w:tcPr>
          <w:p>
            <w:pPr>
              <w:autoSpaceDE w:val="0"/>
              <w:autoSpaceDN w:val="0"/>
              <w:adjustRightInd w:val="0"/>
              <w:spacing w:line="276" w:lineRule="auto"/>
              <w:jc w:val="center"/>
              <w:rPr>
                <w:rFonts w:hint="eastAsia" w:ascii="仿宋_GB2312" w:hAnsi="宋体" w:eastAsia="仿宋_GB2312" w:cs="Arial"/>
                <w:kern w:val="0"/>
                <w:szCs w:val="22"/>
                <w:lang w:eastAsia="zh-CN"/>
              </w:rPr>
            </w:pPr>
            <w:r>
              <w:rPr>
                <w:rFonts w:hint="eastAsia" w:ascii="仿宋_GB2312" w:hAnsi="宋体" w:eastAsia="仿宋_GB2312" w:cs="Arial"/>
                <w:kern w:val="0"/>
                <w:szCs w:val="22"/>
              </w:rPr>
              <w:t>3</w:t>
            </w:r>
            <w:r>
              <w:rPr>
                <w:rFonts w:hint="eastAsia" w:ascii="仿宋_GB2312" w:hAnsi="宋体" w:eastAsia="仿宋_GB2312" w:cs="Arial"/>
                <w:kern w:val="0"/>
                <w:szCs w:val="22"/>
                <w:lang w:val="en-US" w:eastAsia="zh-CN"/>
              </w:rPr>
              <w:t>7</w:t>
            </w:r>
          </w:p>
        </w:tc>
        <w:tc>
          <w:tcPr>
            <w:tcW w:w="2805"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rPr>
              <w:t>洗地机</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9台</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rPr>
            </w:pPr>
            <w:r>
              <w:rPr>
                <w:rFonts w:hint="eastAsia" w:ascii="仿宋_GB2312" w:hAnsi="宋体" w:eastAsia="仿宋_GB2312" w:cs="Arial"/>
                <w:kern w:val="0"/>
              </w:rPr>
              <w:t>用于公厕按需配置，每个厕所1台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4" w:type="dxa"/>
            <w:gridSpan w:val="4"/>
            <w:vAlign w:val="center"/>
          </w:tcPr>
          <w:p>
            <w:pPr>
              <w:autoSpaceDE w:val="0"/>
              <w:autoSpaceDN w:val="0"/>
              <w:adjustRightInd w:val="0"/>
              <w:spacing w:line="276" w:lineRule="auto"/>
              <w:ind w:firstLine="384"/>
              <w:jc w:val="left"/>
              <w:rPr>
                <w:rFonts w:ascii="仿宋_GB2312" w:hAnsi="宋体" w:eastAsia="仿宋_GB2312" w:cs="Arial"/>
                <w:kern w:val="0"/>
                <w:lang w:val="zh-CN"/>
              </w:rPr>
            </w:pPr>
            <w:r>
              <w:rPr>
                <w:rFonts w:hint="eastAsia" w:ascii="仿宋_GB2312" w:hAnsi="宋体" w:eastAsia="仿宋_GB2312" w:cs="Arial"/>
                <w:kern w:val="0"/>
              </w:rPr>
              <w:t>站内</w:t>
            </w:r>
            <w:r>
              <w:rPr>
                <w:rFonts w:hint="eastAsia" w:ascii="仿宋_GB2312" w:hAnsi="宋体" w:eastAsia="仿宋_GB2312" w:cs="Arial"/>
                <w:kern w:val="0"/>
                <w:lang w:val="zh-CN"/>
              </w:rPr>
              <w:t>二层平台设备单列：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38</w:t>
            </w:r>
          </w:p>
        </w:tc>
        <w:tc>
          <w:tcPr>
            <w:tcW w:w="2805"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大型驾驶多功能洗扫车</w:t>
            </w:r>
          </w:p>
        </w:tc>
        <w:tc>
          <w:tcPr>
            <w:tcW w:w="788"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1台</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工作效率大于5000㎡/h（单独用于二层平台）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39</w:t>
            </w:r>
          </w:p>
        </w:tc>
        <w:tc>
          <w:tcPr>
            <w:tcW w:w="2805"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中型多功能洗扫车</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1台</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单独用于二层平台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40</w:t>
            </w:r>
          </w:p>
        </w:tc>
        <w:tc>
          <w:tcPr>
            <w:tcW w:w="2805"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紧凑型驾驶多功能洗扫车（驾驶式洗地机）</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4台</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rPr>
              <w:t>用于二层平台人行区域4台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41</w:t>
            </w:r>
          </w:p>
        </w:tc>
        <w:tc>
          <w:tcPr>
            <w:tcW w:w="2805"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电动代步车</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4台</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rPr>
            </w:pPr>
            <w:r>
              <w:rPr>
                <w:rFonts w:hint="eastAsia" w:ascii="仿宋_GB2312" w:hAnsi="宋体" w:eastAsia="仿宋_GB2312" w:cs="Arial"/>
                <w:kern w:val="0"/>
              </w:rPr>
              <w:t>东西广场区域各2台，共4台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szCs w:val="22"/>
              </w:rPr>
              <w:t>42</w:t>
            </w:r>
          </w:p>
        </w:tc>
        <w:tc>
          <w:tcPr>
            <w:tcW w:w="2805"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三轮电动保洁车</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3辆</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单独用于二层平台。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94" w:type="dxa"/>
            <w:vAlign w:val="center"/>
          </w:tcPr>
          <w:p>
            <w:pPr>
              <w:autoSpaceDE w:val="0"/>
              <w:autoSpaceDN w:val="0"/>
              <w:adjustRightInd w:val="0"/>
              <w:spacing w:line="276" w:lineRule="auto"/>
              <w:jc w:val="center"/>
              <w:rPr>
                <w:rFonts w:hint="eastAsia" w:ascii="仿宋_GB2312" w:hAnsi="宋体" w:eastAsia="仿宋_GB2312" w:cs="Arial"/>
                <w:kern w:val="0"/>
                <w:szCs w:val="22"/>
                <w:lang w:eastAsia="zh-CN"/>
              </w:rPr>
            </w:pPr>
            <w:r>
              <w:rPr>
                <w:rFonts w:hint="eastAsia" w:ascii="仿宋_GB2312" w:hAnsi="宋体" w:eastAsia="仿宋_GB2312" w:cs="Arial"/>
                <w:kern w:val="0"/>
                <w:szCs w:val="22"/>
              </w:rPr>
              <w:t>4</w:t>
            </w:r>
            <w:r>
              <w:rPr>
                <w:rFonts w:hint="eastAsia" w:ascii="仿宋_GB2312" w:hAnsi="宋体" w:eastAsia="仿宋_GB2312" w:cs="Arial"/>
                <w:kern w:val="0"/>
                <w:szCs w:val="22"/>
                <w:lang w:val="en-US" w:eastAsia="zh-CN"/>
              </w:rPr>
              <w:t>3</w:t>
            </w:r>
          </w:p>
        </w:tc>
        <w:tc>
          <w:tcPr>
            <w:tcW w:w="2805"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lang w:val="zh-CN"/>
              </w:rPr>
              <w:t>小型冲洗车</w:t>
            </w:r>
          </w:p>
        </w:tc>
        <w:tc>
          <w:tcPr>
            <w:tcW w:w="788"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2辆</w:t>
            </w:r>
          </w:p>
        </w:tc>
        <w:tc>
          <w:tcPr>
            <w:tcW w:w="4707" w:type="dxa"/>
            <w:vAlign w:val="center"/>
          </w:tcPr>
          <w:p>
            <w:pPr>
              <w:autoSpaceDE w:val="0"/>
              <w:autoSpaceDN w:val="0"/>
              <w:adjustRightInd w:val="0"/>
              <w:spacing w:line="276" w:lineRule="auto"/>
              <w:ind w:firstLine="384"/>
              <w:jc w:val="center"/>
              <w:rPr>
                <w:rFonts w:ascii="仿宋_GB2312" w:hAnsi="宋体" w:eastAsia="仿宋_GB2312" w:cs="Arial"/>
                <w:kern w:val="0"/>
                <w:lang w:val="zh-CN"/>
              </w:rPr>
            </w:pPr>
            <w:r>
              <w:rPr>
                <w:rFonts w:hint="eastAsia" w:ascii="仿宋_GB2312" w:hAnsi="宋体" w:eastAsia="仿宋_GB2312" w:cs="Arial"/>
                <w:kern w:val="0"/>
                <w:lang w:val="zh-CN"/>
              </w:rPr>
              <w:t>总重量≥</w:t>
            </w:r>
            <w:r>
              <w:rPr>
                <w:rFonts w:hint="eastAsia" w:ascii="仿宋_GB2312" w:hAnsi="宋体" w:eastAsia="仿宋_GB2312" w:cs="Arial"/>
                <w:kern w:val="0"/>
              </w:rPr>
              <w:t>1800</w:t>
            </w:r>
            <w:r>
              <w:rPr>
                <w:rFonts w:hint="eastAsia" w:ascii="仿宋_GB2312" w:hAnsi="宋体" w:eastAsia="仿宋_GB2312" w:cs="Arial"/>
                <w:kern w:val="0"/>
                <w:lang w:val="zh-CN"/>
              </w:rPr>
              <w:t>千克（单独用于二层平台）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4" w:type="dxa"/>
            <w:gridSpan w:val="4"/>
            <w:vAlign w:val="center"/>
          </w:tcPr>
          <w:p>
            <w:pPr>
              <w:autoSpaceDE w:val="0"/>
              <w:autoSpaceDN w:val="0"/>
              <w:adjustRightInd w:val="0"/>
              <w:spacing w:line="276" w:lineRule="auto"/>
              <w:ind w:firstLine="384"/>
              <w:jc w:val="left"/>
              <w:rPr>
                <w:rFonts w:ascii="仿宋_GB2312" w:hAnsi="宋体" w:eastAsia="仿宋_GB2312" w:cs="Arial"/>
                <w:kern w:val="0"/>
              </w:rPr>
            </w:pPr>
            <w:r>
              <w:rPr>
                <w:rFonts w:hint="eastAsia" w:ascii="仿宋_GB2312" w:hAnsi="宋体" w:eastAsia="仿宋_GB2312" w:cs="Arial"/>
                <w:kern w:val="0"/>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4" w:type="dxa"/>
            <w:vAlign w:val="center"/>
          </w:tcPr>
          <w:p>
            <w:pPr>
              <w:autoSpaceDE w:val="0"/>
              <w:autoSpaceDN w:val="0"/>
              <w:adjustRightInd w:val="0"/>
              <w:spacing w:line="276" w:lineRule="auto"/>
              <w:jc w:val="center"/>
              <w:rPr>
                <w:rFonts w:hint="eastAsia" w:ascii="仿宋_GB2312" w:hAnsi="宋体" w:eastAsia="仿宋_GB2312" w:cs="Arial"/>
                <w:kern w:val="0"/>
                <w:szCs w:val="22"/>
                <w:lang w:eastAsia="zh-CN"/>
              </w:rPr>
            </w:pPr>
            <w:r>
              <w:rPr>
                <w:rFonts w:hint="eastAsia" w:ascii="仿宋_GB2312" w:hAnsi="宋体" w:eastAsia="仿宋_GB2312" w:cs="Arial"/>
                <w:kern w:val="0"/>
                <w:szCs w:val="22"/>
              </w:rPr>
              <w:t>4</w:t>
            </w:r>
            <w:r>
              <w:rPr>
                <w:rFonts w:hint="eastAsia" w:ascii="仿宋_GB2312" w:hAnsi="宋体" w:eastAsia="仿宋_GB2312" w:cs="Arial"/>
                <w:kern w:val="0"/>
                <w:szCs w:val="22"/>
                <w:lang w:val="en-US" w:eastAsia="zh-CN"/>
              </w:rPr>
              <w:t>4</w:t>
            </w:r>
          </w:p>
        </w:tc>
        <w:tc>
          <w:tcPr>
            <w:tcW w:w="2805" w:type="dxa"/>
            <w:vAlign w:val="center"/>
          </w:tcPr>
          <w:p>
            <w:pPr>
              <w:autoSpaceDE w:val="0"/>
              <w:autoSpaceDN w:val="0"/>
              <w:adjustRightInd w:val="0"/>
              <w:spacing w:line="276" w:lineRule="auto"/>
              <w:rPr>
                <w:rFonts w:ascii="仿宋_GB2312" w:hAnsi="宋体" w:eastAsia="仿宋_GB2312" w:cs="Arial"/>
                <w:kern w:val="0"/>
              </w:rPr>
            </w:pPr>
            <w:r>
              <w:rPr>
                <w:rFonts w:hint="eastAsia" w:ascii="仿宋_GB2312" w:hAnsi="宋体" w:eastAsia="仿宋_GB2312" w:cs="Arial"/>
                <w:kern w:val="0"/>
                <w:lang w:val="zh-CN"/>
              </w:rPr>
              <w:t>铁路四条匝道花箱</w:t>
            </w:r>
            <w:r>
              <w:rPr>
                <w:rFonts w:hint="eastAsia" w:ascii="仿宋_GB2312" w:hAnsi="宋体" w:eastAsia="仿宋_GB2312" w:cs="Arial"/>
                <w:kern w:val="0"/>
              </w:rPr>
              <w:t>综合养护</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1处</w:t>
            </w:r>
          </w:p>
        </w:tc>
        <w:tc>
          <w:tcPr>
            <w:tcW w:w="4707" w:type="dxa"/>
            <w:vAlign w:val="center"/>
          </w:tcPr>
          <w:p>
            <w:pPr>
              <w:autoSpaceDE w:val="0"/>
              <w:autoSpaceDN w:val="0"/>
              <w:adjustRightInd w:val="0"/>
              <w:spacing w:line="276" w:lineRule="auto"/>
              <w:jc w:val="center"/>
              <w:rPr>
                <w:rFonts w:ascii="仿宋_GB2312" w:hAnsi="宋体" w:eastAsia="仿宋_GB2312" w:cs="Arial"/>
                <w:kern w:val="0"/>
                <w:lang w:val="zh-CN"/>
              </w:rPr>
            </w:pPr>
            <w:r>
              <w:rPr>
                <w:rFonts w:hint="eastAsia" w:ascii="仿宋_GB2312" w:hAnsi="宋体" w:eastAsia="仿宋_GB2312" w:cs="Arial"/>
                <w:kern w:val="0"/>
              </w:rPr>
              <w:t>对四条匝道花箱进行综合养护工作</w:t>
            </w:r>
            <w:r>
              <w:rPr>
                <w:rFonts w:hint="eastAsia" w:ascii="仿宋_GB2312" w:hAnsi="宋体" w:eastAsia="仿宋_GB2312" w:cs="Arial"/>
                <w:kern w:val="0"/>
                <w:lang w:val="zh-CN"/>
              </w:rPr>
              <w:t>（含四季常绿</w:t>
            </w:r>
            <w:r>
              <w:rPr>
                <w:rFonts w:hint="eastAsia" w:ascii="仿宋_GB2312" w:hAnsi="宋体" w:eastAsia="仿宋_GB2312" w:cs="Arial"/>
                <w:kern w:val="0"/>
              </w:rPr>
              <w:t>花卉</w:t>
            </w:r>
            <w:r>
              <w:rPr>
                <w:rFonts w:hint="eastAsia" w:ascii="仿宋_GB2312" w:hAnsi="宋体" w:eastAsia="仿宋_GB2312" w:cs="Arial"/>
                <w:kern w:val="0"/>
                <w:lang w:val="zh-CN"/>
              </w:rPr>
              <w:t>植株、抗腐蚀抗</w:t>
            </w:r>
            <w:r>
              <w:rPr>
                <w:rFonts w:hint="eastAsia" w:ascii="仿宋_GB2312" w:hAnsi="宋体" w:eastAsia="仿宋_GB2312" w:cs="Arial"/>
                <w:kern w:val="0"/>
              </w:rPr>
              <w:t>暴晒</w:t>
            </w:r>
            <w:r>
              <w:rPr>
                <w:rFonts w:hint="eastAsia" w:ascii="仿宋_GB2312" w:hAnsi="宋体" w:eastAsia="仿宋_GB2312" w:cs="Arial"/>
                <w:kern w:val="0"/>
                <w:lang w:val="zh-CN"/>
              </w:rPr>
              <w:t>材质花箱、智能化滴灌系统及相关土建配套设施</w:t>
            </w:r>
            <w:r>
              <w:rPr>
                <w:rFonts w:hint="eastAsia" w:ascii="仿宋_GB2312" w:hAnsi="宋体" w:eastAsia="仿宋_GB2312" w:cs="Arial"/>
                <w:kern w:val="0"/>
              </w:rPr>
              <w:t>等</w:t>
            </w:r>
            <w:r>
              <w:rPr>
                <w:rFonts w:hint="eastAsia" w:ascii="仿宋_GB2312" w:hAnsi="宋体" w:eastAsia="仿宋_GB2312" w:cs="Arial"/>
                <w:kern w:val="0"/>
                <w:lang w:val="zh-CN"/>
              </w:rPr>
              <w:t>）。为保证开花效果，对影响匝道景观的花箱花卉进行更换调整，花卉品种由甲方指定，并有一定数量的备选花卉。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594" w:type="dxa"/>
            <w:vAlign w:val="center"/>
          </w:tcPr>
          <w:p>
            <w:pPr>
              <w:autoSpaceDE w:val="0"/>
              <w:autoSpaceDN w:val="0"/>
              <w:adjustRightInd w:val="0"/>
              <w:spacing w:line="276" w:lineRule="auto"/>
              <w:jc w:val="center"/>
              <w:rPr>
                <w:rFonts w:hint="eastAsia" w:ascii="仿宋_GB2312" w:hAnsi="宋体" w:eastAsia="仿宋_GB2312" w:cs="Arial"/>
                <w:kern w:val="0"/>
                <w:szCs w:val="22"/>
                <w:lang w:eastAsia="zh-CN"/>
              </w:rPr>
            </w:pPr>
            <w:r>
              <w:rPr>
                <w:rFonts w:hint="eastAsia" w:ascii="仿宋_GB2312" w:hAnsi="宋体" w:eastAsia="仿宋_GB2312" w:cs="Arial"/>
                <w:kern w:val="0"/>
                <w:szCs w:val="22"/>
              </w:rPr>
              <w:t>4</w:t>
            </w:r>
            <w:r>
              <w:rPr>
                <w:rFonts w:hint="eastAsia" w:ascii="仿宋_GB2312" w:hAnsi="宋体" w:eastAsia="仿宋_GB2312" w:cs="Arial"/>
                <w:kern w:val="0"/>
                <w:szCs w:val="22"/>
                <w:lang w:val="en-US" w:eastAsia="zh-CN"/>
              </w:rPr>
              <w:t>5</w:t>
            </w:r>
          </w:p>
        </w:tc>
        <w:tc>
          <w:tcPr>
            <w:tcW w:w="2805" w:type="dxa"/>
            <w:vAlign w:val="center"/>
          </w:tcPr>
          <w:p>
            <w:pPr>
              <w:autoSpaceDE w:val="0"/>
              <w:autoSpaceDN w:val="0"/>
              <w:adjustRightInd w:val="0"/>
              <w:spacing w:line="276" w:lineRule="auto"/>
              <w:rPr>
                <w:rFonts w:ascii="仿宋_GB2312" w:hAnsi="宋体" w:eastAsia="仿宋_GB2312" w:cs="Arial"/>
                <w:kern w:val="0"/>
              </w:rPr>
            </w:pPr>
            <w:r>
              <w:rPr>
                <w:rFonts w:hint="eastAsia" w:ascii="仿宋_GB2312" w:hAnsi="仿宋_GB2312" w:eastAsia="仿宋_GB2312" w:cs="仿宋_GB2312"/>
                <w:sz w:val="22"/>
                <w:lang w:val="zh-CN"/>
              </w:rPr>
              <w:t>在东站枢纽管辖范围内建立固定办公场所1处；</w:t>
            </w:r>
            <w:r>
              <w:rPr>
                <w:rFonts w:hint="eastAsia" w:ascii="仿宋_GB2312" w:hAnsi="仿宋_GB2312" w:eastAsia="仿宋_GB2312" w:cs="仿宋_GB2312"/>
                <w:sz w:val="22"/>
              </w:rPr>
              <w:t>设置</w:t>
            </w:r>
            <w:r>
              <w:rPr>
                <w:rFonts w:hint="eastAsia" w:ascii="仿宋_GB2312" w:hAnsi="仿宋_GB2312" w:eastAsia="仿宋_GB2312" w:cs="仿宋_GB2312"/>
                <w:sz w:val="22"/>
                <w:lang w:val="zh-CN"/>
              </w:rPr>
              <w:t>机械、设备、车辆停放及应急物资存放场所不少于</w:t>
            </w:r>
            <w:r>
              <w:rPr>
                <w:rFonts w:hint="eastAsia" w:ascii="仿宋_GB2312" w:hAnsi="仿宋_GB2312" w:eastAsia="仿宋_GB2312" w:cs="仿宋_GB2312"/>
                <w:sz w:val="22"/>
              </w:rPr>
              <w:t>2</w:t>
            </w:r>
            <w:r>
              <w:rPr>
                <w:rFonts w:hint="eastAsia" w:ascii="仿宋_GB2312" w:hAnsi="仿宋_GB2312" w:eastAsia="仿宋_GB2312" w:cs="仿宋_GB2312"/>
                <w:sz w:val="22"/>
                <w:lang w:val="zh-CN"/>
              </w:rPr>
              <w:t>处；设置大型车辆、设备停放场所</w:t>
            </w:r>
            <w:r>
              <w:rPr>
                <w:rFonts w:hint="eastAsia" w:ascii="仿宋_GB2312" w:hAnsi="仿宋_GB2312" w:eastAsia="仿宋_GB2312" w:cs="仿宋_GB2312"/>
                <w:sz w:val="22"/>
              </w:rPr>
              <w:t>1处；</w:t>
            </w:r>
            <w:r>
              <w:rPr>
                <w:rFonts w:hint="eastAsia" w:ascii="仿宋_GB2312" w:hAnsi="仿宋_GB2312" w:eastAsia="仿宋_GB2312" w:cs="仿宋_GB2312"/>
                <w:sz w:val="22"/>
                <w:lang w:val="zh-CN"/>
              </w:rPr>
              <w:t>增设东站范围内备用绿化培育场地</w:t>
            </w:r>
            <w:r>
              <w:rPr>
                <w:rFonts w:hint="eastAsia" w:ascii="仿宋_GB2312" w:hAnsi="仿宋_GB2312" w:eastAsia="仿宋_GB2312" w:cs="仿宋_GB2312"/>
                <w:sz w:val="22"/>
              </w:rPr>
              <w:t>1处；</w:t>
            </w:r>
            <w:r>
              <w:rPr>
                <w:rFonts w:hint="eastAsia" w:ascii="仿宋_GB2312" w:hAnsi="仿宋_GB2312" w:eastAsia="仿宋_GB2312" w:cs="仿宋_GB2312"/>
                <w:sz w:val="22"/>
                <w:lang w:val="zh-CN"/>
              </w:rPr>
              <w:t>改造东站花园兜街仓库1处（内部需设置驿站）；新增便民服务点一处。</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5处</w:t>
            </w:r>
          </w:p>
        </w:tc>
        <w:tc>
          <w:tcPr>
            <w:tcW w:w="4707" w:type="dxa"/>
            <w:vAlign w:val="center"/>
          </w:tcPr>
          <w:p>
            <w:pPr>
              <w:autoSpaceDE w:val="0"/>
              <w:autoSpaceDN w:val="0"/>
              <w:adjustRightInd w:val="0"/>
              <w:spacing w:line="276" w:lineRule="auto"/>
              <w:jc w:val="center"/>
              <w:rPr>
                <w:rFonts w:ascii="仿宋_GB2312" w:hAnsi="宋体"/>
                <w:kern w:val="0"/>
              </w:rPr>
            </w:pPr>
            <w:r>
              <w:rPr>
                <w:rFonts w:hint="eastAsia" w:ascii="仿宋_GB2312" w:hAnsi="宋体" w:eastAsia="仿宋_GB2312" w:cs="Arial"/>
                <w:kern w:val="0"/>
                <w:lang w:val="zh-CN"/>
              </w:rPr>
              <w:t>在中标公示结束后</w:t>
            </w:r>
            <w:r>
              <w:rPr>
                <w:rFonts w:hint="eastAsia" w:ascii="仿宋_GB2312" w:hAnsi="宋体" w:eastAsia="仿宋_GB2312" w:cs="Arial"/>
                <w:kern w:val="0"/>
              </w:rPr>
              <w:t>三</w:t>
            </w:r>
            <w:r>
              <w:rPr>
                <w:rFonts w:hint="eastAsia" w:ascii="仿宋_GB2312" w:hAnsi="宋体" w:eastAsia="仿宋_GB2312" w:cs="Arial"/>
                <w:kern w:val="0"/>
                <w:lang w:val="zh-CN"/>
              </w:rPr>
              <w:t>个月内完成办公室</w:t>
            </w:r>
            <w:r>
              <w:rPr>
                <w:rFonts w:hint="eastAsia" w:ascii="仿宋_GB2312" w:hAnsi="宋体" w:eastAsia="仿宋_GB2312" w:cs="Arial"/>
                <w:kern w:val="0"/>
              </w:rPr>
              <w:t>、应急仓库、绿化培育场地、便民服务点的建设、现有花园兜街仓库1处（内部需设置驿站）的改造。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2"/>
                <w:lang w:val="en-US" w:eastAsia="zh-CN" w:bidi="ar-SA"/>
              </w:rPr>
            </w:pPr>
            <w:r>
              <w:rPr>
                <w:rFonts w:hint="eastAsia" w:ascii="仿宋_GB2312" w:hAnsi="宋体" w:eastAsia="仿宋_GB2312" w:cs="Arial"/>
                <w:kern w:val="0"/>
              </w:rPr>
              <w:t>46</w:t>
            </w:r>
          </w:p>
        </w:tc>
        <w:tc>
          <w:tcPr>
            <w:tcW w:w="2805" w:type="dxa"/>
            <w:vAlign w:val="center"/>
          </w:tcPr>
          <w:p>
            <w:pPr>
              <w:adjustRightInd w:val="0"/>
              <w:snapToGrid w:val="0"/>
              <w:ind w:right="240"/>
              <w:rPr>
                <w:rFonts w:ascii="仿宋_GB2312" w:hAnsi="宋体" w:eastAsia="仿宋_GB2312" w:cs="Arial"/>
                <w:kern w:val="0"/>
              </w:rPr>
            </w:pPr>
            <w:r>
              <w:rPr>
                <w:rFonts w:hint="eastAsia" w:ascii="仿宋_GB2312" w:hAnsi="宋体" w:eastAsia="仿宋_GB2312" w:cs="Arial"/>
                <w:kern w:val="0"/>
              </w:rPr>
              <w:t>在东站枢纽管辖范围内建设不少于5处城管驿站</w:t>
            </w:r>
            <w:r>
              <w:rPr>
                <w:rFonts w:hint="eastAsia" w:ascii="仿宋_GB2312" w:hAnsi="宋体" w:eastAsia="仿宋_GB2312" w:cs="Arial"/>
                <w:kern w:val="0"/>
                <w:lang w:val="zh-CN"/>
              </w:rPr>
              <w:t>（车站东西两边各两处，二层平台东</w:t>
            </w:r>
            <w:r>
              <w:rPr>
                <w:rFonts w:hint="eastAsia" w:ascii="仿宋_GB2312" w:hAnsi="宋体" w:eastAsia="仿宋_GB2312" w:cs="Arial"/>
                <w:kern w:val="0"/>
              </w:rPr>
              <w:t>北</w:t>
            </w:r>
            <w:r>
              <w:rPr>
                <w:rFonts w:hint="eastAsia" w:ascii="仿宋_GB2312" w:hAnsi="宋体" w:eastAsia="仿宋_GB2312" w:cs="Arial"/>
                <w:kern w:val="0"/>
                <w:lang w:val="zh-CN"/>
              </w:rPr>
              <w:t>角一处），每处不少于30平方米，其中一处为花园兜仓库内部增设。</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5处</w:t>
            </w:r>
          </w:p>
        </w:tc>
        <w:tc>
          <w:tcPr>
            <w:tcW w:w="4707" w:type="dxa"/>
            <w:vAlign w:val="center"/>
          </w:tcPr>
          <w:p>
            <w:pPr>
              <w:autoSpaceDE w:val="0"/>
              <w:autoSpaceDN w:val="0"/>
              <w:adjustRightInd w:val="0"/>
              <w:spacing w:line="276" w:lineRule="auto"/>
              <w:jc w:val="center"/>
              <w:rPr>
                <w:rFonts w:ascii="仿宋_GB2312" w:hAnsi="宋体"/>
                <w:kern w:val="0"/>
                <w:lang w:val="zh-CN"/>
              </w:rPr>
            </w:pPr>
            <w:r>
              <w:rPr>
                <w:rFonts w:hint="eastAsia" w:ascii="仿宋_GB2312" w:hAnsi="宋体" w:eastAsia="仿宋_GB2312" w:cs="Arial"/>
                <w:kern w:val="0"/>
                <w:lang w:val="zh-CN"/>
              </w:rPr>
              <w:t>在中标公示结束后</w:t>
            </w:r>
            <w:r>
              <w:rPr>
                <w:rFonts w:hint="eastAsia" w:ascii="仿宋_GB2312" w:hAnsi="宋体" w:eastAsia="仿宋_GB2312" w:cs="Arial"/>
                <w:kern w:val="0"/>
              </w:rPr>
              <w:t>三个月</w:t>
            </w:r>
            <w:r>
              <w:rPr>
                <w:rFonts w:hint="eastAsia" w:ascii="仿宋_GB2312" w:hAnsi="宋体" w:eastAsia="仿宋_GB2312" w:cs="Arial"/>
                <w:kern w:val="0"/>
                <w:lang w:val="zh-CN"/>
              </w:rPr>
              <w:t>内完成</w:t>
            </w:r>
            <w:r>
              <w:rPr>
                <w:rFonts w:hint="eastAsia" w:ascii="仿宋_GB2312" w:hAnsi="宋体" w:eastAsia="仿宋_GB2312" w:cs="Arial"/>
                <w:kern w:val="0"/>
              </w:rPr>
              <w:t>建设。</w:t>
            </w:r>
            <w:r>
              <w:rPr>
                <w:rFonts w:hint="eastAsia" w:ascii="仿宋_GB2312" w:hAnsi="宋体" w:eastAsia="仿宋_GB2312" w:cs="Arial"/>
                <w:kern w:val="0"/>
                <w:lang w:val="zh-CN"/>
              </w:rPr>
              <w:t>若需沿用上年度中标单位的驿站，所移交驿站的相关建设费用由两家单位协商解决。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4"/>
                <w:lang w:val="en-US" w:eastAsia="zh-CN" w:bidi="ar-SA"/>
              </w:rPr>
            </w:pPr>
            <w:r>
              <w:rPr>
                <w:rFonts w:hint="eastAsia" w:ascii="仿宋_GB2312" w:hAnsi="宋体" w:eastAsia="仿宋_GB2312" w:cs="Arial"/>
                <w:kern w:val="0"/>
              </w:rPr>
              <w:t>47</w:t>
            </w:r>
          </w:p>
        </w:tc>
        <w:tc>
          <w:tcPr>
            <w:tcW w:w="2805" w:type="dxa"/>
            <w:vAlign w:val="center"/>
          </w:tcPr>
          <w:p>
            <w:pPr>
              <w:autoSpaceDE w:val="0"/>
              <w:autoSpaceDN w:val="0"/>
              <w:adjustRightInd w:val="0"/>
              <w:spacing w:line="276" w:lineRule="auto"/>
              <w:rPr>
                <w:rFonts w:ascii="仿宋_GB2312" w:hAnsi="宋体" w:eastAsia="仿宋_GB2312" w:cs="Arial"/>
                <w:kern w:val="0"/>
              </w:rPr>
            </w:pPr>
            <w:r>
              <w:rPr>
                <w:rFonts w:hint="eastAsia" w:ascii="仿宋_GB2312" w:hAnsi="宋体" w:eastAsia="仿宋_GB2312" w:cs="Arial"/>
                <w:kern w:val="0"/>
              </w:rPr>
              <w:t>建设“综合监管+管养”数字治理平台。</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1套</w:t>
            </w:r>
          </w:p>
        </w:tc>
        <w:tc>
          <w:tcPr>
            <w:tcW w:w="4707" w:type="dxa"/>
            <w:vAlign w:val="center"/>
          </w:tcPr>
          <w:p>
            <w:pPr>
              <w:autoSpaceDE w:val="0"/>
              <w:autoSpaceDN w:val="0"/>
              <w:adjustRightInd w:val="0"/>
              <w:spacing w:line="276" w:lineRule="auto"/>
              <w:jc w:val="center"/>
              <w:rPr>
                <w:rFonts w:ascii="仿宋_GB2312" w:hAnsi="宋体"/>
                <w:kern w:val="0"/>
              </w:rPr>
            </w:pPr>
            <w:r>
              <w:rPr>
                <w:rFonts w:hint="eastAsia" w:ascii="仿宋_GB2312" w:hAnsi="宋体" w:eastAsia="仿宋_GB2312" w:cs="Arial"/>
                <w:kern w:val="0"/>
                <w:lang w:val="zh-CN"/>
              </w:rPr>
              <w:t>搭建“综合监管+管养”数字治理平台，包含设施设备、运行、监达到数据互通互联，系统功能要包含对人员、机具、设备的全方位定位监管、运动轨迹、机械设备运行频率和状况等的可视化，同时实现问题整改落实的即时性。同时按照甲方要求做好相关数据的保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94" w:type="dxa"/>
            <w:vAlign w:val="center"/>
          </w:tcPr>
          <w:p>
            <w:pPr>
              <w:autoSpaceDE w:val="0"/>
              <w:autoSpaceDN w:val="0"/>
              <w:adjustRightInd w:val="0"/>
              <w:spacing w:line="276" w:lineRule="auto"/>
              <w:jc w:val="center"/>
              <w:rPr>
                <w:rFonts w:ascii="仿宋_GB2312" w:hAnsi="宋体" w:eastAsia="宋体" w:cs="Times New Roman"/>
                <w:kern w:val="0"/>
                <w:sz w:val="21"/>
                <w:szCs w:val="24"/>
                <w:lang w:val="en-US" w:eastAsia="zh-CN" w:bidi="ar-SA"/>
              </w:rPr>
            </w:pPr>
            <w:r>
              <w:rPr>
                <w:rFonts w:hint="eastAsia" w:ascii="仿宋_GB2312" w:hAnsi="宋体" w:eastAsia="仿宋_GB2312" w:cs="Arial"/>
                <w:kern w:val="0"/>
              </w:rPr>
              <w:t>48</w:t>
            </w:r>
          </w:p>
        </w:tc>
        <w:tc>
          <w:tcPr>
            <w:tcW w:w="2805" w:type="dxa"/>
            <w:vAlign w:val="center"/>
          </w:tcPr>
          <w:p>
            <w:pPr>
              <w:autoSpaceDE w:val="0"/>
              <w:autoSpaceDN w:val="0"/>
              <w:adjustRightInd w:val="0"/>
              <w:spacing w:line="276" w:lineRule="auto"/>
              <w:rPr>
                <w:rFonts w:ascii="仿宋_GB2312" w:hAnsi="宋体" w:eastAsia="仿宋_GB2312" w:cs="Arial"/>
                <w:kern w:val="0"/>
              </w:rPr>
            </w:pPr>
            <w:r>
              <w:rPr>
                <w:rFonts w:hint="eastAsia" w:ascii="仿宋_GB2312" w:hAnsi="宋体" w:eastAsia="仿宋_GB2312" w:cs="Arial"/>
                <w:color w:val="000000"/>
                <w:kern w:val="0"/>
              </w:rPr>
              <w:t>做好王家井天桥的综合一体化管养。新增一处不锈钢管理用房一处（15平方米左右）。</w:t>
            </w:r>
          </w:p>
        </w:tc>
        <w:tc>
          <w:tcPr>
            <w:tcW w:w="788" w:type="dxa"/>
            <w:vAlign w:val="center"/>
          </w:tcPr>
          <w:p>
            <w:pPr>
              <w:autoSpaceDE w:val="0"/>
              <w:autoSpaceDN w:val="0"/>
              <w:adjustRightInd w:val="0"/>
              <w:spacing w:line="276" w:lineRule="auto"/>
              <w:ind w:firstLine="31" w:firstLineChars="15"/>
              <w:jc w:val="center"/>
              <w:rPr>
                <w:rFonts w:ascii="仿宋_GB2312" w:hAnsi="宋体" w:eastAsia="仿宋_GB2312" w:cs="Arial"/>
                <w:kern w:val="0"/>
              </w:rPr>
            </w:pPr>
            <w:r>
              <w:rPr>
                <w:rFonts w:hint="eastAsia" w:ascii="仿宋_GB2312" w:hAnsi="宋体" w:eastAsia="仿宋_GB2312" w:cs="Arial"/>
                <w:kern w:val="0"/>
              </w:rPr>
              <w:t>--</w:t>
            </w:r>
          </w:p>
        </w:tc>
        <w:tc>
          <w:tcPr>
            <w:tcW w:w="4707" w:type="dxa"/>
            <w:vAlign w:val="center"/>
          </w:tcPr>
          <w:p>
            <w:pPr>
              <w:autoSpaceDE w:val="0"/>
              <w:autoSpaceDN w:val="0"/>
              <w:adjustRightInd w:val="0"/>
              <w:spacing w:line="276" w:lineRule="auto"/>
              <w:jc w:val="center"/>
              <w:rPr>
                <w:rFonts w:ascii="仿宋_GB2312" w:hAnsi="宋体" w:eastAsia="仿宋_GB2312" w:cs="Arial"/>
                <w:kern w:val="0"/>
              </w:rPr>
            </w:pPr>
            <w:r>
              <w:rPr>
                <w:rFonts w:hint="eastAsia" w:ascii="仿宋_GB2312" w:hAnsi="宋体" w:eastAsia="仿宋_GB2312" w:cs="Arial"/>
                <w:kern w:val="0"/>
              </w:rPr>
              <w:t>包含区域内日常环卫保洁、电梯日常养护、市政设施维护、亮化养护、电梯、监控等综合养护工作，新增一处不锈钢管理用房。每年不少于一次桥梁检测(甲方同意后可请第三方进行检测)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94" w:type="dxa"/>
            <w:vAlign w:val="center"/>
          </w:tcPr>
          <w:p>
            <w:pPr>
              <w:autoSpaceDE w:val="0"/>
              <w:autoSpaceDN w:val="0"/>
              <w:adjustRightInd w:val="0"/>
              <w:spacing w:line="276" w:lineRule="auto"/>
              <w:jc w:val="center"/>
              <w:rPr>
                <w:rFonts w:ascii="仿宋_GB2312" w:hAnsi="宋体" w:eastAsia="宋体" w:cs="Times New Roman"/>
                <w:kern w:val="0"/>
                <w:sz w:val="21"/>
                <w:szCs w:val="24"/>
                <w:lang w:val="en-US" w:eastAsia="zh-CN" w:bidi="ar-SA"/>
              </w:rPr>
            </w:pPr>
            <w:r>
              <w:rPr>
                <w:rFonts w:hint="eastAsia" w:ascii="仿宋_GB2312" w:hAnsi="宋体" w:eastAsia="仿宋_GB2312" w:cs="Arial"/>
                <w:kern w:val="0"/>
              </w:rPr>
              <w:t>49</w:t>
            </w:r>
          </w:p>
        </w:tc>
        <w:tc>
          <w:tcPr>
            <w:tcW w:w="2805" w:type="dxa"/>
            <w:vAlign w:val="center"/>
          </w:tcPr>
          <w:p>
            <w:pPr>
              <w:autoSpaceDE w:val="0"/>
              <w:autoSpaceDN w:val="0"/>
              <w:adjustRightInd w:val="0"/>
              <w:spacing w:line="276" w:lineRule="auto"/>
              <w:rPr>
                <w:rFonts w:ascii="仿宋_GB2312" w:hAnsi="宋体" w:eastAsia="宋体" w:cs="Times New Roman"/>
                <w:kern w:val="0"/>
                <w:sz w:val="21"/>
                <w:szCs w:val="24"/>
                <w:lang w:val="en-US" w:eastAsia="zh-CN" w:bidi="ar-SA"/>
              </w:rPr>
            </w:pPr>
            <w:r>
              <w:rPr>
                <w:rFonts w:hint="eastAsia" w:ascii="仿宋_GB2312" w:hAnsi="宋体" w:eastAsia="仿宋_GB2312" w:cs="Arial"/>
                <w:color w:val="000000"/>
                <w:kern w:val="0"/>
              </w:rPr>
              <w:t>做好东公交公厕污水管网及污水泵的养护维修更换。</w:t>
            </w:r>
          </w:p>
        </w:tc>
        <w:tc>
          <w:tcPr>
            <w:tcW w:w="788" w:type="dxa"/>
            <w:vAlign w:val="center"/>
          </w:tcPr>
          <w:p>
            <w:pPr>
              <w:autoSpaceDE w:val="0"/>
              <w:autoSpaceDN w:val="0"/>
              <w:adjustRightInd w:val="0"/>
              <w:spacing w:line="276" w:lineRule="auto"/>
              <w:ind w:firstLine="31" w:firstLineChars="15"/>
              <w:jc w:val="center"/>
              <w:rPr>
                <w:rFonts w:ascii="仿宋_GB2312" w:hAnsi="宋体" w:eastAsia="宋体" w:cs="Times New Roman"/>
                <w:kern w:val="0"/>
                <w:sz w:val="21"/>
                <w:szCs w:val="24"/>
                <w:lang w:val="en-US" w:eastAsia="zh-CN" w:bidi="ar-SA"/>
              </w:rPr>
            </w:pPr>
            <w:r>
              <w:rPr>
                <w:rFonts w:hint="eastAsia" w:ascii="仿宋_GB2312" w:hAnsi="宋体"/>
                <w:kern w:val="0"/>
              </w:rPr>
              <w:t>1处</w:t>
            </w:r>
          </w:p>
        </w:tc>
        <w:tc>
          <w:tcPr>
            <w:tcW w:w="4707" w:type="dxa"/>
            <w:vAlign w:val="center"/>
          </w:tcPr>
          <w:p>
            <w:pPr>
              <w:autoSpaceDE w:val="0"/>
              <w:autoSpaceDN w:val="0"/>
              <w:adjustRightInd w:val="0"/>
              <w:spacing w:line="276" w:lineRule="auto"/>
              <w:jc w:val="center"/>
              <w:rPr>
                <w:rFonts w:ascii="仿宋_GB2312" w:hAnsi="宋体" w:eastAsia="宋体" w:cs="Times New Roman"/>
                <w:kern w:val="0"/>
                <w:sz w:val="21"/>
                <w:szCs w:val="24"/>
                <w:lang w:val="en-US" w:eastAsia="zh-CN" w:bidi="ar-SA"/>
              </w:rPr>
            </w:pPr>
            <w:r>
              <w:rPr>
                <w:rFonts w:hint="eastAsia" w:ascii="仿宋_GB2312" w:hAnsi="宋体" w:eastAsia="仿宋_GB2312" w:cs="Arial"/>
                <w:kern w:val="0"/>
              </w:rPr>
              <w:t>包含泵房内设施设备的日常养护、维修、破损更换，保洁，泵房内需额外设置照明设施。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94" w:type="dxa"/>
            <w:vAlign w:val="center"/>
          </w:tcPr>
          <w:p>
            <w:pPr>
              <w:autoSpaceDE w:val="0"/>
              <w:autoSpaceDN w:val="0"/>
              <w:adjustRightInd w:val="0"/>
              <w:spacing w:line="276" w:lineRule="auto"/>
              <w:jc w:val="center"/>
              <w:rPr>
                <w:rFonts w:ascii="仿宋_GB2312" w:hAnsi="宋体" w:eastAsia="仿宋_GB2312" w:cs="Arial"/>
                <w:kern w:val="0"/>
                <w:sz w:val="21"/>
                <w:szCs w:val="24"/>
                <w:lang w:val="en-US" w:eastAsia="zh-CN" w:bidi="ar-SA"/>
              </w:rPr>
            </w:pPr>
            <w:r>
              <w:rPr>
                <w:rFonts w:hint="eastAsia" w:ascii="仿宋_GB2312" w:hAnsi="宋体" w:eastAsia="仿宋_GB2312" w:cs="Arial"/>
                <w:kern w:val="0"/>
              </w:rPr>
              <w:t>50</w:t>
            </w:r>
          </w:p>
        </w:tc>
        <w:tc>
          <w:tcPr>
            <w:tcW w:w="2805" w:type="dxa"/>
            <w:vAlign w:val="center"/>
          </w:tcPr>
          <w:p>
            <w:pPr>
              <w:autoSpaceDE w:val="0"/>
              <w:autoSpaceDN w:val="0"/>
              <w:adjustRightInd w:val="0"/>
              <w:spacing w:line="276" w:lineRule="auto"/>
              <w:jc w:val="center"/>
              <w:rPr>
                <w:rFonts w:ascii="仿宋_GB2312" w:hAnsi="宋体" w:eastAsia="仿宋_GB2312" w:cs="Arial"/>
                <w:kern w:val="0"/>
                <w:sz w:val="21"/>
                <w:szCs w:val="24"/>
                <w:lang w:val="en-US" w:eastAsia="zh-CN" w:bidi="ar-SA"/>
              </w:rPr>
            </w:pPr>
            <w:r>
              <w:rPr>
                <w:rFonts w:hint="eastAsia" w:ascii="仿宋_GB2312" w:hAnsi="宋体" w:eastAsia="仿宋_GB2312" w:cs="Arial"/>
                <w:kern w:val="0"/>
              </w:rPr>
              <w:t>做好亚运期间环境综合保障工作。</w:t>
            </w:r>
          </w:p>
        </w:tc>
        <w:tc>
          <w:tcPr>
            <w:tcW w:w="788" w:type="dxa"/>
            <w:vAlign w:val="center"/>
          </w:tcPr>
          <w:p>
            <w:pPr>
              <w:autoSpaceDE w:val="0"/>
              <w:autoSpaceDN w:val="0"/>
              <w:adjustRightInd w:val="0"/>
              <w:spacing w:line="276" w:lineRule="auto"/>
              <w:jc w:val="center"/>
              <w:rPr>
                <w:rFonts w:ascii="仿宋_GB2312" w:hAnsi="宋体" w:eastAsia="仿宋_GB2312" w:cs="Arial"/>
                <w:kern w:val="0"/>
                <w:sz w:val="21"/>
                <w:szCs w:val="24"/>
                <w:lang w:val="en-US" w:eastAsia="zh-CN" w:bidi="ar-SA"/>
              </w:rPr>
            </w:pPr>
            <w:r>
              <w:rPr>
                <w:rFonts w:hint="eastAsia" w:ascii="仿宋_GB2312" w:hAnsi="宋体" w:eastAsia="仿宋_GB2312" w:cs="Arial"/>
                <w:kern w:val="0"/>
              </w:rPr>
              <w:t>--</w:t>
            </w:r>
          </w:p>
        </w:tc>
        <w:tc>
          <w:tcPr>
            <w:tcW w:w="4707" w:type="dxa"/>
            <w:vAlign w:val="center"/>
          </w:tcPr>
          <w:p>
            <w:pPr>
              <w:autoSpaceDE w:val="0"/>
              <w:autoSpaceDN w:val="0"/>
              <w:adjustRightInd w:val="0"/>
              <w:spacing w:line="276" w:lineRule="auto"/>
              <w:jc w:val="center"/>
              <w:rPr>
                <w:rFonts w:ascii="仿宋_GB2312" w:hAnsi="宋体" w:eastAsia="仿宋_GB2312" w:cs="Arial"/>
                <w:kern w:val="0"/>
                <w:sz w:val="21"/>
                <w:szCs w:val="24"/>
                <w:lang w:val="en-US" w:eastAsia="zh-CN" w:bidi="ar-SA"/>
              </w:rPr>
            </w:pPr>
            <w:r>
              <w:rPr>
                <w:rFonts w:hint="eastAsia" w:ascii="仿宋_GB2312" w:hAnsi="宋体" w:eastAsia="仿宋_GB2312" w:cs="Arial"/>
                <w:kern w:val="0"/>
              </w:rPr>
              <w:t>做好一线工作人员储备、突发事件应急响应方案、高温期间机械化高效作业、开展迎亚运专项培训等。</w:t>
            </w:r>
          </w:p>
        </w:tc>
      </w:tr>
    </w:tbl>
    <w:p>
      <w:pPr>
        <w:widowControl/>
        <w:adjustRightInd w:val="0"/>
        <w:snapToGrid w:val="0"/>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rPr>
        <w:t xml:space="preserve">  </w:t>
      </w:r>
    </w:p>
    <w:p>
      <w:pPr>
        <w:widowControl/>
        <w:adjustRightInd w:val="0"/>
        <w:snapToGrid w:val="0"/>
        <w:ind w:firstLine="480" w:firstLineChars="200"/>
        <w:rPr>
          <w:rFonts w:ascii="仿宋_GB2312" w:hAnsi="仿宋_GB2312" w:eastAsia="仿宋_GB2312" w:cs="仿宋_GB2312"/>
          <w:color w:val="000000"/>
          <w:sz w:val="24"/>
          <w:szCs w:val="28"/>
          <w:lang w:val="zh-CN"/>
        </w:rPr>
      </w:pPr>
      <w:r>
        <w:rPr>
          <w:rFonts w:hint="eastAsia" w:ascii="仿宋_GB2312" w:hAnsi="仿宋_GB2312" w:eastAsia="仿宋_GB2312" w:cs="仿宋_GB2312"/>
          <w:color w:val="000000"/>
          <w:sz w:val="24"/>
          <w:szCs w:val="28"/>
          <w:lang w:val="zh-CN"/>
        </w:rPr>
        <w:t>备注：（1）其他相关设施设备按照行业主管部门要求进行配置。</w:t>
      </w:r>
    </w:p>
    <w:p>
      <w:pPr>
        <w:widowControl/>
        <w:adjustRightInd w:val="0"/>
        <w:snapToGrid w:val="0"/>
        <w:ind w:firstLine="480" w:firstLineChars="200"/>
        <w:rPr>
          <w:rFonts w:ascii="仿宋_GB2312" w:hAnsi="仿宋_GB2312" w:eastAsia="仿宋_GB2312" w:cs="仿宋_GB2312"/>
          <w:color w:val="000000"/>
          <w:sz w:val="24"/>
          <w:szCs w:val="28"/>
          <w:lang w:val="zh-CN"/>
        </w:rPr>
      </w:pPr>
      <w:r>
        <w:rPr>
          <w:rFonts w:hint="eastAsia" w:ascii="仿宋_GB2312" w:hAnsi="仿宋_GB2312" w:eastAsia="仿宋_GB2312" w:cs="仿宋_GB2312"/>
          <w:color w:val="000000"/>
          <w:sz w:val="24"/>
          <w:szCs w:val="28"/>
          <w:lang w:val="zh-CN"/>
        </w:rPr>
        <w:t>（2）机械设备需提供租赁凭证或自有发票、机动车登记证及行驶证复印件，原件备查；</w:t>
      </w:r>
    </w:p>
    <w:p>
      <w:pPr>
        <w:widowControl/>
        <w:adjustRightInd w:val="0"/>
        <w:snapToGrid w:val="0"/>
        <w:ind w:firstLine="480" w:firstLineChars="200"/>
        <w:rPr>
          <w:rFonts w:ascii="仿宋_GB2312" w:hAnsi="仿宋_GB2312" w:eastAsia="仿宋_GB2312" w:cs="仿宋_GB2312"/>
          <w:color w:val="auto"/>
          <w:sz w:val="24"/>
          <w:szCs w:val="28"/>
          <w:lang w:val="zh-CN"/>
        </w:rPr>
      </w:pPr>
      <w:r>
        <w:rPr>
          <w:rFonts w:hint="eastAsia" w:ascii="仿宋_GB2312" w:hAnsi="仿宋_GB2312" w:eastAsia="仿宋_GB2312" w:cs="仿宋_GB2312"/>
          <w:color w:val="000000"/>
          <w:sz w:val="24"/>
          <w:szCs w:val="28"/>
          <w:lang w:val="zh-CN"/>
        </w:rPr>
        <w:t>（3）</w:t>
      </w:r>
      <w:r>
        <w:rPr>
          <w:rFonts w:hint="eastAsia" w:ascii="仿宋_GB2312" w:hAnsi="仿宋_GB2312" w:eastAsia="仿宋_GB2312" w:cs="仿宋_GB2312"/>
          <w:color w:val="auto"/>
          <w:sz w:val="24"/>
          <w:szCs w:val="28"/>
          <w:lang w:val="zh-CN"/>
        </w:rPr>
        <w:t>其中智慧“综合监管+管养”平台方案、亚运期间综合保障方案、城管驿站建设方案需做现场演示。</w:t>
      </w:r>
    </w:p>
    <w:p>
      <w:pPr>
        <w:pStyle w:val="2"/>
        <w:rPr>
          <w:color w:val="auto"/>
          <w:lang w:val="zh-CN"/>
        </w:rPr>
      </w:pPr>
    </w:p>
    <w:p>
      <w:pPr>
        <w:widowControl/>
        <w:adjustRightInd w:val="0"/>
        <w:snapToGrid w:val="0"/>
        <w:ind w:firstLine="482" w:firstLineChars="200"/>
        <w:rPr>
          <w:rFonts w:ascii="仿宋_GB2312" w:hAnsi="仿宋_GB2312" w:eastAsia="仿宋_GB2312" w:cs="仿宋_GB2312"/>
          <w:b/>
          <w:bCs/>
          <w:sz w:val="24"/>
          <w:szCs w:val="28"/>
          <w:lang w:val="zh-CN"/>
        </w:rPr>
      </w:pPr>
      <w:r>
        <w:rPr>
          <w:rFonts w:hint="eastAsia" w:ascii="仿宋_GB2312" w:hAnsi="仿宋_GB2312" w:eastAsia="仿宋_GB2312" w:cs="仿宋_GB2312"/>
          <w:b/>
          <w:bCs/>
          <w:sz w:val="24"/>
          <w:szCs w:val="28"/>
        </w:rPr>
        <w:t>八</w:t>
      </w:r>
      <w:r>
        <w:rPr>
          <w:rFonts w:hint="eastAsia" w:ascii="仿宋_GB2312" w:hAnsi="仿宋_GB2312" w:eastAsia="仿宋_GB2312" w:cs="仿宋_GB2312"/>
          <w:b/>
          <w:bCs/>
          <w:sz w:val="24"/>
          <w:szCs w:val="28"/>
          <w:lang w:val="zh-CN"/>
        </w:rPr>
        <w:t>、其他事项</w:t>
      </w:r>
    </w:p>
    <w:p>
      <w:pPr>
        <w:widowControl/>
        <w:adjustRightInd w:val="0"/>
        <w:snapToGrid w:val="0"/>
        <w:ind w:firstLine="480" w:firstLineChars="200"/>
        <w:rPr>
          <w:rFonts w:ascii="仿宋_GB2312" w:hAnsi="仿宋_GB2312" w:eastAsia="仿宋_GB2312" w:cs="仿宋_GB2312"/>
          <w:b w:val="0"/>
          <w:bCs w:val="0"/>
          <w:color w:val="auto"/>
          <w:sz w:val="24"/>
          <w:szCs w:val="28"/>
          <w:lang w:val="zh-CN"/>
        </w:rPr>
      </w:pPr>
      <w:r>
        <w:rPr>
          <w:rFonts w:hint="eastAsia" w:ascii="仿宋_GB2312" w:hAnsi="仿宋_GB2312" w:eastAsia="仿宋_GB2312" w:cs="仿宋_GB2312"/>
          <w:b w:val="0"/>
          <w:bCs w:val="0"/>
          <w:color w:val="auto"/>
          <w:sz w:val="24"/>
          <w:szCs w:val="28"/>
          <w:lang w:val="zh-CN"/>
        </w:rPr>
        <w:t>1.本项目设讲标环节，内容包括</w:t>
      </w:r>
      <w:r>
        <w:rPr>
          <w:rFonts w:hint="eastAsia" w:ascii="仿宋_GB2312" w:hAnsi="仿宋_GB2312" w:eastAsia="仿宋_GB2312" w:cs="仿宋_GB2312"/>
          <w:b w:val="0"/>
          <w:bCs w:val="0"/>
          <w:color w:val="auto"/>
          <w:sz w:val="24"/>
          <w:szCs w:val="28"/>
        </w:rPr>
        <w:t>智慧“综合监管+管养”平台方案</w:t>
      </w:r>
      <w:r>
        <w:rPr>
          <w:rFonts w:hint="eastAsia" w:ascii="仿宋_GB2312" w:hAnsi="仿宋_GB2312" w:eastAsia="仿宋_GB2312" w:cs="仿宋_GB2312"/>
          <w:b w:val="0"/>
          <w:bCs w:val="0"/>
          <w:color w:val="auto"/>
          <w:sz w:val="24"/>
          <w:szCs w:val="28"/>
          <w:lang w:val="zh-CN"/>
        </w:rPr>
        <w:t>，亚运期间综合保障方案及城管驿站方案等</w:t>
      </w:r>
      <w:r>
        <w:rPr>
          <w:rFonts w:hint="eastAsia" w:ascii="仿宋_GB2312" w:hAnsi="仿宋_GB2312" w:eastAsia="仿宋_GB2312" w:cs="仿宋_GB2312"/>
          <w:b w:val="0"/>
          <w:bCs w:val="0"/>
          <w:color w:val="auto"/>
          <w:sz w:val="24"/>
          <w:szCs w:val="28"/>
          <w:lang w:val="en-US" w:eastAsia="zh-CN"/>
        </w:rPr>
        <w:t>三</w:t>
      </w:r>
      <w:r>
        <w:rPr>
          <w:rFonts w:hint="eastAsia" w:ascii="仿宋_GB2312" w:hAnsi="仿宋_GB2312" w:eastAsia="仿宋_GB2312" w:cs="仿宋_GB2312"/>
          <w:b w:val="0"/>
          <w:bCs w:val="0"/>
          <w:color w:val="auto"/>
          <w:sz w:val="24"/>
          <w:szCs w:val="28"/>
          <w:lang w:val="zh-CN"/>
        </w:rPr>
        <w:t>项内容，投标人需提前做好准备。</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2.请投标方根据装备清单和人力成本等因素，综合报价。</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3.利润及法规要求涉及的保障费用。防汛抗台、抗雪防冻、防疫物资、违法违章事件的劝阻和跟踪、突发事件应急处理、环境大整治、无障碍建设及重大活动保障等涉及应急抢险和管理的相关费用。投标方在投标综合报价时需充分考虑因涉及行业主管部门关于相关标准费用、人工最低工资标准等相关费用提升带来的因素，在合同期内采购方不予另行增加费用。</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4.本养护招标项目范围内养护用水、用电由中标人自理，并按时交纳水电费，甲方积极提供便利。养护用水、用电按实际用量结算，费用由中标人负担。</w:t>
      </w:r>
    </w:p>
    <w:p>
      <w:pPr>
        <w:widowControl/>
        <w:adjustRightInd w:val="0"/>
        <w:snapToGrid w:val="0"/>
        <w:ind w:firstLine="480" w:firstLineChars="200"/>
        <w:rPr>
          <w:rFonts w:ascii="仿宋_GB2312" w:hAnsi="仿宋_GB2312" w:eastAsia="仿宋_GB2312" w:cs="仿宋_GB2312"/>
          <w:sz w:val="24"/>
          <w:szCs w:val="28"/>
          <w:lang w:val="zh-CN"/>
        </w:rPr>
      </w:pPr>
      <w:r>
        <w:rPr>
          <w:rFonts w:hint="eastAsia" w:ascii="仿宋_GB2312" w:hAnsi="仿宋_GB2312" w:eastAsia="仿宋_GB2312" w:cs="仿宋_GB2312"/>
          <w:sz w:val="24"/>
          <w:szCs w:val="28"/>
          <w:lang w:val="zh-CN"/>
        </w:rPr>
        <w:t>5.项目中标后，采购方在签订合同20个工作日后会对设备进行验收，未达到要求的,将纳入考核。</w:t>
      </w:r>
    </w:p>
    <w:p>
      <w:pPr>
        <w:widowControl/>
        <w:adjustRightInd w:val="0"/>
        <w:snapToGrid w:val="0"/>
        <w:ind w:firstLine="480" w:firstLineChars="200"/>
        <w:rPr>
          <w:rFonts w:ascii="仿宋_GB2312" w:hAnsi="仿宋_GB2312" w:eastAsia="仿宋_GB2312" w:cs="仿宋_GB2312"/>
          <w:sz w:val="24"/>
          <w:szCs w:val="28"/>
          <w:lang w:val="zh-CN"/>
        </w:rPr>
        <w:sectPr>
          <w:footerReference r:id="rId4" w:type="default"/>
          <w:pgSz w:w="11906" w:h="16838"/>
          <w:pgMar w:top="2098" w:right="1474" w:bottom="1701" w:left="1588" w:header="851" w:footer="1588" w:gutter="0"/>
          <w:cols w:space="720" w:num="1"/>
          <w:docGrid w:linePitch="286" w:charSpace="0"/>
        </w:sectPr>
      </w:pPr>
    </w:p>
    <w:p>
      <w:pPr>
        <w:pStyle w:val="2"/>
        <w:spacing w:after="120" w:afterLines="50"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附表1：设施量</w:t>
      </w:r>
    </w:p>
    <w:p>
      <w:pPr>
        <w:spacing w:line="276" w:lineRule="auto"/>
        <w:jc w:val="center"/>
        <w:rPr>
          <w:rFonts w:ascii="仿宋_GB2312" w:hAnsi="宋体" w:eastAsia="仿宋_GB2312" w:cs="宋体"/>
          <w:b/>
          <w:color w:val="000000"/>
          <w:sz w:val="24"/>
        </w:rPr>
      </w:pPr>
      <w:r>
        <w:rPr>
          <w:rFonts w:hint="eastAsia" w:ascii="仿宋_GB2312" w:hAnsi="宋体" w:eastAsia="仿宋_GB2312" w:cs="宋体"/>
          <w:b/>
          <w:color w:val="000000"/>
          <w:sz w:val="24"/>
        </w:rPr>
        <w:t>市政道路设施量表</w:t>
      </w:r>
    </w:p>
    <w:tbl>
      <w:tblPr>
        <w:tblStyle w:val="41"/>
        <w:tblW w:w="13582" w:type="dxa"/>
        <w:tblInd w:w="0" w:type="dxa"/>
        <w:tblLayout w:type="fixed"/>
        <w:tblCellMar>
          <w:top w:w="15" w:type="dxa"/>
          <w:left w:w="15" w:type="dxa"/>
          <w:bottom w:w="15" w:type="dxa"/>
          <w:right w:w="15" w:type="dxa"/>
        </w:tblCellMar>
      </w:tblPr>
      <w:tblGrid>
        <w:gridCol w:w="600"/>
        <w:gridCol w:w="1230"/>
        <w:gridCol w:w="1708"/>
        <w:gridCol w:w="900"/>
        <w:gridCol w:w="855"/>
        <w:gridCol w:w="841"/>
        <w:gridCol w:w="855"/>
        <w:gridCol w:w="885"/>
        <w:gridCol w:w="750"/>
        <w:gridCol w:w="851"/>
        <w:gridCol w:w="792"/>
        <w:gridCol w:w="1290"/>
        <w:gridCol w:w="840"/>
        <w:gridCol w:w="1185"/>
      </w:tblGrid>
      <w:tr>
        <w:tblPrEx>
          <w:tblCellMar>
            <w:top w:w="15" w:type="dxa"/>
            <w:left w:w="15" w:type="dxa"/>
            <w:bottom w:w="15" w:type="dxa"/>
            <w:right w:w="15"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序号</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道路名称</w:t>
            </w: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起止点</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路长</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平石</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侧石</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路宽</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总面积</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其中</w:t>
            </w:r>
          </w:p>
        </w:tc>
        <w:tc>
          <w:tcPr>
            <w:tcW w:w="410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r>
              <w:rPr>
                <w:rFonts w:hint="eastAsia" w:ascii="仿宋_GB2312" w:hAnsi="宋体" w:eastAsia="仿宋_GB2312" w:cs="宋体"/>
                <w:color w:val="000000"/>
              </w:rPr>
              <w:t>桥梁</w:t>
            </w:r>
          </w:p>
        </w:tc>
      </w:tr>
      <w:tr>
        <w:tblPrEx>
          <w:tblCellMar>
            <w:top w:w="15" w:type="dxa"/>
            <w:left w:w="15" w:type="dxa"/>
            <w:bottom w:w="15" w:type="dxa"/>
            <w:right w:w="15" w:type="dxa"/>
          </w:tblCellMar>
        </w:tblPrEx>
        <w:trPr>
          <w:trHeight w:val="81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长度</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长度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车行道</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人行道</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支座数量</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伸缩缝数量、长度</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栏杆总长</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沉降观测点</w:t>
            </w:r>
          </w:p>
        </w:tc>
      </w:tr>
      <w:tr>
        <w:tblPrEx>
          <w:tblCellMar>
            <w:top w:w="15" w:type="dxa"/>
            <w:left w:w="15" w:type="dxa"/>
            <w:bottom w:w="15" w:type="dxa"/>
            <w:right w:w="15"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(M</w:t>
            </w:r>
            <w:r>
              <w:rPr>
                <w:rFonts w:ascii="仿宋_GB2312" w:eastAsia="仿宋_GB2312"/>
              </w:rPr>
              <w:t>2</w:t>
            </w:r>
            <w:r>
              <w:rPr>
                <w:rFonts w:ascii="仿宋_GB2312" w:hAnsi="宋体" w:eastAsia="仿宋_GB2312" w:cs="宋体"/>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(M</w:t>
            </w:r>
            <w:r>
              <w:rPr>
                <w:rFonts w:ascii="仿宋_GB2312" w:eastAsia="仿宋_GB2312"/>
              </w:rPr>
              <w:t>2</w:t>
            </w:r>
            <w:r>
              <w:rPr>
                <w:rFonts w:ascii="仿宋_GB2312" w:hAnsi="宋体" w:eastAsia="仿宋_GB2312" w:cs="宋体"/>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color w:val="000000"/>
              </w:rPr>
              <w:t>(M</w:t>
            </w:r>
            <w:r>
              <w:rPr>
                <w:rFonts w:ascii="仿宋_GB2312" w:eastAsia="仿宋_GB2312"/>
              </w:rPr>
              <w:t>2</w:t>
            </w:r>
            <w:r>
              <w:rPr>
                <w:rFonts w:ascii="仿宋_GB2312" w:hAnsi="宋体" w:eastAsia="仿宋_GB2312" w:cs="宋体"/>
                <w:color w:val="000000"/>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个</w:t>
            </w: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机场路-艮山西路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2585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17380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17380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36-50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81215</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64260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16955</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2/68;4/31</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47</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r>
      <w:tr>
        <w:tblPrEx>
          <w:tblCellMar>
            <w:top w:w="15" w:type="dxa"/>
            <w:left w:w="15" w:type="dxa"/>
            <w:bottom w:w="15" w:type="dxa"/>
            <w:right w:w="15"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和兴路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东宁路-环站东路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350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700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8820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6720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2100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72</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2/36.5</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58</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r>
      <w:tr>
        <w:tblPrEx>
          <w:tblCellMar>
            <w:top w:w="15" w:type="dxa"/>
            <w:left w:w="15" w:type="dxa"/>
            <w:bottom w:w="15" w:type="dxa"/>
            <w:right w:w="15"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鸿泰路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东宁路-环站东路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390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780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9360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6240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3120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无</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30</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r>
      <w:tr>
        <w:tblPrEx>
          <w:tblCellMar>
            <w:top w:w="15" w:type="dxa"/>
            <w:left w:w="15" w:type="dxa"/>
            <w:bottom w:w="15" w:type="dxa"/>
            <w:right w:w="15" w:type="dxa"/>
          </w:tblCellMar>
        </w:tblPrEx>
        <w:trPr>
          <w:trHeight w:val="570"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环站东路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天城路-环站南路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1277.8</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2555.6</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2555.6</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59700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52700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7000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4/3.9</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46</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四翼墙侧各一点</w:t>
            </w:r>
          </w:p>
        </w:tc>
      </w:tr>
      <w:tr>
        <w:tblPrEx>
          <w:tblCellMar>
            <w:top w:w="15" w:type="dxa"/>
            <w:left w:w="15" w:type="dxa"/>
            <w:bottom w:w="15" w:type="dxa"/>
            <w:right w:w="15" w:type="dxa"/>
          </w:tblCellMar>
        </w:tblPrEx>
        <w:trPr>
          <w:trHeight w:val="540" w:hRule="atLeast"/>
        </w:trPr>
        <w:tc>
          <w:tcPr>
            <w:tcW w:w="600"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环站东路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天城路</w:t>
            </w:r>
            <w:r>
              <w:rPr>
                <w:rFonts w:hint="eastAsia" w:ascii="仿宋_GB2312" w:hAnsi="宋体" w:eastAsia="仿宋_GB2312" w:cs="宋体"/>
                <w:color w:val="000000"/>
              </w:rPr>
              <w:t>-德胜东路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887</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6290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7860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31530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26210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5320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384</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2/96</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96</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w:t>
            </w:r>
          </w:p>
        </w:tc>
      </w:tr>
      <w:tr>
        <w:tblPrEx>
          <w:tblCellMar>
            <w:top w:w="15" w:type="dxa"/>
            <w:left w:w="15" w:type="dxa"/>
            <w:bottom w:w="15" w:type="dxa"/>
            <w:right w:w="15" w:type="dxa"/>
          </w:tblCellMar>
        </w:tblPrEx>
        <w:trPr>
          <w:trHeight w:val="48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花园兜街</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东宁路-二号港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824</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1648</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1648</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15064</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10120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4944</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5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花园兜街</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东宁路-天城路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232</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710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1170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4600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3280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1320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花园兜街</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二号港-环站东路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152</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304</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304</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3250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2340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910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2/14.6</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r>
      <w:tr>
        <w:tblPrEx>
          <w:tblCellMar>
            <w:top w:w="15" w:type="dxa"/>
            <w:left w:w="15" w:type="dxa"/>
            <w:bottom w:w="15" w:type="dxa"/>
            <w:right w:w="15" w:type="dxa"/>
          </w:tblCellMar>
        </w:tblPrEx>
        <w:trPr>
          <w:trHeight w:val="57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环站北路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环站西路-二号港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1160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1650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3300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28-41.5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25690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19420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6270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42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环站南路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东宁路-环站东路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1860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1860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32-46</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10610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8750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1860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环站南路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新风路-东宁路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1160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1030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7410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6060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1350</w:t>
            </w: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天城路-机场路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877</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4291</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4291     1619</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28-34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26970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23557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3413</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麦庙街</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环站西路-新风路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480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5708</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4559</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1149</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432"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全福桥路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机场路～西广场</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890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1650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3120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13404</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12458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946</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王家井街</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环站西路-新风路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275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484</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968</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5920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4270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1650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王家井街</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新风路-全福桥路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217</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440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660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5120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4470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650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东宁路-环站东路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308</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1848</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1848</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57</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11820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9980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1840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新塘支路-铁西路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475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1420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2140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20360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17430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2930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630" w:hRule="atLeast"/>
        </w:trPr>
        <w:tc>
          <w:tcPr>
            <w:tcW w:w="600"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东广场-东宁路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320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1380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1630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55.5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10030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9175</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855</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630" w:hRule="atLeast"/>
        </w:trPr>
        <w:tc>
          <w:tcPr>
            <w:tcW w:w="600"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运河北-新塘支路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1260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10140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9030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1110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王家井街-新塘路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690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1420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2140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18720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16080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2640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600" w:hRule="atLeast"/>
        </w:trPr>
        <w:tc>
          <w:tcPr>
            <w:tcW w:w="600"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王家井-机场路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6240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6240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36</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26520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21060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5460</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新塘路-艮山西路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831</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3145</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4700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36-40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27275</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22160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5115</w:t>
            </w:r>
          </w:p>
        </w:tc>
        <w:tc>
          <w:tcPr>
            <w:tcW w:w="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花园兜路-二号港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425.4</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2250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3000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63.5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12720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10570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2150</w:t>
            </w: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环站西路-新风路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260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1880</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2080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16640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10080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1820</w:t>
            </w: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学风巷</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环站北路-麦庙街</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415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1540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1540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学风直弄</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环站西路-学风巷</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183</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344</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1287</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1287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东西广场</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广场铺装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35553.6</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r>
              <w:rPr>
                <w:rFonts w:hint="eastAsia" w:ascii="仿宋_GB2312" w:hAnsi="宋体" w:eastAsia="仿宋_GB2312" w:cs="宋体"/>
                <w:color w:val="000000"/>
              </w:rPr>
              <w:t>35553.6</w:t>
            </w: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r>
      <w:tr>
        <w:tblPrEx>
          <w:tblCellMar>
            <w:top w:w="15" w:type="dxa"/>
            <w:left w:w="15" w:type="dxa"/>
            <w:bottom w:w="15" w:type="dxa"/>
            <w:right w:w="15"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二层平台</w:t>
            </w:r>
          </w:p>
        </w:tc>
        <w:tc>
          <w:tcPr>
            <w:tcW w:w="170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道板砖、沥青等</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48697</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30777</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r>
              <w:rPr>
                <w:rFonts w:hint="eastAsia" w:ascii="仿宋_GB2312" w:hAnsi="宋体" w:eastAsia="仿宋_GB2312" w:cs="宋体"/>
                <w:color w:val="000000"/>
              </w:rPr>
              <w:t>17920</w:t>
            </w:r>
          </w:p>
        </w:tc>
        <w:tc>
          <w:tcPr>
            <w:tcW w:w="7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p>
        </w:tc>
      </w:tr>
    </w:tbl>
    <w:p>
      <w:pPr>
        <w:pStyle w:val="2"/>
      </w:pPr>
    </w:p>
    <w:p>
      <w:pPr>
        <w:pStyle w:val="2"/>
      </w:pPr>
    </w:p>
    <w:p>
      <w:pPr>
        <w:rPr>
          <w:rFonts w:ascii="仿宋_GB2312" w:hAnsi="宋体" w:eastAsia="仿宋_GB2312" w:cs="宋体"/>
          <w:color w:val="000000"/>
          <w:sz w:val="24"/>
        </w:rPr>
      </w:pPr>
    </w:p>
    <w:p>
      <w:pPr>
        <w:spacing w:line="276" w:lineRule="auto"/>
        <w:jc w:val="center"/>
        <w:rPr>
          <w:rFonts w:ascii="仿宋_GB2312" w:hAnsi="宋体" w:eastAsia="仿宋_GB2312" w:cs="宋体"/>
          <w:b/>
          <w:color w:val="000000"/>
          <w:sz w:val="24"/>
        </w:rPr>
      </w:pPr>
      <w:r>
        <w:rPr>
          <w:rFonts w:hint="eastAsia" w:ascii="仿宋_GB2312" w:hAnsi="宋体" w:eastAsia="仿宋_GB2312" w:cs="宋体"/>
          <w:b/>
          <w:color w:val="000000"/>
          <w:sz w:val="24"/>
        </w:rPr>
        <w:t>雨水管网设施量</w:t>
      </w:r>
    </w:p>
    <w:tbl>
      <w:tblPr>
        <w:tblStyle w:val="41"/>
        <w:tblW w:w="14718" w:type="dxa"/>
        <w:tblInd w:w="-694" w:type="dxa"/>
        <w:tblLayout w:type="fixed"/>
        <w:tblCellMar>
          <w:top w:w="15" w:type="dxa"/>
          <w:left w:w="15" w:type="dxa"/>
          <w:bottom w:w="15" w:type="dxa"/>
          <w:right w:w="15" w:type="dxa"/>
        </w:tblCellMar>
      </w:tblPr>
      <w:tblGrid>
        <w:gridCol w:w="362"/>
        <w:gridCol w:w="1056"/>
        <w:gridCol w:w="1149"/>
        <w:gridCol w:w="3260"/>
        <w:gridCol w:w="3387"/>
        <w:gridCol w:w="992"/>
        <w:gridCol w:w="993"/>
        <w:gridCol w:w="975"/>
        <w:gridCol w:w="584"/>
        <w:gridCol w:w="850"/>
        <w:gridCol w:w="1110"/>
      </w:tblGrid>
      <w:tr>
        <w:tblPrEx>
          <w:tblCellMar>
            <w:top w:w="15" w:type="dxa"/>
            <w:left w:w="15" w:type="dxa"/>
            <w:bottom w:w="15" w:type="dxa"/>
            <w:right w:w="15" w:type="dxa"/>
          </w:tblCellMar>
        </w:tblPrEx>
        <w:trPr>
          <w:trHeight w:val="285"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序号</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所属道路名称</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起止点</w:t>
            </w:r>
          </w:p>
        </w:tc>
        <w:tc>
          <w:tcPr>
            <w:tcW w:w="12151"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雨水管道</w:t>
            </w:r>
          </w:p>
        </w:tc>
      </w:tr>
      <w:tr>
        <w:tblPrEx>
          <w:tblCellMar>
            <w:top w:w="15" w:type="dxa"/>
            <w:left w:w="15" w:type="dxa"/>
            <w:bottom w:w="15" w:type="dxa"/>
            <w:right w:w="15" w:type="dxa"/>
          </w:tblCellMar>
        </w:tblPrEx>
        <w:trPr>
          <w:trHeight w:val="285"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326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干管材质、管径MM       及长度（M）</w:t>
            </w:r>
          </w:p>
        </w:tc>
        <w:tc>
          <w:tcPr>
            <w:tcW w:w="338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支管材质、管径MM   及长度（M）</w:t>
            </w:r>
          </w:p>
        </w:tc>
        <w:tc>
          <w:tcPr>
            <w:tcW w:w="4394" w:type="dxa"/>
            <w:gridSpan w:val="5"/>
            <w:tcBorders>
              <w:top w:val="single" w:color="000000" w:sz="4" w:space="0"/>
              <w:left w:val="single" w:color="000000" w:sz="4" w:space="0"/>
              <w:bottom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其中</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排水终端及其标高(M)</w:t>
            </w:r>
          </w:p>
        </w:tc>
      </w:tr>
      <w:tr>
        <w:tblPrEx>
          <w:tblCellMar>
            <w:top w:w="15" w:type="dxa"/>
            <w:left w:w="15" w:type="dxa"/>
            <w:bottom w:w="15" w:type="dxa"/>
            <w:right w:w="15" w:type="dxa"/>
          </w:tblCellMar>
        </w:tblPrEx>
        <w:trPr>
          <w:trHeight w:val="480"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3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33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干管总长(M)</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支管总长(M)</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合计总长（M）</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检查井座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收水井</w:t>
            </w: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1225"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机场路-艮山西路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D300砼管230M    D400砼管106M     D500砼管199M    D600砼管648M    D800砼管646M    D1000砼管383M   D1200砼管33M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D225砼管670M  D300砼管1360M  D400砼管45M D500砼管650M    D600砼管200M    D800砼管41M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2245</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2966</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5211</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280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1.831</w:t>
            </w:r>
          </w:p>
        </w:tc>
      </w:tr>
      <w:tr>
        <w:tblPrEx>
          <w:tblCellMar>
            <w:top w:w="15" w:type="dxa"/>
            <w:left w:w="15" w:type="dxa"/>
            <w:bottom w:w="15" w:type="dxa"/>
            <w:right w:w="15" w:type="dxa"/>
          </w:tblCellMar>
        </w:tblPrEx>
        <w:trPr>
          <w:trHeight w:val="765"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和兴路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东宁路-环站东路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w:t>
            </w:r>
            <w:r>
              <w:rPr>
                <w:rFonts w:hint="eastAsia" w:ascii="仿宋_GB2312" w:hAnsi="宋体" w:eastAsia="仿宋_GB2312" w:cs="宋体"/>
              </w:rPr>
              <w:t>： 300(25m)</w:t>
            </w:r>
            <w:r>
              <w:rPr>
                <w:rFonts w:ascii="仿宋_GB2312" w:hAnsi="宋体" w:eastAsia="仿宋_GB2312" w:cs="宋体"/>
              </w:rPr>
              <w:t>，</w:t>
            </w:r>
            <w:r>
              <w:rPr>
                <w:rFonts w:hint="eastAsia" w:ascii="仿宋_GB2312" w:hAnsi="宋体" w:eastAsia="仿宋_GB2312" w:cs="宋体"/>
              </w:rPr>
              <w:t xml:space="preserve">600(291m),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225(126m)300(21m) </w:t>
            </w:r>
          </w:p>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400(39m) 500(45m)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316</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231</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547</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二号港河</w:t>
            </w:r>
          </w:p>
        </w:tc>
      </w:tr>
      <w:tr>
        <w:tblPrEx>
          <w:tblCellMar>
            <w:top w:w="15" w:type="dxa"/>
            <w:left w:w="15" w:type="dxa"/>
            <w:bottom w:w="15" w:type="dxa"/>
            <w:right w:w="15" w:type="dxa"/>
          </w:tblCellMar>
        </w:tblPrEx>
        <w:trPr>
          <w:trHeight w:val="857"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鸿泰路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东宁路-环站东路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钢筋混凝土管；D</w:t>
            </w:r>
            <w:r>
              <w:rPr>
                <w:rFonts w:hint="eastAsia" w:ascii="仿宋_GB2312" w:hAnsi="宋体" w:eastAsia="仿宋_GB2312" w:cs="宋体"/>
              </w:rPr>
              <w:t>1200</w:t>
            </w:r>
            <w:r>
              <w:rPr>
                <w:rFonts w:ascii="仿宋_GB2312" w:hAnsi="宋体" w:eastAsia="仿宋_GB2312" w:cs="宋体"/>
              </w:rPr>
              <w:t>（155</w:t>
            </w:r>
            <w:r>
              <w:rPr>
                <w:rFonts w:hint="eastAsia" w:ascii="仿宋_GB2312" w:hAnsi="宋体" w:eastAsia="仿宋_GB2312" w:cs="宋体"/>
              </w:rPr>
              <w:t>m</w:t>
            </w:r>
            <w:r>
              <w:rPr>
                <w:rFonts w:ascii="仿宋_GB2312" w:hAnsi="宋体" w:eastAsia="仿宋_GB2312" w:cs="宋体"/>
              </w:rPr>
              <w:t>），D</w:t>
            </w:r>
            <w:r>
              <w:rPr>
                <w:rFonts w:hint="eastAsia" w:ascii="仿宋_GB2312" w:hAnsi="宋体" w:eastAsia="仿宋_GB2312" w:cs="宋体"/>
              </w:rPr>
              <w:t>600</w:t>
            </w:r>
            <w:r>
              <w:rPr>
                <w:rFonts w:ascii="仿宋_GB2312" w:hAnsi="宋体" w:eastAsia="仿宋_GB2312" w:cs="宋体"/>
              </w:rPr>
              <w:t>（104</w:t>
            </w:r>
            <w:r>
              <w:rPr>
                <w:rFonts w:hint="eastAsia" w:ascii="仿宋_GB2312" w:hAnsi="宋体" w:eastAsia="仿宋_GB2312" w:cs="宋体"/>
              </w:rPr>
              <w:t>m</w:t>
            </w:r>
            <w:r>
              <w:rPr>
                <w:rFonts w:ascii="仿宋_GB2312" w:hAnsi="宋体" w:eastAsia="仿宋_GB2312" w:cs="宋体"/>
              </w:rPr>
              <w:t>），D</w:t>
            </w:r>
            <w:r>
              <w:rPr>
                <w:rFonts w:hint="eastAsia" w:ascii="仿宋_GB2312" w:hAnsi="宋体" w:eastAsia="仿宋_GB2312" w:cs="宋体"/>
              </w:rPr>
              <w:t>300(60m)</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钢筋砼管D500（42m），D400（13m），D300(137m)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319</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192</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511</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841"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花园兜街</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东宁路-二号港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混凝土管</w:t>
            </w:r>
            <w:r>
              <w:rPr>
                <w:rFonts w:hint="eastAsia" w:ascii="仿宋_GB2312" w:hAnsi="宋体" w:eastAsia="仿宋_GB2312" w:cs="宋体"/>
              </w:rPr>
              <w:t>D500</w:t>
            </w:r>
            <w:r>
              <w:rPr>
                <w:rFonts w:ascii="仿宋_GB2312" w:hAnsi="宋体" w:eastAsia="仿宋_GB2312" w:cs="宋体"/>
              </w:rPr>
              <w:t>（</w:t>
            </w:r>
            <w:r>
              <w:rPr>
                <w:rFonts w:hint="eastAsia" w:ascii="仿宋_GB2312" w:hAnsi="宋体" w:eastAsia="仿宋_GB2312" w:cs="宋体"/>
              </w:rPr>
              <w:t>13</w:t>
            </w:r>
            <w:r>
              <w:rPr>
                <w:rFonts w:ascii="仿宋_GB2312" w:hAnsi="宋体" w:eastAsia="仿宋_GB2312" w:cs="宋体"/>
              </w:rPr>
              <w:t>米）；</w:t>
            </w:r>
            <w:r>
              <w:rPr>
                <w:rFonts w:hint="eastAsia" w:ascii="仿宋_GB2312" w:hAnsi="宋体" w:eastAsia="仿宋_GB2312" w:cs="宋体"/>
              </w:rPr>
              <w:t>D1000</w:t>
            </w:r>
            <w:r>
              <w:rPr>
                <w:rFonts w:ascii="仿宋_GB2312" w:hAnsi="宋体" w:eastAsia="仿宋_GB2312" w:cs="宋体"/>
              </w:rPr>
              <w:t>（</w:t>
            </w:r>
            <w:r>
              <w:rPr>
                <w:rFonts w:hint="eastAsia" w:ascii="仿宋_GB2312" w:hAnsi="宋体" w:eastAsia="仿宋_GB2312" w:cs="宋体"/>
              </w:rPr>
              <w:t>101</w:t>
            </w:r>
            <w:r>
              <w:rPr>
                <w:rFonts w:ascii="仿宋_GB2312" w:hAnsi="宋体" w:eastAsia="仿宋_GB2312" w:cs="宋体"/>
              </w:rPr>
              <w:t>米）</w:t>
            </w:r>
            <w:r>
              <w:rPr>
                <w:rFonts w:hint="eastAsia" w:ascii="仿宋_GB2312" w:hAnsi="宋体" w:eastAsia="仿宋_GB2312" w:cs="宋体"/>
              </w:rPr>
              <w:t>D1200</w:t>
            </w:r>
            <w:r>
              <w:rPr>
                <w:rFonts w:ascii="仿宋_GB2312" w:hAnsi="宋体" w:eastAsia="仿宋_GB2312" w:cs="宋体"/>
              </w:rPr>
              <w:t>（</w:t>
            </w:r>
            <w:r>
              <w:rPr>
                <w:rFonts w:hint="eastAsia" w:ascii="仿宋_GB2312" w:hAnsi="宋体" w:eastAsia="仿宋_GB2312" w:cs="宋体"/>
              </w:rPr>
              <w:t>185</w:t>
            </w:r>
            <w:r>
              <w:rPr>
                <w:rFonts w:ascii="仿宋_GB2312" w:hAnsi="宋体" w:eastAsia="仿宋_GB2312" w:cs="宋体"/>
              </w:rPr>
              <w:t>米）。</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rPr>
              <w:t>HDPE</w:t>
            </w:r>
            <w:r>
              <w:rPr>
                <w:rFonts w:ascii="仿宋_GB2312" w:hAnsi="宋体" w:eastAsia="仿宋_GB2312" w:cs="宋体"/>
              </w:rPr>
              <w:t>管道，</w:t>
            </w:r>
            <w:r>
              <w:rPr>
                <w:rFonts w:hint="eastAsia" w:ascii="仿宋_GB2312" w:hAnsi="宋体" w:eastAsia="仿宋_GB2312" w:cs="宋体"/>
              </w:rPr>
              <w:t>D225</w:t>
            </w:r>
            <w:r>
              <w:rPr>
                <w:rFonts w:ascii="仿宋_GB2312" w:hAnsi="宋体" w:eastAsia="仿宋_GB2312" w:cs="宋体"/>
              </w:rPr>
              <w:t>，</w:t>
            </w:r>
            <w:r>
              <w:rPr>
                <w:rFonts w:hint="eastAsia" w:ascii="仿宋_GB2312" w:hAnsi="宋体" w:eastAsia="仿宋_GB2312" w:cs="宋体"/>
              </w:rPr>
              <w:t>105</w:t>
            </w:r>
            <w:r>
              <w:rPr>
                <w:rFonts w:ascii="仿宋_GB2312" w:hAnsi="宋体" w:eastAsia="仿宋_GB2312" w:cs="宋体"/>
              </w:rPr>
              <w:t>米</w:t>
            </w:r>
            <w:r>
              <w:rPr>
                <w:rFonts w:hint="eastAsia" w:ascii="仿宋_GB2312" w:hAnsi="宋体" w:eastAsia="仿宋_GB2312" w:cs="宋体"/>
              </w:rPr>
              <w:t xml:space="preserve">  D500:33m             D600:11m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299</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149</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448</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1.838</w:t>
            </w:r>
          </w:p>
        </w:tc>
      </w:tr>
      <w:tr>
        <w:tblPrEx>
          <w:tblCellMar>
            <w:top w:w="15" w:type="dxa"/>
            <w:left w:w="15" w:type="dxa"/>
            <w:bottom w:w="15" w:type="dxa"/>
            <w:right w:w="15" w:type="dxa"/>
          </w:tblCellMar>
        </w:tblPrEx>
        <w:trPr>
          <w:trHeight w:val="953"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东宁路-天城路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D600钢筋砼管106M  D500钢筋砼管78M  D400钢筋砼管65M  D300钢筋砼管120M</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D500钢筋砼管35M  D300钢筋砼管25M  D200钢筋砼管130M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369</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559</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Y44-1:3.381</w:t>
            </w:r>
          </w:p>
        </w:tc>
      </w:tr>
      <w:tr>
        <w:tblPrEx>
          <w:tblCellMar>
            <w:top w:w="15" w:type="dxa"/>
            <w:left w:w="15" w:type="dxa"/>
            <w:bottom w:w="15" w:type="dxa"/>
            <w:right w:w="15" w:type="dxa"/>
          </w:tblCellMar>
        </w:tblPrEx>
        <w:trPr>
          <w:trHeight w:val="480"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二号港-环站东路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D1000钢筋砼管173M </w:t>
            </w:r>
          </w:p>
        </w:tc>
        <w:tc>
          <w:tcPr>
            <w:tcW w:w="3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D500钢筋砼管47M  D300钢筋砼管78M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173</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125</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298</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Z2:1.350</w:t>
            </w:r>
          </w:p>
        </w:tc>
      </w:tr>
      <w:tr>
        <w:tblPrEx>
          <w:tblCellMar>
            <w:top w:w="15" w:type="dxa"/>
            <w:left w:w="15" w:type="dxa"/>
            <w:bottom w:w="15" w:type="dxa"/>
            <w:right w:w="15" w:type="dxa"/>
          </w:tblCellMar>
        </w:tblPrEx>
        <w:trPr>
          <w:trHeight w:val="1345"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环站北路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环站西路-二号港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rPr>
              <w:t>D400</w:t>
            </w:r>
            <w:r>
              <w:rPr>
                <w:rFonts w:ascii="仿宋_GB2312" w:hAnsi="宋体" w:eastAsia="仿宋_GB2312" w:cs="宋体"/>
              </w:rPr>
              <w:t>砼管</w:t>
            </w:r>
            <w:r>
              <w:rPr>
                <w:rFonts w:hint="eastAsia" w:ascii="仿宋_GB2312" w:hAnsi="宋体" w:eastAsia="仿宋_GB2312" w:cs="宋体"/>
              </w:rPr>
              <w:t>137m</w:t>
            </w:r>
            <w:r>
              <w:rPr>
                <w:rFonts w:ascii="仿宋_GB2312" w:hAnsi="宋体" w:eastAsia="仿宋_GB2312" w:cs="宋体"/>
              </w:rPr>
              <w:t>；</w:t>
            </w:r>
            <w:r>
              <w:rPr>
                <w:rFonts w:hint="eastAsia" w:ascii="仿宋_GB2312" w:hAnsi="宋体" w:eastAsia="仿宋_GB2312" w:cs="宋体"/>
              </w:rPr>
              <w:t>D600</w:t>
            </w:r>
            <w:r>
              <w:rPr>
                <w:rFonts w:ascii="仿宋_GB2312" w:hAnsi="宋体" w:eastAsia="仿宋_GB2312" w:cs="宋体"/>
              </w:rPr>
              <w:t>砼管</w:t>
            </w:r>
            <w:r>
              <w:rPr>
                <w:rFonts w:hint="eastAsia" w:ascii="仿宋_GB2312" w:hAnsi="宋体" w:eastAsia="仿宋_GB2312" w:cs="宋体"/>
              </w:rPr>
              <w:t>260m;D800</w:t>
            </w:r>
            <w:r>
              <w:rPr>
                <w:rFonts w:ascii="仿宋_GB2312" w:hAnsi="宋体" w:eastAsia="仿宋_GB2312" w:cs="宋体"/>
              </w:rPr>
              <w:t>砼管</w:t>
            </w:r>
            <w:r>
              <w:rPr>
                <w:rFonts w:hint="eastAsia" w:ascii="仿宋_GB2312" w:hAnsi="宋体" w:eastAsia="仿宋_GB2312" w:cs="宋体"/>
              </w:rPr>
              <w:t>96m;D1000</w:t>
            </w:r>
            <w:r>
              <w:rPr>
                <w:rFonts w:ascii="仿宋_GB2312" w:hAnsi="宋体" w:eastAsia="仿宋_GB2312" w:cs="宋体"/>
              </w:rPr>
              <w:t>砼管</w:t>
            </w:r>
            <w:r>
              <w:rPr>
                <w:rFonts w:hint="eastAsia" w:ascii="仿宋_GB2312" w:hAnsi="宋体" w:eastAsia="仿宋_GB2312" w:cs="宋体"/>
              </w:rPr>
              <w:t>269m;D1200</w:t>
            </w:r>
            <w:r>
              <w:rPr>
                <w:rFonts w:ascii="仿宋_GB2312" w:hAnsi="宋体" w:eastAsia="仿宋_GB2312" w:cs="宋体"/>
              </w:rPr>
              <w:t>砼管</w:t>
            </w:r>
            <w:r>
              <w:rPr>
                <w:rFonts w:hint="eastAsia" w:ascii="仿宋_GB2312" w:hAnsi="宋体" w:eastAsia="仿宋_GB2312" w:cs="宋体"/>
              </w:rPr>
              <w:t>284m;D1500</w:t>
            </w:r>
            <w:r>
              <w:rPr>
                <w:rFonts w:ascii="仿宋_GB2312" w:hAnsi="宋体" w:eastAsia="仿宋_GB2312" w:cs="宋体"/>
              </w:rPr>
              <w:t>砼管</w:t>
            </w:r>
            <w:r>
              <w:rPr>
                <w:rFonts w:hint="eastAsia" w:ascii="仿宋_GB2312" w:hAnsi="宋体" w:eastAsia="仿宋_GB2312" w:cs="宋体"/>
              </w:rPr>
              <w:t>68m;D1800</w:t>
            </w:r>
            <w:r>
              <w:rPr>
                <w:rFonts w:ascii="仿宋_GB2312" w:hAnsi="宋体" w:eastAsia="仿宋_GB2312" w:cs="宋体"/>
              </w:rPr>
              <w:t>砼管</w:t>
            </w:r>
            <w:r>
              <w:rPr>
                <w:rFonts w:hint="eastAsia" w:ascii="仿宋_GB2312" w:hAnsi="宋体" w:eastAsia="仿宋_GB2312" w:cs="宋体"/>
              </w:rPr>
              <w:t>298m</w:t>
            </w:r>
          </w:p>
        </w:tc>
        <w:tc>
          <w:tcPr>
            <w:tcW w:w="3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rPr>
              <w:t>D225</w:t>
            </w:r>
            <w:r>
              <w:rPr>
                <w:rFonts w:ascii="仿宋_GB2312" w:hAnsi="宋体" w:eastAsia="仿宋_GB2312" w:cs="宋体"/>
              </w:rPr>
              <w:t>砼管</w:t>
            </w:r>
            <w:r>
              <w:rPr>
                <w:rFonts w:hint="eastAsia" w:ascii="仿宋_GB2312" w:hAnsi="宋体" w:eastAsia="仿宋_GB2312" w:cs="宋体"/>
              </w:rPr>
              <w:t>:110</w:t>
            </w:r>
            <w:r>
              <w:rPr>
                <w:rFonts w:ascii="仿宋_GB2312" w:hAnsi="宋体" w:eastAsia="仿宋_GB2312" w:cs="宋体"/>
              </w:rPr>
              <w:t>米</w:t>
            </w:r>
            <w:r>
              <w:rPr>
                <w:rFonts w:hint="eastAsia" w:ascii="仿宋_GB2312" w:hAnsi="宋体" w:eastAsia="仿宋_GB2312" w:cs="宋体"/>
              </w:rPr>
              <w:t>D300</w:t>
            </w:r>
            <w:r>
              <w:rPr>
                <w:rFonts w:ascii="仿宋_GB2312" w:hAnsi="宋体" w:eastAsia="仿宋_GB2312" w:cs="宋体"/>
              </w:rPr>
              <w:t>砼管</w:t>
            </w:r>
            <w:r>
              <w:rPr>
                <w:rFonts w:hint="eastAsia" w:ascii="仿宋_GB2312" w:hAnsi="宋体" w:eastAsia="仿宋_GB2312" w:cs="宋体"/>
              </w:rPr>
              <w:t>:270</w:t>
            </w:r>
            <w:r>
              <w:rPr>
                <w:rFonts w:ascii="仿宋_GB2312" w:hAnsi="宋体" w:eastAsia="仿宋_GB2312" w:cs="宋体"/>
              </w:rPr>
              <w:t>米；</w:t>
            </w:r>
            <w:r>
              <w:rPr>
                <w:rFonts w:hint="eastAsia" w:ascii="仿宋_GB2312" w:hAnsi="宋体" w:eastAsia="仿宋_GB2312" w:cs="宋体"/>
              </w:rPr>
              <w:t>D600</w:t>
            </w:r>
            <w:r>
              <w:rPr>
                <w:rFonts w:ascii="仿宋_GB2312" w:hAnsi="宋体" w:eastAsia="仿宋_GB2312" w:cs="宋体"/>
              </w:rPr>
              <w:t>砼管</w:t>
            </w:r>
            <w:r>
              <w:rPr>
                <w:rFonts w:hint="eastAsia" w:ascii="仿宋_GB2312" w:hAnsi="宋体" w:eastAsia="仿宋_GB2312" w:cs="宋体"/>
              </w:rPr>
              <w:t>:120</w:t>
            </w:r>
            <w:r>
              <w:rPr>
                <w:rFonts w:ascii="仿宋_GB2312" w:hAnsi="宋体" w:eastAsia="仿宋_GB2312" w:cs="宋体"/>
              </w:rPr>
              <w:t>米</w:t>
            </w:r>
            <w:r>
              <w:rPr>
                <w:rFonts w:hint="eastAsia" w:ascii="仿宋_GB2312" w:hAnsi="宋体" w:eastAsia="仿宋_GB2312" w:cs="宋体"/>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1412</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1912</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91</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1.000 </w:t>
            </w:r>
          </w:p>
        </w:tc>
      </w:tr>
      <w:tr>
        <w:tblPrEx>
          <w:tblCellMar>
            <w:top w:w="15" w:type="dxa"/>
            <w:left w:w="15" w:type="dxa"/>
            <w:bottom w:w="15" w:type="dxa"/>
            <w:right w:w="15" w:type="dxa"/>
          </w:tblCellMar>
        </w:tblPrEx>
        <w:trPr>
          <w:trHeight w:val="1009"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环站东路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天城路—环站南路</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D400HDPE管281.4米D500HDPE管504.3米D600HDPE管221.4米D800钢筋砼管162米</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rPr>
            </w:pPr>
            <w:r>
              <w:rPr>
                <w:rFonts w:hint="eastAsia" w:ascii="仿宋_GB2312" w:hAnsi="宋体" w:eastAsia="仿宋_GB2312" w:cs="宋体"/>
              </w:rPr>
              <w:t>D225HDPE750</w:t>
            </w:r>
            <w:r>
              <w:rPr>
                <w:rFonts w:ascii="仿宋_GB2312" w:hAnsi="宋体" w:eastAsia="仿宋_GB2312" w:cs="宋体"/>
              </w:rPr>
              <w:t>米</w:t>
            </w:r>
            <w:r>
              <w:rPr>
                <w:rFonts w:hint="eastAsia" w:ascii="仿宋_GB2312" w:hAnsi="宋体" w:eastAsia="仿宋_GB2312" w:cs="宋体"/>
              </w:rPr>
              <w:t xml:space="preserve">  D300HDPE120</w:t>
            </w:r>
            <w:r>
              <w:rPr>
                <w:rFonts w:ascii="仿宋_GB2312" w:hAnsi="宋体" w:eastAsia="仿宋_GB2312" w:cs="宋体"/>
              </w:rPr>
              <w:t>米</w:t>
            </w:r>
            <w:r>
              <w:rPr>
                <w:rFonts w:hint="eastAsia" w:ascii="仿宋_GB2312" w:hAnsi="宋体" w:eastAsia="仿宋_GB2312" w:cs="宋体"/>
              </w:rPr>
              <w:t>D400HDPE</w:t>
            </w:r>
            <w:r>
              <w:rPr>
                <w:rFonts w:ascii="仿宋_GB2312" w:hAnsi="宋体" w:eastAsia="仿宋_GB2312" w:cs="宋体"/>
              </w:rPr>
              <w:t>管</w:t>
            </w:r>
            <w:r>
              <w:rPr>
                <w:rFonts w:hint="eastAsia" w:ascii="仿宋_GB2312" w:hAnsi="宋体" w:eastAsia="仿宋_GB2312" w:cs="宋体"/>
              </w:rPr>
              <w:t>244.9</w:t>
            </w:r>
            <w:r>
              <w:rPr>
                <w:rFonts w:ascii="仿宋_GB2312" w:hAnsi="宋体" w:eastAsia="仿宋_GB2312" w:cs="宋体"/>
              </w:rPr>
              <w:t>米</w:t>
            </w:r>
          </w:p>
          <w:p>
            <w:pPr>
              <w:textAlignment w:val="center"/>
              <w:rPr>
                <w:rFonts w:ascii="仿宋_GB2312" w:hAnsi="宋体" w:eastAsia="仿宋_GB2312" w:cs="宋体"/>
                <w:color w:val="000000"/>
              </w:rPr>
            </w:pPr>
            <w:r>
              <w:rPr>
                <w:rFonts w:hint="eastAsia" w:ascii="仿宋_GB2312" w:hAnsi="宋体" w:eastAsia="仿宋_GB2312" w:cs="宋体"/>
              </w:rPr>
              <w:t>D500HDPE</w:t>
            </w:r>
            <w:r>
              <w:rPr>
                <w:rFonts w:ascii="仿宋_GB2312" w:hAnsi="宋体" w:eastAsia="仿宋_GB2312" w:cs="宋体"/>
              </w:rPr>
              <w:t>管</w:t>
            </w:r>
            <w:r>
              <w:rPr>
                <w:rFonts w:hint="eastAsia" w:ascii="仿宋_GB2312" w:hAnsi="宋体" w:eastAsia="仿宋_GB2312" w:cs="宋体"/>
              </w:rPr>
              <w:t>73.4</w:t>
            </w:r>
            <w:r>
              <w:rPr>
                <w:rFonts w:ascii="仿宋_GB2312" w:hAnsi="宋体" w:eastAsia="仿宋_GB2312" w:cs="宋体"/>
              </w:rPr>
              <w:t>米</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1169.1</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1188.3</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2357.4</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916"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天城路-德胜东路</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rPr>
              <w:t>D1200</w:t>
            </w:r>
            <w:r>
              <w:rPr>
                <w:rFonts w:ascii="仿宋_GB2312" w:hAnsi="宋体" w:eastAsia="仿宋_GB2312" w:cs="宋体"/>
              </w:rPr>
              <w:t>砼管</w:t>
            </w:r>
            <w:r>
              <w:rPr>
                <w:rFonts w:hint="eastAsia" w:ascii="仿宋_GB2312" w:hAnsi="宋体" w:eastAsia="仿宋_GB2312" w:cs="宋体"/>
              </w:rPr>
              <w:t>45m</w:t>
            </w:r>
            <w:r>
              <w:rPr>
                <w:rFonts w:ascii="仿宋_GB2312" w:hAnsi="宋体" w:eastAsia="仿宋_GB2312" w:cs="宋体"/>
              </w:rPr>
              <w:t>；</w:t>
            </w:r>
            <w:r>
              <w:rPr>
                <w:rFonts w:hint="eastAsia" w:ascii="仿宋_GB2312" w:hAnsi="宋体" w:eastAsia="仿宋_GB2312" w:cs="宋体"/>
              </w:rPr>
              <w:t>D1000</w:t>
            </w:r>
            <w:r>
              <w:rPr>
                <w:rFonts w:ascii="仿宋_GB2312" w:hAnsi="宋体" w:eastAsia="仿宋_GB2312" w:cs="宋体"/>
              </w:rPr>
              <w:t>砼管</w:t>
            </w:r>
            <w:r>
              <w:rPr>
                <w:rFonts w:hint="eastAsia" w:ascii="仿宋_GB2312" w:hAnsi="宋体" w:eastAsia="仿宋_GB2312" w:cs="宋体"/>
              </w:rPr>
              <w:t>244m;D800</w:t>
            </w:r>
            <w:r>
              <w:rPr>
                <w:rFonts w:ascii="仿宋_GB2312" w:hAnsi="宋体" w:eastAsia="仿宋_GB2312" w:cs="宋体"/>
              </w:rPr>
              <w:t>砼管</w:t>
            </w:r>
            <w:r>
              <w:rPr>
                <w:rFonts w:hint="eastAsia" w:ascii="仿宋_GB2312" w:hAnsi="宋体" w:eastAsia="仿宋_GB2312" w:cs="宋体"/>
              </w:rPr>
              <w:t>198m;D600</w:t>
            </w:r>
            <w:r>
              <w:rPr>
                <w:rFonts w:ascii="仿宋_GB2312" w:hAnsi="宋体" w:eastAsia="仿宋_GB2312" w:cs="宋体"/>
              </w:rPr>
              <w:t>砼管</w:t>
            </w:r>
            <w:r>
              <w:rPr>
                <w:rFonts w:hint="eastAsia" w:ascii="仿宋_GB2312" w:hAnsi="宋体" w:eastAsia="仿宋_GB2312" w:cs="宋体"/>
              </w:rPr>
              <w:t>110m;D500</w:t>
            </w:r>
            <w:r>
              <w:rPr>
                <w:rFonts w:ascii="仿宋_GB2312" w:hAnsi="宋体" w:eastAsia="仿宋_GB2312" w:cs="宋体"/>
              </w:rPr>
              <w:t>砼管</w:t>
            </w:r>
            <w:r>
              <w:rPr>
                <w:rFonts w:hint="eastAsia" w:ascii="仿宋_GB2312" w:hAnsi="宋体" w:eastAsia="仿宋_GB2312" w:cs="宋体"/>
              </w:rPr>
              <w:t>19m;D400</w:t>
            </w:r>
            <w:r>
              <w:rPr>
                <w:rFonts w:ascii="仿宋_GB2312" w:hAnsi="宋体" w:eastAsia="仿宋_GB2312" w:cs="宋体"/>
              </w:rPr>
              <w:t>砼管</w:t>
            </w:r>
            <w:r>
              <w:rPr>
                <w:rFonts w:hint="eastAsia" w:ascii="仿宋_GB2312" w:hAnsi="宋体" w:eastAsia="仿宋_GB2312" w:cs="宋体"/>
              </w:rPr>
              <w:t>155m</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rPr>
              <w:t>D500</w:t>
            </w:r>
            <w:r>
              <w:rPr>
                <w:rFonts w:ascii="仿宋_GB2312" w:hAnsi="宋体" w:eastAsia="仿宋_GB2312" w:cs="宋体"/>
              </w:rPr>
              <w:t>砼管</w:t>
            </w:r>
            <w:r>
              <w:rPr>
                <w:rFonts w:hint="eastAsia" w:ascii="仿宋_GB2312" w:hAnsi="宋体" w:eastAsia="仿宋_GB2312" w:cs="宋体"/>
              </w:rPr>
              <w:t>110m</w:t>
            </w:r>
            <w:r>
              <w:rPr>
                <w:rFonts w:ascii="仿宋_GB2312" w:hAnsi="宋体" w:eastAsia="仿宋_GB2312" w:cs="宋体"/>
              </w:rPr>
              <w:t>；</w:t>
            </w:r>
            <w:r>
              <w:rPr>
                <w:rFonts w:hint="eastAsia" w:ascii="仿宋_GB2312" w:hAnsi="宋体" w:eastAsia="仿宋_GB2312" w:cs="宋体"/>
              </w:rPr>
              <w:t>D300</w:t>
            </w:r>
            <w:r>
              <w:rPr>
                <w:rFonts w:ascii="仿宋_GB2312" w:hAnsi="宋体" w:eastAsia="仿宋_GB2312" w:cs="宋体"/>
              </w:rPr>
              <w:t>砼管</w:t>
            </w:r>
            <w:r>
              <w:rPr>
                <w:rFonts w:hint="eastAsia" w:ascii="仿宋_GB2312" w:hAnsi="宋体" w:eastAsia="仿宋_GB2312" w:cs="宋体"/>
              </w:rPr>
              <w:t>90m;D300</w:t>
            </w:r>
            <w:r>
              <w:rPr>
                <w:rFonts w:ascii="仿宋_GB2312" w:hAnsi="宋体" w:eastAsia="仿宋_GB2312" w:cs="宋体"/>
              </w:rPr>
              <w:t>砼管</w:t>
            </w:r>
            <w:r>
              <w:rPr>
                <w:rFonts w:hint="eastAsia" w:ascii="仿宋_GB2312" w:hAnsi="宋体" w:eastAsia="仿宋_GB2312" w:cs="宋体"/>
              </w:rPr>
              <w:t>630m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771</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830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1601</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79</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Z1:2.265 Z2:3.192</w:t>
            </w:r>
          </w:p>
        </w:tc>
      </w:tr>
      <w:tr>
        <w:tblPrEx>
          <w:tblCellMar>
            <w:top w:w="15" w:type="dxa"/>
            <w:left w:w="15" w:type="dxa"/>
            <w:bottom w:w="15" w:type="dxa"/>
            <w:right w:w="15" w:type="dxa"/>
          </w:tblCellMar>
        </w:tblPrEx>
        <w:trPr>
          <w:trHeight w:val="815"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环站南路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环站东路-东宁路</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rPr>
              <w:t>D400HDPE:119</w:t>
            </w:r>
            <w:r>
              <w:rPr>
                <w:rFonts w:ascii="仿宋_GB2312" w:hAnsi="宋体" w:eastAsia="仿宋_GB2312" w:cs="宋体"/>
              </w:rPr>
              <w:t>米；</w:t>
            </w:r>
            <w:r>
              <w:rPr>
                <w:rFonts w:hint="eastAsia" w:ascii="仿宋_GB2312" w:hAnsi="宋体" w:eastAsia="仿宋_GB2312" w:cs="宋体"/>
              </w:rPr>
              <w:t>D800</w:t>
            </w:r>
            <w:r>
              <w:rPr>
                <w:rFonts w:ascii="仿宋_GB2312" w:hAnsi="宋体" w:eastAsia="仿宋_GB2312" w:cs="宋体"/>
              </w:rPr>
              <w:t>混凝土管道</w:t>
            </w:r>
            <w:r>
              <w:rPr>
                <w:rFonts w:hint="eastAsia" w:ascii="仿宋_GB2312" w:hAnsi="宋体" w:eastAsia="仿宋_GB2312" w:cs="宋体"/>
              </w:rPr>
              <w:t>:183</w:t>
            </w:r>
            <w:r>
              <w:rPr>
                <w:rFonts w:ascii="仿宋_GB2312" w:hAnsi="宋体" w:eastAsia="仿宋_GB2312" w:cs="宋体"/>
              </w:rPr>
              <w:t>米；</w:t>
            </w:r>
            <w:r>
              <w:rPr>
                <w:rFonts w:hint="eastAsia" w:ascii="仿宋_GB2312" w:hAnsi="宋体" w:eastAsia="仿宋_GB2312" w:cs="宋体"/>
              </w:rPr>
              <w:t>D1200</w:t>
            </w:r>
            <w:r>
              <w:rPr>
                <w:rFonts w:ascii="仿宋_GB2312" w:hAnsi="宋体" w:eastAsia="仿宋_GB2312" w:cs="宋体"/>
              </w:rPr>
              <w:t>混凝土管</w:t>
            </w:r>
            <w:r>
              <w:rPr>
                <w:rFonts w:hint="eastAsia" w:ascii="仿宋_GB2312" w:hAnsi="宋体" w:eastAsia="仿宋_GB2312" w:cs="宋体"/>
              </w:rPr>
              <w:t>:351</w:t>
            </w:r>
            <w:r>
              <w:rPr>
                <w:rFonts w:ascii="仿宋_GB2312" w:hAnsi="宋体" w:eastAsia="仿宋_GB2312" w:cs="宋体"/>
              </w:rPr>
              <w:t>米</w:t>
            </w:r>
            <w:r>
              <w:rPr>
                <w:rFonts w:hint="eastAsia" w:ascii="仿宋_GB2312" w:hAnsi="宋体" w:eastAsia="仿宋_GB2312" w:cs="宋体"/>
              </w:rPr>
              <w:t>;</w:t>
            </w:r>
          </w:p>
        </w:tc>
        <w:tc>
          <w:tcPr>
            <w:tcW w:w="3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rPr>
              <w:t>D300</w:t>
            </w:r>
            <w:r>
              <w:rPr>
                <w:rFonts w:ascii="仿宋_GB2312" w:hAnsi="宋体" w:eastAsia="仿宋_GB2312" w:cs="宋体"/>
              </w:rPr>
              <w:t>砼管</w:t>
            </w:r>
            <w:r>
              <w:rPr>
                <w:rFonts w:hint="eastAsia" w:ascii="仿宋_GB2312" w:hAnsi="宋体" w:eastAsia="仿宋_GB2312" w:cs="宋体"/>
              </w:rPr>
              <w:t>:78</w:t>
            </w:r>
            <w:r>
              <w:rPr>
                <w:rFonts w:ascii="仿宋_GB2312" w:hAnsi="宋体" w:eastAsia="仿宋_GB2312" w:cs="宋体"/>
              </w:rPr>
              <w:t>米；</w:t>
            </w:r>
            <w:r>
              <w:rPr>
                <w:rFonts w:hint="eastAsia" w:ascii="仿宋_GB2312" w:hAnsi="宋体" w:eastAsia="仿宋_GB2312" w:cs="宋体"/>
              </w:rPr>
              <w:t>D600</w:t>
            </w:r>
            <w:r>
              <w:rPr>
                <w:rFonts w:ascii="仿宋_GB2312" w:hAnsi="宋体" w:eastAsia="仿宋_GB2312" w:cs="宋体"/>
              </w:rPr>
              <w:t>砼管</w:t>
            </w:r>
            <w:r>
              <w:rPr>
                <w:rFonts w:hint="eastAsia" w:ascii="仿宋_GB2312" w:hAnsi="宋体" w:eastAsia="仿宋_GB2312" w:cs="宋体"/>
              </w:rPr>
              <w:t>:20</w:t>
            </w:r>
            <w:r>
              <w:rPr>
                <w:rFonts w:ascii="仿宋_GB2312" w:hAnsi="宋体" w:eastAsia="仿宋_GB2312" w:cs="宋体"/>
              </w:rPr>
              <w:t>米</w:t>
            </w:r>
            <w:r>
              <w:rPr>
                <w:rFonts w:hint="eastAsia" w:ascii="仿宋_GB2312" w:hAnsi="宋体" w:eastAsia="仿宋_GB2312" w:cs="宋体"/>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653</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98</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751</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27</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2.965</w:t>
            </w:r>
          </w:p>
        </w:tc>
      </w:tr>
      <w:tr>
        <w:tblPrEx>
          <w:tblCellMar>
            <w:top w:w="15" w:type="dxa"/>
            <w:left w:w="15" w:type="dxa"/>
            <w:bottom w:w="15" w:type="dxa"/>
            <w:right w:w="15" w:type="dxa"/>
          </w:tblCellMar>
        </w:tblPrEx>
        <w:trPr>
          <w:trHeight w:val="1200"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新风路-东宁路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D800钢筋砼管38M</w:t>
            </w:r>
            <w:r>
              <w:rPr>
                <w:rFonts w:hint="eastAsia" w:ascii="仿宋_GB2312" w:hAnsi="宋体" w:eastAsia="仿宋_GB2312" w:cs="宋体"/>
                <w:color w:val="000000"/>
              </w:rPr>
              <w:br w:type="textWrapping"/>
            </w:r>
            <w:r>
              <w:rPr>
                <w:rFonts w:hint="eastAsia" w:ascii="仿宋_GB2312" w:hAnsi="宋体" w:eastAsia="仿宋_GB2312" w:cs="宋体"/>
                <w:color w:val="000000"/>
              </w:rPr>
              <w:t>D600钢筋砼管68M</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D400钢筋砼管120M </w:t>
            </w:r>
          </w:p>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D300钢筋砼管170M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D600钢筋砼管28M    </w:t>
            </w:r>
          </w:p>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D300钢筋砼管40M  </w:t>
            </w:r>
          </w:p>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D200钢筋砼管40M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396</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108</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504</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YN4:2.816</w:t>
            </w:r>
          </w:p>
        </w:tc>
      </w:tr>
      <w:tr>
        <w:tblPrEx>
          <w:tblCellMar>
            <w:top w:w="15" w:type="dxa"/>
            <w:left w:w="15" w:type="dxa"/>
            <w:bottom w:w="15" w:type="dxa"/>
            <w:right w:w="15" w:type="dxa"/>
          </w:tblCellMar>
        </w:tblPrEx>
        <w:trPr>
          <w:trHeight w:val="90"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天城路-机场路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w:t>
            </w:r>
            <w:r>
              <w:rPr>
                <w:rFonts w:hint="eastAsia" w:ascii="仿宋_GB2312" w:hAnsi="宋体" w:eastAsia="仿宋_GB2312" w:cs="宋体"/>
              </w:rPr>
              <w:t>D300*144m</w:t>
            </w:r>
            <w:r>
              <w:rPr>
                <w:rFonts w:hint="eastAsia" w:ascii="仿宋_GB2312" w:hAnsi="宋体" w:eastAsia="仿宋_GB2312" w:cs="宋体"/>
              </w:rPr>
              <w:br w:type="textWrapping"/>
            </w:r>
            <w:r>
              <w:rPr>
                <w:rFonts w:hint="eastAsia" w:ascii="仿宋_GB2312" w:hAnsi="宋体" w:eastAsia="仿宋_GB2312" w:cs="宋体"/>
              </w:rPr>
              <w:t xml:space="preserve">D400*133m  D500*311m    D600*112m  D1000*43m D1500*143m        </w:t>
            </w:r>
          </w:p>
        </w:tc>
        <w:tc>
          <w:tcPr>
            <w:tcW w:w="3387" w:type="dxa"/>
            <w:tcBorders>
              <w:top w:val="single" w:color="000000" w:sz="4" w:space="0"/>
              <w:left w:val="single" w:color="000000" w:sz="4" w:space="0"/>
              <w:bottom w:val="single" w:color="000000" w:sz="4" w:space="0"/>
              <w:right w:val="single" w:color="000000" w:sz="4" w:space="0"/>
            </w:tcBorders>
            <w:vAlign w:val="center"/>
          </w:tcPr>
          <w:p>
            <w:pPr>
              <w:spacing w:after="200"/>
              <w:textAlignment w:val="center"/>
              <w:rPr>
                <w:rFonts w:ascii="仿宋_GB2312" w:hAnsi="宋体" w:eastAsia="仿宋_GB2312" w:cs="宋体"/>
                <w:color w:val="000000"/>
              </w:rPr>
            </w:pPr>
            <w:r>
              <w:rPr>
                <w:rFonts w:ascii="仿宋_GB2312" w:hAnsi="宋体" w:eastAsia="仿宋_GB2312" w:cs="宋体"/>
              </w:rPr>
              <w:t>钢筋混凝土管</w:t>
            </w:r>
            <w:r>
              <w:rPr>
                <w:rFonts w:hint="eastAsia" w:ascii="仿宋_GB2312" w:hAnsi="宋体" w:eastAsia="仿宋_GB2312" w:cs="宋体"/>
              </w:rPr>
              <w:t>D225*580m</w:t>
            </w:r>
            <w:r>
              <w:rPr>
                <w:rFonts w:hint="eastAsia" w:ascii="仿宋_GB2312" w:hAnsi="宋体" w:eastAsia="仿宋_GB2312" w:cs="宋体"/>
              </w:rPr>
              <w:br w:type="textWrapping"/>
            </w:r>
            <w:r>
              <w:rPr>
                <w:rFonts w:hint="eastAsia" w:ascii="仿宋_GB2312" w:hAnsi="宋体" w:eastAsia="仿宋_GB2312" w:cs="宋体"/>
              </w:rPr>
              <w:t>D300*105m   D500*69m  D600*33m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886</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787</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1673</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141</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ascii="仿宋_GB2312" w:hAnsi="宋体" w:eastAsia="仿宋_GB2312" w:cs="宋体"/>
              </w:rPr>
              <w:t>Y25/4.100</w:t>
            </w:r>
          </w:p>
        </w:tc>
      </w:tr>
      <w:tr>
        <w:tblPrEx>
          <w:tblCellMar>
            <w:top w:w="15" w:type="dxa"/>
            <w:left w:w="15" w:type="dxa"/>
            <w:bottom w:w="15" w:type="dxa"/>
            <w:right w:w="15" w:type="dxa"/>
          </w:tblCellMar>
        </w:tblPrEx>
        <w:trPr>
          <w:trHeight w:val="780"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麦庙路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环站西路-新风路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混凝土管D1800      294米</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D225:155m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D500:49m D600:18m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294</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222</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516</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1140"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全福桥路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机场路-西广场</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rPr>
            </w:pPr>
            <w:r>
              <w:rPr>
                <w:rFonts w:ascii="仿宋_GB2312" w:hAnsi="宋体" w:eastAsia="仿宋_GB2312" w:cs="宋体"/>
              </w:rPr>
              <w:t>钢筋混凝土管；</w:t>
            </w:r>
          </w:p>
          <w:p>
            <w:pPr>
              <w:textAlignment w:val="center"/>
              <w:rPr>
                <w:rFonts w:ascii="仿宋_GB2312" w:hAnsi="宋体" w:eastAsia="仿宋_GB2312" w:cs="宋体"/>
                <w:color w:val="000000"/>
              </w:rPr>
            </w:pPr>
            <w:r>
              <w:rPr>
                <w:rFonts w:ascii="仿宋_GB2312" w:hAnsi="宋体" w:eastAsia="仿宋_GB2312" w:cs="宋体"/>
              </w:rPr>
              <w:t>D</w:t>
            </w:r>
            <w:r>
              <w:rPr>
                <w:rFonts w:hint="eastAsia" w:ascii="仿宋_GB2312" w:hAnsi="宋体" w:eastAsia="仿宋_GB2312" w:cs="宋体"/>
              </w:rPr>
              <w:t>1500</w:t>
            </w:r>
            <w:r>
              <w:rPr>
                <w:rFonts w:ascii="仿宋_GB2312" w:hAnsi="宋体" w:eastAsia="仿宋_GB2312" w:cs="宋体"/>
              </w:rPr>
              <w:t>*</w:t>
            </w:r>
            <w:r>
              <w:rPr>
                <w:rFonts w:hint="eastAsia" w:ascii="仿宋_GB2312" w:hAnsi="宋体" w:eastAsia="仿宋_GB2312" w:cs="宋体"/>
              </w:rPr>
              <w:t>38m D1200*326m</w:t>
            </w:r>
            <w:r>
              <w:rPr>
                <w:rFonts w:ascii="仿宋_GB2312" w:hAnsi="宋体" w:eastAsia="仿宋_GB2312" w:cs="宋体"/>
              </w:rPr>
              <w:t xml:space="preserve"> D</w:t>
            </w:r>
            <w:r>
              <w:rPr>
                <w:rFonts w:hint="eastAsia" w:ascii="仿宋_GB2312" w:hAnsi="宋体" w:eastAsia="仿宋_GB2312" w:cs="宋体"/>
              </w:rPr>
              <w:t>1000</w:t>
            </w:r>
            <w:r>
              <w:rPr>
                <w:rFonts w:ascii="仿宋_GB2312" w:hAnsi="宋体" w:eastAsia="仿宋_GB2312" w:cs="宋体"/>
              </w:rPr>
              <w:t>*</w:t>
            </w:r>
            <w:r>
              <w:rPr>
                <w:rFonts w:hint="eastAsia" w:ascii="仿宋_GB2312" w:hAnsi="宋体" w:eastAsia="仿宋_GB2312" w:cs="宋体"/>
              </w:rPr>
              <w:t>69m</w:t>
            </w:r>
            <w:r>
              <w:rPr>
                <w:rFonts w:ascii="仿宋_GB2312" w:hAnsi="宋体" w:eastAsia="仿宋_GB2312" w:cs="宋体"/>
              </w:rPr>
              <w:t xml:space="preserve"> D</w:t>
            </w:r>
            <w:r>
              <w:rPr>
                <w:rFonts w:hint="eastAsia" w:ascii="仿宋_GB2312" w:hAnsi="宋体" w:eastAsia="仿宋_GB2312" w:cs="宋体"/>
              </w:rPr>
              <w:t>800</w:t>
            </w:r>
            <w:r>
              <w:rPr>
                <w:rFonts w:ascii="仿宋_GB2312" w:hAnsi="宋体" w:eastAsia="仿宋_GB2312" w:cs="宋体"/>
              </w:rPr>
              <w:t>*</w:t>
            </w:r>
            <w:r>
              <w:rPr>
                <w:rFonts w:hint="eastAsia" w:ascii="仿宋_GB2312" w:hAnsi="宋体" w:eastAsia="仿宋_GB2312" w:cs="宋体"/>
              </w:rPr>
              <w:t>95m ,D600*101m, D500*67m, D400*68m, D300*162m</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钢筋混凝土管：D</w:t>
            </w:r>
            <w:r>
              <w:rPr>
                <w:rFonts w:hint="eastAsia" w:ascii="仿宋_GB2312" w:hAnsi="宋体" w:eastAsia="仿宋_GB2312" w:cs="宋体"/>
              </w:rPr>
              <w:t>225*436m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926</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436</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1362</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麦庙港河（2.637m）</w:t>
            </w:r>
          </w:p>
        </w:tc>
      </w:tr>
      <w:tr>
        <w:tblPrEx>
          <w:tblCellMar>
            <w:top w:w="15" w:type="dxa"/>
            <w:left w:w="15" w:type="dxa"/>
            <w:bottom w:w="15" w:type="dxa"/>
            <w:right w:w="15" w:type="dxa"/>
          </w:tblCellMar>
        </w:tblPrEx>
        <w:trPr>
          <w:trHeight w:val="1010"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王家井街</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环站西路-新风路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w:t>
            </w:r>
            <w:r>
              <w:rPr>
                <w:rFonts w:ascii="仿宋_GB2312" w:hAnsi="宋体" w:eastAsia="仿宋_GB2312" w:cs="宋体"/>
              </w:rPr>
              <w:br w:type="textWrapping"/>
            </w:r>
            <w:r>
              <w:rPr>
                <w:rFonts w:hint="eastAsia" w:ascii="仿宋_GB2312" w:hAnsi="宋体" w:eastAsia="仿宋_GB2312" w:cs="宋体"/>
              </w:rPr>
              <w:t>D600*120m</w:t>
            </w:r>
            <w:r>
              <w:rPr>
                <w:rFonts w:hint="eastAsia" w:ascii="仿宋_GB2312" w:hAnsi="宋体" w:eastAsia="仿宋_GB2312" w:cs="宋体"/>
              </w:rPr>
              <w:br w:type="textWrapping"/>
            </w:r>
            <w:r>
              <w:rPr>
                <w:rFonts w:hint="eastAsia" w:ascii="仿宋_GB2312" w:hAnsi="宋体" w:eastAsia="仿宋_GB2312" w:cs="宋体"/>
              </w:rPr>
              <w:t>D800*123m</w:t>
            </w:r>
            <w:r>
              <w:rPr>
                <w:rFonts w:hint="eastAsia" w:ascii="仿宋_GB2312" w:hAnsi="宋体" w:eastAsia="仿宋_GB2312" w:cs="宋体"/>
              </w:rPr>
              <w:br w:type="textWrapping"/>
            </w:r>
            <w:r>
              <w:rPr>
                <w:rFonts w:hint="eastAsia" w:ascii="仿宋_GB2312" w:hAnsi="宋体" w:eastAsia="仿宋_GB2312" w:cs="宋体"/>
              </w:rPr>
              <w:t>D1000*40m</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w:t>
            </w:r>
            <w:r>
              <w:rPr>
                <w:rFonts w:hint="eastAsia" w:ascii="仿宋_GB2312" w:hAnsi="宋体" w:eastAsia="仿宋_GB2312" w:cs="宋体"/>
              </w:rPr>
              <w:t>D225*100m</w:t>
            </w:r>
            <w:r>
              <w:rPr>
                <w:rFonts w:hint="eastAsia" w:ascii="仿宋_GB2312" w:hAnsi="宋体" w:eastAsia="仿宋_GB2312" w:cs="宋体"/>
              </w:rPr>
              <w:br w:type="textWrapping"/>
            </w:r>
            <w:r>
              <w:rPr>
                <w:rFonts w:hint="eastAsia" w:ascii="仿宋_GB2312" w:hAnsi="宋体" w:eastAsia="仿宋_GB2312" w:cs="宋体"/>
              </w:rPr>
              <w:t>D300*30m</w:t>
            </w:r>
            <w:r>
              <w:rPr>
                <w:rFonts w:hint="eastAsia" w:ascii="仿宋_GB2312" w:hAnsi="宋体" w:eastAsia="仿宋_GB2312" w:cs="宋体"/>
              </w:rPr>
              <w:br w:type="textWrapping"/>
            </w:r>
            <w:r>
              <w:rPr>
                <w:rFonts w:hint="eastAsia" w:ascii="仿宋_GB2312" w:hAnsi="宋体" w:eastAsia="仿宋_GB2312" w:cs="宋体"/>
              </w:rPr>
              <w:t>D500*38m</w:t>
            </w:r>
            <w:r>
              <w:rPr>
                <w:rFonts w:hint="eastAsia" w:ascii="仿宋_GB2312" w:hAnsi="宋体" w:eastAsia="仿宋_GB2312" w:cs="宋体"/>
              </w:rPr>
              <w:br w:type="textWrapping"/>
            </w:r>
            <w:r>
              <w:rPr>
                <w:rFonts w:hint="eastAsia" w:ascii="仿宋_GB2312" w:hAnsi="宋体" w:eastAsia="仿宋_GB2312" w:cs="宋体"/>
              </w:rPr>
              <w:t>D600*14m</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283</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182</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465</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Y18/4.430</w:t>
            </w:r>
          </w:p>
        </w:tc>
      </w:tr>
      <w:tr>
        <w:tblPrEx>
          <w:tblCellMar>
            <w:top w:w="15" w:type="dxa"/>
            <w:left w:w="15" w:type="dxa"/>
            <w:bottom w:w="15" w:type="dxa"/>
            <w:right w:w="15" w:type="dxa"/>
          </w:tblCellMar>
        </w:tblPrEx>
        <w:trPr>
          <w:trHeight w:val="800"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新风路-全福桥路</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276" w:lineRule="auto"/>
              <w:textAlignment w:val="center"/>
              <w:rPr>
                <w:rFonts w:ascii="仿宋_GB2312" w:hAnsi="宋体" w:eastAsia="仿宋_GB2312" w:cs="宋体"/>
                <w:color w:val="000000"/>
              </w:rPr>
            </w:pPr>
            <w:r>
              <w:rPr>
                <w:rFonts w:hint="eastAsia" w:ascii="仿宋_GB2312" w:hAnsi="宋体" w:eastAsia="仿宋_GB2312" w:cs="宋体"/>
                <w:color w:val="000000"/>
              </w:rPr>
              <w:t xml:space="preserve">D1800钢筋砼管244M  </w:t>
            </w:r>
          </w:p>
          <w:p>
            <w:pPr>
              <w:spacing w:line="276" w:lineRule="auto"/>
              <w:textAlignment w:val="center"/>
              <w:rPr>
                <w:rFonts w:ascii="仿宋_GB2312" w:hAnsi="宋体" w:eastAsia="仿宋_GB2312" w:cs="宋体"/>
                <w:color w:val="000000"/>
              </w:rPr>
            </w:pPr>
            <w:r>
              <w:rPr>
                <w:rFonts w:hint="eastAsia" w:ascii="仿宋_GB2312" w:hAnsi="宋体" w:eastAsia="仿宋_GB2312" w:cs="宋体"/>
                <w:color w:val="000000"/>
              </w:rPr>
              <w:t xml:space="preserve">D1200钢筋砼管48M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D1200钢筋砼管10M  D800钢筋砼管24M  D300钢筋砼管38M  D200钢筋砼管85M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292</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157</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449</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Y0:1.173</w:t>
            </w:r>
          </w:p>
        </w:tc>
      </w:tr>
      <w:tr>
        <w:tblPrEx>
          <w:tblCellMar>
            <w:top w:w="15" w:type="dxa"/>
            <w:left w:w="15" w:type="dxa"/>
            <w:bottom w:w="15" w:type="dxa"/>
            <w:right w:w="15" w:type="dxa"/>
          </w:tblCellMar>
        </w:tblPrEx>
        <w:trPr>
          <w:trHeight w:val="665" w:hRule="atLeast"/>
        </w:trPr>
        <w:tc>
          <w:tcPr>
            <w:tcW w:w="362"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w:t>
            </w:r>
          </w:p>
        </w:tc>
        <w:tc>
          <w:tcPr>
            <w:tcW w:w="1056"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东宁路-环站东路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rPr>
            </w:pPr>
            <w:r>
              <w:rPr>
                <w:rFonts w:hint="eastAsia" w:ascii="仿宋_GB2312" w:hAnsi="宋体" w:eastAsia="仿宋_GB2312" w:cs="宋体"/>
              </w:rPr>
              <w:t>D400</w:t>
            </w:r>
            <w:r>
              <w:rPr>
                <w:rFonts w:ascii="仿宋_GB2312" w:hAnsi="宋体" w:eastAsia="仿宋_GB2312" w:cs="宋体"/>
              </w:rPr>
              <w:t>管</w:t>
            </w:r>
            <w:r>
              <w:rPr>
                <w:rFonts w:hint="eastAsia" w:ascii="仿宋_GB2312" w:hAnsi="宋体" w:eastAsia="仿宋_GB2312" w:cs="宋体"/>
              </w:rPr>
              <w:t>97m</w:t>
            </w:r>
            <w:r>
              <w:rPr>
                <w:rFonts w:ascii="仿宋_GB2312" w:hAnsi="宋体" w:eastAsia="仿宋_GB2312" w:cs="宋体"/>
              </w:rPr>
              <w:t>；</w:t>
            </w:r>
            <w:r>
              <w:rPr>
                <w:rFonts w:hint="eastAsia" w:ascii="仿宋_GB2312" w:hAnsi="宋体" w:eastAsia="仿宋_GB2312" w:cs="宋体"/>
              </w:rPr>
              <w:t xml:space="preserve">   </w:t>
            </w:r>
          </w:p>
          <w:p>
            <w:pPr>
              <w:textAlignment w:val="center"/>
              <w:rPr>
                <w:rFonts w:ascii="仿宋_GB2312" w:hAnsi="宋体" w:eastAsia="仿宋_GB2312" w:cs="宋体"/>
              </w:rPr>
            </w:pPr>
            <w:r>
              <w:rPr>
                <w:rFonts w:hint="eastAsia" w:ascii="仿宋_GB2312" w:hAnsi="宋体" w:eastAsia="仿宋_GB2312" w:cs="宋体"/>
              </w:rPr>
              <w:t>D1000</w:t>
            </w:r>
            <w:r>
              <w:rPr>
                <w:rFonts w:ascii="仿宋_GB2312" w:hAnsi="宋体" w:eastAsia="仿宋_GB2312" w:cs="宋体"/>
              </w:rPr>
              <w:t>砼管</w:t>
            </w:r>
            <w:r>
              <w:rPr>
                <w:rFonts w:hint="eastAsia" w:ascii="仿宋_GB2312" w:hAnsi="宋体" w:eastAsia="仿宋_GB2312" w:cs="宋体"/>
              </w:rPr>
              <w:t xml:space="preserve">139m   </w:t>
            </w:r>
          </w:p>
          <w:p>
            <w:pPr>
              <w:textAlignment w:val="center"/>
              <w:rPr>
                <w:rFonts w:ascii="仿宋_GB2312" w:hAnsi="宋体" w:eastAsia="仿宋_GB2312" w:cs="宋体"/>
                <w:color w:val="000000"/>
              </w:rPr>
            </w:pPr>
            <w:r>
              <w:rPr>
                <w:rFonts w:hint="eastAsia" w:ascii="仿宋_GB2312" w:hAnsi="宋体" w:eastAsia="仿宋_GB2312" w:cs="宋体"/>
              </w:rPr>
              <w:t>D1200</w:t>
            </w:r>
            <w:r>
              <w:rPr>
                <w:rFonts w:ascii="仿宋_GB2312" w:hAnsi="宋体" w:eastAsia="仿宋_GB2312" w:cs="宋体"/>
              </w:rPr>
              <w:t>砼管</w:t>
            </w:r>
            <w:r>
              <w:rPr>
                <w:rFonts w:hint="eastAsia" w:ascii="仿宋_GB2312" w:hAnsi="宋体" w:eastAsia="仿宋_GB2312" w:cs="宋体"/>
              </w:rPr>
              <w:t>232m;</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rPr>
              <w:t>D225</w:t>
            </w:r>
            <w:r>
              <w:rPr>
                <w:rFonts w:ascii="仿宋_GB2312" w:hAnsi="宋体" w:eastAsia="仿宋_GB2312" w:cs="宋体"/>
              </w:rPr>
              <w:t>管</w:t>
            </w:r>
            <w:r>
              <w:rPr>
                <w:rFonts w:hint="eastAsia" w:ascii="仿宋_GB2312" w:hAnsi="宋体" w:eastAsia="仿宋_GB2312" w:cs="宋体"/>
              </w:rPr>
              <w:t>: 134</w:t>
            </w:r>
            <w:r>
              <w:rPr>
                <w:rFonts w:ascii="仿宋_GB2312" w:hAnsi="宋体" w:eastAsia="仿宋_GB2312" w:cs="宋体"/>
              </w:rPr>
              <w:t>米</w:t>
            </w:r>
            <w:r>
              <w:rPr>
                <w:rFonts w:hint="eastAsia" w:ascii="仿宋_GB2312" w:hAnsi="宋体" w:eastAsia="仿宋_GB2312" w:cs="宋体"/>
              </w:rPr>
              <w:t xml:space="preserve">     D600</w:t>
            </w:r>
            <w:r>
              <w:rPr>
                <w:rFonts w:ascii="仿宋_GB2312" w:hAnsi="宋体" w:eastAsia="仿宋_GB2312" w:cs="宋体"/>
              </w:rPr>
              <w:t>管</w:t>
            </w:r>
            <w:r>
              <w:rPr>
                <w:rFonts w:hint="eastAsia" w:ascii="仿宋_GB2312" w:hAnsi="宋体" w:eastAsia="仿宋_GB2312" w:cs="宋体"/>
              </w:rPr>
              <w:t>: 37</w:t>
            </w:r>
            <w:r>
              <w:rPr>
                <w:rFonts w:ascii="仿宋_GB2312" w:hAnsi="宋体" w:eastAsia="仿宋_GB2312" w:cs="宋体"/>
              </w:rPr>
              <w:t>米；</w:t>
            </w:r>
            <w:r>
              <w:rPr>
                <w:rFonts w:hint="eastAsia" w:ascii="仿宋_GB2312" w:hAnsi="宋体" w:eastAsia="仿宋_GB2312" w:cs="宋体"/>
              </w:rPr>
              <w:t xml:space="preserve"> D400</w:t>
            </w:r>
            <w:r>
              <w:rPr>
                <w:rFonts w:ascii="仿宋_GB2312" w:hAnsi="宋体" w:eastAsia="仿宋_GB2312" w:cs="宋体"/>
              </w:rPr>
              <w:t>管</w:t>
            </w:r>
            <w:r>
              <w:rPr>
                <w:rFonts w:hint="eastAsia" w:ascii="仿宋_GB2312" w:hAnsi="宋体" w:eastAsia="仿宋_GB2312" w:cs="宋体"/>
              </w:rPr>
              <w:t>: 13</w:t>
            </w:r>
            <w:r>
              <w:rPr>
                <w:rFonts w:ascii="仿宋_GB2312" w:hAnsi="宋体" w:eastAsia="仿宋_GB2312" w:cs="宋体"/>
              </w:rPr>
              <w:t>米</w:t>
            </w:r>
            <w:r>
              <w:rPr>
                <w:rFonts w:hint="eastAsia" w:ascii="仿宋_GB2312" w:hAnsi="宋体" w:eastAsia="仿宋_GB2312" w:cs="宋体"/>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468</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184</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652</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2.727 </w:t>
            </w:r>
          </w:p>
        </w:tc>
      </w:tr>
      <w:tr>
        <w:tblPrEx>
          <w:tblCellMar>
            <w:top w:w="15" w:type="dxa"/>
            <w:left w:w="15" w:type="dxa"/>
            <w:bottom w:w="15" w:type="dxa"/>
            <w:right w:w="15" w:type="dxa"/>
          </w:tblCellMar>
        </w:tblPrEx>
        <w:trPr>
          <w:trHeight w:val="845" w:hRule="atLeast"/>
        </w:trPr>
        <w:tc>
          <w:tcPr>
            <w:tcW w:w="362"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东广场-东宁路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钢筋砼管D1000*91M  D800*333M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D600*190M  D500*36M  D400*163M D300*39M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 D400*21M   D300*30M  D200*190M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852</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241</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1093</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Y73:2.700 Y75:2.700</w:t>
            </w:r>
          </w:p>
        </w:tc>
      </w:tr>
      <w:tr>
        <w:tblPrEx>
          <w:tblCellMar>
            <w:top w:w="15" w:type="dxa"/>
            <w:left w:w="15" w:type="dxa"/>
            <w:bottom w:w="15" w:type="dxa"/>
            <w:right w:w="15" w:type="dxa"/>
          </w:tblCellMar>
        </w:tblPrEx>
        <w:trPr>
          <w:trHeight w:val="800" w:hRule="atLeast"/>
        </w:trPr>
        <w:tc>
          <w:tcPr>
            <w:tcW w:w="362"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新塘支路-铁西路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钢筋砼管D1500*47M  D1200*222M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D600*119M D500*65M  D400*201M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钢筋砼管D600*19M  D300*135M  D200*50M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654</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204</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858</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31</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YS4:2.514</w:t>
            </w:r>
          </w:p>
        </w:tc>
      </w:tr>
      <w:tr>
        <w:tblPrEx>
          <w:tblCellMar>
            <w:top w:w="15" w:type="dxa"/>
            <w:left w:w="15" w:type="dxa"/>
            <w:bottom w:w="15" w:type="dxa"/>
            <w:right w:w="15" w:type="dxa"/>
          </w:tblCellMar>
        </w:tblPrEx>
        <w:trPr>
          <w:trHeight w:val="925" w:hRule="atLeast"/>
        </w:trPr>
        <w:tc>
          <w:tcPr>
            <w:tcW w:w="362" w:type="dxa"/>
            <w:tcBorders>
              <w:left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运河北-新塘支路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D1000钢筋砼管173M  </w:t>
            </w:r>
          </w:p>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D800钢筋砼管154M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D600钢筋砼管7M  D500钢筋砼管74M  D400钢筋砼管57M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D600钢筋砼管23M  D400钢筋砼管30M  D300钢筋砼管385M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465</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438</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903</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770"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花园兜路-二号港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D1000钢筋砼管656M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D600钢筋砼管33M  D400钢筋砼管75M  D300钢筋砼管97M  D200钢筋砼管190M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656</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395</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1051</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38</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YN20:1.722 YS16:2.520</w:t>
            </w:r>
          </w:p>
        </w:tc>
      </w:tr>
      <w:tr>
        <w:tblPrEx>
          <w:tblCellMar>
            <w:top w:w="15" w:type="dxa"/>
            <w:left w:w="15" w:type="dxa"/>
            <w:bottom w:w="15" w:type="dxa"/>
            <w:right w:w="15" w:type="dxa"/>
          </w:tblCellMar>
        </w:tblPrEx>
        <w:trPr>
          <w:trHeight w:val="960"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天城路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环站西路-新风路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D2000钢筋砼管294M  </w:t>
            </w:r>
          </w:p>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D1500钢筋砼管257M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D800钢筋砼管21M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D600钢筋砼管48M  D300钢筋砼管45M  D200钢筋砼管65M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572</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158</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730</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38</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YN1:2.700</w:t>
            </w:r>
          </w:p>
        </w:tc>
      </w:tr>
      <w:tr>
        <w:tblPrEx>
          <w:tblCellMar>
            <w:top w:w="15" w:type="dxa"/>
            <w:left w:w="15" w:type="dxa"/>
            <w:bottom w:w="15" w:type="dxa"/>
            <w:right w:w="15" w:type="dxa"/>
          </w:tblCellMar>
        </w:tblPrEx>
        <w:trPr>
          <w:trHeight w:val="950" w:hRule="atLeast"/>
        </w:trPr>
        <w:tc>
          <w:tcPr>
            <w:tcW w:w="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新风路</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王家井-机场路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钢筋砼管D800*113M  D1000*180M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D1200*231M D1500*244M  D1800*25M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钢筋砼管D600*56M  D400*59M  D300*432M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793</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547</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1340</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Y10:2.796</w:t>
            </w:r>
          </w:p>
        </w:tc>
      </w:tr>
      <w:tr>
        <w:tblPrEx>
          <w:tblCellMar>
            <w:top w:w="15" w:type="dxa"/>
            <w:left w:w="15" w:type="dxa"/>
            <w:bottom w:w="15" w:type="dxa"/>
            <w:right w:w="15" w:type="dxa"/>
          </w:tblCellMar>
        </w:tblPrEx>
        <w:trPr>
          <w:trHeight w:val="678"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新塘路-王家井街</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钢筋砼管D1800*149M  D1200*13M     </w:t>
            </w:r>
            <w:r>
              <w:rPr>
                <w:rFonts w:hint="eastAsia" w:ascii="仿宋_GB2312" w:hAnsi="宋体" w:eastAsia="仿宋_GB2312" w:cs="宋体"/>
                <w:color w:val="000000"/>
              </w:rPr>
              <w:br w:type="textWrapping"/>
            </w:r>
            <w:r>
              <w:rPr>
                <w:rFonts w:hint="eastAsia" w:ascii="仿宋_GB2312" w:hAnsi="宋体" w:eastAsia="仿宋_GB2312" w:cs="宋体"/>
                <w:color w:val="000000"/>
              </w:rPr>
              <w:t xml:space="preserve">D1000*31M D800*476M  D600*120M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钢筋砼管 D800*63M  D600*32M  D300*95M  D200*320M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789</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510</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1299</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39</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YN8:4.150  Y20-1:4.112   Y7:3.496</w:t>
            </w:r>
          </w:p>
        </w:tc>
      </w:tr>
      <w:tr>
        <w:tblPrEx>
          <w:tblCellMar>
            <w:top w:w="15" w:type="dxa"/>
            <w:left w:w="15" w:type="dxa"/>
            <w:bottom w:w="15" w:type="dxa"/>
            <w:right w:w="15" w:type="dxa"/>
          </w:tblCellMar>
        </w:tblPrEx>
        <w:trPr>
          <w:trHeight w:val="725" w:hRule="atLeast"/>
        </w:trPr>
        <w:tc>
          <w:tcPr>
            <w:tcW w:w="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新塘路-艮山西路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ascii="仿宋_GB2312" w:hAnsi="宋体" w:eastAsia="仿宋_GB2312" w:cs="宋体"/>
              </w:rPr>
              <w:t>钢筋混凝土管；D</w:t>
            </w:r>
            <w:r>
              <w:rPr>
                <w:rFonts w:hint="eastAsia" w:ascii="仿宋_GB2312" w:hAnsi="宋体" w:eastAsia="仿宋_GB2312" w:cs="宋体"/>
              </w:rPr>
              <w:t>1200</w:t>
            </w:r>
            <w:r>
              <w:rPr>
                <w:rFonts w:ascii="仿宋_GB2312" w:hAnsi="宋体" w:eastAsia="仿宋_GB2312" w:cs="宋体"/>
              </w:rPr>
              <w:t>*234</w:t>
            </w:r>
            <w:r>
              <w:rPr>
                <w:rFonts w:hint="eastAsia" w:ascii="仿宋_GB2312" w:hAnsi="宋体" w:eastAsia="仿宋_GB2312" w:cs="宋体"/>
              </w:rPr>
              <w:t xml:space="preserve">m </w:t>
            </w:r>
            <w:r>
              <w:rPr>
                <w:rFonts w:ascii="仿宋_GB2312" w:hAnsi="宋体" w:eastAsia="仿宋_GB2312" w:cs="宋体"/>
              </w:rPr>
              <w:t>D</w:t>
            </w:r>
            <w:r>
              <w:rPr>
                <w:rFonts w:hint="eastAsia" w:ascii="仿宋_GB2312" w:hAnsi="宋体" w:eastAsia="仿宋_GB2312" w:cs="宋体"/>
              </w:rPr>
              <w:t>1000</w:t>
            </w:r>
            <w:r>
              <w:rPr>
                <w:rFonts w:ascii="仿宋_GB2312" w:hAnsi="宋体" w:eastAsia="仿宋_GB2312" w:cs="宋体"/>
              </w:rPr>
              <w:t>*871</w:t>
            </w:r>
            <w:r>
              <w:rPr>
                <w:rFonts w:hint="eastAsia" w:ascii="仿宋_GB2312" w:hAnsi="宋体" w:eastAsia="仿宋_GB2312" w:cs="宋体"/>
              </w:rPr>
              <w:t>m</w:t>
            </w:r>
            <w:r>
              <w:rPr>
                <w:rFonts w:ascii="仿宋_GB2312" w:hAnsi="宋体" w:eastAsia="仿宋_GB2312" w:cs="宋体"/>
              </w:rPr>
              <w:t xml:space="preserve"> D</w:t>
            </w:r>
            <w:r>
              <w:rPr>
                <w:rFonts w:hint="eastAsia" w:ascii="仿宋_GB2312" w:hAnsi="宋体" w:eastAsia="仿宋_GB2312" w:cs="宋体"/>
              </w:rPr>
              <w:t>800</w:t>
            </w:r>
            <w:r>
              <w:rPr>
                <w:rFonts w:ascii="仿宋_GB2312" w:hAnsi="宋体" w:eastAsia="仿宋_GB2312" w:cs="宋体"/>
              </w:rPr>
              <w:t>*</w:t>
            </w:r>
            <w:r>
              <w:rPr>
                <w:rFonts w:hint="eastAsia" w:ascii="仿宋_GB2312" w:hAnsi="宋体" w:eastAsia="仿宋_GB2312" w:cs="宋体"/>
              </w:rPr>
              <w:t xml:space="preserve">125m D400*80m,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钢筋混凝土管；D800*47m D600*215m D500*90m D300*795m,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1310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1147</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2457</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103</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Y21:2.228 Z1:2.501</w:t>
            </w:r>
          </w:p>
        </w:tc>
      </w:tr>
      <w:tr>
        <w:tblPrEx>
          <w:tblCellMar>
            <w:top w:w="15" w:type="dxa"/>
            <w:left w:w="15" w:type="dxa"/>
            <w:bottom w:w="15" w:type="dxa"/>
            <w:right w:w="15" w:type="dxa"/>
          </w:tblCellMar>
        </w:tblPrEx>
        <w:trPr>
          <w:trHeight w:val="756"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学风巷</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环站北路～麦庙路</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D600钢筋砼管160M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rPr>
            </w:pPr>
            <w:r>
              <w:rPr>
                <w:rFonts w:hint="eastAsia" w:ascii="仿宋_GB2312" w:hAnsi="宋体" w:eastAsia="仿宋_GB2312" w:cs="宋体"/>
              </w:rPr>
              <w:t>D600</w:t>
            </w:r>
            <w:r>
              <w:rPr>
                <w:rFonts w:ascii="仿宋_GB2312" w:hAnsi="宋体" w:eastAsia="仿宋_GB2312" w:cs="宋体"/>
              </w:rPr>
              <w:t>钢筋砼管</w:t>
            </w:r>
            <w:r>
              <w:rPr>
                <w:rFonts w:hint="eastAsia" w:ascii="仿宋_GB2312" w:hAnsi="宋体" w:eastAsia="仿宋_GB2312" w:cs="宋体"/>
              </w:rPr>
              <w:t xml:space="preserve">6M      </w:t>
            </w:r>
          </w:p>
          <w:p>
            <w:pPr>
              <w:textAlignment w:val="center"/>
              <w:rPr>
                <w:rFonts w:ascii="仿宋_GB2312" w:hAnsi="宋体" w:eastAsia="仿宋_GB2312" w:cs="宋体"/>
                <w:color w:val="000000"/>
              </w:rPr>
            </w:pPr>
            <w:r>
              <w:rPr>
                <w:rFonts w:hint="eastAsia" w:ascii="仿宋_GB2312" w:hAnsi="宋体" w:eastAsia="仿宋_GB2312" w:cs="宋体"/>
              </w:rPr>
              <w:t>D300</w:t>
            </w:r>
            <w:r>
              <w:rPr>
                <w:rFonts w:ascii="仿宋_GB2312" w:hAnsi="宋体" w:eastAsia="仿宋_GB2312" w:cs="宋体"/>
              </w:rPr>
              <w:t>钢筋砼管</w:t>
            </w:r>
            <w:r>
              <w:rPr>
                <w:rFonts w:hint="eastAsia" w:ascii="仿宋_GB2312" w:hAnsi="宋体" w:eastAsia="仿宋_GB2312" w:cs="宋体"/>
              </w:rPr>
              <w:t xml:space="preserve">42M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48</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208</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Y4:3.544  </w:t>
            </w:r>
          </w:p>
        </w:tc>
      </w:tr>
      <w:tr>
        <w:tblPrEx>
          <w:tblCellMar>
            <w:top w:w="15" w:type="dxa"/>
            <w:left w:w="15" w:type="dxa"/>
            <w:bottom w:w="15" w:type="dxa"/>
            <w:right w:w="15" w:type="dxa"/>
          </w:tblCellMar>
        </w:tblPrEx>
        <w:trPr>
          <w:trHeight w:val="480" w:hRule="atLeast"/>
        </w:trPr>
        <w:tc>
          <w:tcPr>
            <w:tcW w:w="3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学风直街</w:t>
            </w:r>
          </w:p>
        </w:tc>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环站西路～学风巷</w:t>
            </w:r>
          </w:p>
        </w:tc>
        <w:tc>
          <w:tcPr>
            <w:tcW w:w="326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color w:val="000000"/>
              </w:rPr>
              <w:t xml:space="preserve">D800钢筋砼管184M  </w:t>
            </w:r>
          </w:p>
        </w:tc>
        <w:tc>
          <w:tcPr>
            <w:tcW w:w="338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宋体" w:eastAsia="仿宋_GB2312" w:cs="宋体"/>
                <w:color w:val="000000"/>
              </w:rPr>
            </w:pPr>
            <w:r>
              <w:rPr>
                <w:rFonts w:hint="eastAsia" w:ascii="仿宋_GB2312" w:hAnsi="宋体" w:eastAsia="仿宋_GB2312" w:cs="宋体"/>
              </w:rPr>
              <w:t>D300</w:t>
            </w:r>
            <w:r>
              <w:rPr>
                <w:rFonts w:ascii="仿宋_GB2312" w:hAnsi="宋体" w:eastAsia="仿宋_GB2312" w:cs="宋体"/>
              </w:rPr>
              <w:t>钢筋砼管</w:t>
            </w:r>
            <w:r>
              <w:rPr>
                <w:rFonts w:hint="eastAsia" w:ascii="仿宋_GB2312" w:hAnsi="宋体" w:eastAsia="仿宋_GB2312" w:cs="宋体"/>
              </w:rPr>
              <w:t xml:space="preserve">86M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184</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86</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270</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Y15-2:3.36  </w:t>
            </w:r>
          </w:p>
        </w:tc>
      </w:tr>
    </w:tbl>
    <w:p>
      <w:pPr>
        <w:jc w:val="center"/>
        <w:rPr>
          <w:rFonts w:ascii="仿宋_GB2312" w:hAnsi="宋体" w:eastAsia="仿宋_GB2312" w:cs="宋体"/>
          <w:b/>
          <w:color w:val="000000"/>
          <w:sz w:val="24"/>
        </w:rPr>
      </w:pPr>
      <w:r>
        <w:rPr>
          <w:rFonts w:hint="eastAsia" w:ascii="仿宋_GB2312" w:hAnsi="宋体" w:eastAsia="仿宋_GB2312" w:cs="宋体"/>
          <w:b/>
          <w:color w:val="000000"/>
          <w:sz w:val="24"/>
        </w:rPr>
        <w:t>保洁长效设施量表</w:t>
      </w:r>
    </w:p>
    <w:tbl>
      <w:tblPr>
        <w:tblStyle w:val="41"/>
        <w:tblpPr w:leftFromText="180" w:rightFromText="180" w:vertAnchor="text" w:horzAnchor="page" w:tblpX="1499" w:tblpY="224"/>
        <w:tblOverlap w:val="never"/>
        <w:tblW w:w="13870" w:type="dxa"/>
        <w:tblInd w:w="0" w:type="dxa"/>
        <w:tblLayout w:type="fixed"/>
        <w:tblCellMar>
          <w:top w:w="15" w:type="dxa"/>
          <w:left w:w="15" w:type="dxa"/>
          <w:bottom w:w="15" w:type="dxa"/>
          <w:right w:w="15" w:type="dxa"/>
        </w:tblCellMar>
      </w:tblPr>
      <w:tblGrid>
        <w:gridCol w:w="1149"/>
        <w:gridCol w:w="2900"/>
        <w:gridCol w:w="4170"/>
        <w:gridCol w:w="2591"/>
        <w:gridCol w:w="3060"/>
      </w:tblGrid>
      <w:tr>
        <w:tblPrEx>
          <w:tblCellMar>
            <w:top w:w="15" w:type="dxa"/>
            <w:left w:w="15" w:type="dxa"/>
            <w:bottom w:w="15" w:type="dxa"/>
            <w:right w:w="15" w:type="dxa"/>
          </w:tblCellMar>
        </w:tblPrEx>
        <w:trPr>
          <w:trHeight w:val="352"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kern w:val="0"/>
                <w:sz w:val="20"/>
                <w:szCs w:val="20"/>
              </w:rPr>
              <w:t>序号</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kern w:val="0"/>
                <w:sz w:val="20"/>
                <w:szCs w:val="20"/>
              </w:rPr>
              <w:t>道路名称</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b/>
                <w:bCs/>
                <w:kern w:val="0"/>
                <w:sz w:val="20"/>
                <w:szCs w:val="20"/>
              </w:rPr>
              <w:t>起止点</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kern w:val="0"/>
                <w:sz w:val="20"/>
                <w:szCs w:val="20"/>
              </w:rPr>
              <w:t>保洁面积(m2)</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kern w:val="0"/>
                <w:sz w:val="20"/>
                <w:szCs w:val="20"/>
              </w:rPr>
              <w:t>定级类别</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东站东广场（硬化部分）</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东广场二层广场、东公交出口至火车东站P东停车场入口</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45059.79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东站东广场匝道</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上下二层广场匝道、站东二路（新塘路-出租车地下入口）</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11638.71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37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东站西广场（硬化部分）</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广场西字铺装、中间大道铺装、弧形通新风路铺装、通往主楼道路铺装、林间铺装小路、广场层至路面及前端铺装、站西一、二路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37331.42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东站西广场匝道</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QC匝道（出租车专用/站房高架-西广场地下通道）、地面出租车通道（王家井-西广场通道）、上下匝道</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13531.38</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环站东路</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天城路-环站南路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57062.28</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环站东路延伸</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环站北路-天城路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25675.77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东宁路1</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环站北路-环站南路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82785.65</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东宁路2</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环站南路-艮山西路、环站北路-机场路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31134.91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9</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鸿泰路1</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东宁路-环站东路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10164.09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和兴路1</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东宁路-环站东路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9505.67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11</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花园兜街</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东宁路-站东一路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7675.09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一类街巷</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12</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花园兜街</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东宁路-环站东路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11196.33</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一类街巷</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13</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highlight w:val="yellow"/>
              </w:rPr>
            </w:pPr>
            <w:r>
              <w:rPr>
                <w:rFonts w:hint="eastAsia" w:ascii="仿宋_GB2312" w:hAnsi="仿宋_GB2312" w:eastAsia="仿宋_GB2312" w:cs="仿宋_GB2312"/>
                <w:color w:val="000000"/>
                <w:kern w:val="0"/>
                <w:sz w:val="24"/>
              </w:rPr>
              <w:t>天城路1（隧道除外）</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highlight w:val="yellow"/>
              </w:rPr>
            </w:pPr>
            <w:r>
              <w:rPr>
                <w:rFonts w:hint="eastAsia" w:ascii="仿宋_GB2312" w:hAnsi="仿宋_GB2312" w:eastAsia="仿宋_GB2312" w:cs="仿宋_GB2312"/>
                <w:color w:val="000000"/>
                <w:kern w:val="0"/>
                <w:sz w:val="24"/>
              </w:rPr>
              <w:t>环站东路-环站西路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40452.94</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14</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新风路1</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王家井街-环站北路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24506.3</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15</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新风路1延伸</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王家井街-新塘路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37197.69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环站西路1</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新塘路-环站北路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43268.1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17</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环站西路2</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环站北路-机场路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10080.75</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二类道路16小时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环站南路1（隧道除外）</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新风路-环站东路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32845.01</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19</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环站北路（隧道除外）</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环站西路-环站东路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47600.17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王家井街</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环站西路-全福桥路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13045.97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21</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麦庙路</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环站西路-新风路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8267.4</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22</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全福桥路1</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环站北路-王家井街</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11224.33</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一类道路18小时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23</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新塘路1（隧道除外）</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新风路-环站东路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40110.88</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24</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学风巷</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麦庙街-环站北路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1790.09</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二类街巷</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25</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学风直弄</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学风巷-环站西路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1589.06</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二类街巷</w:t>
            </w:r>
          </w:p>
        </w:tc>
      </w:tr>
      <w:tr>
        <w:tblPrEx>
          <w:tblCellMar>
            <w:top w:w="15" w:type="dxa"/>
            <w:left w:w="15" w:type="dxa"/>
            <w:bottom w:w="15" w:type="dxa"/>
            <w:right w:w="15" w:type="dxa"/>
          </w:tblCellMar>
        </w:tblPrEx>
        <w:trPr>
          <w:trHeight w:val="65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候车高架层四周车行道</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候车高架层东车行道、候车高架层西车行道、候车高架层南车行道、候车高架层北车行道</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30777.17</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65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27</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候车高架层四周人行道、东西看台</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候车高架层东人行道、候车高架层西人行道、候车高架层南人行道、候车高架层北人行道、东西看台</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17920.05</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472"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2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东广场公交走道</w:t>
            </w:r>
          </w:p>
        </w:tc>
        <w:tc>
          <w:tcPr>
            <w:tcW w:w="4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东广场公交走道</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1499.12</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一类道路24小时</w:t>
            </w:r>
          </w:p>
        </w:tc>
      </w:tr>
      <w:tr>
        <w:tblPrEx>
          <w:tblCellMar>
            <w:top w:w="15" w:type="dxa"/>
            <w:left w:w="15" w:type="dxa"/>
            <w:bottom w:w="15" w:type="dxa"/>
            <w:right w:w="15" w:type="dxa"/>
          </w:tblCellMar>
        </w:tblPrEx>
        <w:trPr>
          <w:trHeight w:val="286" w:hRule="atLeast"/>
        </w:trPr>
        <w:tc>
          <w:tcPr>
            <w:tcW w:w="13870"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b/>
                <w:bCs/>
                <w:color w:val="000000"/>
                <w:sz w:val="24"/>
              </w:rPr>
            </w:pPr>
            <w:r>
              <w:rPr>
                <w:rFonts w:hint="eastAsia" w:ascii="仿宋_GB2312" w:hAnsi="宋体" w:eastAsia="仿宋_GB2312" w:cs="宋体"/>
                <w:b/>
                <w:bCs/>
                <w:color w:val="000000"/>
                <w:sz w:val="24"/>
              </w:rPr>
              <w:t>已投入使用的公厕</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序号</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道路名称</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地点</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定级类别</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厕卫(个)</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27</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东广场公厕</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东广场</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三星级16小时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15</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28</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西广场公厕</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西广场</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三星级16小时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16</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30 </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东公交公厕</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东公交</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三星24小时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21</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31 </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西公交公厕（全幅桥路）</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全福桥路</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三星16小时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15</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32 </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出租车（北3）</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到达层</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三星24小时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22</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33 </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南3</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到达层</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三星24小时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32.5</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34 </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出租车（北2）</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到达层</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三星24小时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22</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35 </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南2</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到达层</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三星24小时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31.5</w:t>
            </w:r>
          </w:p>
        </w:tc>
      </w:tr>
      <w:tr>
        <w:tblPrEx>
          <w:tblCellMar>
            <w:top w:w="15" w:type="dxa"/>
            <w:left w:w="15" w:type="dxa"/>
            <w:bottom w:w="15" w:type="dxa"/>
            <w:right w:w="15" w:type="dxa"/>
          </w:tblCellMar>
        </w:tblPrEx>
        <w:trPr>
          <w:trHeight w:val="286"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36</w:t>
            </w:r>
          </w:p>
        </w:tc>
        <w:tc>
          <w:tcPr>
            <w:tcW w:w="2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B1铁路自助取票处（西）</w:t>
            </w:r>
          </w:p>
        </w:tc>
        <w:tc>
          <w:tcPr>
            <w:tcW w:w="4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到达层</w:t>
            </w:r>
          </w:p>
        </w:tc>
        <w:tc>
          <w:tcPr>
            <w:tcW w:w="25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三星24小时</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33</w:t>
            </w:r>
          </w:p>
        </w:tc>
      </w:tr>
      <w:tr>
        <w:tblPrEx>
          <w:tblCellMar>
            <w:top w:w="15" w:type="dxa"/>
            <w:left w:w="15" w:type="dxa"/>
            <w:bottom w:w="15" w:type="dxa"/>
            <w:right w:w="15" w:type="dxa"/>
          </w:tblCellMar>
        </w:tblPrEx>
        <w:trPr>
          <w:trHeight w:val="286" w:hRule="atLeast"/>
        </w:trPr>
        <w:tc>
          <w:tcPr>
            <w:tcW w:w="1149" w:type="dxa"/>
          </w:tcPr>
          <w:p>
            <w:pPr>
              <w:jc w:val="center"/>
              <w:textAlignment w:val="center"/>
              <w:rPr>
                <w:rFonts w:ascii="仿宋_GB2312" w:hAnsi="宋体" w:eastAsia="仿宋_GB2312" w:cs="宋体"/>
                <w:color w:val="000000"/>
                <w:sz w:val="24"/>
              </w:rPr>
            </w:pPr>
          </w:p>
        </w:tc>
        <w:tc>
          <w:tcPr>
            <w:tcW w:w="2900" w:type="dxa"/>
          </w:tcPr>
          <w:p>
            <w:pPr>
              <w:jc w:val="center"/>
              <w:textAlignment w:val="center"/>
              <w:rPr>
                <w:rFonts w:ascii="仿宋_GB2312" w:hAnsi="宋体" w:eastAsia="仿宋_GB2312" w:cs="宋体"/>
                <w:color w:val="000000"/>
                <w:sz w:val="24"/>
              </w:rPr>
            </w:pPr>
          </w:p>
        </w:tc>
        <w:tc>
          <w:tcPr>
            <w:tcW w:w="4170" w:type="dxa"/>
            <w:vAlign w:val="center"/>
          </w:tcPr>
          <w:p>
            <w:pPr>
              <w:rPr>
                <w:rFonts w:ascii="仿宋_GB2312" w:hAnsi="仿宋_GB2312" w:eastAsia="仿宋_GB2312" w:cs="仿宋_GB2312"/>
                <w:sz w:val="20"/>
                <w:szCs w:val="20"/>
              </w:rPr>
            </w:pPr>
          </w:p>
        </w:tc>
        <w:tc>
          <w:tcPr>
            <w:tcW w:w="2591" w:type="dxa"/>
          </w:tcPr>
          <w:p>
            <w:pPr>
              <w:jc w:val="center"/>
              <w:textAlignment w:val="center"/>
              <w:rPr>
                <w:rFonts w:ascii="仿宋_GB2312" w:hAnsi="宋体" w:eastAsia="仿宋_GB2312" w:cs="宋体"/>
                <w:color w:val="000000"/>
                <w:sz w:val="24"/>
              </w:rPr>
            </w:pPr>
          </w:p>
        </w:tc>
        <w:tc>
          <w:tcPr>
            <w:tcW w:w="3060" w:type="dxa"/>
          </w:tcPr>
          <w:p>
            <w:pPr>
              <w:jc w:val="center"/>
              <w:textAlignment w:val="center"/>
              <w:rPr>
                <w:rFonts w:ascii="仿宋_GB2312" w:hAnsi="宋体" w:eastAsia="仿宋_GB2312" w:cs="宋体"/>
                <w:color w:val="000000"/>
                <w:sz w:val="24"/>
              </w:rPr>
            </w:pPr>
          </w:p>
        </w:tc>
      </w:tr>
    </w:tbl>
    <w:p>
      <w:pPr>
        <w:pStyle w:val="2"/>
      </w:pPr>
    </w:p>
    <w:p>
      <w:pPr>
        <w:spacing w:line="276" w:lineRule="auto"/>
        <w:jc w:val="center"/>
        <w:rPr>
          <w:rFonts w:ascii="仿宋_GB2312" w:hAnsi="宋体" w:eastAsia="仿宋_GB2312" w:cs="宋体"/>
          <w:b/>
          <w:color w:val="000000"/>
          <w:sz w:val="24"/>
        </w:rPr>
      </w:pPr>
      <w:r>
        <w:rPr>
          <w:rFonts w:hint="eastAsia" w:ascii="仿宋_GB2312" w:hAnsi="宋体" w:eastAsia="仿宋_GB2312" w:cs="宋体"/>
          <w:b/>
          <w:color w:val="000000"/>
          <w:sz w:val="24"/>
        </w:rPr>
        <w:t>绿化设施量</w:t>
      </w:r>
    </w:p>
    <w:tbl>
      <w:tblPr>
        <w:tblStyle w:val="41"/>
        <w:tblW w:w="53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788"/>
        <w:gridCol w:w="861"/>
        <w:gridCol w:w="864"/>
        <w:gridCol w:w="864"/>
        <w:gridCol w:w="867"/>
        <w:gridCol w:w="867"/>
        <w:gridCol w:w="867"/>
        <w:gridCol w:w="867"/>
        <w:gridCol w:w="867"/>
        <w:gridCol w:w="867"/>
        <w:gridCol w:w="117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pct"/>
            <w:vMerge w:val="restar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绿地名称</w:t>
            </w:r>
          </w:p>
        </w:tc>
        <w:tc>
          <w:tcPr>
            <w:tcW w:w="629" w:type="pct"/>
            <w:vMerge w:val="restar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四至范围</w:t>
            </w:r>
          </w:p>
        </w:tc>
        <w:tc>
          <w:tcPr>
            <w:tcW w:w="303" w:type="pct"/>
            <w:vMerge w:val="restar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绿地等级</w:t>
            </w:r>
          </w:p>
        </w:tc>
        <w:tc>
          <w:tcPr>
            <w:tcW w:w="304" w:type="pct"/>
            <w:vMerge w:val="restar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绿地总面积  （m2）</w:t>
            </w:r>
          </w:p>
        </w:tc>
        <w:tc>
          <w:tcPr>
            <w:tcW w:w="3056" w:type="pct"/>
            <w:gridSpan w:val="9"/>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4" w:type="pct"/>
            <w:vAlign w:val="center"/>
          </w:tcPr>
          <w:p>
            <w:pPr>
              <w:jc w:val="center"/>
              <w:rPr>
                <w:rFonts w:ascii="宋体" w:hAnsi="宋体" w:cs="宋体"/>
                <w:b/>
                <w:bCs/>
                <w:color w:val="000000"/>
                <w:sz w:val="18"/>
                <w:szCs w:val="18"/>
              </w:rPr>
            </w:pPr>
          </w:p>
        </w:tc>
        <w:tc>
          <w:tcPr>
            <w:tcW w:w="629" w:type="pct"/>
            <w:vAlign w:val="center"/>
          </w:tcPr>
          <w:p>
            <w:pPr>
              <w:jc w:val="center"/>
              <w:rPr>
                <w:rFonts w:ascii="宋体" w:hAnsi="宋体" w:cs="宋体"/>
                <w:b/>
                <w:bCs/>
                <w:color w:val="000000"/>
                <w:sz w:val="18"/>
                <w:szCs w:val="18"/>
              </w:rPr>
            </w:pPr>
          </w:p>
        </w:tc>
        <w:tc>
          <w:tcPr>
            <w:tcW w:w="303" w:type="pct"/>
            <w:vAlign w:val="center"/>
          </w:tcPr>
          <w:p>
            <w:pPr>
              <w:jc w:val="center"/>
              <w:rPr>
                <w:rFonts w:ascii="宋体" w:hAnsi="宋体" w:cs="宋体"/>
                <w:b/>
                <w:bCs/>
                <w:color w:val="000000"/>
                <w:sz w:val="18"/>
                <w:szCs w:val="18"/>
              </w:rPr>
            </w:pPr>
          </w:p>
        </w:tc>
        <w:tc>
          <w:tcPr>
            <w:tcW w:w="304" w:type="pct"/>
            <w:vAlign w:val="center"/>
          </w:tcPr>
          <w:p>
            <w:pPr>
              <w:jc w:val="center"/>
              <w:rPr>
                <w:rFonts w:ascii="宋体" w:hAnsi="宋体" w:cs="宋体"/>
                <w:b/>
                <w:bCs/>
                <w:color w:val="000000"/>
                <w:sz w:val="18"/>
                <w:szCs w:val="18"/>
              </w:rPr>
            </w:pPr>
          </w:p>
        </w:tc>
        <w:tc>
          <w:tcPr>
            <w:tcW w:w="304"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绿地面积 （m2）</w:t>
            </w:r>
          </w:p>
        </w:tc>
        <w:tc>
          <w:tcPr>
            <w:tcW w:w="305"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时花   （m2）</w:t>
            </w:r>
          </w:p>
        </w:tc>
        <w:tc>
          <w:tcPr>
            <w:tcW w:w="305"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单价（元/m2）</w:t>
            </w:r>
          </w:p>
        </w:tc>
        <w:tc>
          <w:tcPr>
            <w:tcW w:w="305"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常绿草   （m2）</w:t>
            </w:r>
          </w:p>
        </w:tc>
        <w:tc>
          <w:tcPr>
            <w:tcW w:w="305"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挂箱（个）</w:t>
            </w:r>
          </w:p>
        </w:tc>
        <w:tc>
          <w:tcPr>
            <w:tcW w:w="305"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行道树品种</w:t>
            </w:r>
          </w:p>
        </w:tc>
        <w:tc>
          <w:tcPr>
            <w:tcW w:w="305"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行道树   （株）</w:t>
            </w:r>
          </w:p>
        </w:tc>
        <w:tc>
          <w:tcPr>
            <w:tcW w:w="412"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行道树胸径（cm）</w:t>
            </w:r>
          </w:p>
        </w:tc>
        <w:tc>
          <w:tcPr>
            <w:tcW w:w="506" w:type="pct"/>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园林设施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4"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东宁路（花园兜街—艮山西路）</w:t>
            </w:r>
          </w:p>
        </w:tc>
        <w:tc>
          <w:tcPr>
            <w:tcW w:w="629"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花园兜街—艮山西路</w:t>
            </w:r>
          </w:p>
        </w:tc>
        <w:tc>
          <w:tcPr>
            <w:tcW w:w="303"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5800</w:t>
            </w:r>
          </w:p>
        </w:tc>
        <w:tc>
          <w:tcPr>
            <w:tcW w:w="864"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5800</w:t>
            </w:r>
          </w:p>
        </w:tc>
        <w:tc>
          <w:tcPr>
            <w:tcW w:w="867" w:type="dxa"/>
            <w:vMerge w:val="restart"/>
            <w:vAlign w:val="center"/>
          </w:tcPr>
          <w:p>
            <w:pPr>
              <w:jc w:val="center"/>
              <w:rPr>
                <w:rFonts w:ascii="宋体" w:hAnsi="宋体" w:cs="宋体"/>
                <w:color w:val="000000"/>
                <w:sz w:val="18"/>
                <w:szCs w:val="18"/>
              </w:rPr>
            </w:pPr>
          </w:p>
        </w:tc>
        <w:tc>
          <w:tcPr>
            <w:tcW w:w="867" w:type="dxa"/>
            <w:vMerge w:val="restart"/>
            <w:vAlign w:val="center"/>
          </w:tcPr>
          <w:p>
            <w:pPr>
              <w:jc w:val="center"/>
              <w:rPr>
                <w:rFonts w:ascii="宋体" w:hAnsi="宋体" w:cs="宋体"/>
                <w:color w:val="000000"/>
                <w:sz w:val="18"/>
                <w:szCs w:val="18"/>
              </w:rPr>
            </w:pPr>
          </w:p>
        </w:tc>
        <w:tc>
          <w:tcPr>
            <w:tcW w:w="867" w:type="dxa"/>
            <w:vMerge w:val="restart"/>
            <w:vAlign w:val="center"/>
          </w:tcPr>
          <w:p>
            <w:pPr>
              <w:jc w:val="center"/>
              <w:rPr>
                <w:rFonts w:ascii="宋体" w:hAnsi="宋体" w:cs="宋体"/>
                <w:color w:val="000000"/>
                <w:sz w:val="18"/>
                <w:szCs w:val="18"/>
              </w:rPr>
            </w:pPr>
          </w:p>
        </w:tc>
        <w:tc>
          <w:tcPr>
            <w:tcW w:w="867" w:type="dxa"/>
            <w:vMerge w:val="restart"/>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香樟</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15-25厘米</w:t>
            </w:r>
          </w:p>
        </w:tc>
        <w:tc>
          <w:tcPr>
            <w:tcW w:w="1449"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组合式花箱4个，机非隔离带护栏2298米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04" w:type="pct"/>
            <w:vAlign w:val="center"/>
          </w:tcPr>
          <w:p>
            <w:pPr>
              <w:widowControl/>
              <w:jc w:val="center"/>
              <w:textAlignment w:val="center"/>
              <w:rPr>
                <w:rFonts w:ascii="宋体" w:hAnsi="宋体" w:cs="宋体"/>
                <w:color w:val="000000"/>
                <w:kern w:val="0"/>
                <w:sz w:val="18"/>
                <w:szCs w:val="18"/>
              </w:rPr>
            </w:pPr>
          </w:p>
        </w:tc>
        <w:tc>
          <w:tcPr>
            <w:tcW w:w="629" w:type="pct"/>
            <w:vAlign w:val="center"/>
          </w:tcPr>
          <w:p>
            <w:pPr>
              <w:widowControl/>
              <w:jc w:val="center"/>
              <w:textAlignment w:val="center"/>
              <w:rPr>
                <w:rFonts w:ascii="宋体" w:hAnsi="宋体" w:cs="宋体"/>
                <w:color w:val="000000"/>
                <w:kern w:val="0"/>
                <w:sz w:val="18"/>
                <w:szCs w:val="18"/>
              </w:rPr>
            </w:pPr>
          </w:p>
        </w:tc>
        <w:tc>
          <w:tcPr>
            <w:tcW w:w="303" w:type="pct"/>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银杏</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525</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15-25厘米</w:t>
            </w:r>
          </w:p>
        </w:tc>
        <w:tc>
          <w:tcPr>
            <w:tcW w:w="1449"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东宁路（机场路—花园兜街）</w:t>
            </w:r>
          </w:p>
        </w:tc>
        <w:tc>
          <w:tcPr>
            <w:tcW w:w="629"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机场路—花园兜街</w:t>
            </w:r>
          </w:p>
        </w:tc>
        <w:tc>
          <w:tcPr>
            <w:tcW w:w="303"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4000</w:t>
            </w:r>
          </w:p>
        </w:tc>
        <w:tc>
          <w:tcPr>
            <w:tcW w:w="864"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2074</w:t>
            </w:r>
          </w:p>
        </w:tc>
        <w:tc>
          <w:tcPr>
            <w:tcW w:w="867" w:type="dxa"/>
            <w:vMerge w:val="restart"/>
            <w:vAlign w:val="center"/>
          </w:tcPr>
          <w:p>
            <w:pPr>
              <w:jc w:val="center"/>
              <w:rPr>
                <w:rFonts w:ascii="宋体" w:hAnsi="宋体" w:cs="宋体"/>
                <w:color w:val="000000"/>
                <w:sz w:val="18"/>
                <w:szCs w:val="18"/>
              </w:rPr>
            </w:pPr>
          </w:p>
        </w:tc>
        <w:tc>
          <w:tcPr>
            <w:tcW w:w="867" w:type="dxa"/>
            <w:vMerge w:val="restart"/>
            <w:vAlign w:val="center"/>
          </w:tcPr>
          <w:p>
            <w:pPr>
              <w:jc w:val="center"/>
              <w:rPr>
                <w:rFonts w:ascii="宋体" w:hAnsi="宋体" w:cs="宋体"/>
                <w:color w:val="000000"/>
                <w:sz w:val="18"/>
                <w:szCs w:val="18"/>
              </w:rPr>
            </w:pPr>
          </w:p>
        </w:tc>
        <w:tc>
          <w:tcPr>
            <w:tcW w:w="867"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1926</w:t>
            </w:r>
          </w:p>
        </w:tc>
        <w:tc>
          <w:tcPr>
            <w:tcW w:w="867" w:type="dxa"/>
            <w:vMerge w:val="restart"/>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珊瑚朴</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15-25厘米</w:t>
            </w:r>
          </w:p>
        </w:tc>
        <w:tc>
          <w:tcPr>
            <w:tcW w:w="1449" w:type="dxa"/>
            <w:vMerge w:val="restart"/>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pct"/>
            <w:vMerge w:val="continue"/>
            <w:vAlign w:val="center"/>
          </w:tcPr>
          <w:p>
            <w:pPr>
              <w:widowControl/>
              <w:jc w:val="center"/>
              <w:textAlignment w:val="center"/>
              <w:rPr>
                <w:rFonts w:ascii="宋体" w:hAnsi="宋体" w:cs="宋体"/>
                <w:color w:val="000000"/>
                <w:kern w:val="0"/>
                <w:sz w:val="18"/>
                <w:szCs w:val="18"/>
              </w:rPr>
            </w:pPr>
          </w:p>
        </w:tc>
        <w:tc>
          <w:tcPr>
            <w:tcW w:w="629" w:type="pct"/>
            <w:vMerge w:val="continue"/>
            <w:vAlign w:val="center"/>
          </w:tcPr>
          <w:p>
            <w:pPr>
              <w:widowControl/>
              <w:jc w:val="center"/>
              <w:textAlignment w:val="center"/>
              <w:rPr>
                <w:rFonts w:ascii="宋体" w:hAnsi="宋体" w:cs="宋体"/>
                <w:color w:val="000000"/>
                <w:kern w:val="0"/>
                <w:sz w:val="18"/>
                <w:szCs w:val="18"/>
              </w:rPr>
            </w:pPr>
          </w:p>
        </w:tc>
        <w:tc>
          <w:tcPr>
            <w:tcW w:w="303" w:type="pct"/>
            <w:vMerge w:val="continue"/>
            <w:vAlign w:val="center"/>
          </w:tcPr>
          <w:p>
            <w:pPr>
              <w:jc w:val="center"/>
              <w:rPr>
                <w:rFonts w:ascii="宋体" w:hAnsi="宋体" w:cs="宋体"/>
                <w:color w:val="000000"/>
                <w:sz w:val="18"/>
                <w:szCs w:val="18"/>
              </w:rPr>
            </w:pPr>
          </w:p>
        </w:tc>
        <w:tc>
          <w:tcPr>
            <w:tcW w:w="864" w:type="dxa"/>
            <w:vMerge w:val="continue"/>
            <w:vAlign w:val="center"/>
          </w:tcPr>
          <w:p>
            <w:pPr>
              <w:jc w:val="center"/>
              <w:rPr>
                <w:rFonts w:ascii="宋体" w:hAnsi="宋体" w:cs="宋体"/>
                <w:color w:val="000000"/>
                <w:sz w:val="18"/>
                <w:szCs w:val="18"/>
              </w:rPr>
            </w:pPr>
          </w:p>
        </w:tc>
        <w:tc>
          <w:tcPr>
            <w:tcW w:w="864"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银杏</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15-25厘米</w:t>
            </w:r>
          </w:p>
        </w:tc>
        <w:tc>
          <w:tcPr>
            <w:tcW w:w="1449" w:type="dxa"/>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pct"/>
            <w:vAlign w:val="center"/>
          </w:tcPr>
          <w:p>
            <w:pPr>
              <w:widowControl/>
              <w:jc w:val="center"/>
              <w:textAlignment w:val="center"/>
              <w:rPr>
                <w:rFonts w:ascii="宋体" w:hAnsi="宋体" w:cs="宋体"/>
                <w:color w:val="000000"/>
                <w:kern w:val="0"/>
                <w:sz w:val="18"/>
                <w:szCs w:val="18"/>
              </w:rPr>
            </w:pPr>
          </w:p>
        </w:tc>
        <w:tc>
          <w:tcPr>
            <w:tcW w:w="629" w:type="pct"/>
            <w:vAlign w:val="center"/>
          </w:tcPr>
          <w:p>
            <w:pPr>
              <w:widowControl/>
              <w:jc w:val="center"/>
              <w:textAlignment w:val="center"/>
              <w:rPr>
                <w:rFonts w:ascii="宋体" w:hAnsi="宋体" w:cs="宋体"/>
                <w:color w:val="000000"/>
                <w:kern w:val="0"/>
                <w:sz w:val="18"/>
                <w:szCs w:val="18"/>
              </w:rPr>
            </w:pPr>
          </w:p>
        </w:tc>
        <w:tc>
          <w:tcPr>
            <w:tcW w:w="303" w:type="pct"/>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香樟</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15-25厘米</w:t>
            </w:r>
          </w:p>
        </w:tc>
        <w:tc>
          <w:tcPr>
            <w:tcW w:w="1449"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新塘路</w:t>
            </w:r>
          </w:p>
        </w:tc>
        <w:tc>
          <w:tcPr>
            <w:tcW w:w="629"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铁路-沪杭高速段</w:t>
            </w:r>
          </w:p>
        </w:tc>
        <w:tc>
          <w:tcPr>
            <w:tcW w:w="303" w:type="pct"/>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2330</w:t>
            </w:r>
          </w:p>
        </w:tc>
        <w:tc>
          <w:tcPr>
            <w:tcW w:w="864"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2047</w:t>
            </w:r>
          </w:p>
        </w:tc>
        <w:tc>
          <w:tcPr>
            <w:tcW w:w="867"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867"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w:t>
            </w:r>
          </w:p>
        </w:tc>
        <w:tc>
          <w:tcPr>
            <w:tcW w:w="867"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867" w:type="dxa"/>
            <w:vMerge w:val="restart"/>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香樟</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15-25厘米</w:t>
            </w:r>
          </w:p>
        </w:tc>
        <w:tc>
          <w:tcPr>
            <w:tcW w:w="1449"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机非隔离带栏杆（90cm）1270米，中间分隔带(1.6m)92米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pct"/>
            <w:vMerge w:val="continue"/>
            <w:vAlign w:val="center"/>
          </w:tcPr>
          <w:p>
            <w:pPr>
              <w:widowControl/>
              <w:jc w:val="center"/>
              <w:textAlignment w:val="center"/>
              <w:rPr>
                <w:rFonts w:ascii="宋体" w:hAnsi="宋体" w:cs="宋体"/>
                <w:color w:val="000000"/>
                <w:kern w:val="0"/>
                <w:sz w:val="18"/>
                <w:szCs w:val="18"/>
              </w:rPr>
            </w:pPr>
          </w:p>
        </w:tc>
        <w:tc>
          <w:tcPr>
            <w:tcW w:w="629" w:type="pct"/>
            <w:vMerge w:val="continue"/>
            <w:vAlign w:val="center"/>
          </w:tcPr>
          <w:p>
            <w:pPr>
              <w:widowControl/>
              <w:jc w:val="center"/>
              <w:textAlignment w:val="center"/>
              <w:rPr>
                <w:rFonts w:ascii="宋体" w:hAnsi="宋体" w:cs="宋体"/>
                <w:color w:val="000000"/>
                <w:kern w:val="0"/>
                <w:sz w:val="18"/>
                <w:szCs w:val="18"/>
              </w:rPr>
            </w:pPr>
          </w:p>
        </w:tc>
        <w:tc>
          <w:tcPr>
            <w:tcW w:w="303" w:type="pct"/>
            <w:vMerge w:val="continue"/>
            <w:vAlign w:val="center"/>
          </w:tcPr>
          <w:p>
            <w:pPr>
              <w:jc w:val="center"/>
              <w:rPr>
                <w:rFonts w:ascii="宋体" w:hAnsi="宋体" w:cs="宋体"/>
                <w:color w:val="000000"/>
                <w:sz w:val="18"/>
                <w:szCs w:val="18"/>
              </w:rPr>
            </w:pPr>
          </w:p>
        </w:tc>
        <w:tc>
          <w:tcPr>
            <w:tcW w:w="864" w:type="dxa"/>
            <w:vMerge w:val="continue"/>
            <w:vAlign w:val="center"/>
          </w:tcPr>
          <w:p>
            <w:pPr>
              <w:jc w:val="center"/>
              <w:rPr>
                <w:rFonts w:ascii="宋体" w:hAnsi="宋体" w:cs="宋体"/>
                <w:color w:val="000000"/>
                <w:sz w:val="18"/>
                <w:szCs w:val="18"/>
              </w:rPr>
            </w:pPr>
          </w:p>
        </w:tc>
        <w:tc>
          <w:tcPr>
            <w:tcW w:w="864"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continue"/>
            <w:vAlign w:val="center"/>
          </w:tcPr>
          <w:p>
            <w:pPr>
              <w:jc w:val="center"/>
              <w:rPr>
                <w:rFonts w:ascii="宋体" w:hAnsi="宋体" w:cs="宋体"/>
                <w:color w:val="000000"/>
                <w:sz w:val="18"/>
                <w:szCs w:val="18"/>
              </w:rPr>
            </w:pPr>
          </w:p>
        </w:tc>
        <w:tc>
          <w:tcPr>
            <w:tcW w:w="867"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栾树</w:t>
            </w:r>
          </w:p>
        </w:tc>
        <w:tc>
          <w:tcPr>
            <w:tcW w:w="867"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171"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10-15厘米</w:t>
            </w:r>
          </w:p>
        </w:tc>
        <w:tc>
          <w:tcPr>
            <w:tcW w:w="1449" w:type="dxa"/>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pct"/>
            <w:vMerge w:val="continue"/>
            <w:vAlign w:val="center"/>
          </w:tcPr>
          <w:p>
            <w:pPr>
              <w:widowControl/>
              <w:jc w:val="center"/>
              <w:textAlignment w:val="center"/>
              <w:rPr>
                <w:rFonts w:ascii="宋体" w:hAnsi="宋体" w:cs="宋体"/>
                <w:color w:val="000000"/>
                <w:kern w:val="0"/>
                <w:sz w:val="18"/>
                <w:szCs w:val="18"/>
              </w:rPr>
            </w:pPr>
          </w:p>
        </w:tc>
        <w:tc>
          <w:tcPr>
            <w:tcW w:w="629" w:type="pct"/>
            <w:vMerge w:val="continue"/>
            <w:vAlign w:val="center"/>
          </w:tcPr>
          <w:p>
            <w:pPr>
              <w:widowControl/>
              <w:jc w:val="center"/>
              <w:textAlignment w:val="center"/>
              <w:rPr>
                <w:rFonts w:ascii="宋体" w:hAnsi="宋体" w:cs="宋体"/>
                <w:color w:val="000000"/>
                <w:kern w:val="0"/>
                <w:sz w:val="18"/>
                <w:szCs w:val="18"/>
              </w:rPr>
            </w:pPr>
          </w:p>
        </w:tc>
        <w:tc>
          <w:tcPr>
            <w:tcW w:w="303" w:type="pct"/>
            <w:vMerge w:val="continue"/>
            <w:vAlign w:val="center"/>
          </w:tcPr>
          <w:p>
            <w:pPr>
              <w:jc w:val="center"/>
              <w:rPr>
                <w:rFonts w:ascii="宋体" w:hAnsi="宋体" w:cs="宋体"/>
                <w:color w:val="000000"/>
                <w:sz w:val="18"/>
                <w:szCs w:val="18"/>
              </w:rPr>
            </w:pPr>
          </w:p>
        </w:tc>
        <w:tc>
          <w:tcPr>
            <w:tcW w:w="304" w:type="pct"/>
            <w:vMerge w:val="continue"/>
            <w:vAlign w:val="center"/>
          </w:tcPr>
          <w:p>
            <w:pPr>
              <w:jc w:val="center"/>
              <w:rPr>
                <w:rFonts w:ascii="宋体" w:hAnsi="宋体" w:cs="宋体"/>
                <w:color w:val="000000"/>
                <w:sz w:val="18"/>
                <w:szCs w:val="18"/>
              </w:rPr>
            </w:pPr>
          </w:p>
        </w:tc>
        <w:tc>
          <w:tcPr>
            <w:tcW w:w="304" w:type="pct"/>
            <w:vMerge w:val="continue"/>
            <w:vAlign w:val="center"/>
          </w:tcPr>
          <w:p>
            <w:pPr>
              <w:jc w:val="center"/>
              <w:rPr>
                <w:rFonts w:ascii="宋体" w:hAnsi="宋体" w:cs="宋体"/>
                <w:color w:val="000000"/>
                <w:sz w:val="18"/>
                <w:szCs w:val="18"/>
              </w:rPr>
            </w:pPr>
          </w:p>
        </w:tc>
        <w:tc>
          <w:tcPr>
            <w:tcW w:w="305" w:type="pct"/>
            <w:vMerge w:val="continue"/>
            <w:vAlign w:val="center"/>
          </w:tcPr>
          <w:p>
            <w:pPr>
              <w:jc w:val="center"/>
              <w:rPr>
                <w:rFonts w:ascii="宋体" w:hAnsi="宋体" w:cs="宋体"/>
                <w:color w:val="000000"/>
                <w:sz w:val="18"/>
                <w:szCs w:val="18"/>
              </w:rPr>
            </w:pPr>
          </w:p>
        </w:tc>
        <w:tc>
          <w:tcPr>
            <w:tcW w:w="305" w:type="pct"/>
            <w:vMerge w:val="continue"/>
            <w:vAlign w:val="center"/>
          </w:tcPr>
          <w:p>
            <w:pPr>
              <w:jc w:val="center"/>
              <w:rPr>
                <w:rFonts w:ascii="宋体" w:hAnsi="宋体" w:cs="宋体"/>
                <w:color w:val="000000"/>
                <w:sz w:val="18"/>
                <w:szCs w:val="18"/>
              </w:rPr>
            </w:pPr>
          </w:p>
        </w:tc>
        <w:tc>
          <w:tcPr>
            <w:tcW w:w="305" w:type="pct"/>
            <w:vMerge w:val="continue"/>
            <w:vAlign w:val="center"/>
          </w:tcPr>
          <w:p>
            <w:pPr>
              <w:jc w:val="center"/>
              <w:rPr>
                <w:rFonts w:ascii="宋体" w:hAnsi="宋体" w:cs="宋体"/>
                <w:color w:val="000000"/>
                <w:sz w:val="18"/>
                <w:szCs w:val="18"/>
              </w:rPr>
            </w:pPr>
          </w:p>
        </w:tc>
        <w:tc>
          <w:tcPr>
            <w:tcW w:w="305" w:type="pct"/>
            <w:vMerge w:val="continue"/>
            <w:vAlign w:val="center"/>
          </w:tcPr>
          <w:p>
            <w:pPr>
              <w:jc w:val="center"/>
              <w:rPr>
                <w:rFonts w:ascii="宋体" w:hAnsi="宋体" w:cs="宋体"/>
                <w:color w:val="000000"/>
                <w:sz w:val="18"/>
                <w:szCs w:val="18"/>
              </w:rPr>
            </w:pPr>
          </w:p>
        </w:tc>
        <w:tc>
          <w:tcPr>
            <w:tcW w:w="305" w:type="pct"/>
            <w:vMerge w:val="continue"/>
            <w:vAlign w:val="center"/>
          </w:tcPr>
          <w:p>
            <w:pPr>
              <w:jc w:val="center"/>
              <w:rPr>
                <w:rFonts w:ascii="宋体" w:hAnsi="宋体" w:cs="宋体"/>
                <w:color w:val="000000"/>
                <w:sz w:val="18"/>
                <w:szCs w:val="18"/>
              </w:rPr>
            </w:pPr>
          </w:p>
        </w:tc>
        <w:tc>
          <w:tcPr>
            <w:tcW w:w="305" w:type="pct"/>
            <w:vMerge w:val="continue"/>
            <w:vAlign w:val="center"/>
          </w:tcPr>
          <w:p>
            <w:pPr>
              <w:jc w:val="center"/>
              <w:rPr>
                <w:rFonts w:ascii="宋体" w:hAnsi="宋体" w:cs="宋体"/>
                <w:color w:val="000000"/>
                <w:sz w:val="18"/>
                <w:szCs w:val="18"/>
              </w:rPr>
            </w:pPr>
          </w:p>
        </w:tc>
        <w:tc>
          <w:tcPr>
            <w:tcW w:w="412" w:type="pct"/>
            <w:vMerge w:val="continue"/>
            <w:vAlign w:val="center"/>
          </w:tcPr>
          <w:p>
            <w:pPr>
              <w:jc w:val="center"/>
              <w:rPr>
                <w:rFonts w:ascii="宋体" w:hAnsi="宋体" w:cs="宋体"/>
                <w:color w:val="000000"/>
                <w:sz w:val="18"/>
                <w:szCs w:val="18"/>
              </w:rPr>
            </w:pPr>
          </w:p>
        </w:tc>
        <w:tc>
          <w:tcPr>
            <w:tcW w:w="506" w:type="pct"/>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环站西路</w:t>
            </w:r>
          </w:p>
        </w:tc>
        <w:tc>
          <w:tcPr>
            <w:tcW w:w="62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环站西路（花园兜街-环站南路）、彭埠单元G12-05地块（机场路道侧绿地）</w:t>
            </w:r>
          </w:p>
        </w:tc>
        <w:tc>
          <w:tcPr>
            <w:tcW w:w="303"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7440</w:t>
            </w:r>
          </w:p>
        </w:tc>
        <w:tc>
          <w:tcPr>
            <w:tcW w:w="86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7440</w:t>
            </w: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珊瑚朴</w:t>
            </w: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w:t>
            </w:r>
          </w:p>
        </w:tc>
        <w:tc>
          <w:tcPr>
            <w:tcW w:w="1171"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10-15厘米</w:t>
            </w:r>
          </w:p>
        </w:tc>
        <w:tc>
          <w:tcPr>
            <w:tcW w:w="144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有浇灌设施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G20提升（新塘路延伸段）</w:t>
            </w:r>
          </w:p>
        </w:tc>
        <w:tc>
          <w:tcPr>
            <w:tcW w:w="62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新塘路新风路口至铁路贵宾通道引桥处</w:t>
            </w:r>
          </w:p>
        </w:tc>
        <w:tc>
          <w:tcPr>
            <w:tcW w:w="303"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7455</w:t>
            </w: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1171" w:type="dxa"/>
            <w:vAlign w:val="center"/>
          </w:tcPr>
          <w:p>
            <w:pPr>
              <w:jc w:val="center"/>
              <w:rPr>
                <w:rFonts w:ascii="宋体" w:hAnsi="宋体" w:cs="宋体"/>
                <w:color w:val="000000"/>
                <w:sz w:val="18"/>
                <w:szCs w:val="18"/>
              </w:rPr>
            </w:pPr>
          </w:p>
        </w:tc>
        <w:tc>
          <w:tcPr>
            <w:tcW w:w="144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铁艺护栏122米，花箱61个，移动花箱9个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4" w:type="pct"/>
            <w:vMerge w:val="continue"/>
            <w:vAlign w:val="center"/>
          </w:tcPr>
          <w:p>
            <w:pPr>
              <w:widowControl/>
              <w:jc w:val="center"/>
              <w:textAlignment w:val="center"/>
              <w:rPr>
                <w:rFonts w:ascii="宋体" w:hAnsi="宋体" w:cs="宋体"/>
                <w:color w:val="000000"/>
                <w:kern w:val="0"/>
                <w:sz w:val="18"/>
                <w:szCs w:val="18"/>
              </w:rPr>
            </w:pPr>
          </w:p>
        </w:tc>
        <w:tc>
          <w:tcPr>
            <w:tcW w:w="62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铁路贵宾通道绿化景观彩化、引桥马鞍式花箱</w:t>
            </w:r>
          </w:p>
        </w:tc>
        <w:tc>
          <w:tcPr>
            <w:tcW w:w="303"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626</w:t>
            </w: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1171" w:type="dxa"/>
            <w:vAlign w:val="center"/>
          </w:tcPr>
          <w:p>
            <w:pPr>
              <w:jc w:val="center"/>
              <w:rPr>
                <w:rFonts w:ascii="宋体" w:hAnsi="宋体" w:cs="宋体"/>
                <w:color w:val="000000"/>
                <w:sz w:val="18"/>
                <w:szCs w:val="18"/>
              </w:rPr>
            </w:pPr>
          </w:p>
        </w:tc>
        <w:tc>
          <w:tcPr>
            <w:tcW w:w="1449"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4"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G20提升（隧道花箱）</w:t>
            </w:r>
          </w:p>
        </w:tc>
        <w:tc>
          <w:tcPr>
            <w:tcW w:w="62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火车东站天城路东西两侧、新塘路东侧隧道花箱</w:t>
            </w:r>
          </w:p>
        </w:tc>
        <w:tc>
          <w:tcPr>
            <w:tcW w:w="303"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w:t>
            </w:r>
          </w:p>
        </w:tc>
        <w:tc>
          <w:tcPr>
            <w:tcW w:w="864" w:type="dxa"/>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1003</w:t>
            </w: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1171" w:type="dxa"/>
            <w:vAlign w:val="center"/>
          </w:tcPr>
          <w:p>
            <w:pPr>
              <w:jc w:val="center"/>
              <w:rPr>
                <w:rFonts w:ascii="宋体" w:hAnsi="宋体" w:cs="宋体"/>
                <w:color w:val="000000"/>
                <w:sz w:val="18"/>
                <w:szCs w:val="18"/>
              </w:rPr>
            </w:pPr>
          </w:p>
        </w:tc>
        <w:tc>
          <w:tcPr>
            <w:tcW w:w="1449"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04"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G20提升(匝道花箱）</w:t>
            </w:r>
          </w:p>
        </w:tc>
        <w:tc>
          <w:tcPr>
            <w:tcW w:w="62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火车东站站体四条匝道花箱</w:t>
            </w:r>
          </w:p>
        </w:tc>
        <w:tc>
          <w:tcPr>
            <w:tcW w:w="303"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w:t>
            </w:r>
          </w:p>
        </w:tc>
        <w:tc>
          <w:tcPr>
            <w:tcW w:w="864" w:type="dxa"/>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2330</w:t>
            </w: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1171" w:type="dxa"/>
            <w:vAlign w:val="center"/>
          </w:tcPr>
          <w:p>
            <w:pPr>
              <w:jc w:val="center"/>
              <w:rPr>
                <w:rFonts w:ascii="宋体" w:hAnsi="宋体" w:cs="宋体"/>
                <w:color w:val="000000"/>
                <w:sz w:val="18"/>
                <w:szCs w:val="18"/>
              </w:rPr>
            </w:pPr>
          </w:p>
        </w:tc>
        <w:tc>
          <w:tcPr>
            <w:tcW w:w="1449"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04"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G20东西广场牛腿花箱</w:t>
            </w:r>
          </w:p>
        </w:tc>
        <w:tc>
          <w:tcPr>
            <w:tcW w:w="629"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牛腿花箱</w:t>
            </w:r>
          </w:p>
        </w:tc>
        <w:tc>
          <w:tcPr>
            <w:tcW w:w="303"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Align w:val="center"/>
          </w:tcPr>
          <w:p>
            <w:pPr>
              <w:jc w:val="center"/>
              <w:rPr>
                <w:rFonts w:ascii="宋体" w:hAnsi="宋体" w:cs="宋体"/>
                <w:color w:val="000000"/>
                <w:sz w:val="18"/>
                <w:szCs w:val="18"/>
              </w:rPr>
            </w:pP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w:t>
            </w: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1171" w:type="dxa"/>
            <w:vAlign w:val="center"/>
          </w:tcPr>
          <w:p>
            <w:pPr>
              <w:jc w:val="center"/>
              <w:rPr>
                <w:rFonts w:ascii="宋体" w:hAnsi="宋体" w:cs="宋体"/>
                <w:color w:val="000000"/>
                <w:sz w:val="18"/>
                <w:szCs w:val="18"/>
              </w:rPr>
            </w:pPr>
          </w:p>
        </w:tc>
        <w:tc>
          <w:tcPr>
            <w:tcW w:w="1449" w:type="dxa"/>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空白绿地</w:t>
            </w:r>
          </w:p>
        </w:tc>
        <w:tc>
          <w:tcPr>
            <w:tcW w:w="629" w:type="pct"/>
            <w:vAlign w:val="center"/>
          </w:tcPr>
          <w:p>
            <w:pPr>
              <w:widowControl/>
              <w:jc w:val="center"/>
              <w:textAlignment w:val="center"/>
              <w:rPr>
                <w:rFonts w:ascii="宋体" w:hAnsi="宋体" w:cs="宋体"/>
                <w:color w:val="000000"/>
                <w:kern w:val="0"/>
                <w:sz w:val="18"/>
                <w:szCs w:val="18"/>
              </w:rPr>
            </w:pPr>
          </w:p>
        </w:tc>
        <w:tc>
          <w:tcPr>
            <w:tcW w:w="303"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w:t>
            </w:r>
          </w:p>
        </w:tc>
        <w:tc>
          <w:tcPr>
            <w:tcW w:w="86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13400</w:t>
            </w:r>
          </w:p>
        </w:tc>
        <w:tc>
          <w:tcPr>
            <w:tcW w:w="864"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867" w:type="dxa"/>
            <w:vAlign w:val="center"/>
          </w:tcPr>
          <w:p>
            <w:pPr>
              <w:jc w:val="center"/>
              <w:rPr>
                <w:rFonts w:ascii="宋体" w:hAnsi="宋体" w:cs="宋体"/>
                <w:color w:val="000000"/>
                <w:sz w:val="18"/>
                <w:szCs w:val="18"/>
              </w:rPr>
            </w:pPr>
          </w:p>
        </w:tc>
        <w:tc>
          <w:tcPr>
            <w:tcW w:w="1171" w:type="dxa"/>
            <w:vAlign w:val="center"/>
          </w:tcPr>
          <w:p>
            <w:pPr>
              <w:jc w:val="center"/>
              <w:rPr>
                <w:rFonts w:ascii="宋体" w:hAnsi="宋体" w:cs="宋体"/>
                <w:color w:val="000000"/>
                <w:sz w:val="18"/>
                <w:szCs w:val="18"/>
              </w:rPr>
            </w:pPr>
          </w:p>
        </w:tc>
        <w:tc>
          <w:tcPr>
            <w:tcW w:w="1449" w:type="dxa"/>
            <w:vAlign w:val="center"/>
          </w:tcPr>
          <w:p>
            <w:pPr>
              <w:jc w:val="center"/>
              <w:rPr>
                <w:rFonts w:ascii="宋体" w:hAnsi="宋体" w:cs="宋体"/>
                <w:color w:val="000000"/>
                <w:sz w:val="18"/>
                <w:szCs w:val="18"/>
              </w:rPr>
            </w:pPr>
          </w:p>
        </w:tc>
      </w:tr>
    </w:tbl>
    <w:p>
      <w:pPr>
        <w:pStyle w:val="18"/>
      </w:pPr>
    </w:p>
    <w:p>
      <w:pPr>
        <w:jc w:val="center"/>
        <w:rPr>
          <w:rFonts w:ascii="仿宋" w:hAnsi="仿宋" w:eastAsia="仿宋" w:cs="仿宋"/>
          <w:sz w:val="28"/>
          <w:szCs w:val="28"/>
        </w:rPr>
      </w:pPr>
      <w:r>
        <w:rPr>
          <w:rFonts w:hint="eastAsia" w:ascii="仿宋_GB2312" w:hAnsi="宋体" w:eastAsia="仿宋_GB2312" w:cs="宋体"/>
          <w:b/>
          <w:color w:val="000000"/>
          <w:sz w:val="24"/>
        </w:rPr>
        <w:t>亮化设施量</w:t>
      </w:r>
    </w:p>
    <w:tbl>
      <w:tblPr>
        <w:tblStyle w:val="41"/>
        <w:tblpPr w:leftFromText="180" w:rightFromText="180" w:vertAnchor="text" w:horzAnchor="page" w:tblpXSpec="center" w:tblpY="247"/>
        <w:tblOverlap w:val="never"/>
        <w:tblW w:w="4998" w:type="pct"/>
        <w:jc w:val="center"/>
        <w:tblLayout w:type="autofit"/>
        <w:tblCellMar>
          <w:top w:w="15" w:type="dxa"/>
          <w:left w:w="15" w:type="dxa"/>
          <w:bottom w:w="15" w:type="dxa"/>
          <w:right w:w="15" w:type="dxa"/>
        </w:tblCellMar>
      </w:tblPr>
      <w:tblGrid>
        <w:gridCol w:w="1780"/>
        <w:gridCol w:w="5220"/>
        <w:gridCol w:w="2347"/>
        <w:gridCol w:w="3717"/>
      </w:tblGrid>
      <w:tr>
        <w:tblPrEx>
          <w:tblCellMar>
            <w:top w:w="15" w:type="dxa"/>
            <w:left w:w="15" w:type="dxa"/>
            <w:bottom w:w="15" w:type="dxa"/>
            <w:right w:w="15" w:type="dxa"/>
          </w:tblCellMar>
        </w:tblPrEx>
        <w:trPr>
          <w:trHeight w:val="480"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序号</w:t>
            </w:r>
          </w:p>
        </w:tc>
        <w:tc>
          <w:tcPr>
            <w:tcW w:w="199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项目名称</w:t>
            </w:r>
          </w:p>
        </w:tc>
        <w:tc>
          <w:tcPr>
            <w:tcW w:w="89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计量单位</w:t>
            </w:r>
          </w:p>
        </w:tc>
        <w:tc>
          <w:tcPr>
            <w:tcW w:w="142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1</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匝道点光源</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735</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2</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贵宾通道草坪灯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84</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3</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匝道桥墩地埋灯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58</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4</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贵宾通道射灯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25</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5</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贵宾通道地埋灯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27</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olor w:val="000000"/>
                <w:kern w:val="0"/>
                <w:sz w:val="22"/>
              </w:rPr>
              <w:t>6</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西广场台阶灯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320</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sz w:val="24"/>
                <w:lang w:eastAsia="zh-CN"/>
              </w:rPr>
            </w:pPr>
            <w:r>
              <w:rPr>
                <w:rFonts w:hint="eastAsia" w:ascii="宋体" w:hAnsi="宋体" w:eastAsia="仿宋_GB2312" w:cs="宋体"/>
                <w:color w:val="000000"/>
                <w:kern w:val="0"/>
                <w:sz w:val="22"/>
                <w:szCs w:val="22"/>
                <w:lang w:val="en-US" w:eastAsia="zh-CN"/>
              </w:rPr>
              <w:t>7</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南北车道音屏障顶端灯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186</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sz w:val="24"/>
                <w:lang w:eastAsia="zh-CN"/>
              </w:rPr>
            </w:pPr>
            <w:r>
              <w:rPr>
                <w:rFonts w:hint="eastAsia" w:ascii="宋体" w:hAnsi="宋体" w:eastAsia="仿宋_GB2312" w:cs="宋体"/>
                <w:color w:val="000000"/>
                <w:kern w:val="0"/>
                <w:sz w:val="22"/>
                <w:szCs w:val="22"/>
                <w:lang w:val="en-US" w:eastAsia="zh-CN"/>
              </w:rPr>
              <w:t>8</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南北车道东西两端平台灯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20</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sz w:val="24"/>
                <w:lang w:eastAsia="zh-CN"/>
              </w:rPr>
            </w:pPr>
            <w:r>
              <w:rPr>
                <w:rFonts w:hint="eastAsia" w:ascii="宋体" w:hAnsi="宋体" w:eastAsia="仿宋_GB2312" w:cs="宋体"/>
                <w:color w:val="000000"/>
                <w:kern w:val="0"/>
                <w:sz w:val="22"/>
                <w:szCs w:val="22"/>
                <w:lang w:val="en-US" w:eastAsia="zh-CN"/>
              </w:rPr>
              <w:t>9</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东西</w:t>
            </w:r>
            <w:r>
              <w:rPr>
                <w:rFonts w:hint="eastAsia" w:ascii="宋体" w:hAnsi="宋体" w:cs="宋体"/>
                <w:color w:val="000000"/>
                <w:kern w:val="0"/>
                <w:sz w:val="22"/>
                <w:szCs w:val="22"/>
                <w:lang w:val="en-US" w:eastAsia="zh-CN"/>
              </w:rPr>
              <w:t>广场</w:t>
            </w:r>
            <w:r>
              <w:rPr>
                <w:rFonts w:hint="eastAsia" w:ascii="宋体" w:hAnsi="宋体" w:cs="宋体"/>
                <w:color w:val="000000"/>
                <w:kern w:val="0"/>
                <w:sz w:val="22"/>
                <w:szCs w:val="22"/>
              </w:rPr>
              <w:t>地面柱脚灯</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88</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宋体"/>
                <w:color w:val="000000"/>
                <w:sz w:val="24"/>
                <w:lang w:val="en-US" w:eastAsia="zh-CN"/>
              </w:rPr>
            </w:pPr>
            <w:r>
              <w:rPr>
                <w:rFonts w:hint="eastAsia" w:ascii="宋体" w:hAnsi="宋体" w:eastAsia="仿宋_GB2312" w:cs="宋体"/>
                <w:color w:val="000000"/>
                <w:kern w:val="0"/>
                <w:sz w:val="22"/>
                <w:szCs w:val="22"/>
                <w:lang w:val="en-US" w:eastAsia="zh-CN"/>
              </w:rPr>
              <w:t>10</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条形灯（东北匝道和东南匝道下半段）</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200</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宋体"/>
                <w:color w:val="000000"/>
                <w:sz w:val="24"/>
                <w:lang w:val="en-US" w:eastAsia="zh-CN"/>
              </w:rPr>
            </w:pPr>
            <w:r>
              <w:rPr>
                <w:rFonts w:hint="eastAsia" w:ascii="宋体" w:hAnsi="宋体" w:eastAsia="仿宋_GB2312" w:cs="宋体"/>
                <w:color w:val="000000"/>
                <w:kern w:val="0"/>
                <w:sz w:val="22"/>
                <w:szCs w:val="22"/>
                <w:lang w:val="en-US" w:eastAsia="zh-CN"/>
              </w:rPr>
              <w:t>11</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条形灯（东西看台+南北声屏障墙）</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24"/>
              </w:rPr>
            </w:pPr>
            <w:r>
              <w:rPr>
                <w:rFonts w:hint="eastAsia" w:ascii="宋体" w:hAnsi="宋体" w:cs="宋体"/>
                <w:color w:val="000000"/>
                <w:kern w:val="0"/>
                <w:sz w:val="22"/>
                <w:szCs w:val="22"/>
              </w:rPr>
              <w:t>480</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宋体"/>
                <w:color w:val="000000"/>
                <w:kern w:val="2"/>
                <w:sz w:val="24"/>
                <w:szCs w:val="24"/>
                <w:lang w:val="en-US" w:eastAsia="zh-CN" w:bidi="ar-SA"/>
              </w:rPr>
            </w:pPr>
            <w:r>
              <w:rPr>
                <w:rFonts w:hint="eastAsia" w:ascii="宋体" w:hAnsi="宋体" w:eastAsia="仿宋_GB2312"/>
                <w:color w:val="000000"/>
                <w:kern w:val="0"/>
                <w:sz w:val="22"/>
                <w:lang w:val="en-US" w:eastAsia="zh-CN"/>
              </w:rPr>
              <w:t>12</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cs="宋体"/>
                <w:color w:val="000000"/>
                <w:kern w:val="0"/>
                <w:sz w:val="22"/>
                <w:szCs w:val="22"/>
              </w:rPr>
              <w:t>二层平台显示屏</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cs="宋体"/>
                <w:color w:val="000000"/>
                <w:kern w:val="0"/>
                <w:sz w:val="22"/>
                <w:szCs w:val="22"/>
              </w:rPr>
              <w:t>块</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cs="宋体"/>
                <w:color w:val="000000"/>
                <w:kern w:val="0"/>
                <w:sz w:val="22"/>
                <w:szCs w:val="22"/>
              </w:rPr>
              <w:t>2</w:t>
            </w:r>
          </w:p>
        </w:tc>
      </w:tr>
      <w:tr>
        <w:tblPrEx>
          <w:tblCellMar>
            <w:top w:w="15" w:type="dxa"/>
            <w:left w:w="15" w:type="dxa"/>
            <w:bottom w:w="15" w:type="dxa"/>
            <w:right w:w="15" w:type="dxa"/>
          </w:tblCellMar>
        </w:tblPrEx>
        <w:trPr>
          <w:trHeight w:val="286"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宋体"/>
                <w:color w:val="000000"/>
                <w:kern w:val="2"/>
                <w:sz w:val="24"/>
                <w:szCs w:val="24"/>
                <w:lang w:val="en-US" w:eastAsia="zh-CN" w:bidi="ar-SA"/>
              </w:rPr>
            </w:pPr>
            <w:r>
              <w:rPr>
                <w:rFonts w:hint="eastAsia" w:ascii="宋体" w:hAnsi="宋体" w:eastAsia="仿宋_GB2312" w:cs="宋体"/>
                <w:color w:val="000000"/>
                <w:kern w:val="0"/>
                <w:sz w:val="22"/>
                <w:szCs w:val="22"/>
                <w:lang w:val="en-US" w:eastAsia="zh-CN"/>
              </w:rPr>
              <w:t>13</w:t>
            </w:r>
          </w:p>
        </w:tc>
        <w:tc>
          <w:tcPr>
            <w:tcW w:w="199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cs="宋体"/>
                <w:color w:val="000000"/>
                <w:kern w:val="0"/>
                <w:sz w:val="22"/>
                <w:szCs w:val="22"/>
              </w:rPr>
              <w:t>配电箱</w:t>
            </w:r>
          </w:p>
        </w:tc>
        <w:tc>
          <w:tcPr>
            <w:tcW w:w="89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cs="宋体"/>
                <w:color w:val="000000"/>
                <w:kern w:val="0"/>
                <w:sz w:val="22"/>
                <w:szCs w:val="22"/>
              </w:rPr>
              <w:t>个</w:t>
            </w:r>
          </w:p>
        </w:tc>
        <w:tc>
          <w:tcPr>
            <w:tcW w:w="14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cs="宋体"/>
                <w:color w:val="000000"/>
                <w:kern w:val="0"/>
                <w:sz w:val="22"/>
                <w:szCs w:val="22"/>
              </w:rPr>
              <w:t>12</w:t>
            </w:r>
          </w:p>
        </w:tc>
      </w:tr>
    </w:tbl>
    <w:p>
      <w:pPr>
        <w:pStyle w:val="2"/>
        <w:ind w:firstLine="482"/>
        <w:jc w:val="center"/>
        <w:rPr>
          <w:rFonts w:ascii="仿宋_GB2312" w:hAnsi="仿宋_GB2312" w:eastAsia="仿宋_GB2312" w:cs="仿宋_GB2312"/>
          <w:b/>
          <w:bCs/>
          <w:snapToGrid w:val="0"/>
          <w:color w:val="000000"/>
          <w:kern w:val="0"/>
          <w:sz w:val="24"/>
        </w:rPr>
      </w:pPr>
      <w:r>
        <w:rPr>
          <w:rFonts w:hint="eastAsia" w:ascii="仿宋_GB2312" w:hAnsi="仿宋_GB2312" w:eastAsia="仿宋_GB2312" w:cs="仿宋_GB2312"/>
          <w:b/>
          <w:bCs/>
          <w:snapToGrid w:val="0"/>
          <w:color w:val="000000"/>
          <w:kern w:val="0"/>
          <w:sz w:val="24"/>
        </w:rPr>
        <w:t>备注：</w:t>
      </w:r>
      <w:r>
        <w:rPr>
          <w:rFonts w:hint="eastAsia" w:ascii="仿宋_GB2312" w:hAnsi="仿宋_GB2312" w:eastAsia="仿宋_GB2312" w:cs="仿宋_GB2312"/>
          <w:b/>
          <w:bCs/>
          <w:snapToGrid w:val="0"/>
          <w:color w:val="000000"/>
          <w:kern w:val="0"/>
          <w:sz w:val="24"/>
          <w:lang w:eastAsia="zh-CN"/>
        </w:rPr>
        <w:t>亮化</w:t>
      </w:r>
      <w:r>
        <w:rPr>
          <w:rFonts w:hint="eastAsia" w:ascii="仿宋_GB2312" w:hAnsi="仿宋_GB2312" w:eastAsia="仿宋_GB2312" w:cs="仿宋_GB2312"/>
          <w:b/>
          <w:bCs/>
          <w:snapToGrid w:val="0"/>
          <w:color w:val="000000"/>
          <w:kern w:val="0"/>
          <w:sz w:val="24"/>
        </w:rPr>
        <w:t>招标设施量中单盏灯的年维护费报价不得超过41.68元/年的110%。（41.68元/年为原江干区景观照明设施项目2021年度最高报价）</w:t>
      </w:r>
    </w:p>
    <w:p>
      <w:pPr>
        <w:pStyle w:val="2"/>
        <w:jc w:val="both"/>
        <w:rPr>
          <w:rFonts w:ascii="仿宋_GB2312" w:hAnsi="仿宋_GB2312" w:eastAsia="仿宋_GB2312" w:cs="仿宋_GB2312"/>
          <w:b/>
          <w:bCs/>
          <w:snapToGrid w:val="0"/>
          <w:color w:val="000000"/>
          <w:kern w:val="0"/>
          <w:sz w:val="24"/>
        </w:rPr>
      </w:pPr>
    </w:p>
    <w:p>
      <w:pPr>
        <w:jc w:val="center"/>
        <w:rPr>
          <w:rFonts w:ascii="仿宋_GB2312" w:hAnsi="宋体" w:eastAsia="仿宋_GB2312" w:cs="宋体"/>
          <w:b/>
          <w:color w:val="000000"/>
          <w:sz w:val="24"/>
        </w:rPr>
      </w:pPr>
      <w:r>
        <w:rPr>
          <w:rFonts w:hint="eastAsia" w:ascii="仿宋_GB2312" w:hAnsi="宋体" w:eastAsia="仿宋_GB2312" w:cs="宋体"/>
          <w:b/>
          <w:color w:val="000000"/>
          <w:sz w:val="24"/>
        </w:rPr>
        <w:t>南蓄东公交下方污水泵房（一座）</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655"/>
        <w:gridCol w:w="1655"/>
        <w:gridCol w:w="1655"/>
        <w:gridCol w:w="1655"/>
        <w:gridCol w:w="1658"/>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设施名称</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水泵</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止回阀</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浮球</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电缆线</w:t>
            </w:r>
          </w:p>
        </w:tc>
        <w:tc>
          <w:tcPr>
            <w:tcW w:w="625"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空开</w:t>
            </w:r>
          </w:p>
        </w:tc>
        <w:tc>
          <w:tcPr>
            <w:tcW w:w="625"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接触器</w:t>
            </w:r>
          </w:p>
        </w:tc>
        <w:tc>
          <w:tcPr>
            <w:tcW w:w="625"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其余配件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设施量</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5.5KW</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2个</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1个</w:t>
            </w:r>
          </w:p>
        </w:tc>
        <w:tc>
          <w:tcPr>
            <w:tcW w:w="624"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1个</w:t>
            </w:r>
          </w:p>
        </w:tc>
        <w:tc>
          <w:tcPr>
            <w:tcW w:w="625"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w:t>
            </w:r>
          </w:p>
        </w:tc>
        <w:tc>
          <w:tcPr>
            <w:tcW w:w="625"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2个</w:t>
            </w:r>
          </w:p>
        </w:tc>
        <w:tc>
          <w:tcPr>
            <w:tcW w:w="625" w:type="pct"/>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1项</w:t>
            </w:r>
          </w:p>
        </w:tc>
      </w:tr>
    </w:tbl>
    <w:p>
      <w:pPr>
        <w:pStyle w:val="2"/>
        <w:ind w:firstLine="482"/>
        <w:jc w:val="center"/>
        <w:rPr>
          <w:rFonts w:ascii="仿宋_GB2312" w:hAnsi="仿宋_GB2312" w:eastAsia="仿宋_GB2312" w:cs="仿宋_GB2312"/>
          <w:b/>
          <w:bCs/>
          <w:snapToGrid w:val="0"/>
          <w:color w:val="000000"/>
          <w:kern w:val="0"/>
          <w:sz w:val="24"/>
        </w:rPr>
      </w:pPr>
    </w:p>
    <w:p>
      <w:pPr>
        <w:pStyle w:val="2"/>
        <w:ind w:firstLine="482"/>
        <w:jc w:val="center"/>
        <w:rPr>
          <w:rFonts w:ascii="仿宋_GB2312" w:hAnsi="仿宋_GB2312" w:eastAsia="仿宋_GB2312" w:cs="仿宋_GB2312"/>
          <w:b/>
          <w:bCs/>
          <w:snapToGrid w:val="0"/>
          <w:color w:val="000000"/>
          <w:kern w:val="0"/>
          <w:sz w:val="24"/>
        </w:rPr>
      </w:pPr>
    </w:p>
    <w:p>
      <w:pPr>
        <w:jc w:val="center"/>
        <w:rPr>
          <w:rFonts w:ascii="仿宋_GB2312" w:hAnsi="宋体" w:eastAsia="仿宋_GB2312" w:cs="宋体"/>
          <w:b/>
          <w:color w:val="000000"/>
          <w:sz w:val="24"/>
        </w:rPr>
      </w:pPr>
      <w:r>
        <w:rPr>
          <w:rFonts w:hint="eastAsia" w:ascii="仿宋_GB2312" w:hAnsi="宋体" w:eastAsia="仿宋_GB2312" w:cs="宋体"/>
          <w:b/>
          <w:color w:val="000000"/>
          <w:sz w:val="24"/>
          <w:highlight w:val="none"/>
        </w:rPr>
        <w:t>王家</w:t>
      </w:r>
      <w:r>
        <w:rPr>
          <w:rFonts w:hint="eastAsia" w:ascii="仿宋_GB2312" w:hAnsi="宋体" w:eastAsia="仿宋_GB2312" w:cs="宋体"/>
          <w:b/>
          <w:color w:val="000000"/>
          <w:sz w:val="24"/>
          <w:highlight w:val="none"/>
          <w:lang w:eastAsia="zh-CN"/>
        </w:rPr>
        <w:t>井</w:t>
      </w:r>
      <w:r>
        <w:rPr>
          <w:rFonts w:hint="eastAsia" w:ascii="仿宋_GB2312" w:hAnsi="宋体" w:eastAsia="仿宋_GB2312" w:cs="宋体"/>
          <w:b/>
          <w:color w:val="000000"/>
          <w:sz w:val="24"/>
        </w:rPr>
        <w:t>天桥一体化养护</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282"/>
        <w:gridCol w:w="6364"/>
        <w:gridCol w:w="1182"/>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序号</w:t>
            </w:r>
          </w:p>
        </w:tc>
        <w:tc>
          <w:tcPr>
            <w:tcW w:w="3262" w:type="pct"/>
            <w:gridSpan w:val="2"/>
            <w:shd w:val="clear" w:color="auto" w:fill="FFFFFF"/>
            <w:vAlign w:val="center"/>
          </w:tcPr>
          <w:p>
            <w:pPr>
              <w:widowControl/>
              <w:jc w:val="center"/>
              <w:textAlignment w:val="center"/>
              <w:rPr>
                <w:rFonts w:ascii="Arial" w:hAnsi="Arial" w:cs="Arial"/>
                <w:b/>
                <w:bCs/>
                <w:color w:val="000000"/>
                <w:sz w:val="20"/>
                <w:szCs w:val="20"/>
              </w:rPr>
            </w:pPr>
            <w:r>
              <w:rPr>
                <w:rStyle w:val="244"/>
                <w:rFonts w:hint="default"/>
              </w:rPr>
              <w:t>项目名称</w:t>
            </w:r>
          </w:p>
        </w:tc>
        <w:tc>
          <w:tcPr>
            <w:tcW w:w="446" w:type="pct"/>
            <w:shd w:val="clear" w:color="auto" w:fill="FFFFFF"/>
            <w:vAlign w:val="center"/>
          </w:tcPr>
          <w:p>
            <w:pPr>
              <w:widowControl/>
              <w:jc w:val="center"/>
              <w:textAlignment w:val="center"/>
              <w:rPr>
                <w:rFonts w:ascii="Arial" w:hAnsi="Arial" w:cs="Arial"/>
                <w:b/>
                <w:bCs/>
                <w:color w:val="000000"/>
                <w:sz w:val="20"/>
                <w:szCs w:val="20"/>
              </w:rPr>
            </w:pPr>
            <w:r>
              <w:rPr>
                <w:rStyle w:val="244"/>
                <w:rFonts w:hint="default"/>
              </w:rPr>
              <w:t>单位</w:t>
            </w:r>
          </w:p>
        </w:tc>
        <w:tc>
          <w:tcPr>
            <w:tcW w:w="756" w:type="pct"/>
            <w:shd w:val="clear" w:color="auto" w:fill="FFFFFF"/>
            <w:vAlign w:val="center"/>
          </w:tcPr>
          <w:p>
            <w:pPr>
              <w:widowControl/>
              <w:jc w:val="center"/>
              <w:textAlignment w:val="center"/>
              <w:rPr>
                <w:rFonts w:ascii="Arial" w:hAnsi="Arial" w:cs="Arial"/>
                <w:b/>
                <w:bCs/>
                <w:color w:val="000000"/>
                <w:sz w:val="20"/>
                <w:szCs w:val="20"/>
              </w:rPr>
            </w:pPr>
            <w:r>
              <w:rPr>
                <w:rStyle w:val="244"/>
                <w:rFonts w:hint="default"/>
              </w:rPr>
              <w:t>设施量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35" w:type="pct"/>
            <w:shd w:val="clear" w:color="auto" w:fill="DAEEF3"/>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c>
          <w:tcPr>
            <w:tcW w:w="3262" w:type="pct"/>
            <w:gridSpan w:val="2"/>
            <w:shd w:val="clear" w:color="auto" w:fill="DAEEF3"/>
            <w:vAlign w:val="center"/>
          </w:tcPr>
          <w:p>
            <w:pPr>
              <w:widowControl/>
              <w:jc w:val="left"/>
              <w:textAlignment w:val="center"/>
              <w:rPr>
                <w:rFonts w:ascii="Arial" w:hAnsi="Arial" w:cs="Arial"/>
                <w:b/>
                <w:bCs/>
                <w:color w:val="000000"/>
                <w:sz w:val="20"/>
                <w:szCs w:val="20"/>
              </w:rPr>
            </w:pPr>
            <w:r>
              <w:rPr>
                <w:rStyle w:val="244"/>
                <w:rFonts w:hint="default"/>
              </w:rPr>
              <w:t>巡视检查</w:t>
            </w:r>
          </w:p>
        </w:tc>
        <w:tc>
          <w:tcPr>
            <w:tcW w:w="446" w:type="pct"/>
            <w:shd w:val="clear" w:color="auto" w:fill="DAEEF3"/>
            <w:vAlign w:val="center"/>
          </w:tcPr>
          <w:p>
            <w:pPr>
              <w:widowControl/>
              <w:jc w:val="center"/>
              <w:textAlignment w:val="center"/>
              <w:rPr>
                <w:rFonts w:ascii="Arial" w:hAnsi="Arial" w:cs="Arial"/>
                <w:b/>
                <w:bCs/>
                <w:color w:val="000000"/>
                <w:sz w:val="20"/>
                <w:szCs w:val="20"/>
              </w:rPr>
            </w:pPr>
            <w:r>
              <w:rPr>
                <w:rStyle w:val="244"/>
                <w:rFonts w:hint="default"/>
              </w:rPr>
              <w:t>项</w:t>
            </w:r>
          </w:p>
        </w:tc>
        <w:tc>
          <w:tcPr>
            <w:tcW w:w="756" w:type="pct"/>
            <w:shd w:val="clear" w:color="auto" w:fill="DAEEF3"/>
            <w:vAlign w:val="center"/>
          </w:tcPr>
          <w:p>
            <w:pPr>
              <w:jc w:val="center"/>
              <w:rPr>
                <w:rFonts w:ascii="Arial" w:hAnsi="Arial" w:cs="Arial"/>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1.1</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巡视</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项</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定期检查</w:t>
            </w:r>
          </w:p>
        </w:tc>
        <w:tc>
          <w:tcPr>
            <w:tcW w:w="446" w:type="pct"/>
            <w:shd w:val="clear" w:color="auto" w:fill="FFFFFF"/>
            <w:noWrap/>
            <w:vAlign w:val="center"/>
          </w:tcPr>
          <w:p>
            <w:pPr>
              <w:widowControl/>
              <w:jc w:val="center"/>
              <w:textAlignment w:val="center"/>
              <w:rPr>
                <w:rFonts w:ascii="Arial" w:hAnsi="Arial" w:cs="Arial"/>
                <w:color w:val="000000"/>
                <w:sz w:val="20"/>
                <w:szCs w:val="20"/>
              </w:rPr>
            </w:pPr>
            <w:r>
              <w:rPr>
                <w:rStyle w:val="243"/>
                <w:rFonts w:hint="default"/>
              </w:rPr>
              <w:t>项</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1.3</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沉降观测</w:t>
            </w:r>
          </w:p>
        </w:tc>
        <w:tc>
          <w:tcPr>
            <w:tcW w:w="446" w:type="pct"/>
            <w:shd w:val="clear" w:color="auto" w:fill="FFFFFF"/>
            <w:noWrap/>
            <w:vAlign w:val="center"/>
          </w:tcPr>
          <w:p>
            <w:pPr>
              <w:widowControl/>
              <w:jc w:val="center"/>
              <w:textAlignment w:val="center"/>
              <w:rPr>
                <w:rFonts w:ascii="Arial" w:hAnsi="Arial" w:cs="Arial"/>
                <w:color w:val="000000"/>
                <w:sz w:val="20"/>
                <w:szCs w:val="20"/>
              </w:rPr>
            </w:pPr>
            <w:r>
              <w:rPr>
                <w:rStyle w:val="243"/>
                <w:rFonts w:hint="default"/>
              </w:rPr>
              <w:t>项</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35" w:type="pct"/>
            <w:shd w:val="clear" w:color="auto" w:fill="DAEEF3"/>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w:t>
            </w:r>
          </w:p>
        </w:tc>
        <w:tc>
          <w:tcPr>
            <w:tcW w:w="3262" w:type="pct"/>
            <w:gridSpan w:val="2"/>
            <w:shd w:val="clear" w:color="auto" w:fill="DAEEF3"/>
            <w:vAlign w:val="center"/>
          </w:tcPr>
          <w:p>
            <w:pPr>
              <w:widowControl/>
              <w:jc w:val="left"/>
              <w:textAlignment w:val="center"/>
              <w:rPr>
                <w:rFonts w:ascii="Arial" w:hAnsi="Arial" w:cs="Arial"/>
                <w:b/>
                <w:bCs/>
                <w:color w:val="000000"/>
                <w:sz w:val="20"/>
                <w:szCs w:val="20"/>
              </w:rPr>
            </w:pPr>
            <w:r>
              <w:rPr>
                <w:rStyle w:val="244"/>
                <w:rFonts w:hint="default"/>
              </w:rPr>
              <w:t>基础设施</w:t>
            </w:r>
          </w:p>
        </w:tc>
        <w:tc>
          <w:tcPr>
            <w:tcW w:w="446" w:type="pct"/>
            <w:shd w:val="clear" w:color="auto" w:fill="DAEEF3"/>
            <w:vAlign w:val="center"/>
          </w:tcPr>
          <w:p>
            <w:pPr>
              <w:widowControl/>
              <w:jc w:val="center"/>
              <w:textAlignment w:val="center"/>
              <w:rPr>
                <w:rFonts w:ascii="Arial" w:hAnsi="Arial" w:cs="Arial"/>
                <w:b/>
                <w:bCs/>
                <w:color w:val="000000"/>
                <w:sz w:val="20"/>
                <w:szCs w:val="20"/>
              </w:rPr>
            </w:pPr>
            <w:r>
              <w:rPr>
                <w:rStyle w:val="244"/>
                <w:rFonts w:hint="default"/>
              </w:rPr>
              <w:t>项</w:t>
            </w:r>
          </w:p>
        </w:tc>
        <w:tc>
          <w:tcPr>
            <w:tcW w:w="756" w:type="pct"/>
            <w:shd w:val="clear" w:color="auto" w:fill="DAEEF3"/>
            <w:vAlign w:val="center"/>
          </w:tcPr>
          <w:p>
            <w:pPr>
              <w:jc w:val="center"/>
              <w:rPr>
                <w:rFonts w:ascii="Arial" w:hAnsi="Arial" w:cs="Arial"/>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w:t>
            </w:r>
          </w:p>
        </w:tc>
        <w:tc>
          <w:tcPr>
            <w:tcW w:w="861" w:type="pct"/>
            <w:vMerge w:val="restart"/>
            <w:shd w:val="clear" w:color="auto" w:fill="FFFFFF"/>
            <w:vAlign w:val="center"/>
          </w:tcPr>
          <w:p>
            <w:pPr>
              <w:widowControl/>
              <w:jc w:val="left"/>
              <w:textAlignment w:val="center"/>
              <w:rPr>
                <w:rFonts w:ascii="Arial" w:hAnsi="Arial" w:cs="Arial"/>
                <w:color w:val="000000"/>
                <w:sz w:val="20"/>
                <w:szCs w:val="20"/>
              </w:rPr>
            </w:pPr>
            <w:r>
              <w:rPr>
                <w:rStyle w:val="243"/>
                <w:rFonts w:hint="default"/>
              </w:rPr>
              <w:t>桥面</w:t>
            </w: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桥面沥青</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399.65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2.2</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花岗岩人道板</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2.3</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平侧石</w:t>
            </w:r>
          </w:p>
        </w:tc>
        <w:tc>
          <w:tcPr>
            <w:tcW w:w="44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m</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2.4</w:t>
            </w:r>
          </w:p>
        </w:tc>
        <w:tc>
          <w:tcPr>
            <w:tcW w:w="861" w:type="pct"/>
            <w:vMerge w:val="restart"/>
            <w:shd w:val="clear" w:color="auto" w:fill="FFFFFF"/>
            <w:vAlign w:val="center"/>
          </w:tcPr>
          <w:p>
            <w:pPr>
              <w:widowControl/>
              <w:jc w:val="left"/>
              <w:textAlignment w:val="center"/>
              <w:rPr>
                <w:rFonts w:ascii="Arial" w:hAnsi="Arial" w:cs="Arial"/>
                <w:color w:val="000000"/>
                <w:sz w:val="20"/>
                <w:szCs w:val="20"/>
              </w:rPr>
            </w:pPr>
            <w:r>
              <w:rPr>
                <w:rStyle w:val="243"/>
                <w:rFonts w:hint="default"/>
              </w:rPr>
              <w:t>装饰</w:t>
            </w: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镶贴面层</w:t>
            </w:r>
            <w:r>
              <w:rPr>
                <w:rFonts w:ascii="Arial" w:hAnsi="Arial" w:cs="Arial"/>
                <w:color w:val="000000"/>
                <w:kern w:val="0"/>
                <w:sz w:val="20"/>
                <w:szCs w:val="20"/>
              </w:rPr>
              <w:t xml:space="preserve"> </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2.5</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雨篷</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2.6</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油漆</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6766.722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2.7</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格栅吊顶 </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564.6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2.8</w:t>
            </w:r>
          </w:p>
        </w:tc>
        <w:tc>
          <w:tcPr>
            <w:tcW w:w="861" w:type="pct"/>
            <w:vMerge w:val="restart"/>
            <w:shd w:val="clear" w:color="auto" w:fill="FFFFFF"/>
            <w:vAlign w:val="center"/>
          </w:tcPr>
          <w:p>
            <w:pPr>
              <w:widowControl/>
              <w:jc w:val="left"/>
              <w:textAlignment w:val="center"/>
              <w:rPr>
                <w:rFonts w:ascii="Arial" w:hAnsi="Arial" w:cs="Arial"/>
                <w:color w:val="000000"/>
                <w:sz w:val="20"/>
                <w:szCs w:val="20"/>
              </w:rPr>
            </w:pPr>
            <w:r>
              <w:rPr>
                <w:rStyle w:val="243"/>
                <w:rFonts w:hint="default"/>
              </w:rPr>
              <w:t>排水系统</w:t>
            </w: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排水系统落水管</w:t>
            </w:r>
          </w:p>
        </w:tc>
        <w:tc>
          <w:tcPr>
            <w:tcW w:w="44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m</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2.9</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边窨井</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只</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 xml:space="preserve">2.10 </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不锈钢栏杆</w:t>
            </w:r>
          </w:p>
        </w:tc>
        <w:tc>
          <w:tcPr>
            <w:tcW w:w="44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m</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 xml:space="preserve">2.11 </w:t>
            </w:r>
          </w:p>
        </w:tc>
        <w:tc>
          <w:tcPr>
            <w:tcW w:w="861" w:type="pct"/>
            <w:vMerge w:val="restart"/>
            <w:shd w:val="clear" w:color="auto" w:fill="FFFFFF"/>
            <w:vAlign w:val="center"/>
          </w:tcPr>
          <w:p>
            <w:pPr>
              <w:widowControl/>
              <w:jc w:val="left"/>
              <w:textAlignment w:val="center"/>
              <w:rPr>
                <w:rFonts w:ascii="Arial" w:hAnsi="Arial" w:cs="Arial"/>
                <w:color w:val="000000"/>
                <w:sz w:val="20"/>
                <w:szCs w:val="20"/>
              </w:rPr>
            </w:pPr>
            <w:r>
              <w:rPr>
                <w:rStyle w:val="243"/>
                <w:rFonts w:hint="default"/>
              </w:rPr>
              <w:t>盆式支座</w:t>
            </w: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盆式支座</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只</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 xml:space="preserve">2.12 </w:t>
            </w:r>
          </w:p>
        </w:tc>
        <w:tc>
          <w:tcPr>
            <w:tcW w:w="861" w:type="pct"/>
            <w:vMerge w:val="continue"/>
            <w:shd w:val="clear" w:color="auto" w:fill="FFFFFF"/>
            <w:vAlign w:val="center"/>
          </w:tcPr>
          <w:p>
            <w:pPr>
              <w:jc w:val="left"/>
              <w:rPr>
                <w:rFonts w:ascii="Arial" w:hAnsi="Arial" w:cs="Arial"/>
                <w:color w:val="000000"/>
                <w:sz w:val="20"/>
                <w:szCs w:val="20"/>
              </w:rPr>
            </w:pPr>
          </w:p>
        </w:tc>
        <w:tc>
          <w:tcPr>
            <w:tcW w:w="2400"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橡胶支座</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只</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35"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2.13</w:t>
            </w:r>
          </w:p>
        </w:tc>
        <w:tc>
          <w:tcPr>
            <w:tcW w:w="861"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桥面伸缩缝</w:t>
            </w:r>
          </w:p>
        </w:tc>
        <w:tc>
          <w:tcPr>
            <w:tcW w:w="2400" w:type="pct"/>
            <w:shd w:val="clear" w:color="auto" w:fill="FFFFFF"/>
            <w:vAlign w:val="center"/>
          </w:tcPr>
          <w:p>
            <w:pPr>
              <w:jc w:val="left"/>
              <w:rPr>
                <w:rFonts w:ascii="Arial" w:hAnsi="Arial" w:cs="Arial"/>
                <w:color w:val="000000"/>
                <w:sz w:val="20"/>
                <w:szCs w:val="20"/>
              </w:rPr>
            </w:pPr>
          </w:p>
        </w:tc>
        <w:tc>
          <w:tcPr>
            <w:tcW w:w="44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m</w:t>
            </w:r>
          </w:p>
        </w:tc>
        <w:tc>
          <w:tcPr>
            <w:tcW w:w="756" w:type="pct"/>
            <w:shd w:val="clear" w:color="auto" w:fill="FFFFFF"/>
            <w:noWrap/>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35" w:type="pct"/>
            <w:shd w:val="clear" w:color="auto" w:fill="DAEEF3"/>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4</w:t>
            </w:r>
          </w:p>
        </w:tc>
        <w:tc>
          <w:tcPr>
            <w:tcW w:w="861" w:type="pct"/>
            <w:shd w:val="clear" w:color="auto" w:fill="DAEEF3"/>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其它设施</w:t>
            </w:r>
          </w:p>
        </w:tc>
        <w:tc>
          <w:tcPr>
            <w:tcW w:w="2400" w:type="pct"/>
            <w:shd w:val="clear" w:color="auto" w:fill="DAEEF3"/>
            <w:vAlign w:val="center"/>
          </w:tcPr>
          <w:p>
            <w:pPr>
              <w:jc w:val="left"/>
              <w:rPr>
                <w:rFonts w:ascii="Arial" w:hAnsi="Arial" w:cs="Arial"/>
                <w:b/>
                <w:bCs/>
                <w:color w:val="000000"/>
                <w:sz w:val="20"/>
                <w:szCs w:val="20"/>
              </w:rPr>
            </w:pPr>
          </w:p>
        </w:tc>
        <w:tc>
          <w:tcPr>
            <w:tcW w:w="446" w:type="pct"/>
            <w:shd w:val="clear" w:color="auto" w:fill="DAEEF3"/>
            <w:vAlign w:val="center"/>
          </w:tcPr>
          <w:p>
            <w:pPr>
              <w:jc w:val="center"/>
              <w:rPr>
                <w:rFonts w:ascii="Arial" w:hAnsi="Arial" w:cs="Arial"/>
                <w:b/>
                <w:bCs/>
                <w:color w:val="000000"/>
                <w:sz w:val="20"/>
                <w:szCs w:val="20"/>
              </w:rPr>
            </w:pPr>
          </w:p>
        </w:tc>
        <w:tc>
          <w:tcPr>
            <w:tcW w:w="756" w:type="pct"/>
            <w:shd w:val="clear" w:color="auto" w:fill="DAEEF3"/>
            <w:vAlign w:val="center"/>
          </w:tcPr>
          <w:p>
            <w:pPr>
              <w:jc w:val="center"/>
              <w:rPr>
                <w:rFonts w:ascii="Arial" w:hAnsi="Arial" w:cs="Arial"/>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35" w:type="pct"/>
            <w:shd w:val="clear" w:color="auto" w:fill="DAEEF3"/>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4.1</w:t>
            </w:r>
          </w:p>
        </w:tc>
        <w:tc>
          <w:tcPr>
            <w:tcW w:w="3262" w:type="pct"/>
            <w:gridSpan w:val="2"/>
            <w:shd w:val="clear" w:color="auto" w:fill="DAEEF3"/>
            <w:vAlign w:val="center"/>
          </w:tcPr>
          <w:p>
            <w:pPr>
              <w:widowControl/>
              <w:jc w:val="left"/>
              <w:textAlignment w:val="center"/>
              <w:rPr>
                <w:rFonts w:ascii="Arial" w:hAnsi="Arial" w:cs="Arial"/>
                <w:color w:val="000000"/>
                <w:sz w:val="20"/>
                <w:szCs w:val="20"/>
              </w:rPr>
            </w:pPr>
            <w:r>
              <w:rPr>
                <w:rStyle w:val="243"/>
                <w:rFonts w:hint="default"/>
              </w:rPr>
              <w:t>设备工具间、供配电系统、照明系统、给排水消防救援系统、机电智能化控制系统、监控系统等</w:t>
            </w:r>
          </w:p>
        </w:tc>
        <w:tc>
          <w:tcPr>
            <w:tcW w:w="446" w:type="pct"/>
            <w:shd w:val="clear" w:color="auto" w:fill="DAEEF3"/>
            <w:vAlign w:val="center"/>
          </w:tcPr>
          <w:p>
            <w:pPr>
              <w:widowControl/>
              <w:jc w:val="center"/>
              <w:textAlignment w:val="center"/>
              <w:rPr>
                <w:rFonts w:ascii="Arial" w:hAnsi="Arial" w:cs="Arial"/>
                <w:color w:val="000000"/>
                <w:sz w:val="20"/>
                <w:szCs w:val="20"/>
              </w:rPr>
            </w:pPr>
            <w:r>
              <w:rPr>
                <w:rStyle w:val="243"/>
                <w:rFonts w:hint="default"/>
              </w:rPr>
              <w:t>项</w:t>
            </w:r>
          </w:p>
        </w:tc>
        <w:tc>
          <w:tcPr>
            <w:tcW w:w="756" w:type="pct"/>
            <w:shd w:val="clear" w:color="auto" w:fill="DAEEF3"/>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35" w:type="pct"/>
            <w:shd w:val="clear" w:color="auto" w:fill="DAEEF3"/>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5</w:t>
            </w:r>
          </w:p>
        </w:tc>
        <w:tc>
          <w:tcPr>
            <w:tcW w:w="3262" w:type="pct"/>
            <w:gridSpan w:val="2"/>
            <w:shd w:val="clear" w:color="auto" w:fill="DAEEF3"/>
            <w:vAlign w:val="center"/>
          </w:tcPr>
          <w:p>
            <w:pPr>
              <w:widowControl/>
              <w:jc w:val="left"/>
              <w:textAlignment w:val="center"/>
              <w:rPr>
                <w:rFonts w:ascii="Arial" w:hAnsi="Arial" w:cs="Arial"/>
                <w:b/>
                <w:bCs/>
                <w:color w:val="000000"/>
                <w:sz w:val="20"/>
                <w:szCs w:val="20"/>
              </w:rPr>
            </w:pPr>
            <w:r>
              <w:rPr>
                <w:rStyle w:val="244"/>
                <w:rFonts w:hint="default"/>
              </w:rPr>
              <w:t>电梯</w:t>
            </w:r>
          </w:p>
        </w:tc>
        <w:tc>
          <w:tcPr>
            <w:tcW w:w="446" w:type="pct"/>
            <w:shd w:val="clear" w:color="auto" w:fill="DAEEF3"/>
            <w:vAlign w:val="center"/>
          </w:tcPr>
          <w:p>
            <w:pPr>
              <w:widowControl/>
              <w:jc w:val="center"/>
              <w:textAlignment w:val="center"/>
              <w:rPr>
                <w:rFonts w:ascii="Arial" w:hAnsi="Arial" w:cs="Arial"/>
                <w:b/>
                <w:bCs/>
                <w:color w:val="000000"/>
                <w:sz w:val="20"/>
                <w:szCs w:val="20"/>
              </w:rPr>
            </w:pPr>
            <w:r>
              <w:rPr>
                <w:rStyle w:val="244"/>
                <w:rFonts w:hint="default"/>
              </w:rPr>
              <w:t>项</w:t>
            </w:r>
          </w:p>
        </w:tc>
        <w:tc>
          <w:tcPr>
            <w:tcW w:w="756" w:type="pct"/>
            <w:shd w:val="clear" w:color="auto" w:fill="DAEEF3"/>
            <w:vAlign w:val="center"/>
          </w:tcPr>
          <w:p>
            <w:pPr>
              <w:jc w:val="center"/>
              <w:rPr>
                <w:rFonts w:ascii="Arial" w:hAnsi="Arial" w:cs="Arial"/>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5.1</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电梯保养（全包维修）</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台</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5.2</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垂直升降电梯（全包维修）</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台</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35" w:type="pct"/>
            <w:shd w:val="clear" w:color="auto" w:fill="DAEEF3"/>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rPr>
              <w:t>6</w:t>
            </w:r>
          </w:p>
        </w:tc>
        <w:tc>
          <w:tcPr>
            <w:tcW w:w="3262" w:type="pct"/>
            <w:gridSpan w:val="2"/>
            <w:shd w:val="clear" w:color="auto" w:fill="DAEEF3"/>
            <w:vAlign w:val="center"/>
          </w:tcPr>
          <w:p>
            <w:pPr>
              <w:widowControl/>
              <w:jc w:val="left"/>
              <w:textAlignment w:val="center"/>
              <w:rPr>
                <w:rFonts w:ascii="Arial" w:hAnsi="Arial" w:cs="Arial"/>
                <w:b/>
                <w:bCs/>
                <w:color w:val="000000"/>
                <w:sz w:val="20"/>
                <w:szCs w:val="20"/>
              </w:rPr>
            </w:pPr>
            <w:r>
              <w:rPr>
                <w:rStyle w:val="244"/>
                <w:rFonts w:hint="default"/>
              </w:rPr>
              <w:t>保洁</w:t>
            </w:r>
          </w:p>
        </w:tc>
        <w:tc>
          <w:tcPr>
            <w:tcW w:w="446" w:type="pct"/>
            <w:shd w:val="clear" w:color="auto" w:fill="DAEEF3"/>
            <w:vAlign w:val="center"/>
          </w:tcPr>
          <w:p>
            <w:pPr>
              <w:widowControl/>
              <w:jc w:val="center"/>
              <w:textAlignment w:val="center"/>
              <w:rPr>
                <w:rFonts w:ascii="Arial" w:hAnsi="Arial" w:cs="Arial"/>
                <w:b/>
                <w:bCs/>
                <w:color w:val="000000"/>
                <w:sz w:val="20"/>
                <w:szCs w:val="20"/>
              </w:rPr>
            </w:pPr>
            <w:r>
              <w:rPr>
                <w:rStyle w:val="244"/>
                <w:rFonts w:hint="default"/>
              </w:rPr>
              <w:t>项</w:t>
            </w:r>
          </w:p>
        </w:tc>
        <w:tc>
          <w:tcPr>
            <w:tcW w:w="756" w:type="pct"/>
            <w:shd w:val="clear" w:color="auto" w:fill="DAEEF3"/>
            <w:vAlign w:val="center"/>
          </w:tcPr>
          <w:p>
            <w:pPr>
              <w:jc w:val="center"/>
              <w:rPr>
                <w:rFonts w:ascii="Arial" w:hAnsi="Arial" w:cs="Arial"/>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6.1</w:t>
            </w:r>
          </w:p>
        </w:tc>
        <w:tc>
          <w:tcPr>
            <w:tcW w:w="861"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栏杆保洁</w:t>
            </w:r>
          </w:p>
        </w:tc>
        <w:tc>
          <w:tcPr>
            <w:tcW w:w="2400" w:type="pct"/>
            <w:shd w:val="clear" w:color="auto" w:fill="FFFFFF"/>
            <w:vAlign w:val="center"/>
          </w:tcPr>
          <w:p>
            <w:pPr>
              <w:jc w:val="left"/>
              <w:rPr>
                <w:rFonts w:ascii="Arial" w:hAnsi="Arial" w:cs="Arial"/>
                <w:color w:val="000000"/>
                <w:sz w:val="20"/>
                <w:szCs w:val="20"/>
              </w:rPr>
            </w:pP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6.2</w:t>
            </w:r>
          </w:p>
        </w:tc>
        <w:tc>
          <w:tcPr>
            <w:tcW w:w="3262" w:type="pct"/>
            <w:gridSpan w:val="2"/>
            <w:shd w:val="clear" w:color="auto" w:fill="FFFFFF"/>
            <w:vAlign w:val="center"/>
          </w:tcPr>
          <w:p>
            <w:pPr>
              <w:widowControl/>
              <w:jc w:val="left"/>
              <w:textAlignment w:val="center"/>
              <w:rPr>
                <w:rFonts w:ascii="Arial" w:hAnsi="Arial" w:cs="Arial"/>
                <w:color w:val="000000"/>
                <w:sz w:val="20"/>
                <w:szCs w:val="20"/>
              </w:rPr>
            </w:pPr>
            <w:r>
              <w:rPr>
                <w:rStyle w:val="243"/>
                <w:rFonts w:hint="default"/>
              </w:rPr>
              <w:t>地面保洁</w:t>
            </w: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1468.45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35"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6.3</w:t>
            </w:r>
          </w:p>
        </w:tc>
        <w:tc>
          <w:tcPr>
            <w:tcW w:w="861" w:type="pct"/>
            <w:shd w:val="clear" w:color="auto" w:fill="FFFFFF"/>
            <w:vAlign w:val="center"/>
          </w:tcPr>
          <w:p>
            <w:pPr>
              <w:widowControl/>
              <w:jc w:val="left"/>
              <w:textAlignment w:val="center"/>
              <w:rPr>
                <w:rFonts w:ascii="Arial" w:hAnsi="Arial" w:cs="Arial"/>
                <w:color w:val="000000"/>
                <w:sz w:val="20"/>
                <w:szCs w:val="20"/>
              </w:rPr>
            </w:pPr>
            <w:r>
              <w:rPr>
                <w:rStyle w:val="243"/>
                <w:rFonts w:hint="default"/>
              </w:rPr>
              <w:t>雨篷</w:t>
            </w:r>
            <w:r>
              <w:rPr>
                <w:rFonts w:ascii="Arial" w:hAnsi="Arial" w:cs="Arial"/>
                <w:color w:val="000000"/>
                <w:kern w:val="0"/>
                <w:sz w:val="20"/>
                <w:szCs w:val="20"/>
              </w:rPr>
              <w:t xml:space="preserve"> </w:t>
            </w:r>
            <w:r>
              <w:rPr>
                <w:rStyle w:val="243"/>
                <w:rFonts w:hint="default"/>
              </w:rPr>
              <w:t>保洁</w:t>
            </w:r>
          </w:p>
        </w:tc>
        <w:tc>
          <w:tcPr>
            <w:tcW w:w="2400" w:type="pct"/>
            <w:shd w:val="clear" w:color="auto" w:fill="FFFFFF"/>
            <w:vAlign w:val="center"/>
          </w:tcPr>
          <w:p>
            <w:pPr>
              <w:jc w:val="left"/>
              <w:rPr>
                <w:rFonts w:ascii="Arial" w:hAnsi="Arial" w:cs="Arial"/>
                <w:color w:val="000000"/>
                <w:sz w:val="20"/>
                <w:szCs w:val="20"/>
              </w:rPr>
            </w:pPr>
          </w:p>
        </w:tc>
        <w:tc>
          <w:tcPr>
            <w:tcW w:w="446" w:type="pct"/>
            <w:shd w:val="clear" w:color="auto" w:fill="FFFFFF"/>
            <w:vAlign w:val="center"/>
          </w:tcPr>
          <w:p>
            <w:pPr>
              <w:widowControl/>
              <w:jc w:val="center"/>
              <w:textAlignment w:val="center"/>
              <w:rPr>
                <w:rFonts w:ascii="Arial" w:hAnsi="Arial" w:cs="Arial"/>
                <w:color w:val="000000"/>
                <w:sz w:val="20"/>
                <w:szCs w:val="20"/>
              </w:rPr>
            </w:pPr>
            <w:r>
              <w:rPr>
                <w:rStyle w:val="243"/>
                <w:rFonts w:hint="default"/>
              </w:rPr>
              <w:t>㎡</w:t>
            </w:r>
          </w:p>
        </w:tc>
        <w:tc>
          <w:tcPr>
            <w:tcW w:w="756" w:type="pct"/>
            <w:shd w:val="clear" w:color="auto" w:fill="FFFFFF"/>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14.346</w:t>
            </w:r>
          </w:p>
        </w:tc>
      </w:tr>
    </w:tbl>
    <w:p>
      <w:pPr>
        <w:pStyle w:val="2"/>
        <w:ind w:firstLine="482"/>
        <w:jc w:val="center"/>
        <w:rPr>
          <w:rFonts w:ascii="仿宋_GB2312" w:hAnsi="仿宋_GB2312" w:eastAsia="仿宋_GB2312" w:cs="仿宋_GB2312"/>
          <w:b/>
          <w:bCs/>
          <w:snapToGrid w:val="0"/>
          <w:color w:val="000000"/>
          <w:kern w:val="0"/>
          <w:sz w:val="24"/>
        </w:rPr>
        <w:sectPr>
          <w:pgSz w:w="16838" w:h="11906" w:orient="landscape"/>
          <w:pgMar w:top="1588" w:right="2098" w:bottom="1474" w:left="1701" w:header="851" w:footer="1588" w:gutter="0"/>
          <w:cols w:space="720" w:num="1"/>
          <w:docGrid w:linePitch="286" w:charSpace="0"/>
        </w:sectPr>
      </w:pPr>
    </w:p>
    <w:p>
      <w:pPr>
        <w:adjustRightInd w:val="0"/>
        <w:snapToGrid w:val="0"/>
        <w:spacing w:line="360" w:lineRule="auto"/>
        <w:rPr>
          <w:rFonts w:ascii="仿宋_GB2312" w:hAnsi="仿宋_GB2312" w:eastAsia="仿宋_GB2312" w:cs="仿宋_GB2312"/>
          <w:b/>
          <w:bCs/>
          <w:snapToGrid w:val="0"/>
          <w:color w:val="000000"/>
          <w:kern w:val="0"/>
          <w:sz w:val="24"/>
          <w:lang w:val="zh-CN"/>
        </w:rPr>
      </w:pPr>
      <w:r>
        <w:rPr>
          <w:rFonts w:hint="eastAsia" w:ascii="仿宋_GB2312" w:hAnsi="仿宋" w:eastAsia="仿宋_GB2312"/>
          <w:b/>
          <w:bCs/>
          <w:sz w:val="24"/>
        </w:rPr>
        <w:t>附表2：</w:t>
      </w:r>
      <w:r>
        <w:rPr>
          <w:rFonts w:hint="eastAsia" w:ascii="仿宋_GB2312" w:hAnsi="仿宋_GB2312" w:eastAsia="仿宋_GB2312" w:cs="仿宋_GB2312"/>
          <w:b/>
          <w:bCs/>
          <w:snapToGrid w:val="0"/>
          <w:color w:val="000000"/>
          <w:kern w:val="0"/>
          <w:sz w:val="24"/>
          <w:lang w:val="zh-CN"/>
        </w:rPr>
        <w:t>服务内容测算标准</w:t>
      </w:r>
    </w:p>
    <w:p>
      <w:pPr>
        <w:spacing w:line="276" w:lineRule="auto"/>
        <w:jc w:val="center"/>
        <w:rPr>
          <w:rFonts w:ascii="仿宋_GB2312" w:hAnsi="宋体" w:eastAsia="仿宋_GB2312" w:cs="宋体"/>
          <w:b/>
          <w:color w:val="000000"/>
          <w:sz w:val="24"/>
        </w:rPr>
      </w:pPr>
      <w:r>
        <w:rPr>
          <w:rFonts w:hint="eastAsia" w:ascii="仿宋_GB2312" w:hAnsi="宋体" w:eastAsia="仿宋_GB2312" w:cs="宋体"/>
          <w:b/>
          <w:color w:val="000000"/>
          <w:sz w:val="24"/>
        </w:rPr>
        <w:t>道路经费维护单价测算表</w:t>
      </w:r>
    </w:p>
    <w:tbl>
      <w:tblPr>
        <w:tblStyle w:val="41"/>
        <w:tblW w:w="0" w:type="auto"/>
        <w:jc w:val="center"/>
        <w:tblLayout w:type="fixed"/>
        <w:tblCellMar>
          <w:top w:w="0" w:type="dxa"/>
          <w:left w:w="15" w:type="dxa"/>
          <w:bottom w:w="0" w:type="dxa"/>
          <w:right w:w="15" w:type="dxa"/>
        </w:tblCellMar>
      </w:tblPr>
      <w:tblGrid>
        <w:gridCol w:w="866"/>
        <w:gridCol w:w="2719"/>
        <w:gridCol w:w="945"/>
        <w:gridCol w:w="1418"/>
        <w:gridCol w:w="1276"/>
        <w:gridCol w:w="1559"/>
        <w:gridCol w:w="1915"/>
      </w:tblGrid>
      <w:tr>
        <w:tblPrEx>
          <w:tblCellMar>
            <w:top w:w="0" w:type="dxa"/>
            <w:left w:w="15" w:type="dxa"/>
            <w:bottom w:w="0" w:type="dxa"/>
            <w:right w:w="15" w:type="dxa"/>
          </w:tblCellMar>
        </w:tblPrEx>
        <w:trPr>
          <w:trHeight w:val="360"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序号</w:t>
            </w:r>
          </w:p>
        </w:tc>
        <w:tc>
          <w:tcPr>
            <w:tcW w:w="271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单位</w:t>
            </w:r>
          </w:p>
        </w:tc>
        <w:tc>
          <w:tcPr>
            <w:tcW w:w="6168"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使用年限</w:t>
            </w:r>
          </w:p>
        </w:tc>
      </w:tr>
      <w:tr>
        <w:tblPrEx>
          <w:tblCellMar>
            <w:top w:w="0" w:type="dxa"/>
            <w:left w:w="15" w:type="dxa"/>
            <w:bottom w:w="0" w:type="dxa"/>
            <w:right w:w="15" w:type="dxa"/>
          </w:tblCellMar>
        </w:tblPrEx>
        <w:trPr>
          <w:trHeight w:val="540"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rPr>
            </w:pPr>
          </w:p>
        </w:tc>
        <w:tc>
          <w:tcPr>
            <w:tcW w:w="27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仿宋_GB2312" w:hAnsi="宋体" w:eastAsia="仿宋_GB2312" w:cs="宋体"/>
                <w:color w:val="000000"/>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1-3年</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4-10年</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11-15年</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15年以上</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沥青混凝土路面</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2.441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9.765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9.765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13.020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人行道板</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6.109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9.163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12.217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12.217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侧石</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0.360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0.720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1.080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1.080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平石</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0.317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0.634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0.950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0.950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5</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道路巡视</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1152.0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1152.0</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1152.0</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1152.0</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6</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升检查井及井筒 φ700</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81.540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81.540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81.540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81.540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7</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调换检查井φ700井座</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17.398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17.398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17.398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17.398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8</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调换检查井φ700井盖</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22.924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22.924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22.924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22.924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9</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升雨水口 510*390</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21.230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21.230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21.230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21.230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调换雨水口座 510*390</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10.775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10.775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10.775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10.775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11</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调换雨水口盖 510*390</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15.351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15.351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15.351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15.351 </w:t>
            </w:r>
          </w:p>
        </w:tc>
      </w:tr>
      <w:tr>
        <w:tblPrEx>
          <w:tblCellMar>
            <w:top w:w="0" w:type="dxa"/>
            <w:left w:w="15" w:type="dxa"/>
            <w:bottom w:w="0" w:type="dxa"/>
            <w:right w:w="15" w:type="dxa"/>
          </w:tblCellMar>
        </w:tblPrEx>
        <w:trPr>
          <w:trHeight w:val="54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12</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调换路名牌直杆</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根</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5.211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5.211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5.211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5.211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13</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调换路名牌面</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块</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9.297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9.297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9.297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9.297 </w:t>
            </w:r>
          </w:p>
        </w:tc>
      </w:tr>
      <w:tr>
        <w:tblPrEx>
          <w:tblCellMar>
            <w:top w:w="0" w:type="dxa"/>
            <w:left w:w="15" w:type="dxa"/>
            <w:bottom w:w="0" w:type="dxa"/>
            <w:right w:w="15" w:type="dxa"/>
          </w:tblCellMar>
        </w:tblPrEx>
        <w:trPr>
          <w:trHeight w:val="450"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桥梁栏杆</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50.909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58.182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65.454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65.454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调换伸缩缝及清理</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4.200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4.725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5.250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5.250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调换橡胶止水带及清理</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5.762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6.723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8.163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8.163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17</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支座保养维修</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只</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1.810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2.111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2.564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2.564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桥梁沉降观测检测</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项</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3000.000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3000.000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3000.000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3000.000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19</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人行道路护栏修复</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36.279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36.279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36.279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36.279 </w:t>
            </w:r>
          </w:p>
        </w:tc>
      </w:tr>
      <w:tr>
        <w:tblPrEx>
          <w:tblCellMar>
            <w:top w:w="0" w:type="dxa"/>
            <w:left w:w="15" w:type="dxa"/>
            <w:bottom w:w="0" w:type="dxa"/>
            <w:right w:w="15" w:type="dxa"/>
          </w:tblCellMar>
        </w:tblPrEx>
        <w:trPr>
          <w:trHeight w:val="495"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271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_GB2312" w:hAnsi="宋体" w:eastAsia="仿宋_GB2312" w:cs="宋体"/>
                <w:color w:val="000000"/>
              </w:rPr>
            </w:pPr>
            <w:r>
              <w:rPr>
                <w:rFonts w:hint="eastAsia" w:ascii="仿宋_GB2312" w:hAnsi="宋体" w:eastAsia="仿宋_GB2312" w:cs="宋体"/>
                <w:color w:val="000000"/>
              </w:rPr>
              <w:t>人行道路护栏清洁</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m</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12.000 </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12.000 </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12.000 </w:t>
            </w:r>
          </w:p>
        </w:tc>
        <w:tc>
          <w:tcPr>
            <w:tcW w:w="19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12.000 </w:t>
            </w:r>
          </w:p>
        </w:tc>
      </w:tr>
    </w:tbl>
    <w:p>
      <w:pPr>
        <w:rPr>
          <w:rFonts w:ascii="仿宋_GB2312" w:hAnsi="宋体" w:eastAsia="仿宋_GB2312" w:cs="宋体"/>
          <w:color w:val="000000"/>
          <w:sz w:val="24"/>
        </w:rPr>
      </w:pPr>
    </w:p>
    <w:p>
      <w:pPr>
        <w:autoSpaceDN w:val="0"/>
        <w:spacing w:line="360" w:lineRule="auto"/>
        <w:jc w:val="center"/>
        <w:textAlignment w:val="center"/>
        <w:rPr>
          <w:rFonts w:ascii="仿宋_GB2312" w:hAnsi="宋体" w:eastAsia="仿宋_GB2312" w:cs="宋体"/>
          <w:b/>
          <w:color w:val="000000"/>
          <w:sz w:val="24"/>
        </w:rPr>
      </w:pPr>
    </w:p>
    <w:p>
      <w:pPr>
        <w:autoSpaceDN w:val="0"/>
        <w:spacing w:line="360" w:lineRule="auto"/>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雨水管道经费维护单价测算表</w:t>
      </w:r>
    </w:p>
    <w:tbl>
      <w:tblPr>
        <w:tblStyle w:val="4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988"/>
        <w:gridCol w:w="2922"/>
        <w:gridCol w:w="1057"/>
        <w:gridCol w:w="1655"/>
        <w:gridCol w:w="1015"/>
        <w:gridCol w:w="1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26"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序号</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项目名称</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单位</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基础单价</w:t>
            </w:r>
          </w:p>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（元/次·米）</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年养护率（次/年）</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年度养护单价</w:t>
            </w:r>
          </w:p>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（元/年·米）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φ≤300　　</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5.87</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6</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35.22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300＜φ≤600</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10.45</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4.5</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47.03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600＜φ≤1000</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23.85</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71.55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1000＜φ≤1500</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51.93</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1.5</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5</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φ＞1500</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98.53</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0.75</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73.9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6</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CCTV检测</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53.09</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0.08</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4.25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7</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声纳检测</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米</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19.99</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0.16</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8</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检查井清淤泥</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64.65</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8</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517.2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9</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雨水口清淤泥</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座</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20.62</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9</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185.59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09" w:hRule="atLeast"/>
          <w:jc w:val="center"/>
        </w:trPr>
        <w:tc>
          <w:tcPr>
            <w:tcW w:w="988"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10</w:t>
            </w:r>
          </w:p>
        </w:tc>
        <w:tc>
          <w:tcPr>
            <w:tcW w:w="2922"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巡视检查</w:t>
            </w:r>
          </w:p>
        </w:tc>
        <w:tc>
          <w:tcPr>
            <w:tcW w:w="1057"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1000m·次</w:t>
            </w:r>
          </w:p>
        </w:tc>
        <w:tc>
          <w:tcPr>
            <w:tcW w:w="165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0.02</w:t>
            </w:r>
          </w:p>
        </w:tc>
        <w:tc>
          <w:tcPr>
            <w:tcW w:w="1015"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20</w:t>
            </w:r>
          </w:p>
        </w:tc>
        <w:tc>
          <w:tcPr>
            <w:tcW w:w="1749" w:type="dxa"/>
            <w:vAlign w:val="center"/>
          </w:tcPr>
          <w:p>
            <w:pPr>
              <w:spacing w:line="276" w:lineRule="auto"/>
              <w:jc w:val="center"/>
              <w:textAlignment w:val="center"/>
              <w:rPr>
                <w:rFonts w:ascii="仿宋_GB2312" w:hAnsi="宋体" w:eastAsia="仿宋_GB2312" w:cs="宋体"/>
                <w:color w:val="000000"/>
              </w:rPr>
            </w:pPr>
            <w:r>
              <w:rPr>
                <w:rFonts w:hint="eastAsia" w:ascii="仿宋_GB2312" w:hAnsi="宋体" w:eastAsia="仿宋_GB2312" w:cs="宋体"/>
                <w:color w:val="000000"/>
              </w:rPr>
              <w:t>0.32</w:t>
            </w:r>
          </w:p>
        </w:tc>
      </w:tr>
    </w:tbl>
    <w:p>
      <w:pPr>
        <w:jc w:val="center"/>
        <w:rPr>
          <w:rFonts w:ascii="仿宋_GB2312" w:hAnsi="宋体" w:eastAsia="仿宋_GB2312" w:cs="宋体"/>
          <w:color w:val="000000"/>
          <w:sz w:val="24"/>
        </w:rPr>
      </w:pPr>
    </w:p>
    <w:p>
      <w:pPr>
        <w:rPr>
          <w:rFonts w:ascii="仿宋_GB2312" w:hAnsi="宋体" w:eastAsia="仿宋_GB2312" w:cs="宋体"/>
          <w:color w:val="000000"/>
          <w:sz w:val="24"/>
        </w:rPr>
      </w:pPr>
    </w:p>
    <w:p>
      <w:pPr>
        <w:rPr>
          <w:rFonts w:ascii="仿宋_GB2312" w:hAnsi="宋体" w:eastAsia="仿宋_GB2312" w:cs="宋体"/>
          <w:color w:val="000000"/>
          <w:sz w:val="24"/>
        </w:rPr>
      </w:pPr>
    </w:p>
    <w:p>
      <w:pPr>
        <w:autoSpaceDN w:val="0"/>
        <w:spacing w:line="360" w:lineRule="auto"/>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杭州市区2015年道路分类保洁管理定额标准</w:t>
      </w:r>
    </w:p>
    <w:tbl>
      <w:tblPr>
        <w:tblStyle w:val="41"/>
        <w:tblW w:w="0" w:type="auto"/>
        <w:tblInd w:w="-552" w:type="dxa"/>
        <w:tblLayout w:type="fixed"/>
        <w:tblCellMar>
          <w:top w:w="15" w:type="dxa"/>
          <w:left w:w="15" w:type="dxa"/>
          <w:bottom w:w="15" w:type="dxa"/>
          <w:right w:w="15" w:type="dxa"/>
        </w:tblCellMar>
      </w:tblPr>
      <w:tblGrid>
        <w:gridCol w:w="557"/>
        <w:gridCol w:w="1145"/>
        <w:gridCol w:w="745"/>
        <w:gridCol w:w="1004"/>
        <w:gridCol w:w="2667"/>
        <w:gridCol w:w="1029"/>
        <w:gridCol w:w="896"/>
        <w:gridCol w:w="1029"/>
        <w:gridCol w:w="896"/>
        <w:gridCol w:w="1029"/>
        <w:gridCol w:w="936"/>
        <w:gridCol w:w="1029"/>
        <w:gridCol w:w="898"/>
        <w:gridCol w:w="882"/>
      </w:tblGrid>
      <w:tr>
        <w:tblPrEx>
          <w:tblCellMar>
            <w:top w:w="15" w:type="dxa"/>
            <w:left w:w="15" w:type="dxa"/>
            <w:bottom w:w="15" w:type="dxa"/>
            <w:right w:w="15" w:type="dxa"/>
          </w:tblCellMar>
        </w:tblPrEx>
        <w:trPr>
          <w:trHeight w:val="1140" w:hRule="atLeast"/>
        </w:trPr>
        <w:tc>
          <w:tcPr>
            <w:tcW w:w="170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保洁类别</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保洁时间</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人均保洁面积（㎡）</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人工费    （元/m2）</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劳保用品及清扫工具费（元/m2）</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洒水频次（次/日）</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洒水机械费（元/m2）</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机扫频次（次/日）</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扫路机械费（元/m2）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道路清洗频次(次/周)</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清洗机械费（元/m2）</w:t>
            </w: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裸定额（元/m2）</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定额（元）</w:t>
            </w:r>
          </w:p>
        </w:tc>
      </w:tr>
      <w:tr>
        <w:tblPrEx>
          <w:tblCellMar>
            <w:top w:w="15" w:type="dxa"/>
            <w:left w:w="15" w:type="dxa"/>
            <w:bottom w:w="15" w:type="dxa"/>
            <w:right w:w="15" w:type="dxa"/>
          </w:tblCellMar>
        </w:tblPrEx>
        <w:trPr>
          <w:trHeight w:val="285" w:hRule="atLeast"/>
        </w:trPr>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道路</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一类道路</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18.75</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1.36</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0.92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0.34</w:t>
            </w: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21.46</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25.1082</w:t>
            </w:r>
          </w:p>
        </w:tc>
      </w:tr>
      <w:tr>
        <w:tblPrEx>
          <w:tblCellMar>
            <w:top w:w="15" w:type="dxa"/>
            <w:left w:w="15" w:type="dxa"/>
            <w:bottom w:w="15" w:type="dxa"/>
            <w:right w:w="15" w:type="dxa"/>
          </w:tblCellMar>
        </w:tblPrEx>
        <w:trPr>
          <w:trHeight w:val="285" w:hRule="atLeast"/>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7.5*5000/5000*2.25=16.87</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1.36</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0.92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0.34</w:t>
            </w: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19.58</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22.9086</w:t>
            </w:r>
          </w:p>
        </w:tc>
      </w:tr>
      <w:tr>
        <w:tblPrEx>
          <w:tblCellMar>
            <w:top w:w="15" w:type="dxa"/>
            <w:left w:w="15" w:type="dxa"/>
            <w:bottom w:w="15" w:type="dxa"/>
            <w:right w:w="15" w:type="dxa"/>
          </w:tblCellMar>
        </w:tblPrEx>
        <w:trPr>
          <w:trHeight w:val="285" w:hRule="atLeast"/>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二类道路</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5500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7.5*5000/5500*2=13.63</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1.11</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0.92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0.22</w:t>
            </w: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15.97</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18.6849</w:t>
            </w:r>
          </w:p>
        </w:tc>
      </w:tr>
      <w:tr>
        <w:tblPrEx>
          <w:tblCellMar>
            <w:top w:w="15" w:type="dxa"/>
            <w:left w:w="15" w:type="dxa"/>
            <w:bottom w:w="15" w:type="dxa"/>
            <w:right w:w="15" w:type="dxa"/>
          </w:tblCellMar>
        </w:tblPrEx>
        <w:trPr>
          <w:trHeight w:val="285" w:hRule="atLeast"/>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三类道路</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6000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7.5*5000/6000*1.75=10.93</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1.11</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3</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0.92</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0.22</w:t>
            </w: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13.27</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15.5259</w:t>
            </w:r>
          </w:p>
        </w:tc>
      </w:tr>
      <w:tr>
        <w:tblPrEx>
          <w:tblCellMar>
            <w:top w:w="15" w:type="dxa"/>
            <w:left w:w="15" w:type="dxa"/>
            <w:bottom w:w="15" w:type="dxa"/>
            <w:right w:w="15" w:type="dxa"/>
          </w:tblCellMar>
        </w:tblPrEx>
        <w:trPr>
          <w:trHeight w:val="285" w:hRule="atLeast"/>
        </w:trPr>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街巷</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一类街巷</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4500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7.5*5000/4500*2=16.6</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16.69</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19.5273</w:t>
            </w:r>
          </w:p>
        </w:tc>
      </w:tr>
      <w:tr>
        <w:tblPrEx>
          <w:tblCellMar>
            <w:top w:w="15" w:type="dxa"/>
            <w:left w:w="15" w:type="dxa"/>
            <w:bottom w:w="15" w:type="dxa"/>
            <w:right w:w="15" w:type="dxa"/>
          </w:tblCellMar>
        </w:tblPrEx>
        <w:trPr>
          <w:trHeight w:val="285" w:hRule="atLeast"/>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二类街巷</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7.5*5000/5000*1.75=13.1</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13.19</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15.4323</w:t>
            </w:r>
          </w:p>
        </w:tc>
      </w:tr>
      <w:tr>
        <w:tblPrEx>
          <w:tblCellMar>
            <w:top w:w="15" w:type="dxa"/>
            <w:left w:w="15" w:type="dxa"/>
            <w:bottom w:w="15" w:type="dxa"/>
            <w:right w:w="15" w:type="dxa"/>
          </w:tblCellMar>
        </w:tblPrEx>
        <w:trPr>
          <w:trHeight w:val="285" w:hRule="atLeast"/>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三类街巷（村道）</w:t>
            </w:r>
          </w:p>
        </w:tc>
        <w:tc>
          <w:tcPr>
            <w:tcW w:w="7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10小时</w:t>
            </w:r>
          </w:p>
        </w:tc>
        <w:tc>
          <w:tcPr>
            <w:tcW w:w="10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5500</w:t>
            </w:r>
          </w:p>
        </w:tc>
        <w:tc>
          <w:tcPr>
            <w:tcW w:w="2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7.5*5000/5500*1.25=8.52</w:t>
            </w: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0.09</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8.61</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10.0737</w:t>
            </w:r>
          </w:p>
        </w:tc>
      </w:tr>
    </w:tbl>
    <w:p>
      <w:pPr>
        <w:rPr>
          <w:rFonts w:ascii="仿宋_GB2312" w:hAnsi="宋体" w:eastAsia="仿宋_GB2312" w:cs="宋体"/>
          <w:color w:val="000000"/>
          <w:sz w:val="24"/>
        </w:rPr>
      </w:pPr>
    </w:p>
    <w:p>
      <w:pPr>
        <w:rPr>
          <w:rFonts w:ascii="仿宋_GB2312" w:hAnsi="宋体" w:eastAsia="仿宋_GB2312" w:cs="宋体"/>
          <w:color w:val="000000"/>
          <w:sz w:val="24"/>
        </w:rPr>
      </w:pPr>
    </w:p>
    <w:p>
      <w:pPr>
        <w:autoSpaceDN w:val="0"/>
        <w:spacing w:line="360" w:lineRule="auto"/>
        <w:jc w:val="center"/>
        <w:textAlignment w:val="center"/>
        <w:rPr>
          <w:rFonts w:ascii="仿宋_GB2312" w:hAnsi="宋体" w:eastAsia="仿宋_GB2312" w:cs="宋体"/>
          <w:b/>
          <w:color w:val="000000"/>
          <w:sz w:val="24"/>
        </w:rPr>
      </w:pPr>
    </w:p>
    <w:p>
      <w:pPr>
        <w:autoSpaceDN w:val="0"/>
        <w:spacing w:line="360" w:lineRule="auto"/>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sz w:val="24"/>
        </w:rPr>
        <w:t>杭州市区2015年公厕分类管理定额标准</w:t>
      </w:r>
    </w:p>
    <w:tbl>
      <w:tblPr>
        <w:tblStyle w:val="41"/>
        <w:tblW w:w="0" w:type="auto"/>
        <w:tblInd w:w="0" w:type="dxa"/>
        <w:tblLayout w:type="fixed"/>
        <w:tblCellMar>
          <w:top w:w="15" w:type="dxa"/>
          <w:left w:w="15" w:type="dxa"/>
          <w:bottom w:w="15" w:type="dxa"/>
          <w:right w:w="15" w:type="dxa"/>
        </w:tblCellMar>
      </w:tblPr>
      <w:tblGrid>
        <w:gridCol w:w="878"/>
        <w:gridCol w:w="888"/>
        <w:gridCol w:w="949"/>
        <w:gridCol w:w="1057"/>
        <w:gridCol w:w="949"/>
        <w:gridCol w:w="1062"/>
        <w:gridCol w:w="1010"/>
        <w:gridCol w:w="906"/>
        <w:gridCol w:w="736"/>
        <w:gridCol w:w="998"/>
        <w:gridCol w:w="602"/>
        <w:gridCol w:w="925"/>
        <w:gridCol w:w="780"/>
        <w:gridCol w:w="1083"/>
        <w:gridCol w:w="1068"/>
      </w:tblGrid>
      <w:tr>
        <w:tblPrEx>
          <w:tblCellMar>
            <w:top w:w="15" w:type="dxa"/>
            <w:left w:w="15" w:type="dxa"/>
            <w:bottom w:w="15" w:type="dxa"/>
            <w:right w:w="15" w:type="dxa"/>
          </w:tblCellMar>
        </w:tblPrEx>
        <w:trPr>
          <w:trHeight w:val="42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类别</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保洁时间   （小时）</w:t>
            </w:r>
          </w:p>
        </w:tc>
        <w:tc>
          <w:tcPr>
            <w:tcW w:w="949"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人均保洁厕位（个）</w:t>
            </w:r>
          </w:p>
        </w:tc>
        <w:tc>
          <w:tcPr>
            <w:tcW w:w="105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人工费    （元/厕位）</w:t>
            </w:r>
          </w:p>
        </w:tc>
        <w:tc>
          <w:tcPr>
            <w:tcW w:w="949"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人员经费</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劳保用品</w:t>
            </w:r>
          </w:p>
        </w:tc>
        <w:tc>
          <w:tcPr>
            <w:tcW w:w="3650"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能耗费用</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工具费用</w:t>
            </w:r>
          </w:p>
        </w:tc>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化粪池清污及运输费</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日常维修费</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定额（裸）</w:t>
            </w:r>
          </w:p>
        </w:tc>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定额</w:t>
            </w:r>
          </w:p>
        </w:tc>
      </w:tr>
      <w:tr>
        <w:tblPrEx>
          <w:tblCellMar>
            <w:top w:w="15" w:type="dxa"/>
            <w:left w:w="15" w:type="dxa"/>
            <w:bottom w:w="15" w:type="dxa"/>
            <w:right w:w="15" w:type="dxa"/>
          </w:tblCellMar>
        </w:tblPrEx>
        <w:trPr>
          <w:trHeight w:val="69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水费</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电费</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清洁用品</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除臭设备</w:t>
            </w: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r>
      <w:tr>
        <w:tblPrEx>
          <w:tblCellMar>
            <w:top w:w="15" w:type="dxa"/>
            <w:left w:w="15" w:type="dxa"/>
            <w:bottom w:w="15" w:type="dxa"/>
            <w:right w:w="15" w:type="dxa"/>
          </w:tblCellMar>
        </w:tblPrEx>
        <w:trPr>
          <w:trHeight w:val="645" w:hRule="atLeast"/>
        </w:trPr>
        <w:tc>
          <w:tcPr>
            <w:tcW w:w="8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五星级</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17</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9253.76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157314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17.65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1164.30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978.60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700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12676.3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14324.2 </w:t>
            </w:r>
          </w:p>
        </w:tc>
      </w:tr>
      <w:tr>
        <w:tblPrEx>
          <w:tblCellMar>
            <w:top w:w="15" w:type="dxa"/>
            <w:left w:w="15" w:type="dxa"/>
            <w:bottom w:w="15" w:type="dxa"/>
            <w:right w:w="15" w:type="dxa"/>
          </w:tblCellMar>
        </w:tblPrEx>
        <w:trPr>
          <w:trHeight w:val="60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四星级</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11236.71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157314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21.43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1164.30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617.20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14201.6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16047.9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8427.54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117986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21.43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527.60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10850.0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12260.5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14</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7491.14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104876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21.43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527.60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9913.6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11202.3 </w:t>
            </w:r>
          </w:p>
        </w:tc>
      </w:tr>
      <w:tr>
        <w:tblPrEx>
          <w:tblCellMar>
            <w:top w:w="15" w:type="dxa"/>
            <w:left w:w="15" w:type="dxa"/>
            <w:bottom w:w="15" w:type="dxa"/>
            <w:right w:w="15" w:type="dxa"/>
          </w:tblCellMar>
        </w:tblPrEx>
        <w:trPr>
          <w:trHeight w:val="60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三星级</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9832.13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157314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1164.30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476.30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600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12653.5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14298.4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7374.09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117986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404.70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9670.9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10928.2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6554.75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104876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404.70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500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120</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8851.6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10002.3 </w:t>
            </w:r>
          </w:p>
        </w:tc>
      </w:tr>
      <w:tr>
        <w:tblPrEx>
          <w:tblCellMar>
            <w:top w:w="15" w:type="dxa"/>
            <w:left w:w="15" w:type="dxa"/>
            <w:bottom w:w="15" w:type="dxa"/>
            <w:right w:w="15" w:type="dxa"/>
          </w:tblCellMar>
        </w:tblPrEx>
        <w:trPr>
          <w:trHeight w:val="60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二星级</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9832.13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157314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1164.30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174.40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250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11881.6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13426.2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7374.09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117986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174.40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9020.6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10193.3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6554.75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104876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174.40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8201.3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9267.5 </w:t>
            </w:r>
          </w:p>
        </w:tc>
      </w:tr>
      <w:tr>
        <w:tblPrEx>
          <w:tblCellMar>
            <w:top w:w="15" w:type="dxa"/>
            <w:left w:w="15" w:type="dxa"/>
            <w:bottom w:w="15" w:type="dxa"/>
            <w:right w:w="15" w:type="dxa"/>
          </w:tblCellMar>
        </w:tblPrEx>
        <w:trPr>
          <w:trHeight w:val="60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一星级</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24</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9832.13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157314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1164.30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91.90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11549.1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13050.5 </w:t>
            </w:r>
          </w:p>
        </w:tc>
      </w:tr>
      <w:tr>
        <w:tblPrEx>
          <w:tblCellMar>
            <w:top w:w="15" w:type="dxa"/>
            <w:left w:w="15" w:type="dxa"/>
            <w:bottom w:w="15" w:type="dxa"/>
            <w:right w:w="15" w:type="dxa"/>
          </w:tblCellMar>
        </w:tblPrEx>
        <w:trPr>
          <w:trHeight w:val="60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18</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7374.09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117986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91.90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8738.1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9874.1 </w:t>
            </w:r>
          </w:p>
        </w:tc>
      </w:tr>
      <w:tr>
        <w:tblPrEx>
          <w:tblCellMar>
            <w:top w:w="15" w:type="dxa"/>
            <w:left w:w="15" w:type="dxa"/>
            <w:bottom w:w="15" w:type="dxa"/>
            <w:right w:w="15" w:type="dxa"/>
          </w:tblCellMar>
        </w:tblPrEx>
        <w:trPr>
          <w:trHeight w:val="63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16</w:t>
            </w:r>
          </w:p>
        </w:tc>
        <w:tc>
          <w:tcPr>
            <w:tcW w:w="10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6554.75 </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104876 </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18.75 </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811.40 </w:t>
            </w:r>
          </w:p>
        </w:tc>
        <w:tc>
          <w:tcPr>
            <w:tcW w:w="9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91.90 </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42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200</w:t>
            </w: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7918.8 </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宋体"/>
                <w:color w:val="000000"/>
              </w:rPr>
            </w:pPr>
            <w:r>
              <w:rPr>
                <w:rFonts w:hint="eastAsia" w:ascii="仿宋_GB2312" w:hAnsi="宋体" w:eastAsia="仿宋_GB2312" w:cs="宋体"/>
                <w:color w:val="000000"/>
              </w:rPr>
              <w:t xml:space="preserve">8948.2 </w:t>
            </w:r>
          </w:p>
        </w:tc>
      </w:tr>
    </w:tbl>
    <w:p>
      <w:pPr>
        <w:rPr>
          <w:rFonts w:ascii="仿宋_GB2312" w:hAnsi="宋体" w:eastAsia="仿宋_GB2312" w:cs="宋体"/>
          <w:color w:val="000000"/>
          <w:sz w:val="24"/>
        </w:rPr>
      </w:pPr>
    </w:p>
    <w:p>
      <w:pPr>
        <w:rPr>
          <w:rFonts w:ascii="仿宋_GB2312" w:hAnsi="宋体" w:eastAsia="仿宋_GB2312" w:cs="宋体"/>
          <w:color w:val="000000"/>
          <w:sz w:val="24"/>
        </w:rPr>
      </w:pPr>
    </w:p>
    <w:p>
      <w:pPr>
        <w:rPr>
          <w:rFonts w:ascii="仿宋_GB2312" w:hAnsi="宋体" w:eastAsia="仿宋_GB2312" w:cs="宋体"/>
          <w:color w:val="000000"/>
          <w:sz w:val="24"/>
        </w:rPr>
      </w:pPr>
    </w:p>
    <w:p>
      <w:pPr>
        <w:spacing w:line="360" w:lineRule="auto"/>
        <w:jc w:val="center"/>
        <w:rPr>
          <w:rFonts w:ascii="仿宋_GB2312" w:hAnsi="宋体" w:eastAsia="仿宋_GB2312" w:cs="宋体"/>
          <w:b/>
          <w:color w:val="000000"/>
          <w:sz w:val="24"/>
        </w:rPr>
      </w:pPr>
      <w:r>
        <w:rPr>
          <w:rFonts w:hint="eastAsia" w:ascii="仿宋_GB2312" w:hAnsi="宋体" w:eastAsia="仿宋_GB2312" w:cs="宋体"/>
          <w:b/>
          <w:color w:val="000000"/>
          <w:sz w:val="24"/>
        </w:rPr>
        <w:t>杭州市公共绿地养护测算表</w:t>
      </w:r>
    </w:p>
    <w:tbl>
      <w:tblPr>
        <w:tblStyle w:val="4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2025"/>
        <w:gridCol w:w="1879"/>
        <w:gridCol w:w="2250"/>
        <w:gridCol w:w="22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85" w:hRule="atLeast"/>
          <w:jc w:val="center"/>
        </w:trPr>
        <w:tc>
          <w:tcPr>
            <w:tcW w:w="202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行道树胸径规格</w:t>
            </w:r>
          </w:p>
        </w:tc>
        <w:tc>
          <w:tcPr>
            <w:tcW w:w="1879"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合计（元/株》年）</w:t>
            </w:r>
          </w:p>
        </w:tc>
        <w:tc>
          <w:tcPr>
            <w:tcW w:w="2250"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公共绿地等级</w:t>
            </w:r>
          </w:p>
        </w:tc>
        <w:tc>
          <w:tcPr>
            <w:tcW w:w="229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养护定额（米/平方米）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30" w:hRule="atLeast"/>
          <w:jc w:val="center"/>
        </w:trPr>
        <w:tc>
          <w:tcPr>
            <w:tcW w:w="202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10CM以下</w:t>
            </w:r>
          </w:p>
        </w:tc>
        <w:tc>
          <w:tcPr>
            <w:tcW w:w="1879"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29.56</w:t>
            </w:r>
          </w:p>
        </w:tc>
        <w:tc>
          <w:tcPr>
            <w:tcW w:w="2250"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一级绿地</w:t>
            </w:r>
          </w:p>
        </w:tc>
        <w:tc>
          <w:tcPr>
            <w:tcW w:w="229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30" w:hRule="atLeast"/>
          <w:jc w:val="center"/>
        </w:trPr>
        <w:tc>
          <w:tcPr>
            <w:tcW w:w="202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10--15CM</w:t>
            </w:r>
          </w:p>
        </w:tc>
        <w:tc>
          <w:tcPr>
            <w:tcW w:w="1879"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44.99</w:t>
            </w:r>
          </w:p>
        </w:tc>
        <w:tc>
          <w:tcPr>
            <w:tcW w:w="2250"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二级绿地</w:t>
            </w:r>
          </w:p>
        </w:tc>
        <w:tc>
          <w:tcPr>
            <w:tcW w:w="229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30" w:hRule="atLeast"/>
          <w:jc w:val="center"/>
        </w:trPr>
        <w:tc>
          <w:tcPr>
            <w:tcW w:w="202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15--25CM</w:t>
            </w:r>
          </w:p>
        </w:tc>
        <w:tc>
          <w:tcPr>
            <w:tcW w:w="1879"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62.63</w:t>
            </w:r>
          </w:p>
        </w:tc>
        <w:tc>
          <w:tcPr>
            <w:tcW w:w="2250"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三级绿地</w:t>
            </w:r>
          </w:p>
        </w:tc>
        <w:tc>
          <w:tcPr>
            <w:tcW w:w="229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7.59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30" w:hRule="atLeast"/>
          <w:jc w:val="center"/>
        </w:trPr>
        <w:tc>
          <w:tcPr>
            <w:tcW w:w="202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25--40CM</w:t>
            </w:r>
          </w:p>
        </w:tc>
        <w:tc>
          <w:tcPr>
            <w:tcW w:w="1879"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94.69</w:t>
            </w:r>
          </w:p>
        </w:tc>
        <w:tc>
          <w:tcPr>
            <w:tcW w:w="2250"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时花花坛</w:t>
            </w:r>
          </w:p>
        </w:tc>
        <w:tc>
          <w:tcPr>
            <w:tcW w:w="229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30" w:hRule="atLeast"/>
          <w:jc w:val="center"/>
        </w:trPr>
        <w:tc>
          <w:tcPr>
            <w:tcW w:w="202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40CM以上</w:t>
            </w:r>
          </w:p>
        </w:tc>
        <w:tc>
          <w:tcPr>
            <w:tcW w:w="1879"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137.65</w:t>
            </w:r>
          </w:p>
        </w:tc>
        <w:tc>
          <w:tcPr>
            <w:tcW w:w="2250"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常绿草</w:t>
            </w:r>
          </w:p>
        </w:tc>
        <w:tc>
          <w:tcPr>
            <w:tcW w:w="2295" w:type="dxa"/>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15.78</w:t>
            </w:r>
          </w:p>
        </w:tc>
      </w:tr>
    </w:tbl>
    <w:p>
      <w:pPr>
        <w:pStyle w:val="2"/>
        <w:spacing w:after="120" w:afterLines="50" w:line="500" w:lineRule="exact"/>
        <w:ind w:firstLine="0" w:firstLineChars="0"/>
        <w:outlineLvl w:val="1"/>
        <w:rPr>
          <w:rFonts w:ascii="仿宋_GB2312" w:hAnsi="仿宋" w:eastAsia="仿宋_GB2312"/>
          <w:b/>
          <w:bCs/>
          <w:sz w:val="24"/>
        </w:rPr>
      </w:pPr>
    </w:p>
    <w:p>
      <w:pPr>
        <w:pStyle w:val="2"/>
        <w:spacing w:after="120" w:afterLines="50" w:line="500" w:lineRule="exact"/>
        <w:ind w:firstLine="0" w:firstLineChars="0"/>
        <w:outlineLvl w:val="1"/>
        <w:rPr>
          <w:rFonts w:ascii="仿宋_GB2312" w:hAnsi="仿宋" w:eastAsia="仿宋_GB2312"/>
          <w:b/>
          <w:bCs/>
          <w:sz w:val="24"/>
        </w:rPr>
      </w:pPr>
    </w:p>
    <w:p>
      <w:pPr>
        <w:pStyle w:val="2"/>
        <w:rPr>
          <w:lang w:val="zh-CN"/>
        </w:rPr>
        <w:sectPr>
          <w:pgSz w:w="16838" w:h="11906" w:orient="landscape"/>
          <w:pgMar w:top="1588" w:right="2098" w:bottom="1474" w:left="1701" w:header="851" w:footer="992" w:gutter="0"/>
          <w:cols w:space="720" w:num="1"/>
          <w:docGrid w:linePitch="312" w:charSpace="0"/>
        </w:sectPr>
      </w:pPr>
    </w:p>
    <w:p>
      <w:pPr>
        <w:adjustRightInd w:val="0"/>
        <w:snapToGrid w:val="0"/>
        <w:spacing w:line="500" w:lineRule="exact"/>
        <w:ind w:firstLine="467" w:firstLineChars="194"/>
        <w:rPr>
          <w:rFonts w:ascii="仿宋_GB2312" w:hAnsi="仿宋" w:eastAsia="仿宋_GB2312"/>
          <w:b/>
          <w:bCs/>
          <w:sz w:val="24"/>
        </w:rPr>
      </w:pPr>
      <w:r>
        <w:rPr>
          <w:rFonts w:hint="eastAsia" w:ascii="仿宋_GB2312" w:hAnsi="仿宋_GB2312" w:eastAsia="仿宋_GB2312" w:cs="仿宋_GB2312"/>
          <w:b/>
          <w:bCs/>
          <w:sz w:val="24"/>
          <w:szCs w:val="28"/>
        </w:rPr>
        <w:t>九、项目具体需求</w:t>
      </w:r>
      <w:r>
        <w:rPr>
          <w:rFonts w:hint="eastAsia" w:ascii="仿宋_GB2312" w:hAnsi="仿宋" w:eastAsia="仿宋_GB2312"/>
          <w:b/>
          <w:bCs/>
          <w:sz w:val="24"/>
        </w:rPr>
        <w:t>（</w:t>
      </w:r>
      <w:r>
        <w:rPr>
          <w:rFonts w:hint="eastAsia" w:ascii="仿宋_GB2312" w:hAnsi="宋体" w:eastAsia="仿宋_GB2312" w:cs="宋体"/>
          <w:color w:val="000000"/>
          <w:sz w:val="24"/>
        </w:rPr>
        <w:t>根据浙财采监字[2007]2号文件规定：除招标文件明确的品牌外，欢迎其他能满足本项目技术需求且性能与所明确品牌相当的产品参加。</w:t>
      </w:r>
      <w:r>
        <w:rPr>
          <w:rFonts w:hint="eastAsia" w:ascii="仿宋_GB2312" w:hAnsi="仿宋" w:eastAsia="仿宋_GB2312"/>
          <w:b/>
          <w:bCs/>
          <w:sz w:val="24"/>
        </w:rPr>
        <w:t>）</w:t>
      </w:r>
    </w:p>
    <w:tbl>
      <w:tblPr>
        <w:tblStyle w:val="41"/>
        <w:tblW w:w="11781" w:type="dxa"/>
        <w:tblInd w:w="93" w:type="dxa"/>
        <w:tblLayout w:type="autofit"/>
        <w:tblCellMar>
          <w:top w:w="0" w:type="dxa"/>
          <w:left w:w="108" w:type="dxa"/>
          <w:bottom w:w="0" w:type="dxa"/>
          <w:right w:w="108" w:type="dxa"/>
        </w:tblCellMar>
      </w:tblPr>
      <w:tblGrid>
        <w:gridCol w:w="1433"/>
        <w:gridCol w:w="1276"/>
        <w:gridCol w:w="1275"/>
        <w:gridCol w:w="5387"/>
        <w:gridCol w:w="1276"/>
        <w:gridCol w:w="1134"/>
      </w:tblGrid>
      <w:tr>
        <w:tblPrEx>
          <w:tblCellMar>
            <w:top w:w="0" w:type="dxa"/>
            <w:left w:w="108" w:type="dxa"/>
            <w:bottom w:w="0" w:type="dxa"/>
            <w:right w:w="108" w:type="dxa"/>
          </w:tblCellMar>
        </w:tblPrEx>
        <w:trPr>
          <w:trHeight w:val="964" w:hRule="atLeast"/>
        </w:trPr>
        <w:tc>
          <w:tcPr>
            <w:tcW w:w="143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类别</w:t>
            </w:r>
          </w:p>
        </w:tc>
        <w:tc>
          <w:tcPr>
            <w:tcW w:w="1276"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名称</w:t>
            </w:r>
          </w:p>
        </w:tc>
        <w:tc>
          <w:tcPr>
            <w:tcW w:w="1275"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内容</w:t>
            </w:r>
          </w:p>
        </w:tc>
        <w:tc>
          <w:tcPr>
            <w:tcW w:w="5387"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要求</w:t>
            </w:r>
          </w:p>
        </w:tc>
        <w:tc>
          <w:tcPr>
            <w:tcW w:w="1276"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对应评分项序号</w:t>
            </w:r>
          </w:p>
        </w:tc>
        <w:tc>
          <w:tcPr>
            <w:tcW w:w="1134"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备注</w:t>
            </w:r>
          </w:p>
        </w:tc>
      </w:tr>
      <w:tr>
        <w:tblPrEx>
          <w:tblCellMar>
            <w:top w:w="0" w:type="dxa"/>
            <w:left w:w="108" w:type="dxa"/>
            <w:bottom w:w="0" w:type="dxa"/>
            <w:right w:w="108" w:type="dxa"/>
          </w:tblCellMar>
        </w:tblPrEx>
        <w:trPr>
          <w:trHeight w:val="525" w:hRule="atLeast"/>
        </w:trPr>
        <w:tc>
          <w:tcPr>
            <w:tcW w:w="1433" w:type="dxa"/>
            <w:tcBorders>
              <w:top w:val="nil"/>
              <w:left w:val="single" w:color="000000" w:sz="8" w:space="0"/>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报价部分</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报价</w:t>
            </w: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分项报价</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无特殊报价要求，报价不得高于本标项预算2800万元，也不得超过各养护服务的分预算。</w:t>
            </w:r>
          </w:p>
        </w:tc>
        <w:tc>
          <w:tcPr>
            <w:tcW w:w="1276" w:type="dxa"/>
            <w:tcBorders>
              <w:top w:val="nil"/>
              <w:left w:val="nil"/>
              <w:bottom w:val="nil"/>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90" w:hRule="atLeast"/>
        </w:trPr>
        <w:tc>
          <w:tcPr>
            <w:tcW w:w="1433"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商务技术部分</w:t>
            </w:r>
          </w:p>
        </w:tc>
        <w:tc>
          <w:tcPr>
            <w:tcW w:w="1276" w:type="dxa"/>
            <w:vMerge w:val="restart"/>
            <w:tcBorders>
              <w:top w:val="nil"/>
              <w:left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业绩证明</w:t>
            </w: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要求提供与项目有关联的相关证书。</w:t>
            </w:r>
          </w:p>
        </w:tc>
        <w:tc>
          <w:tcPr>
            <w:tcW w:w="1276"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合同及相关业绩</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具有道路保洁、绿化、市政道路、亮化等项目承接情况，并可提供有效的合同证明。</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restart"/>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服务能力</w:t>
            </w:r>
          </w:p>
        </w:tc>
        <w:tc>
          <w:tcPr>
            <w:tcW w:w="1275"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服务内容</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做好东站枢纽管辖范围内的环卫、市政、绿化、亮化等综合养护工作。</w:t>
            </w:r>
          </w:p>
        </w:tc>
        <w:tc>
          <w:tcPr>
            <w:tcW w:w="1276" w:type="dxa"/>
            <w:tcBorders>
              <w:top w:val="nil"/>
              <w:left w:val="nil"/>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30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服务时限</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一年</w:t>
            </w:r>
          </w:p>
        </w:tc>
        <w:tc>
          <w:tcPr>
            <w:tcW w:w="1276" w:type="dxa"/>
            <w:tcBorders>
              <w:top w:val="nil"/>
              <w:left w:val="nil"/>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30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single" w:color="000000" w:sz="8" w:space="0"/>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服务标准</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符合行业相关标准</w:t>
            </w:r>
          </w:p>
        </w:tc>
        <w:tc>
          <w:tcPr>
            <w:tcW w:w="1276" w:type="dxa"/>
            <w:tcBorders>
              <w:top w:val="nil"/>
              <w:left w:val="nil"/>
              <w:bottom w:val="single" w:color="000000" w:sz="8" w:space="0"/>
              <w:right w:val="single" w:color="000000" w:sz="8" w:space="0"/>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restart"/>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场所要求</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场地满足城市快速应急保障直线距离8公里范围内设置一线管理机具、大型车辆停放场所一处。</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8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根据管理委员会及行业主管部门要求，在车站（枢纽管辖范围内）建立固定办公场所1处（中标后三个月内）。</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8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根据管理委员会及行业主管部门要求，设置机械设备和车辆停放及应急物资存放场所不少于2处（中标后三个月内）。</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根据管理委员会及行业主管部门要求，增设东站范围内备用绿化培育场地1处，新增便民服务点一处。</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8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top w:val="single" w:color="000000" w:sz="8"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在东站枢纽管辖范围内建设不少于5处城管驿站（车站东西两边各两处，二层平台东北角一处），每处不少于30平方米，其中一处为花园兜仓库内部增设。</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8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管理用房方案及施工</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新建设王家井天桥电梯下方不锈钢管理用房一处。</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8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仓库改造方案及施工</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经管委会认可后，中标后三个月内完成对现有花园兜下匝道仓库的提升改造。</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9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垃圾分类集置</w:t>
            </w:r>
            <w:r>
              <w:rPr>
                <w:rFonts w:hint="eastAsia" w:ascii="仿宋_GB2312" w:hAnsi="宋体" w:eastAsia="仿宋_GB2312" w:cs="宋体"/>
                <w:color w:val="auto"/>
                <w:kern w:val="0"/>
                <w:szCs w:val="21"/>
                <w:lang w:val="en-US" w:eastAsia="zh-CN"/>
              </w:rPr>
              <w:t>点</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中标后三个月内完成建设</w:t>
            </w:r>
            <w:r>
              <w:rPr>
                <w:rFonts w:hint="eastAsia" w:ascii="仿宋_GB2312" w:hAnsi="宋体" w:eastAsia="仿宋_GB2312" w:cs="宋体"/>
                <w:color w:val="auto"/>
                <w:kern w:val="0"/>
                <w:szCs w:val="21"/>
                <w:lang w:val="en-US" w:eastAsia="zh-CN"/>
              </w:rPr>
              <w:t>一处</w:t>
            </w:r>
            <w:r>
              <w:rPr>
                <w:rFonts w:hint="eastAsia" w:ascii="仿宋_GB2312" w:hAnsi="宋体" w:eastAsia="仿宋_GB2312" w:cs="宋体"/>
                <w:color w:val="auto"/>
                <w:kern w:val="0"/>
                <w:szCs w:val="21"/>
              </w:rPr>
              <w:t>东站垃圾分类集置</w:t>
            </w:r>
            <w:r>
              <w:rPr>
                <w:rFonts w:hint="eastAsia" w:ascii="仿宋_GB2312" w:hAnsi="宋体" w:eastAsia="仿宋_GB2312" w:cs="宋体"/>
                <w:color w:val="auto"/>
                <w:kern w:val="0"/>
                <w:szCs w:val="21"/>
                <w:lang w:val="en-US" w:eastAsia="zh-CN"/>
              </w:rPr>
              <w:t>点</w:t>
            </w:r>
            <w:r>
              <w:rPr>
                <w:rFonts w:hint="eastAsia" w:ascii="仿宋_GB2312" w:hAnsi="宋体" w:eastAsia="仿宋_GB2312" w:cs="宋体"/>
                <w:color w:val="auto"/>
                <w:kern w:val="0"/>
                <w:szCs w:val="21"/>
              </w:rPr>
              <w:t>（位于环站南路东宁路交叉口西南侧），面积不小于</w:t>
            </w:r>
            <w:r>
              <w:rPr>
                <w:rFonts w:hint="eastAsia" w:ascii="仿宋_GB2312" w:hAnsi="宋体" w:eastAsia="仿宋_GB2312" w:cs="宋体"/>
                <w:color w:val="auto"/>
                <w:kern w:val="0"/>
                <w:szCs w:val="21"/>
                <w:lang w:val="en-US" w:eastAsia="zh-CN"/>
              </w:rPr>
              <w:t>15</w:t>
            </w:r>
            <w:r>
              <w:rPr>
                <w:rFonts w:hint="eastAsia" w:ascii="仿宋_GB2312" w:hAnsi="宋体" w:eastAsia="仿宋_GB2312" w:cs="宋体"/>
                <w:color w:val="auto"/>
                <w:kern w:val="0"/>
                <w:szCs w:val="21"/>
              </w:rPr>
              <w:t>0平方米，</w:t>
            </w:r>
            <w:r>
              <w:rPr>
                <w:rFonts w:hint="eastAsia" w:ascii="仿宋_GB2312" w:hAnsi="宋体" w:eastAsia="仿宋_GB2312" w:cs="宋体"/>
                <w:color w:val="auto"/>
                <w:kern w:val="0"/>
                <w:szCs w:val="21"/>
                <w:lang w:val="en-US" w:eastAsia="zh-CN"/>
              </w:rPr>
              <w:t>具备</w:t>
            </w:r>
            <w:r>
              <w:rPr>
                <w:rFonts w:hint="eastAsia" w:ascii="仿宋_GB2312" w:hAnsi="宋体" w:eastAsia="仿宋_GB2312" w:cs="宋体"/>
                <w:color w:val="auto"/>
                <w:kern w:val="0"/>
                <w:szCs w:val="21"/>
              </w:rPr>
              <w:t>垃圾分拣、可回收物</w:t>
            </w:r>
            <w:r>
              <w:rPr>
                <w:rFonts w:hint="eastAsia" w:ascii="仿宋_GB2312" w:hAnsi="宋体" w:eastAsia="仿宋_GB2312" w:cs="宋体"/>
                <w:color w:val="auto"/>
                <w:kern w:val="0"/>
                <w:szCs w:val="21"/>
                <w:lang w:val="en-US" w:eastAsia="zh-CN"/>
              </w:rPr>
              <w:t>分拣处置</w:t>
            </w:r>
            <w:r>
              <w:rPr>
                <w:rFonts w:hint="eastAsia" w:ascii="仿宋_GB2312" w:hAnsi="宋体" w:eastAsia="仿宋_GB2312" w:cs="宋体"/>
                <w:color w:val="auto"/>
                <w:kern w:val="0"/>
                <w:szCs w:val="21"/>
              </w:rPr>
              <w:t>、</w:t>
            </w:r>
            <w:r>
              <w:rPr>
                <w:rFonts w:hint="eastAsia" w:ascii="仿宋_GB2312" w:hAnsi="宋体" w:eastAsia="仿宋_GB2312" w:cs="宋体"/>
                <w:color w:val="auto"/>
                <w:kern w:val="0"/>
                <w:szCs w:val="21"/>
                <w:lang w:val="en-US" w:eastAsia="zh-CN"/>
              </w:rPr>
              <w:t>桶身清洗</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污水合规排放</w:t>
            </w:r>
            <w:r>
              <w:rPr>
                <w:rFonts w:hint="eastAsia" w:ascii="仿宋_GB2312" w:hAnsi="宋体" w:eastAsia="仿宋_GB2312" w:cs="宋体"/>
                <w:color w:val="auto"/>
                <w:kern w:val="0"/>
                <w:szCs w:val="21"/>
              </w:rPr>
              <w:t>等</w:t>
            </w:r>
            <w:r>
              <w:rPr>
                <w:rFonts w:hint="eastAsia" w:ascii="仿宋_GB2312" w:hAnsi="宋体" w:eastAsia="仿宋_GB2312" w:cs="宋体"/>
                <w:color w:val="auto"/>
                <w:kern w:val="0"/>
                <w:szCs w:val="21"/>
                <w:lang w:val="en-US" w:eastAsia="zh-CN"/>
              </w:rPr>
              <w:t>功能</w:t>
            </w:r>
            <w:r>
              <w:rPr>
                <w:rFonts w:hint="eastAsia" w:ascii="仿宋_GB2312" w:hAnsi="宋体" w:eastAsia="仿宋_GB2312" w:cs="宋体"/>
                <w:color w:val="auto"/>
                <w:kern w:val="0"/>
                <w:szCs w:val="21"/>
              </w:rPr>
              <w:t>，并落实专人做好日常管理。</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103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nil"/>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匝道花箱养护</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匝道花箱日常管养工作（含四季常绿花卉植株养护、抗腐蚀抗暴晒材质花箱更换、智能化滴灌系统及相关土建配套设施维护等），承诺保证在一年内有三季盛花开放，开花率不低于80%。</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103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restart"/>
            <w:tcBorders>
              <w:top w:val="single" w:color="000000" w:sz="8" w:space="0"/>
              <w:left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拟派人员</w:t>
            </w:r>
          </w:p>
        </w:tc>
        <w:tc>
          <w:tcPr>
            <w:tcW w:w="1275" w:type="dxa"/>
            <w:tcBorders>
              <w:top w:val="nil"/>
              <w:left w:val="nil"/>
              <w:bottom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项目经理</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拟担任本项目专职项目总负责人，担任期间不得兼任其他项目，具备中级工程师及以上职称，年龄45周岁以下，大专及以上学历，具备5年及以上公建类或交通枢纽项目管理工作经验。</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13</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28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restart"/>
            <w:tcBorders>
              <w:top w:val="single" w:color="000000" w:sz="8" w:space="0"/>
              <w:left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人员数量</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专职安全员1名。</w:t>
            </w:r>
          </w:p>
        </w:tc>
        <w:tc>
          <w:tcPr>
            <w:tcW w:w="1276" w:type="dxa"/>
            <w:vMerge w:val="restart"/>
            <w:tcBorders>
              <w:top w:val="nil"/>
              <w:left w:val="nil"/>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14</w:t>
            </w:r>
          </w:p>
        </w:tc>
        <w:tc>
          <w:tcPr>
            <w:tcW w:w="1134" w:type="dxa"/>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28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内勤、巡查人员、垃圾分类督导员共6名。</w:t>
            </w: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道路保洁、绿化、市政、亮化长效养护条线项目主管各1名，小计4名。</w:t>
            </w: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道路保洁、绿化、市政、亮化养护各巡查人员各2名，小计8名。</w:t>
            </w: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技术负责人、质量负责人、机械设备负责人、安全主管、资料员各1名小计5名。</w:t>
            </w: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231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bottom w:val="single" w:color="auto" w:sz="4"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auto" w:sz="4"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一线人员配置要求：</w:t>
            </w:r>
            <w:r>
              <w:rPr>
                <w:rFonts w:hint="eastAsia" w:ascii="仿宋_GB2312" w:hAnsi="宋体"/>
                <w:color w:val="000000"/>
                <w:kern w:val="0"/>
              </w:rPr>
              <w:t>1.</w:t>
            </w:r>
            <w:r>
              <w:rPr>
                <w:rFonts w:hint="eastAsia" w:ascii="仿宋_GB2312" w:hAnsi="宋体" w:eastAsia="仿宋_GB2312" w:cs="宋体"/>
                <w:color w:val="000000"/>
                <w:kern w:val="0"/>
                <w:szCs w:val="21"/>
              </w:rPr>
              <w:t>道路保洁班组人员配备：</w:t>
            </w:r>
            <w:r>
              <w:rPr>
                <w:rFonts w:hint="eastAsia" w:ascii="仿宋_GB2312" w:hAnsi="宋体"/>
                <w:color w:val="000000"/>
                <w:kern w:val="0"/>
              </w:rPr>
              <w:t>331人。</w:t>
            </w:r>
            <w:r>
              <w:rPr>
                <w:rFonts w:ascii="仿宋_GB2312" w:hAnsi="宋体" w:eastAsia="仿宋_GB2312" w:cs="宋体"/>
                <w:color w:val="000000"/>
                <w:kern w:val="0"/>
                <w:szCs w:val="21"/>
              </w:rPr>
              <w:t>2.市政道路养护班组人员配备：道路总面积50万平方米以下至少配备1个沥青班组人员（每个班组8-10人）、2个人行道班组（每个班组5人）。雨水管网至少配备1个雨水管网班组人员（每个班组6人）。3.道路绿化班组人员配备：建议绿地养护5000</w:t>
            </w:r>
            <w:r>
              <w:rPr>
                <w:rFonts w:ascii="宋体" w:hAnsi="宋体" w:cs="宋体"/>
                <w:color w:val="000000"/>
                <w:kern w:val="0"/>
              </w:rPr>
              <w:t>㎡</w:t>
            </w:r>
            <w:r>
              <w:rPr>
                <w:rFonts w:ascii="仿宋_GB2312" w:hAnsi="宋体" w:eastAsia="仿宋_GB2312" w:cs="宋体"/>
                <w:color w:val="000000"/>
                <w:kern w:val="0"/>
                <w:szCs w:val="21"/>
              </w:rPr>
              <w:t>/人，绿化养护配有专门的绿化管理小组包括植保员、绿化修剪技工、绿地养护工共计（12-16人）。4.亮化长效养护班组专业养护人员2名。</w:t>
            </w:r>
          </w:p>
        </w:tc>
        <w:tc>
          <w:tcPr>
            <w:tcW w:w="1276" w:type="dxa"/>
            <w:vMerge w:val="continue"/>
            <w:tcBorders>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9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restart"/>
            <w:tcBorders>
              <w:top w:val="single" w:color="auto" w:sz="4" w:space="0"/>
              <w:left w:val="nil"/>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人员能力/技术</w:t>
            </w:r>
          </w:p>
        </w:tc>
        <w:tc>
          <w:tcPr>
            <w:tcW w:w="5387" w:type="dxa"/>
            <w:tcBorders>
              <w:top w:val="single" w:color="auto" w:sz="4" w:space="0"/>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投入本项目的内勤人员2名，巡查人员2名，垃圾分类督导员2名（共6名）：年龄在35周岁以下，中专及以上学历，能从事一线工作，月工资在4800元以上。一个职位不可兼任，全职驻东站工作。</w:t>
            </w:r>
          </w:p>
        </w:tc>
        <w:tc>
          <w:tcPr>
            <w:tcW w:w="1276" w:type="dxa"/>
            <w:vMerge w:val="restart"/>
            <w:tcBorders>
              <w:top w:val="nil"/>
              <w:left w:val="nil"/>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15</w:t>
            </w:r>
          </w:p>
        </w:tc>
        <w:tc>
          <w:tcPr>
            <w:tcW w:w="1134" w:type="dxa"/>
            <w:vMerge w:val="restart"/>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129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入本项目的道路保洁、道路绿化、市政道路、亮化长效养护项目主管各1名（共4名）基本要求：年龄45周岁以下，大专及以上学历，具有3年及以上相关城市管理经验。一个职位不可兼任，专用本项目，全职驻东站工作。</w:t>
            </w: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vMerge w:val="continue"/>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129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道路保洁、道路绿化、市政道路、亮化长效养护各班组设监管巡查人员各2名（共8名），基本要求：年龄在45周岁以下，具有环卫、绿化、市政等3年及以上相关工作经验。一个职位不可兼任，专用本项目，全职驻东站工作 。</w:t>
            </w: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vMerge w:val="continue"/>
            <w:tcBorders>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一线人员：人员符合招标文件要求，人员数量充足，人员数量安排合理、分工明确，配置合理。</w:t>
            </w:r>
          </w:p>
        </w:tc>
        <w:tc>
          <w:tcPr>
            <w:tcW w:w="1276" w:type="dxa"/>
            <w:vMerge w:val="continue"/>
            <w:tcBorders>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c>
          <w:tcPr>
            <w:tcW w:w="1134"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8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left w:val="nil"/>
              <w:bottom w:val="nil"/>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应急保障</w:t>
            </w:r>
          </w:p>
        </w:tc>
        <w:tc>
          <w:tcPr>
            <w:tcW w:w="5387" w:type="dxa"/>
            <w:tcBorders>
              <w:top w:val="nil"/>
              <w:left w:val="nil"/>
              <w:bottom w:val="single" w:color="000000" w:sz="8" w:space="0"/>
              <w:right w:val="single" w:color="000000" w:sz="8"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组建一支专业性强的应急队伍（不少于30名，年龄45周岁以下），按标书要求能快速、高效应急各类突发事件。并提供必要的应急保障车辆。</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16</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205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tcBorders>
              <w:top w:val="nil"/>
              <w:left w:val="nil"/>
              <w:bottom w:val="single" w:color="auto" w:sz="4"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演示</w:t>
            </w: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方案演示</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b w:val="0"/>
                <w:bCs w:val="0"/>
                <w:color w:val="auto"/>
                <w:kern w:val="0"/>
                <w:szCs w:val="21"/>
              </w:rPr>
            </w:pPr>
            <w:r>
              <w:rPr>
                <w:rFonts w:hint="eastAsia" w:ascii="仿宋_GB2312" w:hAnsi="宋体" w:eastAsia="仿宋_GB2312" w:cs="宋体"/>
                <w:b w:val="0"/>
                <w:bCs w:val="0"/>
                <w:color w:val="auto"/>
                <w:kern w:val="0"/>
                <w:szCs w:val="21"/>
              </w:rPr>
              <w:t>对项目中</w:t>
            </w:r>
            <w:r>
              <w:rPr>
                <w:rFonts w:hint="eastAsia" w:ascii="仿宋_GB2312" w:hAnsi="宋体" w:eastAsia="仿宋_GB2312" w:cs="宋体"/>
                <w:b w:val="0"/>
                <w:bCs w:val="0"/>
                <w:color w:val="auto"/>
                <w:kern w:val="0"/>
                <w:szCs w:val="21"/>
                <w:lang w:eastAsia="zh-CN"/>
              </w:rPr>
              <w:t>三</w:t>
            </w:r>
            <w:r>
              <w:rPr>
                <w:rFonts w:hint="eastAsia" w:ascii="仿宋_GB2312" w:hAnsi="宋体" w:eastAsia="仿宋_GB2312" w:cs="宋体"/>
                <w:b w:val="0"/>
                <w:bCs w:val="0"/>
                <w:color w:val="auto"/>
                <w:kern w:val="0"/>
                <w:szCs w:val="21"/>
              </w:rPr>
              <w:t>个方案进行ppt演示、讲解包含：1.智慧“综合监管+管养”平台方案；2.亚运期间综合保障方案（包含且不仅限于人员保障方案、突发事件应急响应方案、高温期间机械化作业方案、迎亚运专项培训方案等）；</w:t>
            </w:r>
            <w:r>
              <w:rPr>
                <w:rFonts w:hint="eastAsia" w:ascii="仿宋_GB2312" w:hAnsi="宋体" w:eastAsia="仿宋_GB2312" w:cs="宋体"/>
                <w:b w:val="0"/>
                <w:bCs w:val="0"/>
                <w:color w:val="auto"/>
                <w:kern w:val="0"/>
                <w:szCs w:val="21"/>
                <w:lang w:val="en-US" w:eastAsia="zh-CN"/>
              </w:rPr>
              <w:t>3</w:t>
            </w:r>
            <w:r>
              <w:rPr>
                <w:rFonts w:hint="eastAsia" w:ascii="仿宋_GB2312" w:hAnsi="宋体" w:eastAsia="仿宋_GB2312" w:cs="宋体"/>
                <w:b w:val="0"/>
                <w:bCs w:val="0"/>
                <w:color w:val="auto"/>
                <w:kern w:val="0"/>
                <w:szCs w:val="21"/>
              </w:rPr>
              <w:t>.城管驿站建设方案。</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17</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left"/>
              <w:rPr>
                <w:rFonts w:ascii="仿宋_GB2312" w:hAnsi="宋体" w:eastAsia="仿宋_GB2312"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配套设备</w:t>
            </w:r>
          </w:p>
        </w:tc>
        <w:tc>
          <w:tcPr>
            <w:tcW w:w="1275" w:type="dxa"/>
            <w:tcBorders>
              <w:top w:val="nil"/>
              <w:left w:val="single" w:color="auto" w:sz="4"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投入设备</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按要求提供项目所需的设施设备和数量，</w:t>
            </w:r>
            <w:r>
              <w:rPr>
                <w:rFonts w:ascii="仿宋_GB2312" w:hAnsi="宋体" w:eastAsia="仿宋_GB2312" w:cs="宋体"/>
                <w:b/>
                <w:bCs/>
                <w:color w:val="000000"/>
                <w:kern w:val="0"/>
              </w:rPr>
              <w:t>具体见机械设备要求清单</w:t>
            </w:r>
            <w:r>
              <w:rPr>
                <w:rFonts w:ascii="仿宋_GB2312" w:hAnsi="宋体" w:eastAsia="仿宋_GB2312" w:cs="宋体"/>
                <w:color w:val="000000"/>
                <w:kern w:val="0"/>
                <w:szCs w:val="21"/>
              </w:rPr>
              <w:t>。</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18</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1035" w:hRule="atLeast"/>
        </w:trPr>
        <w:tc>
          <w:tcPr>
            <w:tcW w:w="1433"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left"/>
              <w:rPr>
                <w:rFonts w:ascii="仿宋_GB2312" w:hAnsi="宋体" w:eastAsia="仿宋_GB2312"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垃圾分类</w:t>
            </w:r>
          </w:p>
        </w:tc>
        <w:tc>
          <w:tcPr>
            <w:tcW w:w="1275" w:type="dxa"/>
            <w:tcBorders>
              <w:top w:val="nil"/>
              <w:left w:val="single" w:color="auto" w:sz="4"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日常作业要求</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1.建设智能垃圾投放点不少于两处；2.要求与东站枢纽垃圾分类相关单位签订再生资源回收合作协议，建立再生资源可回收体系；3.每年开展一次大型的垃圾分类活动。</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19</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restart"/>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企业管理</w:t>
            </w: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管理制度</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有完善的企业财务管理制度、员工管理制度、考核制度、安全生产制度、薪酬奖惩制度等。</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20</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员工权益</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按照《杭州市人民政府办公厅关于进一步解决环卫工人实际困难保障其合法权益的意见》（杭政办〔2008〕14号）文件要求，保障落实环卫工人权益。</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21</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restart"/>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养护方案</w:t>
            </w: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养护条线方案</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道路市政养护、绿化养护、道路保洁养护、亮化养护方案科学合理、具有针对性及可操作性。</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22</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25"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vMerge w:val="continue"/>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综合养护方案</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综合养护措施突出重点，如突破传统运作模式，养护管理、作业方案要有创新。</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23</w:t>
            </w:r>
          </w:p>
        </w:tc>
        <w:tc>
          <w:tcPr>
            <w:tcW w:w="113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300" w:hRule="atLeast"/>
        </w:trPr>
        <w:tc>
          <w:tcPr>
            <w:tcW w:w="14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服务承诺</w:t>
            </w:r>
          </w:p>
        </w:tc>
        <w:tc>
          <w:tcPr>
            <w:tcW w:w="127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优惠承诺</w:t>
            </w:r>
          </w:p>
        </w:tc>
        <w:tc>
          <w:tcPr>
            <w:tcW w:w="5387" w:type="dxa"/>
            <w:tcBorders>
              <w:top w:val="nil"/>
              <w:left w:val="nil"/>
              <w:bottom w:val="single" w:color="000000" w:sz="8" w:space="0"/>
              <w:right w:val="single" w:color="000000"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投标人提出的优惠条件和承诺情况。</w:t>
            </w:r>
          </w:p>
        </w:tc>
        <w:tc>
          <w:tcPr>
            <w:tcW w:w="1276"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24</w:t>
            </w:r>
          </w:p>
        </w:tc>
        <w:tc>
          <w:tcPr>
            <w:tcW w:w="1134" w:type="dxa"/>
            <w:tcBorders>
              <w:top w:val="nil"/>
              <w:left w:val="nil"/>
              <w:bottom w:val="single" w:color="000000" w:sz="8" w:space="0"/>
              <w:right w:val="single" w:color="000000" w:sz="8" w:space="0"/>
            </w:tcBorders>
            <w:noWrap/>
            <w:vAlign w:val="center"/>
          </w:tcPr>
          <w:p>
            <w:pPr>
              <w:widowControl/>
              <w:jc w:val="left"/>
              <w:rPr>
                <w:rFonts w:ascii="宋体" w:hAnsi="宋体"/>
                <w:color w:val="000000"/>
                <w:kern w:val="0"/>
                <w:sz w:val="22"/>
              </w:rPr>
            </w:pPr>
          </w:p>
        </w:tc>
      </w:tr>
    </w:tbl>
    <w:p>
      <w:pPr>
        <w:pStyle w:val="2"/>
        <w:ind w:firstLine="0" w:firstLineChars="0"/>
        <w:rPr>
          <w:rFonts w:ascii="仿宋_GB2312" w:hAnsi="仿宋_GB2312" w:eastAsia="仿宋_GB2312" w:cs="仿宋_GB2312"/>
          <w:b/>
          <w:bCs/>
          <w:sz w:val="24"/>
          <w:szCs w:val="28"/>
        </w:rPr>
      </w:pPr>
      <w:r>
        <w:br w:type="page"/>
      </w:r>
      <w:r>
        <w:rPr>
          <w:rFonts w:hint="eastAsia" w:ascii="仿宋_GB2312" w:hAnsi="仿宋_GB2312" w:eastAsia="仿宋_GB2312" w:cs="仿宋_GB2312"/>
          <w:b/>
          <w:bCs/>
          <w:sz w:val="24"/>
          <w:szCs w:val="28"/>
        </w:rPr>
        <w:t>十、项目评分</w:t>
      </w:r>
    </w:p>
    <w:p>
      <w:pPr>
        <w:pStyle w:val="2"/>
        <w:ind w:firstLine="0" w:firstLineChars="0"/>
      </w:pPr>
    </w:p>
    <w:tbl>
      <w:tblPr>
        <w:tblStyle w:val="41"/>
        <w:tblW w:w="13198" w:type="dxa"/>
        <w:tblInd w:w="93" w:type="dxa"/>
        <w:tblLayout w:type="fixed"/>
        <w:tblCellMar>
          <w:top w:w="0" w:type="dxa"/>
          <w:left w:w="108" w:type="dxa"/>
          <w:bottom w:w="0" w:type="dxa"/>
          <w:right w:w="108" w:type="dxa"/>
        </w:tblCellMar>
      </w:tblPr>
      <w:tblGrid>
        <w:gridCol w:w="866"/>
        <w:gridCol w:w="567"/>
        <w:gridCol w:w="850"/>
        <w:gridCol w:w="709"/>
        <w:gridCol w:w="992"/>
        <w:gridCol w:w="8080"/>
        <w:gridCol w:w="1134"/>
      </w:tblGrid>
      <w:tr>
        <w:tblPrEx>
          <w:tblCellMar>
            <w:top w:w="0" w:type="dxa"/>
            <w:left w:w="108" w:type="dxa"/>
            <w:bottom w:w="0" w:type="dxa"/>
            <w:right w:w="108" w:type="dxa"/>
          </w:tblCellMar>
        </w:tblPrEx>
        <w:trPr>
          <w:trHeight w:val="624"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类别</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总分</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内容</w:t>
            </w:r>
          </w:p>
        </w:tc>
        <w:tc>
          <w:tcPr>
            <w:tcW w:w="80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要求</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分值</w:t>
            </w:r>
          </w:p>
        </w:tc>
      </w:tr>
      <w:tr>
        <w:tblPrEx>
          <w:tblCellMar>
            <w:top w:w="0" w:type="dxa"/>
            <w:left w:w="108" w:type="dxa"/>
            <w:bottom w:w="0" w:type="dxa"/>
            <w:right w:w="108" w:type="dxa"/>
          </w:tblCellMar>
        </w:tblPrEx>
        <w:trPr>
          <w:trHeight w:val="266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报价部分</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报价</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报价</w:t>
            </w:r>
          </w:p>
        </w:tc>
        <w:tc>
          <w:tcPr>
            <w:tcW w:w="8080" w:type="dxa"/>
            <w:tcBorders>
              <w:top w:val="nil"/>
              <w:left w:val="nil"/>
              <w:bottom w:val="single" w:color="auto" w:sz="4" w:space="0"/>
              <w:right w:val="single" w:color="auto" w:sz="4" w:space="0"/>
            </w:tcBorders>
            <w:vAlign w:val="center"/>
          </w:tcPr>
          <w:p>
            <w:pPr>
              <w:autoSpaceDE w:val="0"/>
              <w:autoSpaceDN w:val="0"/>
              <w:adjustRightInd w:val="0"/>
              <w:spacing w:before="120"/>
              <w:rPr>
                <w:rFonts w:ascii="仿宋_GB2312" w:hAnsi="宋体" w:eastAsia="仿宋_GB2312" w:cs="宋体"/>
                <w:kern w:val="0"/>
                <w:sz w:val="24"/>
              </w:rPr>
            </w:pPr>
            <w:r>
              <w:rPr>
                <w:rFonts w:hint="eastAsia" w:ascii="仿宋_GB2312" w:hAnsi="宋体" w:eastAsia="仿宋_GB2312" w:cs="宋体"/>
                <w:kern w:val="0"/>
                <w:sz w:val="24"/>
              </w:rPr>
              <w:t>1、按满足招标文件要求且根据采购人核定的采购基准价设定评分标准，投标报价对应评分标准获得相应得分，满分10分。</w:t>
            </w:r>
          </w:p>
          <w:p>
            <w:pPr>
              <w:autoSpaceDE w:val="0"/>
              <w:autoSpaceDN w:val="0"/>
              <w:adjustRightInd w:val="0"/>
              <w:spacing w:before="120"/>
              <w:rPr>
                <w:rFonts w:ascii="仿宋_GB2312" w:hAnsi="宋体" w:eastAsia="仿宋_GB2312" w:cs="宋体"/>
                <w:kern w:val="0"/>
                <w:sz w:val="24"/>
              </w:rPr>
            </w:pPr>
            <w:r>
              <w:rPr>
                <w:rFonts w:hint="eastAsia" w:ascii="仿宋_GB2312" w:hAnsi="宋体" w:eastAsia="仿宋_GB2312" w:cs="宋体"/>
                <w:kern w:val="0"/>
                <w:sz w:val="24"/>
              </w:rPr>
              <w:t>2、投标报价评定标准（投标报价分保留2位小数，第3位四舍五入）</w:t>
            </w:r>
          </w:p>
          <w:p>
            <w:pPr>
              <w:autoSpaceDE w:val="0"/>
              <w:autoSpaceDN w:val="0"/>
              <w:adjustRightInd w:val="0"/>
              <w:spacing w:before="120"/>
              <w:rPr>
                <w:rFonts w:ascii="仿宋_GB2312" w:hAnsi="宋体" w:eastAsia="仿宋_GB2312" w:cs="宋体"/>
                <w:kern w:val="0"/>
                <w:sz w:val="24"/>
              </w:rPr>
            </w:pPr>
            <w:r>
              <w:rPr>
                <w:rFonts w:hint="eastAsia" w:ascii="仿宋_GB2312" w:hAnsi="宋体" w:eastAsia="仿宋_GB2312" w:cs="宋体"/>
                <w:kern w:val="0"/>
                <w:sz w:val="24"/>
              </w:rPr>
              <w:t>（1）基准价为所有有效标中的最低价。以下投标人的投标报价均指投标报价中大写的投标总价。</w:t>
            </w:r>
          </w:p>
          <w:p>
            <w:pPr>
              <w:autoSpaceDE w:val="0"/>
              <w:autoSpaceDN w:val="0"/>
              <w:adjustRightInd w:val="0"/>
              <w:spacing w:before="120"/>
              <w:rPr>
                <w:rFonts w:ascii="仿宋_GB2312" w:hAnsi="宋体" w:eastAsia="仿宋_GB2312" w:cs="宋体"/>
                <w:kern w:val="0"/>
                <w:sz w:val="24"/>
              </w:rPr>
            </w:pPr>
            <w:r>
              <w:rPr>
                <w:rFonts w:hint="eastAsia" w:ascii="仿宋_GB2312" w:hAnsi="宋体" w:eastAsia="仿宋_GB2312" w:cs="宋体"/>
                <w:kern w:val="0"/>
                <w:sz w:val="24"/>
              </w:rPr>
              <w:t>（2）投标人的投标报价等于基准价的得满分（10分）。</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（3）投标报价在基准价以上：投标报价得分=(基准价／投标报价)×价格权值10%×100。</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r>
              <w:rPr>
                <w:rFonts w:hint="eastAsia" w:ascii="仿宋_GB2312" w:hAnsi="宋体"/>
                <w:kern w:val="0"/>
                <w:sz w:val="24"/>
              </w:rPr>
              <w:t>10分</w:t>
            </w:r>
          </w:p>
        </w:tc>
      </w:tr>
      <w:tr>
        <w:tblPrEx>
          <w:tblCellMar>
            <w:top w:w="0" w:type="dxa"/>
            <w:left w:w="108" w:type="dxa"/>
            <w:bottom w:w="0" w:type="dxa"/>
            <w:right w:w="108" w:type="dxa"/>
          </w:tblCellMar>
        </w:tblPrEx>
        <w:trPr>
          <w:trHeight w:val="547"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商务技术部分</w:t>
            </w:r>
          </w:p>
        </w:tc>
        <w:tc>
          <w:tcPr>
            <w:tcW w:w="567"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850"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业绩证明</w:t>
            </w:r>
          </w:p>
        </w:tc>
        <w:tc>
          <w:tcPr>
            <w:tcW w:w="709"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2</w:t>
            </w:r>
          </w:p>
        </w:tc>
        <w:tc>
          <w:tcPr>
            <w:tcW w:w="992"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证书</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投标人通过ISO质量管理体系认证、环境管理体系认证、职业健康安全管理体系认证的，得1分，缺一不得分。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699"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3</w:t>
            </w:r>
          </w:p>
        </w:tc>
        <w:tc>
          <w:tcPr>
            <w:tcW w:w="992"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合同及相关业绩</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近五年内具有相关城市道路保洁（不含农村及社区道路保洁）、绿化、市政道路养护等综合养护业绩一个及以上，综合养护合同业绩（提供1份得2分，每增加一份加1分）；若无，则同时提供保洁、绿化、亮化、市政道路养护业绩各一个及以上，每提供1份（含保洁、绿化、亮化、市政道路养护，缺少任何一项业绩均不得分）得2分，每增加一份加1分。（本项最高得4分，相同业绩不可重复使用）</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0-4分</w:t>
            </w:r>
          </w:p>
        </w:tc>
      </w:tr>
      <w:tr>
        <w:tblPrEx>
          <w:tblCellMar>
            <w:top w:w="0" w:type="dxa"/>
            <w:left w:w="108" w:type="dxa"/>
            <w:bottom w:w="0" w:type="dxa"/>
            <w:right w:w="108" w:type="dxa"/>
          </w:tblCellMar>
        </w:tblPrEx>
        <w:trPr>
          <w:trHeight w:val="59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19</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服务能力</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4</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场所要求</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具有大型车辆、设备停放场所1处：场地满足城市快速应急保障直线距离东站8公里范围内，提供自有或租赁协议，提供得1分，没有不得分。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346"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5</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管理委员会及行业主管部门要求，在项目范围内建立固定办公场所1处（中标后三个月内）。提供设计方案（意向场地效果图），最贴合实际、美观有新意的得1分；未提供或方案设计一般、美观度一般的不得分。承诺三个月内施工完毕的，再得1分。（本项最高得2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1274"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6</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管理委员会及行业主管部门要求，在枢纽四环范围内，设置机械设备和小型车辆停放及应急物资存放场所2处，单个面积不少于200平方（中标后三个月内）。提供设计方案（意向场地效果图），最贴合实际、美观有新意的得1分；未提供或方案设计一般、美观度一般的不得分。承诺三个月内施工完毕的，再得1分。（本项最高得2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1392"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7</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管理委员会及行业主管部门要求，在枢纽四环范围内，承诺中标后三个月内建立绿化培育场地一处（面积大于100平方米），且方案贴合实际，可操作性得1分；承诺中标后三个月内，东站站体范围内建立便民服务点一处，提供设计方案，贴合实际、美观得1分。（本项最高得2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91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8</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行业主管部门要求，中标后三个月内完成管辖范围内5处城管驿站建设（车站东西两边各两处，二层平台东北角一处），现有东宁路驿站将取消，增设花园兜仓库驿站一处，每处不少于30平方米。在承诺建设驿站场所的基础上提供布置方案（意向场地效果图），缺一不得分。(本项最高得5分,有一处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0-5分</w:t>
            </w:r>
          </w:p>
        </w:tc>
      </w:tr>
      <w:tr>
        <w:tblPrEx>
          <w:tblCellMar>
            <w:top w:w="0" w:type="dxa"/>
            <w:left w:w="108" w:type="dxa"/>
            <w:bottom w:w="0" w:type="dxa"/>
            <w:right w:w="108" w:type="dxa"/>
          </w:tblCellMar>
        </w:tblPrEx>
        <w:trPr>
          <w:trHeight w:val="550" w:hRule="atLeast"/>
        </w:trPr>
        <w:tc>
          <w:tcPr>
            <w:tcW w:w="8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管理用房方案及施工</w:t>
            </w:r>
          </w:p>
        </w:tc>
        <w:tc>
          <w:tcPr>
            <w:tcW w:w="808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经采购人认可中标后三个月内完成王家井天桥电梯下管理用房建设（15㎡左右），管理用房要求使用不锈钢建设。提供建设方案（效果图），最贴合实际、美观有新意的得1分；未提供或方案设计一般、美观度一般的不得分。承诺三个月内施工完毕的，再得1分。（本项最高得2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550" w:hRule="atLeast"/>
        </w:trPr>
        <w:tc>
          <w:tcPr>
            <w:tcW w:w="8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仓库改造方案及施工</w:t>
            </w:r>
          </w:p>
        </w:tc>
        <w:tc>
          <w:tcPr>
            <w:tcW w:w="808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经采购人认可中标后三个月内完成对现有花园兜下匝道一处应急仓库的提升改造，内部包含驿站一处。提供改造方案（效果图），最贴合实际、美观有新意的得1分；未提供或方案设计一般、美观度一般的不得分。承诺三个月内施工完毕的，得1分。（本项最高得2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48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11</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垃圾分类集置</w:t>
            </w:r>
            <w:r>
              <w:rPr>
                <w:rFonts w:hint="eastAsia" w:ascii="仿宋_GB2312" w:hAnsi="宋体" w:eastAsia="仿宋_GB2312" w:cs="宋体"/>
                <w:color w:val="auto"/>
                <w:kern w:val="0"/>
                <w:sz w:val="24"/>
                <w:lang w:val="en-US" w:eastAsia="zh-CN"/>
              </w:rPr>
              <w:t>点</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经采购人认可中标后三个月内完成建设</w:t>
            </w:r>
            <w:r>
              <w:rPr>
                <w:rFonts w:hint="eastAsia" w:ascii="仿宋_GB2312" w:hAnsi="宋体" w:eastAsia="仿宋_GB2312" w:cs="宋体"/>
                <w:color w:val="auto"/>
                <w:kern w:val="0"/>
                <w:sz w:val="24"/>
                <w:lang w:val="en-US" w:eastAsia="zh-CN"/>
              </w:rPr>
              <w:t>一处</w:t>
            </w:r>
            <w:r>
              <w:rPr>
                <w:rFonts w:hint="eastAsia" w:ascii="仿宋_GB2312" w:hAnsi="宋体" w:eastAsia="仿宋_GB2312" w:cs="宋体"/>
                <w:color w:val="auto"/>
                <w:kern w:val="0"/>
                <w:sz w:val="24"/>
              </w:rPr>
              <w:t>东站垃圾分类集置</w:t>
            </w:r>
            <w:r>
              <w:rPr>
                <w:rFonts w:hint="eastAsia" w:ascii="仿宋_GB2312" w:hAnsi="宋体" w:eastAsia="仿宋_GB2312" w:cs="宋体"/>
                <w:color w:val="auto"/>
                <w:kern w:val="0"/>
                <w:sz w:val="24"/>
                <w:lang w:val="en-US" w:eastAsia="zh-CN"/>
              </w:rPr>
              <w:t>点</w:t>
            </w:r>
            <w:r>
              <w:rPr>
                <w:rFonts w:hint="eastAsia" w:ascii="仿宋_GB2312" w:hAnsi="宋体" w:eastAsia="仿宋_GB2312" w:cs="宋体"/>
                <w:color w:val="auto"/>
                <w:kern w:val="0"/>
                <w:sz w:val="24"/>
              </w:rPr>
              <w:t>（位于环站南路东宁路交叉口西南侧），面积不小于</w:t>
            </w:r>
            <w:r>
              <w:rPr>
                <w:rFonts w:hint="eastAsia" w:ascii="仿宋_GB2312" w:hAnsi="宋体" w:eastAsia="仿宋_GB2312" w:cs="宋体"/>
                <w:color w:val="auto"/>
                <w:kern w:val="0"/>
                <w:sz w:val="24"/>
                <w:lang w:val="en-US" w:eastAsia="zh-CN"/>
              </w:rPr>
              <w:t>15</w:t>
            </w:r>
            <w:r>
              <w:rPr>
                <w:rFonts w:hint="eastAsia" w:ascii="仿宋_GB2312" w:hAnsi="宋体" w:eastAsia="仿宋_GB2312" w:cs="宋体"/>
                <w:color w:val="auto"/>
                <w:kern w:val="0"/>
                <w:sz w:val="24"/>
              </w:rPr>
              <w:t>0平方米，</w:t>
            </w:r>
            <w:r>
              <w:rPr>
                <w:rFonts w:hint="eastAsia" w:ascii="仿宋_GB2312" w:hAnsi="宋体" w:eastAsia="仿宋_GB2312" w:cs="宋体"/>
                <w:color w:val="auto"/>
                <w:kern w:val="0"/>
                <w:sz w:val="24"/>
                <w:lang w:val="en-US" w:eastAsia="zh-CN"/>
              </w:rPr>
              <w:t>具备</w:t>
            </w:r>
            <w:r>
              <w:rPr>
                <w:rFonts w:hint="eastAsia" w:ascii="仿宋_GB2312" w:hAnsi="宋体" w:eastAsia="仿宋_GB2312" w:cs="宋体"/>
                <w:color w:val="auto"/>
                <w:kern w:val="0"/>
                <w:sz w:val="24"/>
              </w:rPr>
              <w:t>垃圾分拣、可回收物</w:t>
            </w:r>
            <w:r>
              <w:rPr>
                <w:rFonts w:hint="eastAsia" w:ascii="仿宋_GB2312" w:hAnsi="宋体" w:eastAsia="仿宋_GB2312" w:cs="宋体"/>
                <w:color w:val="auto"/>
                <w:kern w:val="0"/>
                <w:sz w:val="24"/>
                <w:lang w:val="en-US" w:eastAsia="zh-CN"/>
              </w:rPr>
              <w:t>分拣处置</w:t>
            </w:r>
            <w:r>
              <w:rPr>
                <w:rFonts w:hint="eastAsia" w:ascii="仿宋_GB2312" w:hAnsi="宋体" w:eastAsia="仿宋_GB2312" w:cs="宋体"/>
                <w:color w:val="auto"/>
                <w:kern w:val="0"/>
                <w:sz w:val="24"/>
              </w:rPr>
              <w:t>、</w:t>
            </w:r>
            <w:r>
              <w:rPr>
                <w:rFonts w:hint="eastAsia" w:ascii="仿宋_GB2312" w:hAnsi="宋体" w:eastAsia="仿宋_GB2312" w:cs="宋体"/>
                <w:color w:val="auto"/>
                <w:kern w:val="0"/>
                <w:sz w:val="24"/>
                <w:lang w:val="en-US" w:eastAsia="zh-CN"/>
              </w:rPr>
              <w:t>桶身清洗</w:t>
            </w:r>
            <w:r>
              <w:rPr>
                <w:rFonts w:hint="eastAsia" w:ascii="仿宋_GB2312" w:hAnsi="宋体" w:eastAsia="仿宋_GB2312" w:cs="宋体"/>
                <w:color w:val="auto"/>
                <w:kern w:val="0"/>
                <w:sz w:val="24"/>
                <w:lang w:eastAsia="zh-CN"/>
              </w:rPr>
              <w:t>、</w:t>
            </w:r>
            <w:r>
              <w:rPr>
                <w:rFonts w:hint="eastAsia" w:ascii="仿宋_GB2312" w:hAnsi="宋体" w:eastAsia="仿宋_GB2312" w:cs="宋体"/>
                <w:color w:val="auto"/>
                <w:kern w:val="0"/>
                <w:sz w:val="24"/>
                <w:lang w:val="en-US" w:eastAsia="zh-CN"/>
              </w:rPr>
              <w:t>污水合规排放</w:t>
            </w:r>
            <w:r>
              <w:rPr>
                <w:rFonts w:hint="eastAsia" w:ascii="仿宋_GB2312" w:hAnsi="宋体" w:eastAsia="仿宋_GB2312" w:cs="宋体"/>
                <w:color w:val="auto"/>
                <w:kern w:val="0"/>
                <w:sz w:val="24"/>
              </w:rPr>
              <w:t>等</w:t>
            </w:r>
            <w:r>
              <w:rPr>
                <w:rFonts w:hint="eastAsia" w:ascii="仿宋_GB2312" w:hAnsi="宋体" w:eastAsia="仿宋_GB2312" w:cs="宋体"/>
                <w:color w:val="auto"/>
                <w:kern w:val="0"/>
                <w:sz w:val="24"/>
                <w:lang w:val="en-US" w:eastAsia="zh-CN"/>
              </w:rPr>
              <w:t>功能</w:t>
            </w:r>
            <w:r>
              <w:rPr>
                <w:rFonts w:hint="eastAsia" w:ascii="仿宋_GB2312" w:hAnsi="宋体" w:eastAsia="仿宋_GB2312" w:cs="宋体"/>
                <w:color w:val="auto"/>
                <w:kern w:val="0"/>
                <w:sz w:val="24"/>
              </w:rPr>
              <w:t>，并落实专人做好日常管理。提供贴合实际、美观有新意</w:t>
            </w:r>
            <w:r>
              <w:rPr>
                <w:rFonts w:hint="eastAsia" w:ascii="仿宋_GB2312" w:hAnsi="宋体" w:eastAsia="仿宋_GB2312" w:cs="宋体"/>
                <w:color w:val="auto"/>
                <w:kern w:val="0"/>
                <w:sz w:val="24"/>
                <w:lang w:val="en-US" w:eastAsia="zh-CN"/>
              </w:rPr>
              <w:t>的</w:t>
            </w:r>
            <w:r>
              <w:rPr>
                <w:rFonts w:hint="eastAsia" w:ascii="仿宋_GB2312" w:hAnsi="宋体" w:eastAsia="仿宋_GB2312" w:cs="宋体"/>
                <w:color w:val="auto"/>
                <w:kern w:val="0"/>
                <w:sz w:val="24"/>
              </w:rPr>
              <w:t>可行性方案的得1分；未提供或方案设计一般、美观度一般的不得分。承诺三个月内施工完毕的，再得1分。（本项最高得</w:t>
            </w:r>
            <w:r>
              <w:rPr>
                <w:rFonts w:hint="eastAsia" w:ascii="仿宋_GB2312" w:hAnsi="宋体" w:eastAsia="仿宋_GB2312" w:cs="宋体"/>
                <w:color w:val="auto"/>
                <w:kern w:val="0"/>
                <w:sz w:val="24"/>
                <w:lang w:val="en-US" w:eastAsia="zh-CN"/>
              </w:rPr>
              <w:t>2</w:t>
            </w:r>
            <w:r>
              <w:rPr>
                <w:rFonts w:hint="eastAsia" w:ascii="仿宋_GB2312" w:hAnsi="宋体" w:eastAsia="仿宋_GB2312" w:cs="宋体"/>
                <w:color w:val="auto"/>
                <w:kern w:val="0"/>
                <w:sz w:val="24"/>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color w:val="auto"/>
                <w:kern w:val="0"/>
                <w:sz w:val="24"/>
              </w:rPr>
            </w:pPr>
            <w:r>
              <w:rPr>
                <w:rFonts w:hint="eastAsia" w:ascii="仿宋_GB2312" w:hAnsi="宋体"/>
                <w:color w:val="auto"/>
                <w:kern w:val="0"/>
                <w:sz w:val="24"/>
              </w:rPr>
              <w:t>0-</w:t>
            </w:r>
            <w:r>
              <w:rPr>
                <w:rFonts w:hint="eastAsia" w:ascii="仿宋_GB2312" w:hAnsi="宋体"/>
                <w:color w:val="auto"/>
                <w:kern w:val="0"/>
                <w:sz w:val="24"/>
                <w:lang w:val="en-US" w:eastAsia="zh-CN"/>
              </w:rPr>
              <w:t>2</w:t>
            </w:r>
            <w:r>
              <w:rPr>
                <w:rFonts w:hint="eastAsia" w:ascii="仿宋_GB2312" w:hAnsi="宋体"/>
                <w:color w:val="auto"/>
                <w:kern w:val="0"/>
                <w:sz w:val="24"/>
              </w:rPr>
              <w:t>分</w:t>
            </w:r>
          </w:p>
        </w:tc>
      </w:tr>
      <w:tr>
        <w:tblPrEx>
          <w:tblCellMar>
            <w:top w:w="0" w:type="dxa"/>
            <w:left w:w="108" w:type="dxa"/>
            <w:bottom w:w="0" w:type="dxa"/>
            <w:right w:w="108" w:type="dxa"/>
          </w:tblCellMar>
        </w:tblPrEx>
        <w:trPr>
          <w:trHeight w:val="1261"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12</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匝道花箱日常养护方案</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匝道花箱日常养护计划方案（含四季常绿植株、抗腐蚀抗暴晒材质花箱、智能化滴灌系统及相关土建配套设施），保证一年三季开花。提供养护方案，方案计划周全、可操作性强、景观效果佳的得1分；未提供或方案一般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eastAsia="仿宋_GB2312" w:cs="宋体"/>
                <w:kern w:val="0"/>
                <w:sz w:val="24"/>
              </w:rPr>
              <w:t>0-1分</w:t>
            </w:r>
          </w:p>
        </w:tc>
      </w:tr>
      <w:tr>
        <w:tblPrEx>
          <w:tblCellMar>
            <w:top w:w="0" w:type="dxa"/>
            <w:left w:w="108" w:type="dxa"/>
            <w:bottom w:w="0" w:type="dxa"/>
            <w:right w:w="108" w:type="dxa"/>
          </w:tblCellMar>
        </w:tblPrEx>
        <w:trPr>
          <w:trHeight w:val="342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拟派人员</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13</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项目经理</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拟担任本项目专职项目总负责人，担任期间不得兼任其他项目（提供未在其他单位任职或即将转岗至该项目的说明、按时到岗承诺书等相关证明），具备中级工程师及以上职称，年龄45周岁以下，大专及以上学历，具备5年及以上公建类或交通枢纽项目管理工作经验。</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满足上述条件的基础上，拥有本科及以上学历的得1分；年龄40周岁以下的得1分；拥有7年及以上公建类或类似交通枢纽项目管理工作经验的得2分；担任过类似交通枢纽项目负责人的得2分；担任过合同价2000万（含）以上3000万（不含）以下的项目负责人的得1分，3000万（含）以上的得2分。(需提供拟指派项目总负责人的职称资质证书、毕业证书、提供累计达5年以上的相关工作证明材料、服务单位开具的证明材料和截至投标时间不少于2年的本单位社保缴纳证明、有相关业绩的提供合同复印件或相关证明，开标原件备查，缺一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0-8分</w:t>
            </w:r>
          </w:p>
        </w:tc>
      </w:tr>
      <w:tr>
        <w:tblPrEx>
          <w:tblCellMar>
            <w:top w:w="0" w:type="dxa"/>
            <w:left w:w="108" w:type="dxa"/>
            <w:bottom w:w="0" w:type="dxa"/>
            <w:right w:w="108" w:type="dxa"/>
          </w:tblCellMar>
        </w:tblPrEx>
        <w:trPr>
          <w:trHeight w:val="346"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14-15</w:t>
            </w:r>
          </w:p>
        </w:tc>
        <w:tc>
          <w:tcPr>
            <w:tcW w:w="992"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人员能力/技术</w:t>
            </w:r>
          </w:p>
        </w:tc>
        <w:tc>
          <w:tcPr>
            <w:tcW w:w="8080" w:type="dxa"/>
            <w:tcBorders>
              <w:top w:val="nil"/>
              <w:left w:val="nil"/>
              <w:bottom w:val="single" w:color="auto" w:sz="4" w:space="0"/>
              <w:right w:val="single" w:color="auto" w:sz="4" w:space="0"/>
            </w:tcBorders>
            <w:vAlign w:val="center"/>
          </w:tcPr>
          <w:p>
            <w:pPr>
              <w:pStyle w:val="2"/>
              <w:ind w:firstLine="480"/>
            </w:pPr>
            <w:r>
              <w:rPr>
                <w:rFonts w:hint="eastAsia" w:ascii="仿宋_GB2312" w:hAnsi="宋体" w:eastAsia="仿宋_GB2312" w:cs="宋体"/>
                <w:kern w:val="0"/>
                <w:sz w:val="24"/>
              </w:rPr>
              <w:t>拟担任本项目专职安全员1名，年龄45周岁以下，大专及以上学历，具有安全员证书以及安全生产考核合格证书（C证）。（提供相关证书、毕业证书、本单位1年以上社保证明复印件或证明，缺一不得分。）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eastAsia="仿宋_GB2312" w:cs="宋体"/>
                <w:kern w:val="0"/>
                <w:sz w:val="24"/>
              </w:rPr>
              <w:t>0-1分</w:t>
            </w:r>
          </w:p>
        </w:tc>
      </w:tr>
      <w:tr>
        <w:tblPrEx>
          <w:tblCellMar>
            <w:top w:w="0" w:type="dxa"/>
            <w:left w:w="108" w:type="dxa"/>
            <w:bottom w:w="0" w:type="dxa"/>
            <w:right w:w="108" w:type="dxa"/>
          </w:tblCellMar>
        </w:tblPrEx>
        <w:trPr>
          <w:trHeight w:val="618"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投入本项目6名工作人员，其中2名负责内勤，2名巡查工作，2名垃圾分类督导员：年龄在35周岁以下，中专及以上学历，能从事一线工作，具有相关经验。一个职位不可兼任，全职驻东站工作 。</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满足基本要求的基础下，承诺再增加一名人员得2分；内勤具有大专及以上学历且具有3年以上相关工作经验的得1分，垃圾分类督导员中2名人员均具有3年及以上垃圾分类相关工作经验的得1分。（提供毕业证书、劳动合同复印件、本单位缴纳1年以上社保记录，缺一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0-4分</w:t>
            </w:r>
          </w:p>
        </w:tc>
      </w:tr>
      <w:tr>
        <w:tblPrEx>
          <w:tblCellMar>
            <w:top w:w="0" w:type="dxa"/>
            <w:left w:w="108" w:type="dxa"/>
            <w:bottom w:w="0" w:type="dxa"/>
            <w:right w:w="108" w:type="dxa"/>
          </w:tblCellMar>
        </w:tblPrEx>
        <w:trPr>
          <w:trHeight w:val="2099"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投入本项目的道路保洁、道路绿化、市政道路、亮化长效养护项目主管各1名（共4名）基本要求：年龄45周岁以下，大专及以上学历，具有3年及以上相关城市管理经验。一个职位不可兼任，专用本项目，全职驻东站工作 。在满足基本要求的基础上，拟担任的项目主管中拥有5年及以上城市管理工作经验的每有一名得0.5分；具有中级及以上相关证书的每有一名得0.5分，本项最高得4分，不提供不得分。(提供累计达3年以上的相关工作证明材料、相关证书复印件、毕业证书复印件、劳动合同复印件，本单位一年以上社保记录，缺一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0-4分</w:t>
            </w:r>
          </w:p>
        </w:tc>
      </w:tr>
      <w:tr>
        <w:tblPrEx>
          <w:tblCellMar>
            <w:top w:w="0" w:type="dxa"/>
            <w:left w:w="108" w:type="dxa"/>
            <w:bottom w:w="0" w:type="dxa"/>
            <w:right w:w="108" w:type="dxa"/>
          </w:tblCellMar>
        </w:tblPrEx>
        <w:trPr>
          <w:trHeight w:val="1117"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道路保洁、道路绿化、市政道路、亮化长效养护各班组设监管巡查人员各2名（共8名），基本要求：年龄在45周岁以下，具有环卫、绿化、市政等3年及以上相关工作经验。一个职位不可兼任，专用本项目，全职驻东站工作 。</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满足基本要求的基础上，每有2名拥有5年及以上城市管理工作经验的得0.5分；每有2名拥有初级及以上证书者得0.5分，本项最高得4分，不提供不得分。(提供累计达3年以上的相关工作证明材料、相关证书复印件、毕业证书复印件、劳动合同复印件，本单位一年以上社保记录，缺一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0-4分</w:t>
            </w:r>
          </w:p>
        </w:tc>
      </w:tr>
      <w:tr>
        <w:tblPrEx>
          <w:tblCellMar>
            <w:top w:w="0" w:type="dxa"/>
            <w:left w:w="108" w:type="dxa"/>
            <w:bottom w:w="0" w:type="dxa"/>
            <w:right w:w="108" w:type="dxa"/>
          </w:tblCellMar>
        </w:tblPrEx>
        <w:trPr>
          <w:trHeight w:val="126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道路保洁班组、市政道路养护班组、雨水管网班组、道路绿化班组、亮化长效养护班组各项安排符合招标文件要求，人员数量充足，人员数量安排合理、分工明确，配置合理，设备充足得1分。未提供综合养护人员配置计划的，作业人员安排数量不符合招标方作业人员安排数量的该项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317"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16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应急保障</w:t>
            </w:r>
          </w:p>
        </w:tc>
        <w:tc>
          <w:tcPr>
            <w:tcW w:w="8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组建一支专业性强的应急队伍（不少于30名，年龄45周岁以下），按标书要求能快速、高效应急各类突发事件。基本要求：人员涉及各养护条线，具有各条线应急培训证明、相关技术操作证等，配置物资机械齐全。</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在满足上述条件基础上，达到1/3以上人员居住在距东站2km内得1分，达到1/2以上人员拥有初级以上操作证得1分。（提供居住证明(户口本或能体现地址的租房协议)、本单位社保缴纳证明三个月及以上，固定人员名单、物资设备清单、相关证书，缺一不得分）</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应急保障车辆：投标人具有特殊应急保障车（如防撞缓冲车或其他同功能应急车辆)，自有得2分，租赁得1分。（自有以发票、购销合同或车辆行驶证为准）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0-4分</w:t>
            </w:r>
          </w:p>
        </w:tc>
      </w:tr>
      <w:tr>
        <w:tblPrEx>
          <w:tblCellMar>
            <w:top w:w="0" w:type="dxa"/>
            <w:left w:w="108" w:type="dxa"/>
            <w:bottom w:w="0" w:type="dxa"/>
            <w:right w:w="108" w:type="dxa"/>
          </w:tblCellMar>
        </w:tblPrEx>
        <w:trPr>
          <w:trHeight w:val="91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color w:val="auto"/>
                <w:kern w:val="0"/>
                <w:sz w:val="24"/>
              </w:rPr>
              <w:t>1</w:t>
            </w:r>
            <w:r>
              <w:rPr>
                <w:rFonts w:hint="eastAsia" w:ascii="仿宋_GB2312" w:hAnsi="宋体" w:eastAsia="仿宋_GB2312" w:cs="宋体"/>
                <w:color w:val="auto"/>
                <w:kern w:val="0"/>
                <w:sz w:val="24"/>
                <w:lang w:val="en-US" w:eastAsia="zh-CN"/>
              </w:rPr>
              <w:t>1</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演示</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17</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方案演示</w:t>
            </w:r>
          </w:p>
        </w:tc>
        <w:tc>
          <w:tcPr>
            <w:tcW w:w="8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对项目中</w:t>
            </w:r>
            <w:r>
              <w:rPr>
                <w:rFonts w:hint="eastAsia" w:ascii="仿宋_GB2312" w:hAnsi="宋体" w:eastAsia="仿宋_GB2312" w:cs="宋体"/>
                <w:b w:val="0"/>
                <w:bCs w:val="0"/>
                <w:color w:val="auto"/>
                <w:kern w:val="0"/>
                <w:sz w:val="24"/>
                <w:lang w:eastAsia="zh-CN"/>
              </w:rPr>
              <w:t>三</w:t>
            </w:r>
            <w:r>
              <w:rPr>
                <w:rFonts w:hint="eastAsia" w:ascii="仿宋_GB2312" w:hAnsi="宋体" w:eastAsia="仿宋_GB2312" w:cs="宋体"/>
                <w:b w:val="0"/>
                <w:bCs w:val="0"/>
                <w:color w:val="auto"/>
                <w:kern w:val="0"/>
                <w:sz w:val="24"/>
              </w:rPr>
              <w:t>个方案（1.智慧“综合监管+管养”平台方案；2.亚运期间综合保障方案（包含且不仅限于人员保障方案、突发事件应急响应方案、高温期间机械化作业方案、迎亚运专项培训方案等）；3.城管驿站建设方案。）</w:t>
            </w:r>
            <w:r>
              <w:rPr>
                <w:rFonts w:hint="eastAsia" w:ascii="仿宋_GB2312" w:hAnsi="宋体" w:eastAsia="仿宋_GB2312" w:cs="宋体"/>
                <w:b w:val="0"/>
                <w:bCs w:val="0"/>
                <w:color w:val="auto"/>
                <w:kern w:val="0"/>
                <w:sz w:val="24"/>
                <w:lang w:val="en-US" w:eastAsia="zh-CN"/>
              </w:rPr>
              <w:t xml:space="preserve">                                                                                                                                                                                                                                                                                                                                                                                                              </w:t>
            </w:r>
            <w:r>
              <w:rPr>
                <w:rFonts w:hint="eastAsia" w:ascii="仿宋_GB2312" w:hAnsi="宋体" w:eastAsia="仿宋_GB2312" w:cs="宋体"/>
                <w:b w:val="0"/>
                <w:bCs w:val="0"/>
                <w:color w:val="auto"/>
                <w:kern w:val="0"/>
                <w:sz w:val="24"/>
              </w:rPr>
              <w:t>进行ppt演示、讲解。讲解过程流畅，每个子方案细致完整、逻辑清晰、操作性强的各得</w:t>
            </w:r>
            <w:r>
              <w:rPr>
                <w:rFonts w:hint="eastAsia" w:ascii="仿宋_GB2312" w:hAnsi="宋体" w:eastAsia="仿宋_GB2312" w:cs="宋体"/>
                <w:b w:val="0"/>
                <w:bCs w:val="0"/>
                <w:color w:val="auto"/>
                <w:kern w:val="0"/>
                <w:sz w:val="24"/>
                <w:lang w:val="en-US" w:eastAsia="zh-CN"/>
              </w:rPr>
              <w:t>3</w:t>
            </w:r>
            <w:r>
              <w:rPr>
                <w:rFonts w:hint="eastAsia" w:ascii="仿宋_GB2312" w:hAnsi="宋体" w:eastAsia="仿宋_GB2312" w:cs="宋体"/>
                <w:b w:val="0"/>
                <w:bCs w:val="0"/>
                <w:color w:val="auto"/>
                <w:kern w:val="0"/>
                <w:sz w:val="24"/>
              </w:rPr>
              <w:t>分，讲解过程不够流畅，子方案较为可行的得</w:t>
            </w:r>
            <w:r>
              <w:rPr>
                <w:rFonts w:hint="eastAsia" w:ascii="仿宋_GB2312" w:hAnsi="宋体" w:eastAsia="仿宋_GB2312" w:cs="宋体"/>
                <w:b w:val="0"/>
                <w:bCs w:val="0"/>
                <w:color w:val="auto"/>
                <w:kern w:val="0"/>
                <w:sz w:val="24"/>
                <w:lang w:val="en-US" w:eastAsia="zh-CN"/>
              </w:rPr>
              <w:t>1</w:t>
            </w:r>
            <w:r>
              <w:rPr>
                <w:rFonts w:hint="eastAsia" w:ascii="仿宋_GB2312" w:hAnsi="宋体" w:eastAsia="仿宋_GB2312" w:cs="宋体"/>
                <w:b w:val="0"/>
                <w:bCs w:val="0"/>
                <w:color w:val="auto"/>
                <w:kern w:val="0"/>
                <w:sz w:val="24"/>
              </w:rPr>
              <w:t>分；无法顺利完成讲解或者方案不具有可操作性的，该子方案不得分。最高</w:t>
            </w:r>
            <w:r>
              <w:rPr>
                <w:rFonts w:hint="eastAsia" w:ascii="仿宋_GB2312" w:hAnsi="宋体" w:eastAsia="仿宋_GB2312" w:cs="宋体"/>
                <w:b w:val="0"/>
                <w:bCs w:val="0"/>
                <w:color w:val="auto"/>
                <w:kern w:val="0"/>
                <w:sz w:val="24"/>
                <w:lang w:eastAsia="zh-CN"/>
              </w:rPr>
              <w:t>得</w:t>
            </w:r>
            <w:r>
              <w:rPr>
                <w:rFonts w:hint="eastAsia" w:ascii="仿宋_GB2312" w:hAnsi="宋体" w:eastAsia="仿宋_GB2312" w:cs="宋体"/>
                <w:b w:val="0"/>
                <w:bCs w:val="0"/>
                <w:color w:val="auto"/>
                <w:kern w:val="0"/>
                <w:sz w:val="24"/>
                <w:lang w:val="en-US" w:eastAsia="zh-CN"/>
              </w:rPr>
              <w:t>9</w:t>
            </w:r>
            <w:r>
              <w:rPr>
                <w:rFonts w:hint="eastAsia" w:ascii="仿宋_GB2312" w:hAnsi="宋体" w:eastAsia="仿宋_GB2312" w:cs="宋体"/>
                <w:b w:val="0"/>
                <w:bCs w:val="0"/>
                <w:color w:val="auto"/>
                <w:kern w:val="0"/>
                <w:sz w:val="24"/>
              </w:rPr>
              <w:t>分</w:t>
            </w:r>
            <w:r>
              <w:rPr>
                <w:rFonts w:hint="eastAsia" w:ascii="仿宋_GB2312" w:hAnsi="宋体" w:eastAsia="仿宋_GB2312" w:cs="宋体"/>
                <w:b w:val="0"/>
                <w:bCs w:val="0"/>
                <w:color w:val="auto"/>
                <w:kern w:val="0"/>
                <w:sz w:val="24"/>
                <w:lang w:eastAsia="zh-CN"/>
              </w:rPr>
              <w:t>。</w:t>
            </w:r>
            <w:r>
              <w:rPr>
                <w:rFonts w:hint="eastAsia" w:ascii="仿宋_GB2312" w:hAnsi="宋体" w:eastAsia="仿宋_GB2312" w:cs="宋体"/>
                <w:b w:val="0"/>
                <w:bCs w:val="0"/>
                <w:color w:val="auto"/>
                <w:kern w:val="0"/>
                <w:sz w:val="24"/>
              </w:rPr>
              <w:t>若由投标单位</w:t>
            </w:r>
            <w:r>
              <w:rPr>
                <w:rFonts w:hint="eastAsia" w:ascii="仿宋_GB2312" w:hAnsi="宋体" w:eastAsia="仿宋_GB2312" w:cs="宋体"/>
                <w:b w:val="0"/>
                <w:bCs w:val="0"/>
                <w:color w:val="auto"/>
                <w:kern w:val="0"/>
                <w:sz w:val="24"/>
                <w:lang w:eastAsia="zh-CN"/>
              </w:rPr>
              <w:t>项目总负责人</w:t>
            </w:r>
            <w:r>
              <w:rPr>
                <w:rFonts w:hint="eastAsia" w:ascii="仿宋_GB2312" w:hAnsi="宋体" w:eastAsia="仿宋_GB2312" w:cs="宋体"/>
                <w:b w:val="0"/>
                <w:bCs w:val="0"/>
                <w:color w:val="auto"/>
                <w:kern w:val="0"/>
                <w:sz w:val="24"/>
              </w:rPr>
              <w:t>讲标得</w:t>
            </w:r>
            <w:r>
              <w:rPr>
                <w:rFonts w:hint="eastAsia" w:ascii="仿宋_GB2312" w:hAnsi="宋体" w:eastAsia="仿宋_GB2312" w:cs="宋体"/>
                <w:b w:val="0"/>
                <w:bCs w:val="0"/>
                <w:color w:val="auto"/>
                <w:kern w:val="0"/>
                <w:sz w:val="24"/>
                <w:lang w:val="en-US" w:eastAsia="zh-CN"/>
              </w:rPr>
              <w:t>1</w:t>
            </w:r>
            <w:r>
              <w:rPr>
                <w:rFonts w:hint="eastAsia" w:ascii="仿宋_GB2312" w:hAnsi="宋体" w:eastAsia="仿宋_GB2312" w:cs="宋体"/>
                <w:b w:val="0"/>
                <w:bCs w:val="0"/>
                <w:color w:val="auto"/>
                <w:kern w:val="0"/>
                <w:sz w:val="24"/>
              </w:rPr>
              <w:t>分</w:t>
            </w:r>
            <w:r>
              <w:rPr>
                <w:rFonts w:hint="eastAsia" w:ascii="仿宋_GB2312" w:hAnsi="宋体" w:eastAsia="仿宋_GB2312" w:cs="宋体"/>
                <w:b w:val="0"/>
                <w:bCs w:val="0"/>
                <w:color w:val="auto"/>
                <w:kern w:val="0"/>
                <w:sz w:val="24"/>
                <w:lang w:eastAsia="zh-CN"/>
              </w:rPr>
              <w:t>；</w:t>
            </w:r>
            <w:r>
              <w:rPr>
                <w:rFonts w:hint="eastAsia" w:ascii="仿宋_GB2312" w:hAnsi="宋体" w:eastAsia="仿宋_GB2312" w:cs="宋体"/>
                <w:b w:val="0"/>
                <w:bCs w:val="0"/>
                <w:color w:val="auto"/>
                <w:kern w:val="0"/>
                <w:sz w:val="24"/>
              </w:rPr>
              <w:t>若由投标单位法人</w:t>
            </w:r>
            <w:r>
              <w:rPr>
                <w:rFonts w:hint="eastAsia" w:ascii="仿宋_GB2312" w:hAnsi="宋体" w:eastAsia="仿宋_GB2312" w:cs="宋体"/>
                <w:b w:val="0"/>
                <w:bCs w:val="0"/>
                <w:color w:val="auto"/>
                <w:kern w:val="0"/>
                <w:sz w:val="24"/>
                <w:lang w:eastAsia="zh-CN"/>
              </w:rPr>
              <w:t>代表</w:t>
            </w:r>
            <w:r>
              <w:rPr>
                <w:rFonts w:hint="eastAsia" w:ascii="仿宋_GB2312" w:hAnsi="宋体" w:eastAsia="仿宋_GB2312" w:cs="宋体"/>
                <w:b w:val="0"/>
                <w:bCs w:val="0"/>
                <w:color w:val="auto"/>
                <w:kern w:val="0"/>
                <w:sz w:val="24"/>
              </w:rPr>
              <w:t>讲标得2分</w:t>
            </w:r>
            <w:r>
              <w:rPr>
                <w:rFonts w:hint="eastAsia" w:ascii="仿宋_GB2312" w:hAnsi="宋体" w:eastAsia="仿宋_GB2312" w:cs="宋体"/>
                <w:b w:val="0"/>
                <w:bCs w:val="0"/>
                <w:color w:val="auto"/>
                <w:kern w:val="0"/>
                <w:sz w:val="24"/>
                <w:lang w:eastAsia="zh-CN"/>
              </w:rPr>
              <w:t>，最高得</w:t>
            </w:r>
            <w:r>
              <w:rPr>
                <w:rFonts w:hint="eastAsia" w:ascii="仿宋_GB2312" w:hAnsi="宋体" w:eastAsia="仿宋_GB2312" w:cs="宋体"/>
                <w:b w:val="0"/>
                <w:bCs w:val="0"/>
                <w:color w:val="auto"/>
                <w:kern w:val="0"/>
                <w:sz w:val="24"/>
                <w:lang w:val="en-US" w:eastAsia="zh-CN"/>
              </w:rPr>
              <w:t>2分</w:t>
            </w:r>
            <w:r>
              <w:rPr>
                <w:rFonts w:hint="eastAsia" w:ascii="仿宋_GB2312" w:hAnsi="宋体" w:eastAsia="仿宋_GB2312" w:cs="宋体"/>
                <w:b w:val="0"/>
                <w:bCs w:val="0"/>
                <w:color w:val="auto"/>
                <w:kern w:val="0"/>
                <w:sz w:val="24"/>
              </w:rPr>
              <w:t>。（本项最高1</w:t>
            </w:r>
            <w:r>
              <w:rPr>
                <w:rFonts w:hint="eastAsia" w:ascii="仿宋_GB2312" w:hAnsi="宋体" w:eastAsia="仿宋_GB2312" w:cs="宋体"/>
                <w:b w:val="0"/>
                <w:bCs w:val="0"/>
                <w:color w:val="auto"/>
                <w:kern w:val="0"/>
                <w:sz w:val="24"/>
                <w:lang w:val="en-US" w:eastAsia="zh-CN"/>
              </w:rPr>
              <w:t>1</w:t>
            </w:r>
            <w:r>
              <w:rPr>
                <w:rFonts w:hint="eastAsia" w:ascii="仿宋_GB2312" w:hAnsi="宋体" w:eastAsia="仿宋_GB2312" w:cs="宋体"/>
                <w:b w:val="0"/>
                <w:bCs w:val="0"/>
                <w:color w:val="auto"/>
                <w:kern w:val="0"/>
                <w:sz w:val="24"/>
              </w:rPr>
              <w:t>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0-1</w:t>
            </w:r>
            <w:r>
              <w:rPr>
                <w:rFonts w:hint="eastAsia" w:ascii="仿宋_GB2312" w:hAnsi="宋体" w:eastAsia="仿宋_GB2312" w:cs="宋体"/>
                <w:b w:val="0"/>
                <w:bCs w:val="0"/>
                <w:color w:val="auto"/>
                <w:kern w:val="0"/>
                <w:sz w:val="24"/>
                <w:lang w:val="en-US" w:eastAsia="zh-CN"/>
              </w:rPr>
              <w:t>1</w:t>
            </w:r>
            <w:r>
              <w:rPr>
                <w:rFonts w:hint="eastAsia" w:ascii="仿宋_GB2312" w:hAnsi="宋体" w:eastAsia="仿宋_GB2312" w:cs="宋体"/>
                <w:b w:val="0"/>
                <w:bCs w:val="0"/>
                <w:color w:val="auto"/>
                <w:kern w:val="0"/>
                <w:sz w:val="24"/>
              </w:rPr>
              <w:t>分</w:t>
            </w:r>
          </w:p>
        </w:tc>
      </w:tr>
      <w:tr>
        <w:tblPrEx>
          <w:tblCellMar>
            <w:top w:w="0" w:type="dxa"/>
            <w:left w:w="108" w:type="dxa"/>
            <w:bottom w:w="0" w:type="dxa"/>
            <w:right w:w="108" w:type="dxa"/>
          </w:tblCellMar>
        </w:tblPrEx>
        <w:trPr>
          <w:trHeight w:val="24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850"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配套设备</w:t>
            </w:r>
          </w:p>
        </w:tc>
        <w:tc>
          <w:tcPr>
            <w:tcW w:w="709"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18</w:t>
            </w:r>
          </w:p>
        </w:tc>
        <w:tc>
          <w:tcPr>
            <w:tcW w:w="992"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设备要求</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根据招标文件设备要求清单全部提供设备，如设备均为自有设备得2分，有租赁设备得1分。（自有以发票、购销合同或车辆行驶证为准，租赁以租赁合同为准）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24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850"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09" w:type="dxa"/>
            <w:vMerge w:val="continue"/>
            <w:tcBorders>
              <w:left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992"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本项目中新能源或清洁能源车辆不低于环卫车辆总数的30%，后期如有新增或更新的环卫作业车辆必须全部为新能源或清洁能源车。提供承诺书（法人签字加盖公章）得1分。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60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在满足招标文件设备要求基础上，增加适用东站项目的新型作业设备，每增加一辆得1分，最高得2分；机扫、洒水车、压缩车等大型车辆替换为新能源车或清洁能源车，每替换1辆得1分，最高得2分。（自有以发票、购销合同或车辆行驶证为准，租赁以租赁合同为准。）（注：所涉及设备为租赁的，对应分数减半计算。）</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0-4分</w:t>
            </w:r>
          </w:p>
        </w:tc>
      </w:tr>
      <w:tr>
        <w:tblPrEx>
          <w:tblCellMar>
            <w:top w:w="0" w:type="dxa"/>
            <w:left w:w="108" w:type="dxa"/>
            <w:bottom w:w="0" w:type="dxa"/>
            <w:right w:w="108" w:type="dxa"/>
          </w:tblCellMar>
        </w:tblPrEx>
        <w:trPr>
          <w:trHeight w:val="787"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垃圾分类</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19</w:t>
            </w:r>
          </w:p>
        </w:tc>
        <w:tc>
          <w:tcPr>
            <w:tcW w:w="99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日常工作要求</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建设智能垃圾投放宣传点不少于两处，提供设计布置方案（效果图），最贴合实际美观大方的得1分，一般的不得分；提供采购人任务下达三个月内到货并实施完毕的承诺书的得1分，未提供不得分。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346"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承诺建立再生资源可回收体系：要求与东站枢纽垃圾分类相关单位签订再生资源回收合作协议，实现东站枢纽辖区可回收物应收尽收、日产日清。承诺回收价格均比指导价（上城区清道夫回收网点价格）高10%的得2分。（提供承诺书，中标后纳入考核，承诺报价将运用到实际操作中）</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60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提供一年一场大型垃圾分类活动现场活动或大型会议（包含舞台搭建、主持人及布景等所有内容），布置方案具有可操作性、宣传力度强的得1分，一般不得分；能提供本单位曾承办相关垃圾分类现场活动的相关方案、素材等证明，再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378"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850" w:type="dxa"/>
            <w:vMerge w:val="restart"/>
            <w:tcBorders>
              <w:top w:val="nil"/>
              <w:left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企业管理</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20</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管理制度</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制定一套完整的企业管理制度，包括但不限于财务管理制度、员工管理考核制度、安全生产制度等，制度合理且具有可操作性的1分（上述三个制度内容缺一不得分）；制定一套符合东站实际现状的薪酬奖惩制度，激励员工工作积极性，方案具有可操作性、符合实际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378"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850"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21</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员工权益</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落实《杭州市人民政府办公厅关于进一步解决环卫工人实际困难保障其合法权益的意见》（杭政办〔2008〕14号）情况。</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(1)提供企业全部环卫工人花名册，签订规范的员工劳动合同，完善的员工档案，每项得1分，共3分（提供人员的劳动合同关键页的复印件加盖公章，未能提供不得分）；</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(2)提供企业全部环卫职工社会保险落实情况的有效凭证，凭证显示缴纳率达100%的得1分，达不到100%的得0分（提供人员的社保证明的复印件加盖公章，未能提供不得分）；</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(3)提供企业全部环卫职工住房公积金落实情况的有效凭证。凭证显示缴纳率达100%的得1分，达不到100%的得0分。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0-5分</w:t>
            </w:r>
          </w:p>
        </w:tc>
      </w:tr>
      <w:tr>
        <w:tblPrEx>
          <w:tblCellMar>
            <w:top w:w="0" w:type="dxa"/>
            <w:left w:w="108" w:type="dxa"/>
            <w:bottom w:w="0" w:type="dxa"/>
            <w:right w:w="108" w:type="dxa"/>
          </w:tblCellMar>
        </w:tblPrEx>
        <w:trPr>
          <w:trHeight w:val="84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养护方案</w:t>
            </w:r>
          </w:p>
        </w:tc>
        <w:tc>
          <w:tcPr>
            <w:tcW w:w="709" w:type="dxa"/>
            <w:vMerge w:val="restart"/>
            <w:tcBorders>
              <w:top w:val="nil"/>
              <w:left w:val="nil"/>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22</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道路市政养护方案</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道路市政养护方案（包括但不限于沥青路面、人行道平侧石、桥梁及附属设施、检查井、管网、路牌、标志标线恢复,道路大中修及翻新等市政道路设施养护方案）及道路市政养护考核方案（包括但不限于内部管理制度、考核监督制度、安全管理制等），方案科学合理、具有针对性及可操作性的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438"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nil"/>
              <w:right w:val="single" w:color="auto" w:sz="4" w:space="0"/>
            </w:tcBorders>
            <w:vAlign w:val="center"/>
          </w:tcPr>
          <w:p>
            <w:pPr>
              <w:widowControl/>
              <w:jc w:val="center"/>
              <w:rPr>
                <w:rFonts w:ascii="仿宋_GB2312" w:hAnsi="宋体" w:eastAsia="仿宋_GB2312" w:cs="宋体"/>
                <w:b/>
                <w:bCs/>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绿化养护方案</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针对本项目提供绿化养护方案，包括全年绿化养护及管理工作计划，方案科学合理、具有针对性及可操作性的得1分。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27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nil"/>
              <w:right w:val="single" w:color="auto" w:sz="4" w:space="0"/>
            </w:tcBorders>
            <w:vAlign w:val="center"/>
          </w:tcPr>
          <w:p>
            <w:pPr>
              <w:widowControl/>
              <w:jc w:val="center"/>
              <w:rPr>
                <w:rFonts w:ascii="仿宋_GB2312" w:hAnsi="宋体" w:eastAsia="仿宋_GB2312" w:cs="宋体"/>
                <w:b/>
                <w:bCs/>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道路保洁方案</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针对本项目提供道路保洁方案，包括但不限于道路、广场、公厕、绿化带等的保洁养护方案及日常管理考核奖惩实施方案，方案科学合理、具有针对性及可操作性的得1分。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41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亮化养护方案</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针对本项目提供亮化养护方案，包括全年亮化养护及管理工作计划，方案科学合理、具有针对性及可操作性的得1分。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0-1分</w:t>
            </w:r>
          </w:p>
        </w:tc>
      </w:tr>
      <w:tr>
        <w:tblPrEx>
          <w:tblCellMar>
            <w:top w:w="0" w:type="dxa"/>
            <w:left w:w="108" w:type="dxa"/>
            <w:bottom w:w="0" w:type="dxa"/>
            <w:right w:w="108" w:type="dxa"/>
          </w:tblCellMar>
        </w:tblPrEx>
        <w:trPr>
          <w:trHeight w:val="1462"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23</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综合养护方案</w:t>
            </w:r>
          </w:p>
        </w:tc>
        <w:tc>
          <w:tcPr>
            <w:tcW w:w="8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综合养护方案是否针对各类养护问题需采用不同的养护维修工艺或处理方法，是否有全面、健全、稳定、成熟可行的方案及优化建议方案，综合养护措施能否突出重点，如突破传统运作模式，养护管理、作业方案是否有创新。管理制度、措施完善、质量管理体系完善，制定内部考核制度，有专门的组织机构负责对本项目进行质量监管，针对养护制定具体的质量管理考核细则。根据方案酌情打分，方案全面、成熟的，重点突出且有创新的得2分，方案较全面、较成熟，重点较突出得1分，提供方案，但不全面、不成熟、重点不突出的不得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0-2分</w:t>
            </w:r>
          </w:p>
        </w:tc>
      </w:tr>
      <w:tr>
        <w:tblPrEx>
          <w:tblCellMar>
            <w:top w:w="0" w:type="dxa"/>
            <w:left w:w="108" w:type="dxa"/>
            <w:bottom w:w="0" w:type="dxa"/>
            <w:right w:w="108" w:type="dxa"/>
          </w:tblCellMar>
        </w:tblPrEx>
        <w:trPr>
          <w:trHeight w:val="1186"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服务承诺</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24</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承诺</w:t>
            </w:r>
          </w:p>
        </w:tc>
        <w:tc>
          <w:tcPr>
            <w:tcW w:w="8080" w:type="dxa"/>
            <w:tcBorders>
              <w:top w:val="nil"/>
              <w:left w:val="nil"/>
              <w:bottom w:val="single" w:color="auto" w:sz="4" w:space="0"/>
              <w:right w:val="single" w:color="auto" w:sz="4" w:space="0"/>
            </w:tcBorders>
            <w:vAlign w:val="center"/>
          </w:tcPr>
          <w:p>
            <w:pPr>
              <w:widowControl/>
              <w:adjustRightInd w:val="0"/>
              <w:snapToGrid w:val="0"/>
              <w:ind w:firstLine="480" w:firstLineChars="200"/>
              <w:rPr>
                <w:rFonts w:ascii="仿宋_GB2312" w:hAnsi="宋体" w:eastAsia="仿宋_GB2312" w:cs="宋体"/>
                <w:kern w:val="0"/>
                <w:sz w:val="24"/>
              </w:rPr>
            </w:pPr>
            <w:r>
              <w:rPr>
                <w:rFonts w:hint="eastAsia" w:ascii="仿宋_GB2312" w:hAnsi="宋体" w:eastAsia="仿宋_GB2312" w:cs="宋体"/>
                <w:kern w:val="0"/>
                <w:sz w:val="24"/>
              </w:rPr>
              <w:t>针对本项目实际情况，承诺</w:t>
            </w:r>
            <w:r>
              <w:rPr>
                <w:rFonts w:hint="eastAsia" w:ascii="仿宋_GB2312" w:hAnsi="仿宋_GB2312" w:eastAsia="仿宋_GB2312" w:cs="仿宋_GB2312"/>
                <w:sz w:val="24"/>
              </w:rPr>
              <w:t>试点一条道路（道路由甲方指定，约50个树圈）做彩色沥青树圈美化，得1分；承诺改造东站范围内积水点不少于3处及改造广场排水沟（约40米），得1分 ；承诺</w:t>
            </w:r>
            <w:r>
              <w:rPr>
                <w:rFonts w:hint="eastAsia" w:ascii="仿宋_GB2312" w:hAnsi="宋体" w:eastAsia="仿宋_GB2312" w:cs="宋体"/>
                <w:kern w:val="0"/>
                <w:sz w:val="24"/>
              </w:rPr>
              <w:t>提供</w:t>
            </w:r>
            <w:r>
              <w:rPr>
                <w:rFonts w:hint="eastAsia" w:ascii="仿宋_GB2312" w:hAnsi="仿宋_GB2312" w:eastAsia="仿宋_GB2312" w:cs="仿宋_GB2312"/>
                <w:sz w:val="24"/>
              </w:rPr>
              <w:t>额外</w:t>
            </w:r>
            <w:r>
              <w:rPr>
                <w:rFonts w:hint="eastAsia" w:ascii="仿宋_GB2312" w:hAnsi="宋体" w:eastAsia="仿宋_GB2312" w:cs="宋体"/>
                <w:kern w:val="0"/>
                <w:sz w:val="24"/>
              </w:rPr>
              <w:t>其他贴合本标段实际的优惠措施的得1分。</w:t>
            </w:r>
          </w:p>
        </w:tc>
        <w:tc>
          <w:tcPr>
            <w:tcW w:w="1134" w:type="dxa"/>
            <w:tcBorders>
              <w:top w:val="nil"/>
              <w:left w:val="nil"/>
              <w:bottom w:val="single" w:color="auto" w:sz="4" w:space="0"/>
              <w:right w:val="single" w:color="auto" w:sz="4" w:space="0"/>
            </w:tcBorders>
            <w:vAlign w:val="center"/>
          </w:tcPr>
          <w:p>
            <w:pPr>
              <w:widowControl/>
              <w:jc w:val="center"/>
              <w:rPr>
                <w:rFonts w:ascii="仿宋_GB2312" w:hAnsi="宋体"/>
                <w:kern w:val="0"/>
                <w:sz w:val="24"/>
              </w:rPr>
            </w:pPr>
            <w:r>
              <w:rPr>
                <w:rFonts w:hint="eastAsia" w:ascii="仿宋_GB2312" w:hAnsi="宋体"/>
                <w:kern w:val="0"/>
                <w:sz w:val="24"/>
              </w:rPr>
              <w:t>0-3分</w:t>
            </w:r>
          </w:p>
        </w:tc>
      </w:tr>
    </w:tbl>
    <w:p>
      <w:pPr>
        <w:pStyle w:val="2"/>
        <w:ind w:firstLine="0" w:firstLineChars="0"/>
      </w:pPr>
    </w:p>
    <w:p>
      <w:pPr>
        <w:pStyle w:val="3"/>
        <w:spacing w:before="0" w:after="0" w:line="500" w:lineRule="exact"/>
        <w:jc w:val="center"/>
        <w:rPr>
          <w:rFonts w:ascii="华文中宋" w:hAnsi="华文中宋" w:eastAsia="华文中宋"/>
          <w:sz w:val="36"/>
          <w:szCs w:val="36"/>
        </w:rPr>
      </w:pPr>
      <w:r>
        <w:br w:type="page"/>
      </w:r>
      <w:bookmarkStart w:id="34" w:name="_Toc25781"/>
      <w:bookmarkStart w:id="35" w:name="_Toc27753"/>
      <w:r>
        <w:rPr>
          <w:rFonts w:hint="eastAsia" w:ascii="华文中宋" w:hAnsi="华文中宋" w:eastAsia="华文中宋"/>
          <w:sz w:val="36"/>
          <w:szCs w:val="36"/>
        </w:rPr>
        <w:t>第四部分 关键信息</w:t>
      </w:r>
      <w:bookmarkEnd w:id="34"/>
      <w:bookmarkEnd w:id="35"/>
    </w:p>
    <w:p>
      <w:pPr>
        <w:spacing w:after="120" w:afterLines="50" w:line="500" w:lineRule="exact"/>
        <w:rPr>
          <w:rFonts w:ascii="仿宋_GB2312" w:hAnsi="仿宋_GB2312" w:eastAsia="仿宋_GB2312" w:cs="仿宋_GB2312"/>
          <w:b/>
          <w:sz w:val="24"/>
        </w:rPr>
      </w:pPr>
      <w:r>
        <w:rPr>
          <w:rFonts w:hint="eastAsia" w:ascii="仿宋_GB2312" w:hAnsi="仿宋" w:eastAsia="仿宋_GB2312"/>
          <w:b/>
          <w:bCs/>
          <w:sz w:val="24"/>
        </w:rPr>
        <w:t>1.</w:t>
      </w:r>
      <w:r>
        <w:rPr>
          <w:rFonts w:hint="eastAsia" w:ascii="仿宋_GB2312" w:hAnsi="仿宋_GB2312" w:eastAsia="仿宋_GB2312" w:cs="仿宋_GB2312"/>
          <w:b/>
          <w:sz w:val="24"/>
        </w:rPr>
        <w:t>资格审查</w:t>
      </w:r>
    </w:p>
    <w:tbl>
      <w:tblPr>
        <w:tblStyle w:val="41"/>
        <w:tblW w:w="13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54"/>
        <w:gridCol w:w="2693"/>
        <w:gridCol w:w="723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pStyle w:val="2"/>
              <w:spacing w:before="100" w:beforeAutospacing="1" w:after="100" w:afterAutospacing="1"/>
              <w:ind w:firstLine="0" w:firstLineChars="0"/>
              <w:jc w:val="center"/>
              <w:rPr>
                <w:rFonts w:ascii="仿宋_GB2312" w:hAnsi="宋体" w:eastAsia="仿宋_GB2312" w:cs="宋体"/>
                <w:kern w:val="0"/>
                <w:sz w:val="24"/>
              </w:rPr>
            </w:pPr>
            <w:r>
              <w:rPr>
                <w:rFonts w:hint="eastAsia" w:ascii="仿宋_GB2312" w:hAnsi="宋体" w:eastAsia="仿宋_GB2312" w:cs="宋体"/>
                <w:b/>
                <w:bCs/>
                <w:kern w:val="0"/>
                <w:sz w:val="24"/>
              </w:rPr>
              <w:t>序号</w:t>
            </w:r>
          </w:p>
        </w:tc>
        <w:tc>
          <w:tcPr>
            <w:tcW w:w="1754"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资格要求</w:t>
            </w:r>
          </w:p>
        </w:tc>
        <w:tc>
          <w:tcPr>
            <w:tcW w:w="2693"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审查内容</w:t>
            </w:r>
          </w:p>
        </w:tc>
        <w:tc>
          <w:tcPr>
            <w:tcW w:w="7230"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审查材料</w:t>
            </w:r>
          </w:p>
        </w:tc>
        <w:tc>
          <w:tcPr>
            <w:tcW w:w="1493"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75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符合《中华人民共和国政府采购法》第二十二条规定</w:t>
            </w:r>
          </w:p>
        </w:tc>
        <w:tc>
          <w:tcPr>
            <w:tcW w:w="2693"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具有独立承担民事责任的能力</w:t>
            </w: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营业执照(或事业单位法人证书或其他工商等登记证明材料)复印件（投标人为自然人的，提供自然人的身份证明）、税务登记证复印件、社保登记证复印件；实施“多证合一、一照一码”登记制度改革的，只需提供改革后取得的营业执照复印件。</w:t>
            </w:r>
          </w:p>
        </w:tc>
        <w:tc>
          <w:tcPr>
            <w:tcW w:w="1493" w:type="dxa"/>
            <w:vMerge w:val="restart"/>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6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693"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93" w:type="dxa"/>
            <w:vMerge w:val="continue"/>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693"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授权委托书或法人资格证明（适用于法定代表人前来投标），若为联合体投标，还需提供联合体协议。</w:t>
            </w:r>
          </w:p>
        </w:tc>
        <w:tc>
          <w:tcPr>
            <w:tcW w:w="1493" w:type="dxa"/>
            <w:vMerge w:val="continue"/>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具有良好的商业信誉和健全的财务会计制度</w:t>
            </w: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具有良好的商业信誉和健全的财务会计制度的承诺函。</w:t>
            </w:r>
          </w:p>
        </w:tc>
        <w:tc>
          <w:tcPr>
            <w:tcW w:w="1493"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有依法缴纳税收和社会保障资金的良好记录</w:t>
            </w: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依法缴纳税收和社会保障资金的承诺函。</w:t>
            </w:r>
          </w:p>
        </w:tc>
        <w:tc>
          <w:tcPr>
            <w:tcW w:w="1493"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具有履行合同所必需的设备和专业技术能力</w:t>
            </w: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具有履行合同所必需的设备和专业技术能力的承诺函。</w:t>
            </w:r>
          </w:p>
        </w:tc>
        <w:tc>
          <w:tcPr>
            <w:tcW w:w="1493"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参加政府采购活动前三年内，在经营活动中没有重大违法记录</w:t>
            </w:r>
          </w:p>
        </w:tc>
        <w:tc>
          <w:tcPr>
            <w:tcW w:w="7230" w:type="dxa"/>
            <w:vAlign w:val="center"/>
          </w:tcPr>
          <w:p>
            <w:pPr>
              <w:pStyle w:val="2"/>
              <w:spacing w:before="100" w:beforeAutospacing="1" w:after="100" w:afterAutospacing="1"/>
              <w:ind w:firstLine="0" w:firstLineChars="0"/>
              <w:rPr>
                <w:rFonts w:ascii="仿宋_GB2312" w:hAnsi="仿宋" w:eastAsia="仿宋_GB2312" w:cs="仿宋"/>
                <w:kern w:val="0"/>
                <w:sz w:val="24"/>
              </w:rPr>
            </w:pPr>
            <w:bookmarkStart w:id="36" w:name="_Toc15532"/>
            <w:bookmarkStart w:id="37" w:name="_Toc7970"/>
            <w:bookmarkStart w:id="38" w:name="_Toc9193"/>
            <w:r>
              <w:rPr>
                <w:rFonts w:hint="eastAsia" w:ascii="仿宋_GB2312" w:hAnsi="仿宋" w:eastAsia="仿宋_GB2312" w:cs="仿宋"/>
                <w:kern w:val="0"/>
                <w:sz w:val="24"/>
              </w:rPr>
              <w:t>参加政府采购活动前三年内，在经营活动中没有重大违法记录的书面声明</w:t>
            </w:r>
            <w:bookmarkEnd w:id="36"/>
            <w:bookmarkEnd w:id="37"/>
            <w:bookmarkEnd w:id="38"/>
            <w:r>
              <w:rPr>
                <w:rFonts w:hint="eastAsia" w:ascii="仿宋_GB2312" w:hAnsi="仿宋" w:eastAsia="仿宋_GB2312" w:cs="仿宋"/>
                <w:kern w:val="0"/>
                <w:sz w:val="24"/>
              </w:rPr>
              <w:t>。</w:t>
            </w:r>
          </w:p>
        </w:tc>
        <w:tc>
          <w:tcPr>
            <w:tcW w:w="1493"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法律、行政法规规定的其他条件</w:t>
            </w: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如有。</w:t>
            </w:r>
          </w:p>
        </w:tc>
        <w:tc>
          <w:tcPr>
            <w:tcW w:w="1493"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75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特定资格要求</w:t>
            </w:r>
          </w:p>
        </w:tc>
        <w:tc>
          <w:tcPr>
            <w:tcW w:w="2693"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特定资格</w:t>
            </w:r>
          </w:p>
        </w:tc>
        <w:tc>
          <w:tcPr>
            <w:tcW w:w="7230"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宋体" w:eastAsia="仿宋_GB2312" w:cs="宋体"/>
                <w:kern w:val="0"/>
                <w:sz w:val="24"/>
                <w:lang w:val="zh-CN"/>
              </w:rPr>
              <w:t>市政公用工程施工总承包三级（含）以上资质证书。</w:t>
            </w:r>
          </w:p>
        </w:tc>
        <w:tc>
          <w:tcPr>
            <w:tcW w:w="1493" w:type="dxa"/>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bl>
    <w:p>
      <w:pPr>
        <w:spacing w:after="120" w:afterLines="50" w:line="500" w:lineRule="exact"/>
        <w:rPr>
          <w:rFonts w:ascii="仿宋_GB2312" w:hAnsi="仿宋" w:eastAsia="仿宋_GB2312"/>
          <w:b/>
          <w:bCs/>
          <w:sz w:val="24"/>
        </w:rPr>
        <w:sectPr>
          <w:pgSz w:w="16838" w:h="11906" w:orient="landscape"/>
          <w:pgMar w:top="1588" w:right="2098" w:bottom="1474" w:left="1701" w:header="851" w:footer="992" w:gutter="0"/>
          <w:cols w:space="720" w:num="1"/>
          <w:docGrid w:linePitch="312" w:charSpace="0"/>
        </w:sectPr>
      </w:pPr>
    </w:p>
    <w:p>
      <w:pPr>
        <w:spacing w:line="500" w:lineRule="exact"/>
        <w:rPr>
          <w:rFonts w:ascii="仿宋_GB2312" w:hAnsi="仿宋" w:eastAsia="仿宋_GB2312"/>
          <w:b/>
          <w:bCs/>
          <w:sz w:val="24"/>
        </w:rPr>
      </w:pPr>
      <w:bookmarkStart w:id="39" w:name="_Toc29969"/>
      <w:r>
        <w:rPr>
          <w:rFonts w:hint="eastAsia" w:ascii="仿宋_GB2312" w:hAnsi="仿宋" w:eastAsia="仿宋_GB2312"/>
          <w:b/>
          <w:bCs/>
          <w:sz w:val="24"/>
        </w:rPr>
        <w:t>2.符合性审查</w:t>
      </w:r>
    </w:p>
    <w:tbl>
      <w:tblPr>
        <w:tblStyle w:val="41"/>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410"/>
        <w:gridCol w:w="833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序号</w:t>
            </w:r>
          </w:p>
        </w:tc>
        <w:tc>
          <w:tcPr>
            <w:tcW w:w="2410" w:type="dxa"/>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审查内容</w:t>
            </w:r>
          </w:p>
        </w:tc>
        <w:tc>
          <w:tcPr>
            <w:tcW w:w="8331" w:type="dxa"/>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审查材料</w:t>
            </w:r>
          </w:p>
        </w:tc>
        <w:tc>
          <w:tcPr>
            <w:tcW w:w="2411" w:type="dxa"/>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1</w:t>
            </w:r>
          </w:p>
        </w:tc>
        <w:tc>
          <w:tcPr>
            <w:tcW w:w="2410" w:type="dxa"/>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宋体" w:eastAsia="仿宋_GB2312" w:cs="宋体"/>
                <w:kern w:val="0"/>
                <w:sz w:val="24"/>
              </w:rPr>
              <w:t>投标响应函</w:t>
            </w:r>
          </w:p>
        </w:tc>
        <w:tc>
          <w:tcPr>
            <w:tcW w:w="8331" w:type="dxa"/>
            <w:vAlign w:val="center"/>
          </w:tcPr>
          <w:p>
            <w:pPr>
              <w:spacing w:before="100" w:beforeAutospacing="1" w:after="100" w:afterAutospacing="1"/>
              <w:jc w:val="left"/>
              <w:rPr>
                <w:rFonts w:ascii="仿宋_GB2312" w:hAnsi="仿宋" w:eastAsia="仿宋_GB2312" w:cs="宋体"/>
                <w:b/>
                <w:bCs/>
                <w:kern w:val="0"/>
                <w:sz w:val="24"/>
              </w:rPr>
            </w:pPr>
            <w:r>
              <w:rPr>
                <w:rFonts w:hint="eastAsia" w:ascii="仿宋_GB2312" w:hAnsi="宋体" w:eastAsia="仿宋_GB2312" w:cs="宋体"/>
                <w:kern w:val="0"/>
                <w:sz w:val="24"/>
              </w:rPr>
              <w:t>1.投标响应函是否真实有效，字迹清晰、可辨认。</w:t>
            </w:r>
          </w:p>
        </w:tc>
        <w:tc>
          <w:tcPr>
            <w:tcW w:w="2411" w:type="dxa"/>
            <w:vAlign w:val="center"/>
          </w:tcPr>
          <w:p>
            <w:pPr>
              <w:spacing w:before="100" w:beforeAutospacing="1" w:after="100" w:afterAutospacing="1"/>
              <w:jc w:val="center"/>
              <w:rPr>
                <w:rFonts w:ascii="仿宋_GB2312" w:hAnsi="仿宋"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2</w:t>
            </w:r>
          </w:p>
        </w:tc>
        <w:tc>
          <w:tcPr>
            <w:tcW w:w="2410" w:type="dxa"/>
            <w:vMerge w:val="restart"/>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投标文件的</w:t>
            </w:r>
          </w:p>
          <w:p>
            <w:pPr>
              <w:spacing w:before="100" w:beforeAutospacing="1" w:after="100" w:afterAutospacing="1"/>
              <w:jc w:val="center"/>
              <w:rPr>
                <w:rFonts w:ascii="仿宋_GB2312" w:hAnsi="仿宋" w:eastAsia="仿宋_GB2312" w:cs="宋体"/>
                <w:bCs/>
                <w:kern w:val="0"/>
                <w:sz w:val="24"/>
              </w:rPr>
            </w:pPr>
            <w:r>
              <w:rPr>
                <w:rFonts w:hint="eastAsia" w:ascii="仿宋_GB2312" w:hAnsi="仿宋_GB2312" w:eastAsia="仿宋_GB2312" w:cs="仿宋_GB2312"/>
                <w:bCs/>
                <w:kern w:val="0"/>
                <w:sz w:val="24"/>
              </w:rPr>
              <w:t>有效性、</w:t>
            </w:r>
            <w:r>
              <w:rPr>
                <w:rFonts w:hint="eastAsia" w:ascii="仿宋_GB2312" w:hAnsi="仿宋" w:eastAsia="仿宋_GB2312" w:cs="宋体"/>
                <w:bCs/>
                <w:kern w:val="0"/>
                <w:sz w:val="24"/>
              </w:rPr>
              <w:t>完整性</w:t>
            </w:r>
          </w:p>
        </w:tc>
        <w:tc>
          <w:tcPr>
            <w:tcW w:w="8331" w:type="dxa"/>
            <w:vAlign w:val="center"/>
          </w:tcPr>
          <w:p>
            <w:pPr>
              <w:spacing w:before="100" w:beforeAutospacing="1" w:after="100" w:afterAutospacing="1"/>
              <w:rPr>
                <w:rFonts w:ascii="宋体" w:hAnsi="宋体" w:cs="宋体"/>
                <w:kern w:val="0"/>
                <w:sz w:val="20"/>
              </w:rPr>
            </w:pPr>
            <w:r>
              <w:rPr>
                <w:rFonts w:hint="eastAsia" w:ascii="仿宋_GB2312" w:hAnsi="仿宋" w:eastAsia="仿宋_GB2312" w:cs="宋体"/>
                <w:bCs/>
                <w:kern w:val="0"/>
                <w:sz w:val="24"/>
              </w:rPr>
              <w:t>1.投标文件的数量是否符合招标文件要求。</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2.投标文件是否按照招标文件规定编制。</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3.投标文件的签署、盖章是否符合招标文件要求。</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4.投标文件内容有无缺漏项。</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5.投标文件的关键内容字迹是否清晰、可辨认。</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6.投标文件是否有明显文字和计算错误。</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3</w:t>
            </w:r>
          </w:p>
        </w:tc>
        <w:tc>
          <w:tcPr>
            <w:tcW w:w="2410" w:type="dxa"/>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宋体" w:eastAsia="仿宋_GB2312" w:cs="宋体"/>
                <w:kern w:val="0"/>
                <w:sz w:val="24"/>
              </w:rPr>
              <w:t>履约期限</w:t>
            </w: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1.是否按要求响应履约期限。</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4</w:t>
            </w:r>
          </w:p>
        </w:tc>
        <w:tc>
          <w:tcPr>
            <w:tcW w:w="2410" w:type="dxa"/>
            <w:vMerge w:val="restart"/>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宋体" w:eastAsia="仿宋_GB2312" w:cs="宋体"/>
                <w:kern w:val="0"/>
                <w:sz w:val="24"/>
              </w:rPr>
              <w:t>采购需求响应</w:t>
            </w: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1.是否存在招标文件必要参数（标“</w:t>
            </w:r>
            <w:r>
              <w:rPr>
                <w:rFonts w:hint="eastAsia" w:ascii="仿宋_GB2312" w:hAnsi="仿宋" w:eastAsia="仿宋_GB2312" w:cs="宋体"/>
                <w:bCs/>
                <w:szCs w:val="21"/>
              </w:rPr>
              <w:t>▲</w:t>
            </w:r>
            <w:r>
              <w:rPr>
                <w:rFonts w:hint="eastAsia" w:ascii="仿宋_GB2312" w:hAnsi="仿宋" w:eastAsia="仿宋_GB2312" w:cs="宋体"/>
                <w:bCs/>
                <w:kern w:val="0"/>
                <w:sz w:val="24"/>
              </w:rPr>
              <w:t>”参数）负偏离。</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95"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vAlign w:val="center"/>
          </w:tcPr>
          <w:p>
            <w:pPr>
              <w:spacing w:before="100" w:beforeAutospacing="1" w:after="100" w:afterAutospacing="1"/>
              <w:jc w:val="center"/>
              <w:rPr>
                <w:rFonts w:ascii="仿宋_GB2312" w:hAnsi="仿宋" w:eastAsia="仿宋_GB2312" w:cs="宋体"/>
                <w:bCs/>
                <w:kern w:val="0"/>
                <w:sz w:val="24"/>
              </w:rPr>
            </w:pPr>
          </w:p>
        </w:tc>
        <w:tc>
          <w:tcPr>
            <w:tcW w:w="8331" w:type="dxa"/>
            <w:vAlign w:val="center"/>
          </w:tcPr>
          <w:p>
            <w:pPr>
              <w:spacing w:before="100" w:beforeAutospacing="1" w:after="100" w:afterAutospacing="1"/>
              <w:rPr>
                <w:rFonts w:ascii="仿宋_GB2312" w:hAnsi="宋体" w:eastAsia="仿宋_GB2312" w:cs="宋体"/>
                <w:kern w:val="0"/>
                <w:sz w:val="24"/>
              </w:rPr>
            </w:pPr>
            <w:r>
              <w:rPr>
                <w:rFonts w:hint="eastAsia" w:ascii="仿宋_GB2312" w:hAnsi="宋体" w:eastAsia="仿宋_GB2312" w:cs="宋体"/>
                <w:kern w:val="0"/>
                <w:sz w:val="24"/>
              </w:rPr>
              <w:t>2.投标文件中是否附有采购人不能接受的条件的。</w:t>
            </w:r>
          </w:p>
        </w:tc>
        <w:tc>
          <w:tcPr>
            <w:tcW w:w="2411" w:type="dxa"/>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5</w:t>
            </w:r>
          </w:p>
        </w:tc>
        <w:tc>
          <w:tcPr>
            <w:tcW w:w="2410" w:type="dxa"/>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前置许可资格</w:t>
            </w:r>
          </w:p>
        </w:tc>
        <w:tc>
          <w:tcPr>
            <w:tcW w:w="8331" w:type="dxa"/>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1.对于法律法规规定属于限制经营或需前置性经营许可的行业，需审查营业执照经营范围、前置许可证书。（如有）</w:t>
            </w:r>
          </w:p>
        </w:tc>
        <w:tc>
          <w:tcPr>
            <w:tcW w:w="2411" w:type="dxa"/>
            <w:vAlign w:val="center"/>
          </w:tcPr>
          <w:p>
            <w:pPr>
              <w:spacing w:before="100" w:beforeAutospacing="1" w:after="100" w:afterAutospacing="1"/>
              <w:rPr>
                <w:rFonts w:ascii="仿宋_GB2312" w:hAnsi="仿宋" w:eastAsia="仿宋_GB2312" w:cs="宋体"/>
                <w:bCs/>
                <w:kern w:val="0"/>
                <w:sz w:val="24"/>
              </w:rPr>
            </w:pPr>
          </w:p>
        </w:tc>
      </w:tr>
    </w:tbl>
    <w:p>
      <w:pPr>
        <w:spacing w:after="120" w:afterLines="50" w:line="500" w:lineRule="exact"/>
        <w:rPr>
          <w:rFonts w:ascii="仿宋_GB2312" w:hAnsi="仿宋" w:eastAsia="仿宋_GB2312"/>
          <w:b/>
          <w:bCs/>
          <w:sz w:val="24"/>
        </w:rPr>
      </w:pPr>
      <w:r>
        <w:rPr>
          <w:rFonts w:hint="eastAsia" w:ascii="仿宋_GB2312" w:hAnsi="仿宋" w:eastAsia="仿宋_GB2312"/>
          <w:b/>
          <w:bCs/>
          <w:sz w:val="24"/>
        </w:rPr>
        <w:t>3.无效标条款</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301"/>
        <w:gridCol w:w="793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4"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2410"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类别</w:t>
            </w:r>
          </w:p>
        </w:tc>
        <w:tc>
          <w:tcPr>
            <w:tcW w:w="8363"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无效标内容</w:t>
            </w:r>
          </w:p>
        </w:tc>
        <w:tc>
          <w:tcPr>
            <w:tcW w:w="2358"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2410"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报价部分</w:t>
            </w: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无详细的报价表或其中内容不对的。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投标报价超过招标文件中规定的预算金额或者最高限价的。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投标人在投标报价计算或表达上有错误时，投标人不接受修正后报价的。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宋体"/>
                <w:bCs/>
                <w:kern w:val="0"/>
                <w:sz w:val="24"/>
              </w:rPr>
              <w:t>投标人低于成本报价竞标的。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投标人的报价明显低于其他通过符合性审查投标人的报价，有可能影响产品质量或者不能诚信履约的，未能按要求提供书面说明或者提交相关证明材料，不能证明其报价合理性的。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7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2410"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商务技术部分</w:t>
            </w: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投标文件不响应招标文件的实质性规定、采购需求的实质性内容或其投标内容有重大缺项或者涂改模糊处未作有效修正或者实质性内容表述矛盾歧义，评标委员会不能确认为有效的。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2410"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其他</w:t>
            </w: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未传输递交电子投标文件的。</w:t>
            </w:r>
          </w:p>
        </w:tc>
        <w:tc>
          <w:tcPr>
            <w:tcW w:w="2358" w:type="dxa"/>
            <w:vMerge w:val="restart"/>
            <w:vAlign w:val="center"/>
          </w:tcPr>
          <w:p>
            <w:pPr>
              <w:pStyle w:val="2"/>
              <w:spacing w:before="100" w:beforeAutospacing="1" w:after="100" w:afterAutospacing="1"/>
              <w:ind w:leftChars="-1" w:hanging="2" w:hangingChars="1"/>
              <w:rPr>
                <w:rFonts w:ascii="仿宋_GB2312" w:hAnsi="仿宋_GB2312" w:eastAsia="仿宋_GB2312" w:cs="仿宋_GB2312"/>
                <w:kern w:val="0"/>
                <w:sz w:val="24"/>
              </w:rPr>
            </w:pPr>
            <w:r>
              <w:rPr>
                <w:rFonts w:hint="eastAsia" w:ascii="仿宋_GB2312" w:hAnsi="仿宋" w:eastAsia="仿宋_GB2312" w:cs="仿宋"/>
                <w:kern w:val="0"/>
                <w:sz w:val="24"/>
              </w:rPr>
              <w:t>仅适用于全流程电子化交易项目。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在规定时间内电子投标文件无法解密成功，且未按规定提供相应的备份投标文件，造成项目开评标活动无法进行下去的。</w:t>
            </w:r>
          </w:p>
        </w:tc>
        <w:tc>
          <w:tcPr>
            <w:tcW w:w="2358" w:type="dxa"/>
            <w:vMerge w:val="continue"/>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vAlign w:val="center"/>
          </w:tcPr>
          <w:p>
            <w:pPr>
              <w:tabs>
                <w:tab w:val="left" w:pos="850"/>
              </w:tabs>
              <w:adjustRightInd w:val="0"/>
              <w:spacing w:line="520" w:lineRule="exact"/>
              <w:rPr>
                <w:rFonts w:ascii="仿宋_GB2312" w:hAnsi="宋体" w:eastAsia="仿宋_GB2312" w:cs="宋体"/>
                <w:sz w:val="24"/>
              </w:rPr>
            </w:pPr>
            <w:r>
              <w:rPr>
                <w:rFonts w:hint="eastAsia" w:ascii="仿宋_GB2312" w:hAnsi="宋体" w:eastAsia="仿宋_GB2312" w:cs="宋体"/>
                <w:sz w:val="24"/>
              </w:rPr>
              <w:t>不符合招标文件要求的联合体投标。</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r>
              <w:rPr>
                <w:rFonts w:hint="eastAsia" w:ascii="仿宋_GB2312" w:hAnsi="仿宋" w:eastAsia="仿宋_GB2312" w:cs="仿宋"/>
                <w:kern w:val="0"/>
                <w:sz w:val="24"/>
              </w:rPr>
              <w:t>仅适用于允许联合体投标的项目。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未通过资格审查或符合性审查的。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提供虚假信息谋取中标的。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投标人有恶意串通、妨碍其他投标人的竞争行为、损害采购人或者其他投标人的合法权益情形的。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投标人的投标文件中承诺的投标有效期少于招标文件中载明的投标有效期的。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不符合招标文件规定来源的货物</w:t>
            </w:r>
            <w:r>
              <w:rPr>
                <w:rFonts w:hint="eastAsia" w:ascii="仿宋_GB2312" w:hAnsi="宋体" w:eastAsia="仿宋_GB2312" w:cs="宋体"/>
                <w:kern w:val="0"/>
                <w:sz w:val="24"/>
              </w:rPr>
              <w:t>、工程和服务的。</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宋体" w:eastAsia="仿宋_GB2312" w:cs="宋体"/>
                <w:kern w:val="0"/>
                <w:sz w:val="24"/>
              </w:rPr>
              <w:t>投标人收到采购代理机构的通知后拒绝到场进行答疑或不能在规定的时间内答复评标委员会提出的澄清问题的，其投标有可能因不完整导致不能实质性响应招标文件要求。</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按照相关法律、法规、规章及省级以上规范性文件规定或招标文件中的其他无效标情形。</w:t>
            </w:r>
          </w:p>
        </w:tc>
        <w:tc>
          <w:tcPr>
            <w:tcW w:w="2358" w:type="dxa"/>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bl>
    <w:p>
      <w:pPr>
        <w:spacing w:after="120" w:afterLines="50" w:line="500" w:lineRule="exact"/>
        <w:rPr>
          <w:rFonts w:ascii="仿宋_GB2312" w:hAnsi="仿宋" w:eastAsia="仿宋_GB2312"/>
          <w:b/>
          <w:bCs/>
          <w:sz w:val="24"/>
        </w:rPr>
      </w:pPr>
    </w:p>
    <w:p>
      <w:pPr>
        <w:spacing w:after="120" w:afterLines="50" w:line="500" w:lineRule="exact"/>
        <w:rPr>
          <w:rFonts w:ascii="仿宋_GB2312" w:hAnsi="仿宋" w:eastAsia="仿宋_GB2312"/>
          <w:b/>
          <w:bCs/>
          <w:sz w:val="24"/>
        </w:rPr>
        <w:sectPr>
          <w:pgSz w:w="16838" w:h="11906" w:orient="landscape"/>
          <w:pgMar w:top="1588" w:right="2098" w:bottom="1474" w:left="1701" w:header="851" w:footer="992" w:gutter="0"/>
          <w:cols w:space="720" w:num="1"/>
          <w:docGrid w:linePitch="312" w:charSpace="0"/>
        </w:sectPr>
      </w:pPr>
    </w:p>
    <w:p>
      <w:pPr>
        <w:spacing w:after="120" w:afterLines="50" w:line="500" w:lineRule="exact"/>
        <w:rPr>
          <w:rFonts w:ascii="仿宋_GB2312" w:hAnsi="仿宋" w:eastAsia="仿宋_GB2312"/>
          <w:b/>
          <w:bCs/>
          <w:sz w:val="24"/>
        </w:rPr>
      </w:pPr>
      <w:r>
        <w:rPr>
          <w:rFonts w:hint="eastAsia" w:ascii="仿宋_GB2312" w:hAnsi="仿宋" w:eastAsia="仿宋_GB2312"/>
          <w:b/>
          <w:bCs/>
          <w:sz w:val="24"/>
        </w:rPr>
        <w:t>4.废标条款</w:t>
      </w:r>
    </w:p>
    <w:tbl>
      <w:tblPr>
        <w:tblStyle w:val="4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0773"/>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0773"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废标内容</w:t>
            </w:r>
          </w:p>
        </w:tc>
        <w:tc>
          <w:tcPr>
            <w:tcW w:w="2352" w:type="dxa"/>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1</w:t>
            </w:r>
          </w:p>
        </w:tc>
        <w:tc>
          <w:tcPr>
            <w:tcW w:w="10773" w:type="dxa"/>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符合专业条件的供应商或者对招标文件作实质响应的供应商不足3家的。</w:t>
            </w:r>
          </w:p>
        </w:tc>
        <w:tc>
          <w:tcPr>
            <w:tcW w:w="2352" w:type="dxa"/>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10773" w:type="dxa"/>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出现影响采购公正的违法、违规行为的。</w:t>
            </w:r>
          </w:p>
        </w:tc>
        <w:tc>
          <w:tcPr>
            <w:tcW w:w="2352" w:type="dxa"/>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10773" w:type="dxa"/>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投标人的报价均超过了采购预算，采购人不能支付的。</w:t>
            </w:r>
          </w:p>
        </w:tc>
        <w:tc>
          <w:tcPr>
            <w:tcW w:w="2352" w:type="dxa"/>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10773" w:type="dxa"/>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因重大变故，采购任务取消的。</w:t>
            </w:r>
          </w:p>
        </w:tc>
        <w:tc>
          <w:tcPr>
            <w:tcW w:w="2352" w:type="dxa"/>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bl>
    <w:p>
      <w:pPr>
        <w:widowControl/>
        <w:adjustRightInd w:val="0"/>
        <w:snapToGrid w:val="0"/>
        <w:spacing w:line="500" w:lineRule="exact"/>
        <w:sectPr>
          <w:pgSz w:w="16838" w:h="11906" w:orient="landscape"/>
          <w:pgMar w:top="1588" w:right="2098" w:bottom="1474" w:left="1701" w:header="851" w:footer="992" w:gutter="0"/>
          <w:cols w:space="720" w:num="1"/>
          <w:docGrid w:linePitch="312" w:charSpace="0"/>
        </w:sectPr>
      </w:pPr>
    </w:p>
    <w:p>
      <w:pPr>
        <w:pStyle w:val="3"/>
        <w:spacing w:before="0" w:after="0" w:line="500" w:lineRule="exact"/>
        <w:jc w:val="center"/>
        <w:rPr>
          <w:rFonts w:ascii="华文中宋" w:hAnsi="华文中宋" w:eastAsia="华文中宋"/>
          <w:sz w:val="36"/>
          <w:szCs w:val="36"/>
        </w:rPr>
      </w:pPr>
      <w:bookmarkStart w:id="40" w:name="_Toc13553"/>
      <w:r>
        <w:rPr>
          <w:rFonts w:hint="eastAsia" w:ascii="华文中宋" w:hAnsi="华文中宋" w:eastAsia="华文中宋"/>
          <w:sz w:val="36"/>
          <w:szCs w:val="36"/>
        </w:rPr>
        <w:t>第五部分 投标文件</w:t>
      </w:r>
      <w:bookmarkEnd w:id="39"/>
      <w:bookmarkEnd w:id="40"/>
    </w:p>
    <w:p>
      <w:pPr>
        <w:numPr>
          <w:ilvl w:val="0"/>
          <w:numId w:val="3"/>
        </w:numPr>
        <w:spacing w:line="500" w:lineRule="exact"/>
        <w:ind w:left="284" w:hanging="284"/>
        <w:rPr>
          <w:rFonts w:ascii="仿宋_GB2312" w:hAnsi="仿宋_GB2312" w:eastAsia="仿宋_GB2312" w:cs="仿宋_GB2312"/>
          <w:b/>
          <w:sz w:val="24"/>
        </w:rPr>
      </w:pPr>
      <w:r>
        <w:rPr>
          <w:rFonts w:hint="eastAsia" w:ascii="仿宋_GB2312" w:hAnsi="仿宋_GB2312" w:eastAsia="仿宋_GB2312" w:cs="仿宋_GB2312"/>
          <w:b/>
          <w:sz w:val="24"/>
        </w:rPr>
        <w:t>投标文件的组成</w:t>
      </w:r>
    </w:p>
    <w:p>
      <w:pPr>
        <w:pStyle w:val="195"/>
        <w:numPr>
          <w:ilvl w:val="0"/>
          <w:numId w:val="4"/>
        </w:numPr>
        <w:tabs>
          <w:tab w:val="left" w:pos="567"/>
        </w:tabs>
        <w:spacing w:line="500" w:lineRule="exact"/>
        <w:ind w:left="0" w:firstLine="0" w:firstLineChars="0"/>
        <w:rPr>
          <w:rFonts w:ascii="仿宋_GB2312" w:hAnsi="宋体" w:eastAsia="仿宋_GB2312" w:cs="宋体"/>
          <w:sz w:val="24"/>
        </w:rPr>
      </w:pPr>
      <w:r>
        <w:rPr>
          <w:rFonts w:hint="eastAsia" w:ascii="仿宋_GB2312" w:hAnsi="宋体" w:eastAsia="仿宋_GB2312" w:cs="宋体"/>
          <w:sz w:val="24"/>
        </w:rPr>
        <w:t>投标文件应按照招标文件中规定的统一格式编制，由资格文件、报价文件、商务技术文件组成。</w:t>
      </w:r>
      <w:r>
        <w:rPr>
          <w:rFonts w:hint="eastAsia" w:ascii="仿宋_GB2312" w:hAnsi="宋体" w:eastAsia="仿宋_GB2312" w:cs="宋体"/>
          <w:b/>
          <w:bCs/>
          <w:color w:val="FF0000"/>
          <w:sz w:val="24"/>
        </w:rPr>
        <w:t>投标人应准备电子投标文件和以介质存储的数据电文形式的备份投标文件。</w:t>
      </w:r>
    </w:p>
    <w:p>
      <w:pPr>
        <w:pStyle w:val="2"/>
        <w:tabs>
          <w:tab w:val="left" w:pos="851"/>
        </w:tabs>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1.1.1. 电子投标文件：按政采云平台项目采购-电子招投标操作指南及本招标文件要求递交。</w:t>
      </w:r>
    </w:p>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1.1.2. 以介质存储的数据电文形式的备份投标文件：格式参见“政采云平台项目采购-电子招投标操作指南中上传的电子投标文件”，建议以DVD光盘形式提供。数量为一份。</w:t>
      </w:r>
    </w:p>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1.1.3. 纸质备份投标文件：以纸质文件的形式递交。</w:t>
      </w:r>
      <w:r>
        <w:rPr>
          <w:rFonts w:hint="eastAsia" w:ascii="仿宋_GB2312" w:hAnsi="宋体" w:eastAsia="仿宋_GB2312" w:cs="宋体"/>
          <w:bCs/>
          <w:sz w:val="24"/>
        </w:rPr>
        <w:t>需提供</w:t>
      </w:r>
      <w:r>
        <w:rPr>
          <w:rFonts w:hint="eastAsia" w:ascii="仿宋_GB2312" w:hAnsi="宋体" w:eastAsia="仿宋_GB2312" w:cs="宋体"/>
          <w:sz w:val="24"/>
        </w:rPr>
        <w:t>资格文件正本一份，无需提供副本；报价文件正本一份，副本一份；商务技术文件正本一份，副本一份。</w:t>
      </w:r>
    </w:p>
    <w:p>
      <w:pPr>
        <w:numPr>
          <w:ilvl w:val="0"/>
          <w:numId w:val="3"/>
        </w:numPr>
        <w:spacing w:line="500" w:lineRule="exact"/>
        <w:ind w:left="284" w:hanging="284"/>
        <w:rPr>
          <w:rFonts w:ascii="仿宋_GB2312" w:hAnsi="仿宋_GB2312" w:eastAsia="仿宋_GB2312" w:cs="仿宋_GB2312"/>
          <w:b/>
          <w:sz w:val="24"/>
        </w:rPr>
      </w:pPr>
      <w:r>
        <w:rPr>
          <w:rFonts w:hint="eastAsia" w:ascii="仿宋_GB2312" w:hAnsi="仿宋_GB2312" w:eastAsia="仿宋_GB2312" w:cs="仿宋_GB2312"/>
          <w:b/>
          <w:sz w:val="24"/>
        </w:rPr>
        <w:t>投标文件的密封和标记</w:t>
      </w:r>
    </w:p>
    <w:p>
      <w:pPr>
        <w:pStyle w:val="195"/>
        <w:numPr>
          <w:ilvl w:val="0"/>
          <w:numId w:val="5"/>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sz w:val="24"/>
        </w:rPr>
        <w:t>投标人应将以介质存储的数据电文形式的备份投标文件、纸质备份投标文件分别单独密封包装。其中纸质备份投标文件，可将纸质备份投标文件统一包装在一个密封袋中，也可按文件组成（即资格文件、报价文件、商务技术文件等部分）分别密封包装。注：若附纸质的原厂使用说明书，请与纸质备份投标文件一起密封包装。</w:t>
      </w:r>
      <w:r>
        <w:rPr>
          <w:rFonts w:hint="eastAsia" w:ascii="仿宋_GB2312" w:hAnsi="宋体" w:eastAsia="仿宋_GB2312" w:cs="宋体"/>
          <w:b/>
          <w:color w:val="FF0000"/>
          <w:sz w:val="24"/>
        </w:rPr>
        <w:t>注：若附纸质的原厂使用说明书，请与纸质备份投标文件一起密封包装。</w:t>
      </w:r>
    </w:p>
    <w:p>
      <w:pPr>
        <w:pStyle w:val="195"/>
        <w:numPr>
          <w:ilvl w:val="0"/>
          <w:numId w:val="5"/>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sz w:val="24"/>
        </w:rPr>
        <w:t>投标文件应按照“投标文件封面及密封包装封面”式样对投标文件封面进行制作，密封封面需注明项目名称、项目编号、投标人名称和地址、投标日期及在招标公告规定的开标日期及时间前“不准启封”的字样（详见格式文件-封面）。</w:t>
      </w:r>
    </w:p>
    <w:p>
      <w:pPr>
        <w:pStyle w:val="195"/>
        <w:numPr>
          <w:ilvl w:val="0"/>
          <w:numId w:val="5"/>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b/>
          <w:color w:val="FF0000"/>
          <w:sz w:val="24"/>
        </w:rPr>
        <w:t>投标文件应按照招标文件要求进行签署、盖章。其中电子投标文件中所须加盖公章部分均采用CA签章，并根据“政采云供应商项目采购-电子招投标操作指南”及本招标文件规定的格式和顺序编制电子投标文件并进行关联定位。</w:t>
      </w:r>
    </w:p>
    <w:p>
      <w:pPr>
        <w:pStyle w:val="195"/>
        <w:numPr>
          <w:ilvl w:val="0"/>
          <w:numId w:val="5"/>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sz w:val="24"/>
        </w:rPr>
        <w:t>对于未按招标文件规定密封和标记的投标文件，采购人、采购代理机构将予以拒收。</w:t>
      </w:r>
    </w:p>
    <w:p>
      <w:pPr>
        <w:pStyle w:val="2"/>
        <w:spacing w:line="500" w:lineRule="exact"/>
        <w:ind w:firstLine="0" w:firstLineChars="0"/>
        <w:rPr>
          <w:rFonts w:ascii="仿宋_GB2312" w:hAnsi="仿宋_GB2312" w:eastAsia="仿宋_GB2312" w:cs="仿宋_GB2312"/>
          <w:b/>
          <w:sz w:val="24"/>
        </w:rPr>
      </w:pPr>
      <w:r>
        <w:rPr>
          <w:rFonts w:hint="eastAsia" w:ascii="仿宋_GB2312" w:hAnsi="仿宋" w:eastAsia="仿宋_GB2312"/>
          <w:b/>
          <w:bCs/>
          <w:sz w:val="24"/>
        </w:rPr>
        <w:t>3.</w:t>
      </w:r>
      <w:r>
        <w:rPr>
          <w:rFonts w:hint="eastAsia" w:ascii="仿宋_GB2312" w:hAnsi="仿宋_GB2312" w:eastAsia="仿宋_GB2312" w:cs="仿宋_GB2312"/>
          <w:b/>
          <w:sz w:val="24"/>
        </w:rPr>
        <w:t>投标文件的编制</w:t>
      </w:r>
    </w:p>
    <w:p>
      <w:pPr>
        <w:tabs>
          <w:tab w:val="left" w:pos="0"/>
        </w:tabs>
        <w:adjustRightInd w:val="0"/>
        <w:snapToGrid w:val="0"/>
        <w:spacing w:line="500" w:lineRule="exact"/>
        <w:ind w:left="1"/>
        <w:jc w:val="left"/>
        <w:rPr>
          <w:rFonts w:ascii="仿宋_GB2312" w:hAnsi="宋体" w:eastAsia="仿宋_GB2312" w:cs="宋体"/>
          <w:color w:val="FF0000"/>
          <w:sz w:val="24"/>
        </w:rPr>
        <w:sectPr>
          <w:pgSz w:w="11906" w:h="16838"/>
          <w:pgMar w:top="2098" w:right="1474" w:bottom="1701" w:left="1588" w:header="851" w:footer="992" w:gutter="0"/>
          <w:cols w:space="720" w:num="1"/>
          <w:docGrid w:linePitch="312" w:charSpace="0"/>
        </w:sectPr>
      </w:pPr>
      <w:r>
        <w:rPr>
          <w:rFonts w:hint="eastAsia" w:ascii="仿宋_GB2312" w:hAnsi="宋体" w:eastAsia="仿宋_GB2312" w:cs="宋体"/>
          <w:color w:val="FF0000"/>
          <w:sz w:val="24"/>
        </w:rPr>
        <w:t>3.1. 投标人应按照本节所述要求，依次完成各部分投标文件的编制以及装订, 同时保证内容清晰可辨。如投标人未按照本节所述要求编制投标文件，导致相关内容被误读、遗漏等情况发生的，自行承担由此带来的一切风险。</w:t>
      </w:r>
    </w:p>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3.1.1. 资格文件</w:t>
      </w:r>
    </w:p>
    <w:tbl>
      <w:tblPr>
        <w:tblStyle w:val="41"/>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056"/>
        <w:gridCol w:w="3175"/>
        <w:gridCol w:w="211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9"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2056"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文件内容</w:t>
            </w:r>
          </w:p>
        </w:tc>
        <w:tc>
          <w:tcPr>
            <w:tcW w:w="3175"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组成材料</w:t>
            </w:r>
          </w:p>
        </w:tc>
        <w:tc>
          <w:tcPr>
            <w:tcW w:w="2115"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格式</w:t>
            </w:r>
          </w:p>
        </w:tc>
        <w:tc>
          <w:tcPr>
            <w:tcW w:w="1558"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w:t>
            </w:r>
          </w:p>
        </w:tc>
        <w:tc>
          <w:tcPr>
            <w:tcW w:w="2056" w:type="dxa"/>
            <w:vMerge w:val="restart"/>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符合《中华人民共和国政府采购法》第二十二条规定</w:t>
            </w:r>
          </w:p>
        </w:tc>
        <w:tc>
          <w:tcPr>
            <w:tcW w:w="3175"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lang w:val="zh-CN"/>
              </w:rPr>
              <w:t>营业执照或事业单位法人登记证书（复印件）</w:t>
            </w:r>
          </w:p>
        </w:tc>
        <w:tc>
          <w:tcPr>
            <w:tcW w:w="211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2</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授权委托书</w:t>
            </w:r>
          </w:p>
        </w:tc>
        <w:tc>
          <w:tcPr>
            <w:tcW w:w="2115" w:type="dxa"/>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3</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法人资格证明（如有）</w:t>
            </w:r>
          </w:p>
        </w:tc>
        <w:tc>
          <w:tcPr>
            <w:tcW w:w="2115" w:type="dxa"/>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详见格式文件1.2</w:t>
            </w:r>
          </w:p>
        </w:tc>
        <w:tc>
          <w:tcPr>
            <w:tcW w:w="1558" w:type="dxa"/>
            <w:vAlign w:val="center"/>
          </w:tcPr>
          <w:p>
            <w:pPr>
              <w:pStyle w:val="2"/>
              <w:ind w:leftChars="-8" w:hanging="16" w:hangingChars="7"/>
              <w:jc w:val="center"/>
              <w:rPr>
                <w:rFonts w:ascii="仿宋_GB2312" w:hAnsi="仿宋" w:eastAsia="仿宋_GB2312" w:cs="仿宋"/>
                <w:sz w:val="24"/>
              </w:rPr>
            </w:pPr>
            <w:r>
              <w:rPr>
                <w:rFonts w:hint="eastAsia" w:ascii="仿宋_GB2312" w:hAnsi="仿宋" w:eastAsia="仿宋_GB2312" w:cs="仿宋"/>
                <w:sz w:val="24"/>
              </w:rPr>
              <w:t>适用于法定代表人前来投标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4</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联合体协议（如有）</w:t>
            </w:r>
          </w:p>
        </w:tc>
        <w:tc>
          <w:tcPr>
            <w:tcW w:w="2115" w:type="dxa"/>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详见格式文件1.3</w:t>
            </w:r>
          </w:p>
        </w:tc>
        <w:tc>
          <w:tcPr>
            <w:tcW w:w="1558" w:type="dxa"/>
            <w:vAlign w:val="center"/>
          </w:tcPr>
          <w:p>
            <w:pPr>
              <w:pStyle w:val="2"/>
              <w:ind w:leftChars="-8" w:hanging="16" w:hangingChars="7"/>
              <w:jc w:val="center"/>
              <w:rPr>
                <w:rFonts w:ascii="仿宋_GB2312" w:hAnsi="仿宋" w:eastAsia="仿宋_GB2312" w:cs="仿宋"/>
                <w:sz w:val="24"/>
              </w:rPr>
            </w:pPr>
            <w:r>
              <w:rPr>
                <w:rFonts w:hint="eastAsia" w:ascii="仿宋_GB2312" w:hAnsi="仿宋" w:eastAsia="仿宋_GB2312" w:cs="仿宋"/>
                <w:sz w:val="24"/>
              </w:rPr>
              <w:t>适用于允许联合体投标的项目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5</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具有良好商业信誉的书面声明</w:t>
            </w:r>
          </w:p>
        </w:tc>
        <w:tc>
          <w:tcPr>
            <w:tcW w:w="2115" w:type="dxa"/>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详见格式文件1.4</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6</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具有</w:t>
            </w:r>
            <w:r>
              <w:rPr>
                <w:rFonts w:hint="eastAsia" w:ascii="仿宋_GB2312" w:hAnsi="仿宋" w:eastAsia="仿宋_GB2312" w:cs="仿宋"/>
                <w:kern w:val="0"/>
                <w:sz w:val="24"/>
              </w:rPr>
              <w:t>健全的财务会计制度</w:t>
            </w:r>
            <w:r>
              <w:rPr>
                <w:rFonts w:hint="eastAsia" w:ascii="仿宋_GB2312" w:hAnsi="仿宋" w:eastAsia="仿宋_GB2312" w:cs="仿宋"/>
                <w:sz w:val="24"/>
                <w:lang w:val="zh-CN"/>
              </w:rPr>
              <w:t>的承诺函</w:t>
            </w:r>
          </w:p>
        </w:tc>
        <w:tc>
          <w:tcPr>
            <w:tcW w:w="211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具有履行合同所必需的设备和专业技术能力的承诺函</w:t>
            </w:r>
          </w:p>
        </w:tc>
        <w:tc>
          <w:tcPr>
            <w:tcW w:w="2115" w:type="dxa"/>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详见格式文件1.5</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7</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依法缴纳税收承诺函</w:t>
            </w:r>
          </w:p>
        </w:tc>
        <w:tc>
          <w:tcPr>
            <w:tcW w:w="211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8</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依法缴纳社会保障资金承诺函</w:t>
            </w:r>
          </w:p>
        </w:tc>
        <w:tc>
          <w:tcPr>
            <w:tcW w:w="211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10</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参加政府采购活动前三年内，在经营活动中没有重大违法记录书面声明</w:t>
            </w:r>
          </w:p>
        </w:tc>
        <w:tc>
          <w:tcPr>
            <w:tcW w:w="2115" w:type="dxa"/>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详见格式文件1.6</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11</w:t>
            </w:r>
          </w:p>
        </w:tc>
        <w:tc>
          <w:tcPr>
            <w:tcW w:w="2056" w:type="dxa"/>
            <w:vMerge w:val="continue"/>
            <w:vAlign w:val="center"/>
          </w:tcPr>
          <w:p>
            <w:pPr>
              <w:pStyle w:val="2"/>
              <w:ind w:firstLine="480"/>
              <w:jc w:val="center"/>
              <w:rPr>
                <w:rFonts w:ascii="仿宋_GB2312" w:hAnsi="仿宋" w:eastAsia="仿宋_GB2312" w:cs="仿宋"/>
                <w:sz w:val="24"/>
              </w:rPr>
            </w:pP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法律、行政法规规定的其他条件证明材料（如有）</w:t>
            </w:r>
          </w:p>
        </w:tc>
        <w:tc>
          <w:tcPr>
            <w:tcW w:w="211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558" w:type="dxa"/>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12</w:t>
            </w:r>
          </w:p>
        </w:tc>
        <w:tc>
          <w:tcPr>
            <w:tcW w:w="2056"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特定资格要求</w:t>
            </w:r>
          </w:p>
        </w:tc>
        <w:tc>
          <w:tcPr>
            <w:tcW w:w="3175" w:type="dxa"/>
            <w:vAlign w:val="center"/>
          </w:tcPr>
          <w:p>
            <w:pPr>
              <w:pStyle w:val="2"/>
              <w:ind w:firstLine="0" w:firstLineChars="0"/>
              <w:rPr>
                <w:rFonts w:ascii="仿宋_GB2312" w:hAnsi="仿宋" w:eastAsia="仿宋_GB2312" w:cs="仿宋"/>
                <w:sz w:val="24"/>
                <w:lang w:val="zh-CN"/>
              </w:rPr>
            </w:pPr>
            <w:r>
              <w:rPr>
                <w:rFonts w:hint="eastAsia" w:ascii="仿宋_GB2312" w:hAnsi="宋体" w:eastAsia="仿宋_GB2312" w:cs="宋体"/>
                <w:kern w:val="0"/>
                <w:sz w:val="24"/>
                <w:lang w:val="zh-CN"/>
              </w:rPr>
              <w:t>市政公用工程施工总承包三级（含）以上资质证书。</w:t>
            </w:r>
          </w:p>
        </w:tc>
        <w:tc>
          <w:tcPr>
            <w:tcW w:w="211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558" w:type="dxa"/>
            <w:vAlign w:val="center"/>
          </w:tcPr>
          <w:p>
            <w:pPr>
              <w:pStyle w:val="2"/>
              <w:ind w:leftChars="-8" w:hanging="16" w:hangingChars="7"/>
              <w:jc w:val="center"/>
              <w:rPr>
                <w:rFonts w:ascii="仿宋_GB2312" w:hAnsi="仿宋" w:eastAsia="仿宋_GB2312" w:cs="仿宋"/>
                <w:sz w:val="24"/>
              </w:rPr>
            </w:pPr>
          </w:p>
        </w:tc>
      </w:tr>
    </w:tbl>
    <w:p>
      <w:pPr>
        <w:pStyle w:val="2"/>
        <w:spacing w:line="500" w:lineRule="exact"/>
        <w:ind w:firstLine="0" w:firstLineChars="0"/>
        <w:rPr>
          <w:rFonts w:ascii="仿宋_GB2312" w:hAnsi="宋体" w:eastAsia="仿宋_GB2312" w:cs="宋体"/>
          <w:sz w:val="24"/>
        </w:rPr>
        <w:sectPr>
          <w:pgSz w:w="11906" w:h="16838"/>
          <w:pgMar w:top="2098" w:right="1474" w:bottom="1701" w:left="1588" w:header="851" w:footer="992" w:gutter="0"/>
          <w:cols w:space="720" w:num="1"/>
          <w:docGrid w:linePitch="312" w:charSpace="0"/>
        </w:sectPr>
      </w:pPr>
    </w:p>
    <w:p>
      <w:pPr>
        <w:pStyle w:val="2"/>
        <w:spacing w:after="120" w:afterLines="50" w:line="500" w:lineRule="exact"/>
        <w:ind w:firstLine="0" w:firstLineChars="0"/>
        <w:rPr>
          <w:rFonts w:ascii="仿宋_GB2312" w:hAnsi="宋体" w:eastAsia="仿宋_GB2312" w:cs="宋体"/>
          <w:sz w:val="24"/>
        </w:rPr>
      </w:pPr>
      <w:r>
        <w:rPr>
          <w:rFonts w:hint="eastAsia" w:ascii="仿宋_GB2312" w:hAnsi="宋体" w:eastAsia="仿宋_GB2312" w:cs="宋体"/>
          <w:sz w:val="24"/>
        </w:rPr>
        <w:t>3.1.2. 报价文件</w:t>
      </w:r>
    </w:p>
    <w:tbl>
      <w:tblPr>
        <w:tblStyle w:val="41"/>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985"/>
        <w:gridCol w:w="3138"/>
        <w:gridCol w:w="223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7"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1985"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文件内容</w:t>
            </w:r>
          </w:p>
        </w:tc>
        <w:tc>
          <w:tcPr>
            <w:tcW w:w="3138"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组成材料</w:t>
            </w:r>
          </w:p>
        </w:tc>
        <w:tc>
          <w:tcPr>
            <w:tcW w:w="2234"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格式</w:t>
            </w:r>
          </w:p>
        </w:tc>
        <w:tc>
          <w:tcPr>
            <w:tcW w:w="1423" w:type="dxa"/>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w:t>
            </w:r>
          </w:p>
        </w:tc>
        <w:tc>
          <w:tcPr>
            <w:tcW w:w="1985" w:type="dxa"/>
            <w:vMerge w:val="restart"/>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报价响应</w:t>
            </w:r>
          </w:p>
        </w:tc>
        <w:tc>
          <w:tcPr>
            <w:tcW w:w="3138"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投标响应函</w:t>
            </w:r>
          </w:p>
        </w:tc>
        <w:tc>
          <w:tcPr>
            <w:tcW w:w="2234" w:type="dxa"/>
            <w:vAlign w:val="center"/>
          </w:tcPr>
          <w:p>
            <w:pPr>
              <w:pStyle w:val="2"/>
              <w:ind w:firstLine="0" w:firstLineChars="0"/>
              <w:rPr>
                <w:rFonts w:ascii="仿宋_GB2312" w:hAnsi="仿宋" w:eastAsia="仿宋_GB2312" w:cs="仿宋"/>
                <w:b/>
                <w:sz w:val="24"/>
              </w:rPr>
            </w:pPr>
            <w:r>
              <w:rPr>
                <w:rFonts w:hint="eastAsia" w:ascii="仿宋_GB2312" w:hAnsi="仿宋" w:eastAsia="仿宋_GB2312" w:cs="仿宋"/>
                <w:b/>
                <w:sz w:val="24"/>
              </w:rPr>
              <w:t>详见格式文件1.7</w:t>
            </w:r>
          </w:p>
        </w:tc>
        <w:tc>
          <w:tcPr>
            <w:tcW w:w="1423" w:type="dxa"/>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2</w:t>
            </w:r>
          </w:p>
        </w:tc>
        <w:tc>
          <w:tcPr>
            <w:tcW w:w="1985" w:type="dxa"/>
            <w:vMerge w:val="continue"/>
            <w:vAlign w:val="center"/>
          </w:tcPr>
          <w:p>
            <w:pPr>
              <w:pStyle w:val="2"/>
              <w:ind w:firstLine="480"/>
              <w:jc w:val="center"/>
              <w:rPr>
                <w:rFonts w:ascii="仿宋_GB2312" w:hAnsi="仿宋" w:eastAsia="仿宋_GB2312" w:cs="仿宋"/>
                <w:sz w:val="24"/>
              </w:rPr>
            </w:pPr>
          </w:p>
        </w:tc>
        <w:tc>
          <w:tcPr>
            <w:tcW w:w="3138"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开标一览表（报价表）</w:t>
            </w:r>
          </w:p>
        </w:tc>
        <w:tc>
          <w:tcPr>
            <w:tcW w:w="2234" w:type="dxa"/>
            <w:vAlign w:val="center"/>
          </w:tcPr>
          <w:p>
            <w:pPr>
              <w:pStyle w:val="2"/>
              <w:ind w:firstLine="0" w:firstLineChars="0"/>
              <w:rPr>
                <w:rFonts w:ascii="仿宋_GB2312" w:hAnsi="仿宋" w:eastAsia="仿宋_GB2312" w:cs="仿宋"/>
                <w:b/>
                <w:sz w:val="24"/>
              </w:rPr>
            </w:pPr>
            <w:r>
              <w:rPr>
                <w:rFonts w:hint="eastAsia" w:ascii="仿宋_GB2312" w:hAnsi="仿宋" w:eastAsia="仿宋_GB2312" w:cs="仿宋"/>
                <w:b/>
                <w:sz w:val="24"/>
              </w:rPr>
              <w:t>详见格式文件1.8</w:t>
            </w:r>
          </w:p>
        </w:tc>
        <w:tc>
          <w:tcPr>
            <w:tcW w:w="1423" w:type="dxa"/>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3</w:t>
            </w:r>
          </w:p>
        </w:tc>
        <w:tc>
          <w:tcPr>
            <w:tcW w:w="1985" w:type="dxa"/>
            <w:vMerge w:val="continue"/>
            <w:vAlign w:val="center"/>
          </w:tcPr>
          <w:p>
            <w:pPr>
              <w:pStyle w:val="2"/>
              <w:ind w:firstLine="480"/>
              <w:jc w:val="center"/>
              <w:rPr>
                <w:rFonts w:ascii="仿宋_GB2312" w:hAnsi="仿宋" w:eastAsia="仿宋_GB2312" w:cs="仿宋"/>
                <w:sz w:val="24"/>
              </w:rPr>
            </w:pPr>
          </w:p>
        </w:tc>
        <w:tc>
          <w:tcPr>
            <w:tcW w:w="3138"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报价明细清单</w:t>
            </w:r>
          </w:p>
        </w:tc>
        <w:tc>
          <w:tcPr>
            <w:tcW w:w="2234" w:type="dxa"/>
            <w:vAlign w:val="center"/>
          </w:tcPr>
          <w:p>
            <w:pPr>
              <w:pStyle w:val="2"/>
              <w:ind w:firstLine="0" w:firstLineChars="0"/>
              <w:rPr>
                <w:rFonts w:ascii="仿宋_GB2312" w:hAnsi="仿宋" w:eastAsia="仿宋_GB2312" w:cs="仿宋"/>
                <w:b/>
                <w:sz w:val="24"/>
              </w:rPr>
            </w:pPr>
            <w:r>
              <w:rPr>
                <w:rFonts w:hint="eastAsia" w:ascii="仿宋_GB2312" w:hAnsi="仿宋" w:eastAsia="仿宋_GB2312" w:cs="仿宋"/>
                <w:b/>
                <w:sz w:val="24"/>
              </w:rPr>
              <w:t>详见格式文件1.9</w:t>
            </w:r>
          </w:p>
        </w:tc>
        <w:tc>
          <w:tcPr>
            <w:tcW w:w="1423" w:type="dxa"/>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4</w:t>
            </w:r>
          </w:p>
        </w:tc>
        <w:tc>
          <w:tcPr>
            <w:tcW w:w="198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中小企业促进发展政策</w:t>
            </w:r>
          </w:p>
        </w:tc>
        <w:tc>
          <w:tcPr>
            <w:tcW w:w="3138"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lang w:val="zh-CN"/>
              </w:rPr>
              <w:t>中小企业声明函等</w:t>
            </w:r>
          </w:p>
        </w:tc>
        <w:tc>
          <w:tcPr>
            <w:tcW w:w="2234" w:type="dxa"/>
            <w:vAlign w:val="center"/>
          </w:tcPr>
          <w:p>
            <w:pPr>
              <w:pStyle w:val="2"/>
              <w:ind w:firstLine="0" w:firstLineChars="0"/>
              <w:rPr>
                <w:rFonts w:ascii="仿宋_GB2312" w:hAnsi="仿宋" w:eastAsia="仿宋_GB2312" w:cs="仿宋"/>
                <w:b/>
                <w:sz w:val="24"/>
              </w:rPr>
            </w:pPr>
            <w:r>
              <w:rPr>
                <w:rFonts w:hint="eastAsia" w:ascii="仿宋_GB2312" w:hAnsi="仿宋" w:eastAsia="仿宋_GB2312" w:cs="仿宋"/>
                <w:b/>
                <w:sz w:val="24"/>
              </w:rPr>
              <w:t>详见格式文件1.10</w:t>
            </w:r>
          </w:p>
        </w:tc>
        <w:tc>
          <w:tcPr>
            <w:tcW w:w="1423" w:type="dxa"/>
            <w:vAlign w:val="center"/>
          </w:tcPr>
          <w:p>
            <w:pPr>
              <w:pStyle w:val="2"/>
              <w:ind w:left="-73" w:leftChars="-35" w:right="-107" w:rightChars="-51" w:firstLine="0" w:firstLineChars="0"/>
              <w:jc w:val="left"/>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5</w:t>
            </w:r>
          </w:p>
        </w:tc>
        <w:tc>
          <w:tcPr>
            <w:tcW w:w="1985"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其他</w:t>
            </w:r>
          </w:p>
        </w:tc>
        <w:tc>
          <w:tcPr>
            <w:tcW w:w="3138" w:type="dxa"/>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其他需要说明的情况（如有）</w:t>
            </w:r>
          </w:p>
        </w:tc>
        <w:tc>
          <w:tcPr>
            <w:tcW w:w="2234" w:type="dxa"/>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423" w:type="dxa"/>
            <w:vAlign w:val="center"/>
          </w:tcPr>
          <w:p>
            <w:pPr>
              <w:pStyle w:val="2"/>
              <w:ind w:firstLine="0" w:firstLineChars="0"/>
              <w:rPr>
                <w:rFonts w:ascii="仿宋_GB2312" w:hAnsi="宋体" w:eastAsia="仿宋_GB2312" w:cs="宋体"/>
                <w:b/>
                <w:bCs/>
                <w:sz w:val="24"/>
              </w:rPr>
            </w:pPr>
          </w:p>
        </w:tc>
      </w:tr>
    </w:tbl>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3.1.3. 商务技术文件</w:t>
      </w:r>
    </w:p>
    <w:tbl>
      <w:tblPr>
        <w:tblStyle w:val="4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985"/>
        <w:gridCol w:w="3134"/>
        <w:gridCol w:w="225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文件内容</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组成材料</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格式</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供应商</w:t>
            </w:r>
          </w:p>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基本情况</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供应商基本情况</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r>
              <w:rPr>
                <w:rFonts w:hint="eastAsia" w:ascii="仿宋_GB2312" w:hAnsi="仿宋" w:eastAsia="仿宋_GB2312" w:cs="仿宋"/>
                <w:b/>
                <w:sz w:val="24"/>
              </w:rPr>
              <w:t>详见格式文件1.11</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投标声明书</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投标声明书</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详见格式文件1.12</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政府采购供应商廉洁自律承诺书</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政府采购供应商廉洁自律承诺书</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详见格式文件1.13</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bCs/>
                <w:sz w:val="24"/>
              </w:rPr>
              <w:t>廉政承诺书</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廉政承诺书</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Cs/>
                <w:sz w:val="24"/>
              </w:rPr>
            </w:pPr>
            <w:r>
              <w:rPr>
                <w:rFonts w:hint="eastAsia" w:ascii="仿宋_GB2312" w:hAnsi="仿宋" w:eastAsia="仿宋_GB2312" w:cs="仿宋"/>
                <w:b/>
                <w:sz w:val="24"/>
              </w:rPr>
              <w:t>详见格式文件1.14</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kern w:val="0"/>
                <w:sz w:val="24"/>
              </w:rPr>
              <w:t>证书</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相关证书</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Cs/>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3" w:type="dxa"/>
            <w:vMerge w:val="restart"/>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5</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kern w:val="0"/>
                <w:sz w:val="24"/>
              </w:rPr>
              <w:t>业绩证明</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合同</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left="-134" w:leftChars="-64" w:right="-107" w:rightChars="-51"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详见格式文件1.15</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项目案例</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left="-134" w:leftChars="-64" w:right="-141" w:rightChars="-67"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详见格式文件1.15</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货物（如有）</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原厂使用说明书（如有）</w:t>
            </w: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样品（如有）</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样品质量检测报告（如有）</w:t>
            </w: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参数响应情况</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kern w:val="0"/>
                <w:sz w:val="24"/>
              </w:rPr>
              <w:t>参数偏离说明表</w:t>
            </w:r>
          </w:p>
        </w:tc>
        <w:tc>
          <w:tcPr>
            <w:tcW w:w="22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rPr>
            </w:pPr>
            <w:r>
              <w:rPr>
                <w:rFonts w:hint="eastAsia" w:ascii="仿宋_GB2312" w:hAnsi="仿宋" w:eastAsia="仿宋_GB2312" w:cs="仿宋"/>
                <w:b/>
                <w:sz w:val="24"/>
              </w:rPr>
              <w:t>详见格式文件1.16</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r>
              <w:rPr>
                <w:rFonts w:hint="eastAsia" w:ascii="仿宋_GB2312" w:hAnsi="仿宋" w:eastAsia="仿宋_GB2312" w:cs="仿宋"/>
                <w:sz w:val="24"/>
                <w:highlight w:val="none"/>
              </w:rPr>
              <w:t>9</w:t>
            </w:r>
          </w:p>
        </w:tc>
        <w:tc>
          <w:tcPr>
            <w:tcW w:w="1985" w:type="dxa"/>
            <w:vMerge w:val="restart"/>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r>
              <w:rPr>
                <w:rFonts w:hint="eastAsia" w:ascii="仿宋_GB2312" w:hAnsi="仿宋" w:eastAsia="仿宋_GB2312" w:cs="仿宋"/>
                <w:sz w:val="24"/>
                <w:highlight w:val="none"/>
              </w:rPr>
              <w:t>服务能力</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宋体"/>
                <w:kern w:val="0"/>
                <w:sz w:val="24"/>
                <w:highlight w:val="none"/>
              </w:rPr>
            </w:pPr>
            <w:r>
              <w:rPr>
                <w:rFonts w:hint="eastAsia" w:ascii="仿宋_GB2312" w:hAnsi="仿宋" w:eastAsia="仿宋_GB2312" w:cs="仿宋"/>
                <w:kern w:val="0"/>
                <w:sz w:val="24"/>
                <w:highlight w:val="none"/>
              </w:rPr>
              <w:t>场所情况</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highlight w:val="none"/>
              </w:rPr>
            </w:pPr>
            <w:r>
              <w:rPr>
                <w:rFonts w:hint="eastAsia" w:ascii="仿宋_GB2312" w:hAnsi="仿宋" w:eastAsia="仿宋_GB2312" w:cs="仿宋"/>
                <w:sz w:val="24"/>
                <w:highlight w:val="none"/>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1985" w:type="dxa"/>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cs="仿宋"/>
                <w:kern w:val="0"/>
                <w:sz w:val="24"/>
                <w:highlight w:val="none"/>
                <w:lang w:eastAsia="zh-CN"/>
              </w:rPr>
            </w:pPr>
            <w:r>
              <w:rPr>
                <w:rFonts w:hint="eastAsia" w:ascii="仿宋_GB2312" w:hAnsi="仿宋" w:eastAsia="仿宋_GB2312" w:cs="仿宋"/>
                <w:kern w:val="0"/>
                <w:sz w:val="24"/>
                <w:highlight w:val="none"/>
                <w:lang w:eastAsia="zh-CN"/>
              </w:rPr>
              <w:t>管理用房方案及施工</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仿宋_GB2312" w:hAnsi="仿宋" w:eastAsia="仿宋_GB2312" w:cs="仿宋"/>
                <w:sz w:val="24"/>
                <w:highlight w:val="none"/>
              </w:rPr>
            </w:pPr>
            <w:r>
              <w:rPr>
                <w:rFonts w:hint="eastAsia" w:ascii="仿宋_GB2312" w:hAnsi="仿宋" w:eastAsia="仿宋_GB2312" w:cs="仿宋"/>
                <w:sz w:val="24"/>
                <w:highlight w:val="none"/>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1985" w:type="dxa"/>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仓库改造方案及施工</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highlight w:val="none"/>
              </w:rPr>
            </w:pPr>
            <w:r>
              <w:rPr>
                <w:rFonts w:hint="eastAsia" w:ascii="仿宋_GB2312" w:hAnsi="仿宋" w:eastAsia="仿宋_GB2312" w:cs="仿宋"/>
                <w:sz w:val="24"/>
                <w:highlight w:val="none"/>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1985" w:type="dxa"/>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垃圾分类集置</w:t>
            </w:r>
            <w:r>
              <w:rPr>
                <w:rFonts w:hint="eastAsia" w:ascii="仿宋_GB2312" w:hAnsi="宋体" w:eastAsia="仿宋_GB2312" w:cs="宋体"/>
                <w:kern w:val="0"/>
                <w:sz w:val="24"/>
                <w:highlight w:val="none"/>
                <w:lang w:val="en-US" w:eastAsia="zh-CN"/>
              </w:rPr>
              <w:t>点</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仿宋_GB2312" w:hAnsi="仿宋" w:eastAsia="仿宋_GB2312" w:cs="仿宋"/>
                <w:sz w:val="24"/>
                <w:highlight w:val="none"/>
              </w:rPr>
            </w:pPr>
            <w:r>
              <w:rPr>
                <w:rFonts w:hint="eastAsia" w:ascii="仿宋_GB2312" w:hAnsi="仿宋" w:eastAsia="仿宋_GB2312" w:cs="仿宋"/>
                <w:sz w:val="24"/>
                <w:highlight w:val="none"/>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1985" w:type="dxa"/>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highlight w:val="none"/>
              </w:rPr>
            </w:pPr>
            <w:r>
              <w:rPr>
                <w:rFonts w:hint="eastAsia" w:ascii="仿宋_GB2312" w:hAnsi="宋体" w:eastAsia="仿宋_GB2312" w:cs="宋体"/>
                <w:kern w:val="0"/>
                <w:sz w:val="24"/>
                <w:highlight w:val="none"/>
              </w:rPr>
              <w:t>匝道花箱日常养护方案</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highlight w:val="none"/>
              </w:rPr>
            </w:pPr>
            <w:r>
              <w:rPr>
                <w:rFonts w:hint="eastAsia" w:ascii="仿宋_GB2312" w:hAnsi="仿宋" w:eastAsia="仿宋_GB2312" w:cs="仿宋"/>
                <w:sz w:val="24"/>
                <w:highlight w:val="none"/>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10</w:t>
            </w:r>
          </w:p>
        </w:tc>
        <w:tc>
          <w:tcPr>
            <w:tcW w:w="1985" w:type="dxa"/>
            <w:vMerge w:val="restart"/>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拟派人员</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拟派</w:t>
            </w:r>
            <w:r>
              <w:rPr>
                <w:rFonts w:hint="eastAsia" w:ascii="仿宋_GB2312" w:hAnsi="宋体" w:eastAsia="仿宋_GB2312" w:cs="宋体"/>
                <w:kern w:val="0"/>
                <w:sz w:val="24"/>
              </w:rPr>
              <w:t>项目总负责人</w:t>
            </w:r>
            <w:r>
              <w:rPr>
                <w:rFonts w:hint="eastAsia" w:ascii="仿宋_GB2312" w:hAnsi="仿宋" w:eastAsia="仿宋_GB2312" w:cs="仿宋"/>
                <w:sz w:val="24"/>
              </w:rPr>
              <w:t>情况表</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详见格式文件1.17</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p>
        </w:tc>
        <w:tc>
          <w:tcPr>
            <w:tcW w:w="1985" w:type="dxa"/>
            <w:vMerge w:val="continue"/>
            <w:tcBorders>
              <w:top w:val="single" w:color="auto" w:sz="4" w:space="0"/>
              <w:left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拟派专职安全员情况表</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详见格式文件1.17</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拟派其他人员情况表</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详见格式文件1.18</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宋体" w:eastAsia="仿宋_GB2312" w:cs="宋体"/>
                <w:kern w:val="0"/>
                <w:sz w:val="24"/>
              </w:rPr>
              <w:t>综合养护人员配置计划</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宋体" w:eastAsia="仿宋_GB2312" w:cs="宋体"/>
                <w:kern w:val="0"/>
                <w:sz w:val="24"/>
              </w:rPr>
              <w:t>应急队伍人员</w:t>
            </w:r>
            <w:r>
              <w:rPr>
                <w:rFonts w:hint="eastAsia" w:ascii="仿宋_GB2312" w:hAnsi="仿宋" w:eastAsia="仿宋_GB2312" w:cs="仿宋"/>
                <w:sz w:val="24"/>
              </w:rPr>
              <w:t>情况</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详见格式文件1.18</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11</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kern w:val="0"/>
                <w:sz w:val="24"/>
              </w:rPr>
              <w:t>配套设备</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设备情况表</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b/>
                <w:sz w:val="24"/>
              </w:rPr>
              <w:t>详见</w:t>
            </w:r>
            <w:r>
              <w:rPr>
                <w:rFonts w:hint="eastAsia" w:ascii="仿宋_GB2312" w:hAnsi="宋体" w:eastAsia="仿宋_GB2312" w:cs="宋体"/>
                <w:b/>
                <w:kern w:val="0"/>
                <w:sz w:val="24"/>
              </w:rPr>
              <w:t>格式文件1.19</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r>
              <w:rPr>
                <w:rFonts w:hint="eastAsia" w:ascii="仿宋_GB2312" w:hAnsi="仿宋" w:eastAsia="仿宋_GB2312" w:cs="仿宋"/>
                <w:sz w:val="24"/>
              </w:rPr>
              <w:t>12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r>
              <w:rPr>
                <w:rFonts w:hint="eastAsia" w:ascii="仿宋_GB2312" w:hAnsi="宋体" w:eastAsia="仿宋_GB2312" w:cs="宋体"/>
                <w:kern w:val="0"/>
                <w:sz w:val="24"/>
              </w:rPr>
              <w:t>垃圾分类</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宋体" w:eastAsia="仿宋_GB2312" w:cs="宋体"/>
                <w:kern w:val="0"/>
                <w:sz w:val="24"/>
              </w:rPr>
              <w:t>日常工作情况</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仿宋"/>
                <w:sz w:val="24"/>
              </w:rPr>
            </w:pPr>
            <w:r>
              <w:rPr>
                <w:rFonts w:hint="eastAsia" w:ascii="仿宋_GB2312" w:hAnsi="仿宋" w:eastAsia="仿宋_GB2312" w:cs="仿宋"/>
                <w:sz w:val="24"/>
              </w:rPr>
              <w:t>13</w:t>
            </w:r>
          </w:p>
        </w:tc>
        <w:tc>
          <w:tcPr>
            <w:tcW w:w="198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企业管理</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管理制度</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tcBorders>
              <w:left w:val="single" w:color="auto" w:sz="4" w:space="0"/>
              <w:right w:val="single" w:color="auto" w:sz="4" w:space="0"/>
            </w:tcBorders>
            <w:vAlign w:val="center"/>
          </w:tcPr>
          <w:p>
            <w:pPr>
              <w:widowControl/>
              <w:jc w:val="center"/>
              <w:rPr>
                <w:rFonts w:hint="eastAsia" w:ascii="仿宋_GB2312" w:hAnsi="仿宋" w:eastAsia="仿宋_GB2312" w:cs="仿宋"/>
                <w:sz w:val="24"/>
              </w:rPr>
            </w:pPr>
          </w:p>
        </w:tc>
        <w:tc>
          <w:tcPr>
            <w:tcW w:w="198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 w:val="24"/>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员工权益</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仿宋_GB2312" w:hAnsi="仿宋" w:eastAsia="仿宋_GB2312" w:cs="仿宋"/>
                <w:sz w:val="24"/>
                <w:highlight w:val="none"/>
              </w:rPr>
            </w:pPr>
            <w:r>
              <w:rPr>
                <w:rFonts w:hint="eastAsia" w:ascii="仿宋_GB2312" w:hAnsi="仿宋" w:eastAsia="仿宋_GB2312" w:cs="仿宋"/>
                <w:sz w:val="24"/>
                <w:highlight w:val="none"/>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仿宋"/>
                <w:sz w:val="24"/>
              </w:rPr>
            </w:pPr>
            <w:r>
              <w:rPr>
                <w:rFonts w:hint="eastAsia" w:ascii="仿宋_GB2312" w:hAnsi="仿宋" w:eastAsia="仿宋_GB2312" w:cs="仿宋"/>
                <w:sz w:val="24"/>
              </w:rPr>
              <w:t>14</w:t>
            </w:r>
          </w:p>
        </w:tc>
        <w:tc>
          <w:tcPr>
            <w:tcW w:w="198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养护方案</w:t>
            </w:r>
          </w:p>
        </w:tc>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道路市政养护方案</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绿化养护方案</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道路保洁方案</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亮化养护方案</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p>
        </w:tc>
        <w:tc>
          <w:tcPr>
            <w:tcW w:w="1985"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综合养护方案</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rPr>
            </w:pPr>
            <w:r>
              <w:rPr>
                <w:rFonts w:hint="eastAsia" w:ascii="仿宋_GB2312" w:hAnsi="仿宋" w:eastAsia="仿宋_GB2312" w:cs="仿宋"/>
                <w:sz w:val="24"/>
              </w:rPr>
              <w:t>15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服务承诺</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承诺</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b/>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其他</w:t>
            </w:r>
          </w:p>
        </w:tc>
        <w:tc>
          <w:tcPr>
            <w:tcW w:w="313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其它需要说明的情况（如有）</w:t>
            </w:r>
          </w:p>
        </w:tc>
        <w:tc>
          <w:tcPr>
            <w:tcW w:w="2252"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434" w:type="dxa"/>
            <w:tcBorders>
              <w:top w:val="single" w:color="auto" w:sz="4" w:space="0"/>
              <w:left w:val="single" w:color="auto" w:sz="4" w:space="0"/>
              <w:bottom w:val="single" w:color="auto" w:sz="4" w:space="0"/>
              <w:right w:val="single" w:color="auto" w:sz="4" w:space="0"/>
            </w:tcBorders>
            <w:vAlign w:val="center"/>
          </w:tcPr>
          <w:p>
            <w:pPr>
              <w:pStyle w:val="2"/>
              <w:ind w:firstLine="34" w:firstLineChars="14"/>
              <w:jc w:val="center"/>
              <w:rPr>
                <w:rFonts w:ascii="仿宋_GB2312" w:hAnsi="宋体" w:eastAsia="仿宋_GB2312" w:cs="宋体"/>
                <w:b/>
                <w:bCs/>
                <w:sz w:val="24"/>
              </w:rPr>
            </w:pPr>
          </w:p>
        </w:tc>
      </w:tr>
    </w:tbl>
    <w:p>
      <w:pPr>
        <w:adjustRightInd w:val="0"/>
        <w:snapToGrid w:val="0"/>
        <w:spacing w:line="500" w:lineRule="exact"/>
        <w:rPr>
          <w:rFonts w:ascii="仿宋_GB2312" w:hAnsi="宋体" w:eastAsia="仿宋_GB2312" w:cs="宋体"/>
          <w:kern w:val="0"/>
          <w:szCs w:val="21"/>
        </w:rPr>
        <w:sectPr>
          <w:pgSz w:w="11906" w:h="16838"/>
          <w:pgMar w:top="2098" w:right="1474" w:bottom="1701" w:left="1588" w:header="851" w:footer="992" w:gutter="0"/>
          <w:cols w:space="720" w:num="1"/>
          <w:docGrid w:linePitch="312" w:charSpace="0"/>
        </w:sectPr>
      </w:pPr>
    </w:p>
    <w:p>
      <w:pPr>
        <w:adjustRightInd w:val="0"/>
        <w:snapToGrid w:val="0"/>
        <w:spacing w:line="500" w:lineRule="exact"/>
        <w:rPr>
          <w:rFonts w:ascii="仿宋_GB2312" w:hAnsi="宋体" w:eastAsia="仿宋_GB2312" w:cs="宋体"/>
          <w:kern w:val="0"/>
          <w:szCs w:val="21"/>
        </w:rPr>
      </w:pPr>
      <w:r>
        <w:rPr>
          <w:rFonts w:hint="eastAsia" w:ascii="仿宋_GB2312" w:hAnsi="宋体" w:eastAsia="仿宋_GB2312" w:cs="宋体"/>
          <w:kern w:val="0"/>
          <w:szCs w:val="21"/>
        </w:rPr>
        <w:t>格式文件-封面</w:t>
      </w:r>
    </w:p>
    <w:p>
      <w:pPr>
        <w:adjustRightInd w:val="0"/>
        <w:snapToGrid w:val="0"/>
        <w:spacing w:line="52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投标文件封面及密封包装封面</w:t>
      </w:r>
    </w:p>
    <w:p>
      <w:pPr>
        <w:adjustRightInd w:val="0"/>
        <w:snapToGrid w:val="0"/>
        <w:spacing w:line="560" w:lineRule="exact"/>
        <w:jc w:val="center"/>
      </w:pPr>
      <w:r>
        <w:rPr>
          <w:rFonts w:hint="eastAsia" w:ascii="仿宋_GB2312" w:hAnsi="宋体" w:eastAsia="仿宋_GB2312"/>
          <w:b/>
          <w:color w:val="000000"/>
          <w:sz w:val="36"/>
          <w:szCs w:val="36"/>
        </w:rPr>
        <w:t>正（副）本                         (公开招标)</w:t>
      </w:r>
    </w:p>
    <w:p>
      <w:pPr>
        <w:adjustRightInd w:val="0"/>
        <w:snapToGrid w:val="0"/>
        <w:spacing w:line="560" w:lineRule="exact"/>
      </w:pPr>
    </w:p>
    <w:p>
      <w:pPr>
        <w:adjustRightInd w:val="0"/>
        <w:snapToGrid w:val="0"/>
        <w:spacing w:line="500" w:lineRule="exact"/>
        <w:jc w:val="center"/>
        <w:rPr>
          <w:rFonts w:ascii="华文中宋" w:hAnsi="华文中宋" w:eastAsia="华文中宋"/>
          <w:b/>
          <w:bCs/>
          <w:sz w:val="52"/>
          <w:szCs w:val="52"/>
        </w:rPr>
      </w:pPr>
      <w:r>
        <w:rPr>
          <w:rFonts w:hint="eastAsia" w:ascii="华文中宋" w:hAnsi="华文中宋" w:eastAsia="华文中宋"/>
          <w:b/>
          <w:bCs/>
          <w:sz w:val="52"/>
          <w:szCs w:val="52"/>
        </w:rPr>
        <w:t>杭州东站枢纽区域综合养护服务项目</w:t>
      </w:r>
    </w:p>
    <w:p>
      <w:pPr>
        <w:adjustRightInd w:val="0"/>
        <w:snapToGrid w:val="0"/>
        <w:spacing w:line="56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（项目编号：SCCG2021-GK-12 ）</w:t>
      </w:r>
    </w:p>
    <w:p>
      <w:pPr>
        <w:tabs>
          <w:tab w:val="left" w:pos="5954"/>
        </w:tabs>
        <w:adjustRightInd w:val="0"/>
        <w:snapToGrid w:val="0"/>
        <w:spacing w:line="56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（资格文件/报价文件/商务技术文件/数据电文）</w:t>
      </w:r>
    </w:p>
    <w:p>
      <w:pPr>
        <w:adjustRightInd w:val="0"/>
        <w:snapToGrid w:val="0"/>
        <w:spacing w:before="240" w:beforeLines="100" w:after="240" w:afterLines="100" w:line="560" w:lineRule="exact"/>
        <w:jc w:val="center"/>
        <w:rPr>
          <w:rFonts w:ascii="仿宋_GB2312" w:hAnsi="宋体" w:eastAsia="仿宋_GB2312"/>
          <w:b/>
          <w:color w:val="000000"/>
        </w:rPr>
      </w:pPr>
    </w:p>
    <w:p>
      <w:pPr>
        <w:adjustRightInd w:val="0"/>
        <w:snapToGrid w:val="0"/>
        <w:spacing w:before="240" w:beforeLines="100" w:after="240" w:afterLines="100" w:line="560" w:lineRule="exact"/>
        <w:ind w:firstLine="1240" w:firstLineChars="588"/>
        <w:rPr>
          <w:rFonts w:ascii="仿宋_GB2312" w:hAnsi="宋体" w:eastAsia="仿宋_GB2312"/>
          <w:b/>
          <w:color w:val="000000"/>
        </w:rPr>
      </w:pPr>
    </w:p>
    <w:p>
      <w:pPr>
        <w:adjustRightInd w:val="0"/>
        <w:snapToGrid w:val="0"/>
        <w:spacing w:before="240" w:beforeLines="100" w:after="240" w:afterLines="100" w:line="560" w:lineRule="exact"/>
        <w:ind w:firstLine="1240" w:firstLineChars="588"/>
        <w:rPr>
          <w:rFonts w:ascii="仿宋_GB2312" w:hAnsi="宋体" w:eastAsia="仿宋_GB2312"/>
          <w:b/>
          <w:color w:val="000000"/>
          <w:u w:val="thick"/>
        </w:rPr>
      </w:pPr>
      <w:r>
        <w:rPr>
          <w:rFonts w:hint="eastAsia" w:ascii="仿宋_GB2312" w:hAnsi="宋体" w:eastAsia="仿宋_GB2312"/>
          <w:b/>
          <w:color w:val="000000"/>
        </w:rPr>
        <w:t>投标人名称:</w:t>
      </w:r>
      <w:r>
        <w:rPr>
          <w:rFonts w:hint="eastAsia" w:ascii="仿宋_GB2312" w:hAnsi="宋体" w:eastAsia="仿宋_GB2312"/>
          <w:b/>
          <w:color w:val="000000"/>
          <w:u w:val="thick"/>
        </w:rPr>
        <w:t xml:space="preserve">                      </w:t>
      </w:r>
      <w:r>
        <w:rPr>
          <w:rFonts w:hint="eastAsia" w:ascii="仿宋_GB2312" w:hAnsi="宋体" w:eastAsia="仿宋_GB2312"/>
          <w:b/>
          <w:color w:val="000000"/>
        </w:rPr>
        <w:t xml:space="preserve"> (加盖公章)</w:t>
      </w:r>
    </w:p>
    <w:p>
      <w:pPr>
        <w:adjustRightInd w:val="0"/>
        <w:snapToGrid w:val="0"/>
        <w:spacing w:before="240" w:beforeLines="100" w:after="240" w:afterLines="100" w:line="560" w:lineRule="exact"/>
        <w:ind w:firstLine="1240" w:firstLineChars="588"/>
        <w:rPr>
          <w:rFonts w:ascii="仿宋_GB2312" w:hAnsi="宋体" w:eastAsia="仿宋_GB2312"/>
          <w:b/>
          <w:color w:val="000000"/>
          <w:u w:val="thick"/>
        </w:rPr>
      </w:pPr>
      <w:r>
        <w:rPr>
          <w:rFonts w:hint="eastAsia" w:ascii="仿宋_GB2312" w:hAnsi="宋体" w:eastAsia="仿宋_GB2312"/>
          <w:b/>
          <w:color w:val="000000"/>
        </w:rPr>
        <w:t>投标人地址:</w:t>
      </w:r>
      <w:r>
        <w:rPr>
          <w:rFonts w:hint="eastAsia" w:ascii="仿宋_GB2312" w:hAnsi="宋体" w:eastAsia="仿宋_GB2312"/>
          <w:b/>
          <w:color w:val="000000"/>
          <w:u w:val="thick"/>
        </w:rPr>
        <w:t xml:space="preserve">                  </w:t>
      </w:r>
      <w:r>
        <w:rPr>
          <w:rFonts w:hint="eastAsia" w:ascii="仿宋_GB2312" w:hAnsi="宋体" w:eastAsia="仿宋_GB2312"/>
          <w:b/>
          <w:color w:val="000000"/>
        </w:rPr>
        <w:t>邮编:</w:t>
      </w:r>
      <w:r>
        <w:rPr>
          <w:rFonts w:hint="eastAsia" w:ascii="仿宋_GB2312" w:hAnsi="宋体" w:eastAsia="仿宋_GB2312"/>
          <w:b/>
          <w:color w:val="000000"/>
          <w:u w:val="thick"/>
        </w:rPr>
        <w:t xml:space="preserve">           </w:t>
      </w:r>
    </w:p>
    <w:p>
      <w:pPr>
        <w:adjustRightInd w:val="0"/>
        <w:snapToGrid w:val="0"/>
        <w:spacing w:before="240" w:beforeLines="100" w:after="240" w:afterLines="100" w:line="560" w:lineRule="exact"/>
        <w:ind w:firstLine="1240" w:firstLineChars="588"/>
        <w:rPr>
          <w:rFonts w:ascii="仿宋_GB2312" w:hAnsi="宋体" w:eastAsia="仿宋_GB2312"/>
          <w:b/>
          <w:color w:val="000000"/>
          <w:u w:val="thick"/>
        </w:rPr>
      </w:pPr>
      <w:r>
        <w:rPr>
          <w:rFonts w:hint="eastAsia" w:ascii="仿宋_GB2312" w:hAnsi="宋体" w:eastAsia="仿宋_GB2312"/>
          <w:b/>
          <w:color w:val="000000"/>
        </w:rPr>
        <w:t>投标联系人:</w:t>
      </w:r>
      <w:r>
        <w:rPr>
          <w:rFonts w:hint="eastAsia" w:ascii="仿宋_GB2312" w:hAnsi="宋体" w:eastAsia="仿宋_GB2312"/>
          <w:b/>
          <w:color w:val="000000"/>
          <w:u w:val="thick"/>
        </w:rPr>
        <w:t xml:space="preserve">               </w:t>
      </w:r>
      <w:r>
        <w:rPr>
          <w:rFonts w:hint="eastAsia" w:ascii="仿宋_GB2312" w:hAnsi="宋体" w:eastAsia="仿宋_GB2312"/>
          <w:b/>
          <w:color w:val="000000"/>
        </w:rPr>
        <w:t xml:space="preserve">电话: </w:t>
      </w:r>
      <w:r>
        <w:rPr>
          <w:rFonts w:hint="eastAsia" w:ascii="仿宋_GB2312" w:hAnsi="宋体" w:eastAsia="仿宋_GB2312"/>
          <w:b/>
          <w:color w:val="000000"/>
          <w:u w:val="thick"/>
        </w:rPr>
        <w:t xml:space="preserve">              </w:t>
      </w:r>
    </w:p>
    <w:p>
      <w:pPr>
        <w:adjustRightInd w:val="0"/>
        <w:snapToGrid w:val="0"/>
        <w:spacing w:line="560" w:lineRule="exact"/>
        <w:rPr>
          <w:rFonts w:ascii="仿宋_GB2312" w:hAnsi="宋体" w:eastAsia="仿宋_GB2312" w:cs="仿宋_GB2312"/>
          <w:b/>
          <w:bCs/>
          <w:color w:val="000000"/>
          <w:kern w:val="0"/>
          <w:sz w:val="36"/>
          <w:szCs w:val="36"/>
        </w:rPr>
      </w:pPr>
      <w:r>
        <w:rPr>
          <w:rFonts w:hint="eastAsia" w:ascii="仿宋_GB2312" w:hAnsi="宋体" w:eastAsia="仿宋_GB2312"/>
          <w:b/>
          <w:color w:val="000000"/>
        </w:rPr>
        <w:t xml:space="preserve">            启封时间: </w:t>
      </w:r>
      <w:r>
        <w:rPr>
          <w:rFonts w:hint="eastAsia" w:ascii="仿宋_GB2312" w:hAnsi="宋体" w:eastAsia="仿宋_GB2312"/>
          <w:b/>
          <w:color w:val="000000"/>
          <w:u w:val="thick"/>
        </w:rPr>
        <w:t>在      年  月  日  时  分  秒前不得启封</w:t>
      </w:r>
    </w:p>
    <w:p>
      <w:pPr>
        <w:pStyle w:val="2"/>
        <w:ind w:firstLine="0" w:firstLineChars="0"/>
        <w:jc w:val="center"/>
      </w:pPr>
    </w:p>
    <w:p>
      <w:pPr>
        <w:pStyle w:val="2"/>
        <w:ind w:firstLine="0" w:firstLineChars="0"/>
        <w:rPr>
          <w:rFonts w:ascii="仿宋_GB2312" w:hAnsi="宋体" w:eastAsia="仿宋_GB2312" w:cs="宋体"/>
        </w:rPr>
        <w:sectPr>
          <w:pgSz w:w="11906" w:h="16838"/>
          <w:pgMar w:top="2098" w:right="1474" w:bottom="1701" w:left="1588" w:header="851" w:footer="992" w:gutter="0"/>
          <w:cols w:space="720" w:num="1"/>
          <w:docGrid w:linePitch="312" w:charSpace="0"/>
        </w:sectPr>
      </w:pPr>
    </w:p>
    <w:p>
      <w:pPr>
        <w:adjustRightInd w:val="0"/>
        <w:snapToGrid w:val="0"/>
        <w:spacing w:line="500" w:lineRule="exact"/>
        <w:jc w:val="center"/>
        <w:rPr>
          <w:rFonts w:ascii="华文中宋" w:hAnsi="华文中宋" w:eastAsia="华文中宋"/>
          <w:b/>
          <w:bCs/>
          <w:sz w:val="52"/>
          <w:szCs w:val="52"/>
        </w:rPr>
      </w:pPr>
      <w:r>
        <w:rPr>
          <w:rFonts w:hint="eastAsia" w:ascii="华文中宋" w:hAnsi="华文中宋" w:eastAsia="华文中宋"/>
          <w:b/>
          <w:bCs/>
          <w:sz w:val="52"/>
          <w:szCs w:val="52"/>
        </w:rPr>
        <w:t>资格文件/报价文件/商务技术文件</w:t>
      </w:r>
    </w:p>
    <w:p>
      <w:pPr>
        <w:pStyle w:val="2"/>
        <w:ind w:firstLine="3120" w:firstLineChars="650"/>
        <w:rPr>
          <w:rFonts w:ascii="华文中宋" w:hAnsi="华文中宋" w:eastAsia="华文中宋" w:cs="宋体"/>
          <w:color w:val="000000"/>
          <w:sz w:val="48"/>
          <w:szCs w:val="48"/>
        </w:rPr>
      </w:pPr>
      <w:r>
        <w:rPr>
          <w:rFonts w:hint="eastAsia" w:ascii="华文中宋" w:hAnsi="华文中宋" w:eastAsia="华文中宋" w:cs="宋体"/>
          <w:color w:val="000000"/>
          <w:sz w:val="48"/>
          <w:szCs w:val="48"/>
        </w:rPr>
        <w:t>目  录</w:t>
      </w:r>
    </w:p>
    <w:p>
      <w:pPr>
        <w:pStyle w:val="2"/>
        <w:ind w:firstLine="643"/>
        <w:rPr>
          <w:rFonts w:ascii="仿宋_GB2312" w:hAnsi="宋体" w:eastAsia="仿宋_GB2312" w:cs="仿宋_GB2312"/>
          <w:b/>
          <w:bCs/>
          <w:color w:val="FF0000"/>
          <w:kern w:val="0"/>
          <w:sz w:val="32"/>
          <w:szCs w:val="32"/>
        </w:rPr>
      </w:pPr>
    </w:p>
    <w:p>
      <w:pPr>
        <w:pStyle w:val="2"/>
        <w:ind w:firstLine="643"/>
        <w:rPr>
          <w:rFonts w:ascii="仿宋_GB2312" w:hAnsi="宋体" w:eastAsia="仿宋_GB2312" w:cs="仿宋_GB2312"/>
          <w:b/>
          <w:bCs/>
          <w:color w:val="FF0000"/>
          <w:kern w:val="0"/>
          <w:sz w:val="32"/>
          <w:szCs w:val="32"/>
        </w:rPr>
      </w:pPr>
    </w:p>
    <w:p>
      <w:pPr>
        <w:pStyle w:val="2"/>
        <w:ind w:firstLine="643"/>
      </w:pPr>
      <w:r>
        <w:rPr>
          <w:rFonts w:hint="eastAsia" w:ascii="仿宋_GB2312" w:hAnsi="宋体" w:eastAsia="仿宋_GB2312" w:cs="仿宋_GB2312"/>
          <w:b/>
          <w:bCs/>
          <w:color w:val="FF0000"/>
          <w:kern w:val="0"/>
          <w:sz w:val="32"/>
          <w:szCs w:val="32"/>
        </w:rPr>
        <w:t>请投标人根据对应文件组成部分的所需应包括的内容，分别拟定目录，并放于对应的文件内。</w:t>
      </w:r>
    </w:p>
    <w:p>
      <w:pPr>
        <w:adjustRightInd w:val="0"/>
        <w:snapToGrid w:val="0"/>
        <w:spacing w:line="500" w:lineRule="exact"/>
        <w:rPr>
          <w:rFonts w:ascii="仿宋_GB2312" w:hAnsi="宋体" w:eastAsia="仿宋_GB2312" w:cs="宋体"/>
          <w:kern w:val="0"/>
          <w:szCs w:val="21"/>
        </w:rPr>
      </w:pPr>
      <w:r>
        <w:rPr>
          <w:rFonts w:ascii="仿宋_GB2312" w:hAnsi="宋体" w:eastAsia="仿宋_GB2312" w:cs="宋体"/>
          <w:kern w:val="0"/>
          <w:szCs w:val="21"/>
        </w:rPr>
        <w:br w:type="page"/>
      </w:r>
      <w:r>
        <w:rPr>
          <w:rFonts w:hint="eastAsia" w:ascii="仿宋_GB2312" w:hAnsi="宋体" w:eastAsia="仿宋_GB2312" w:cs="宋体"/>
          <w:kern w:val="0"/>
          <w:szCs w:val="21"/>
        </w:rPr>
        <w:t>格式文件1.1</w:t>
      </w:r>
    </w:p>
    <w:p>
      <w:pPr>
        <w:adjustRightInd w:val="0"/>
        <w:snapToGrid w:val="0"/>
        <w:spacing w:line="520" w:lineRule="exact"/>
        <w:ind w:firstLine="643" w:firstLineChars="200"/>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授权委托书</w:t>
      </w:r>
    </w:p>
    <w:p>
      <w:pPr>
        <w:adjustRightInd w:val="0"/>
        <w:snapToGrid w:val="0"/>
        <w:spacing w:line="500" w:lineRule="exact"/>
        <w:rPr>
          <w:rFonts w:ascii="仿宋_GB2312" w:hAnsi="宋体" w:eastAsia="仿宋_GB2312" w:cs="仿宋_GB2312"/>
          <w:sz w:val="24"/>
        </w:rPr>
      </w:pPr>
      <w:r>
        <w:rPr>
          <w:rFonts w:hint="eastAsia" w:ascii="仿宋_GB2312" w:hAnsi="宋体" w:eastAsia="仿宋_GB2312" w:cs="宋体"/>
          <w:kern w:val="0"/>
          <w:sz w:val="24"/>
        </w:rPr>
        <w:t>杭州东站枢纽管理委员会</w:t>
      </w:r>
      <w:r>
        <w:rPr>
          <w:rFonts w:hint="eastAsia" w:ascii="仿宋_GB2312" w:hAnsi="宋体" w:eastAsia="仿宋_GB2312" w:cs="仿宋_GB2312"/>
          <w:sz w:val="24"/>
        </w:rPr>
        <w:t>、</w:t>
      </w:r>
      <w:r>
        <w:rPr>
          <w:rFonts w:hint="eastAsia" w:ascii="仿宋_GB2312" w:hAnsi="宋体" w:eastAsia="仿宋_GB2312" w:cs="仿宋_GB2312"/>
          <w:kern w:val="0"/>
          <w:sz w:val="24"/>
          <w:lang w:val="zh-CN"/>
        </w:rPr>
        <w:t>杭州市公共资源交易中心上城分中心：</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兹委派我公司        先生/女士（其在本公司的职务是：      ，联系电话：</w:t>
      </w:r>
    </w:p>
    <w:p>
      <w:pPr>
        <w:adjustRightInd w:val="0"/>
        <w:snapToGrid w:val="0"/>
        <w:spacing w:line="500" w:lineRule="exact"/>
        <w:ind w:firstLine="1473" w:firstLineChars="6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手机：           传真：           身份证号：                ）代表我公司全权处理项目(项目编号：          )的一切事项，若成交则全权代表本公司签订合同，并负责处理合同履行等事宜。</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在撤销授权的书面通知以前，本授权书一直有效。被授权人在授权书有效期内签署的所有文件不因授权的撤销而失效。</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被授权人无转委托权，特此委托。</w:t>
      </w:r>
    </w:p>
    <w:p>
      <w:pPr>
        <w:spacing w:line="500" w:lineRule="exact"/>
        <w:rPr>
          <w:rFonts w:ascii="仿宋_GB2312" w:hAnsi="宋体" w:eastAsia="仿宋_GB2312" w:cs="仿宋_GB2312"/>
          <w:kern w:val="0"/>
          <w:sz w:val="24"/>
          <w:lang w:val="zh-CN"/>
        </w:rPr>
      </w:pP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特此告知。</w:t>
      </w:r>
    </w:p>
    <w:p>
      <w:pPr>
        <w:spacing w:line="500" w:lineRule="exact"/>
        <w:ind w:firstLine="4560" w:firstLineChars="19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投标人名称（公章）：</w:t>
      </w:r>
    </w:p>
    <w:p>
      <w:pPr>
        <w:spacing w:line="500" w:lineRule="exact"/>
        <w:ind w:left="5390" w:leftChars="1824" w:hanging="1560" w:hangingChars="65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 xml:space="preserve">法定代表人（签字或盖章）： </w:t>
      </w:r>
    </w:p>
    <w:p>
      <w:pPr>
        <w:spacing w:line="500" w:lineRule="exact"/>
        <w:ind w:right="720"/>
        <w:jc w:val="center"/>
      </w:pPr>
      <w:r>
        <w:rPr>
          <w:rFonts w:hint="eastAsia" w:ascii="仿宋_GB2312" w:hAnsi="宋体" w:eastAsia="仿宋_GB2312" w:cs="仿宋_GB2312"/>
          <w:kern w:val="0"/>
          <w:sz w:val="24"/>
          <w:lang w:val="zh-CN"/>
        </w:rPr>
        <w:t xml:space="preserve">                                    日期：    年  月  日</w:t>
      </w:r>
    </w:p>
    <w:p>
      <w:pPr>
        <w:pStyle w:val="2"/>
      </w:pPr>
    </w:p>
    <w:p>
      <w:pPr>
        <w:pStyle w:val="2"/>
      </w:pPr>
    </w:p>
    <w:p>
      <w:pPr>
        <w:spacing w:line="500" w:lineRule="exact"/>
        <w:rPr>
          <w:rFonts w:ascii="仿宋_GB2312" w:hAnsi="宋体" w:eastAsia="仿宋_GB2312"/>
          <w:b/>
        </w:rPr>
      </w:pPr>
      <w:r>
        <w:rPr>
          <w:rFonts w:hint="eastAsia" w:ascii="仿宋_GB2312" w:hAnsi="宋体" w:eastAsia="仿宋_GB2312"/>
          <w:b/>
        </w:rPr>
        <w:t>附：（有则填写）</w:t>
      </w:r>
    </w:p>
    <w:p>
      <w:pPr>
        <w:adjustRightInd w:val="0"/>
        <w:snapToGrid w:val="0"/>
        <w:spacing w:line="500" w:lineRule="exact"/>
      </w:pPr>
      <w:r>
        <w:rPr>
          <w:rFonts w:hint="eastAsia" w:ascii="仿宋_GB2312" w:hAnsi="宋体" w:eastAsia="仿宋_GB2312"/>
          <w:b/>
        </w:rPr>
        <w:t>另委派我公司             先生/女士（其在本公司的职务是：      ，联系电话：         手机：           传真：           身份证号：                ）作为技术（或其他请具体说明）人员，陪同参与本次项目开评标。</w:t>
      </w:r>
    </w:p>
    <w:p>
      <w:pPr>
        <w:adjustRightInd w:val="0"/>
        <w:snapToGrid w:val="0"/>
        <w:spacing w:line="500" w:lineRule="exact"/>
        <w:jc w:val="center"/>
        <w:rPr>
          <w:rFonts w:ascii="仿宋_GB2312" w:hAnsi="仿宋" w:eastAsia="仿宋_GB2312" w:cs="仿宋_GB2312"/>
          <w:b/>
          <w:sz w:val="32"/>
          <w:szCs w:val="32"/>
          <w:lang w:val="zh-CN"/>
        </w:rPr>
      </w:pPr>
    </w:p>
    <w:p>
      <w:pPr>
        <w:adjustRightInd w:val="0"/>
        <w:snapToGrid w:val="0"/>
        <w:spacing w:line="500" w:lineRule="exact"/>
        <w:jc w:val="left"/>
        <w:rPr>
          <w:rFonts w:ascii="仿宋_GB2312" w:hAnsi="宋体" w:eastAsia="仿宋_GB2312" w:cs="宋体"/>
          <w:kern w:val="0"/>
          <w:szCs w:val="21"/>
        </w:rPr>
      </w:pPr>
      <w:r>
        <w:rPr>
          <w:rFonts w:hint="eastAsia" w:ascii="仿宋_GB2312" w:hAnsi="仿宋" w:eastAsia="仿宋_GB2312" w:cs="仿宋_GB2312"/>
          <w:b/>
          <w:color w:val="FF0000"/>
          <w:sz w:val="32"/>
          <w:szCs w:val="32"/>
          <w:lang w:val="zh-CN"/>
        </w:rPr>
        <w:t>（请附法定代表人及授权代表身份证正反面复印件）</w:t>
      </w:r>
      <w:r>
        <w:rPr>
          <w:rFonts w:ascii="仿宋_GB2312" w:hAnsi="宋体" w:eastAsia="仿宋_GB2312" w:cs="宋体"/>
          <w:kern w:val="0"/>
          <w:szCs w:val="21"/>
        </w:rPr>
        <w:br w:type="page"/>
      </w:r>
      <w:r>
        <w:rPr>
          <w:rFonts w:hint="eastAsia" w:ascii="仿宋_GB2312" w:hAnsi="宋体" w:eastAsia="仿宋_GB2312" w:cs="宋体"/>
          <w:kern w:val="0"/>
          <w:szCs w:val="21"/>
        </w:rPr>
        <w:t>格式文件1.2</w:t>
      </w:r>
    </w:p>
    <w:p>
      <w:pPr>
        <w:adjustRightInd w:val="0"/>
        <w:snapToGrid w:val="0"/>
        <w:spacing w:line="520" w:lineRule="exact"/>
        <w:ind w:firstLine="643" w:firstLineChars="200"/>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法人资格证明（如有）</w:t>
      </w:r>
    </w:p>
    <w:p>
      <w:pPr>
        <w:adjustRightInd w:val="0"/>
        <w:snapToGrid w:val="0"/>
        <w:spacing w:line="500" w:lineRule="exact"/>
        <w:rPr>
          <w:rFonts w:ascii="仿宋_GB2312" w:hAnsi="宋体" w:eastAsia="仿宋_GB2312" w:cs="仿宋_GB2312"/>
          <w:sz w:val="24"/>
        </w:rPr>
      </w:pPr>
      <w:r>
        <w:rPr>
          <w:rFonts w:hint="eastAsia" w:ascii="仿宋_GB2312" w:hAnsi="宋体" w:eastAsia="仿宋_GB2312" w:cs="宋体"/>
          <w:kern w:val="0"/>
          <w:sz w:val="24"/>
        </w:rPr>
        <w:t>杭州东站枢纽管理委员会</w:t>
      </w:r>
      <w:r>
        <w:rPr>
          <w:rFonts w:hint="eastAsia" w:ascii="仿宋_GB2312" w:hAnsi="宋体" w:eastAsia="仿宋_GB2312" w:cs="仿宋_GB2312"/>
          <w:sz w:val="24"/>
        </w:rPr>
        <w:t>、</w:t>
      </w:r>
      <w:r>
        <w:rPr>
          <w:rFonts w:hint="eastAsia" w:ascii="仿宋_GB2312" w:hAnsi="宋体" w:eastAsia="仿宋_GB2312" w:cs="仿宋_GB2312"/>
          <w:kern w:val="0"/>
          <w:sz w:val="24"/>
          <w:lang w:val="zh-CN"/>
        </w:rPr>
        <w:t>杭州市公共资源交易中心上城分中心：</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兹证明，      先生/女士（其在本公司的职务是：   ，联系电话：  ，手机：   ；身份证号：  ），为我单位法定代表人。</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特此证明。</w:t>
      </w:r>
    </w:p>
    <w:p>
      <w:pPr>
        <w:pStyle w:val="2"/>
        <w:rPr>
          <w:lang w:val="zh-CN"/>
        </w:rPr>
      </w:pPr>
    </w:p>
    <w:p>
      <w:pPr>
        <w:pStyle w:val="2"/>
        <w:rPr>
          <w:lang w:val="zh-CN"/>
        </w:rPr>
      </w:pPr>
    </w:p>
    <w:p>
      <w:pPr>
        <w:pStyle w:val="2"/>
        <w:rPr>
          <w:lang w:val="zh-CN"/>
        </w:rPr>
      </w:pPr>
    </w:p>
    <w:p>
      <w:pPr>
        <w:spacing w:line="500" w:lineRule="exact"/>
        <w:ind w:firstLine="4560" w:firstLineChars="19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投标人名称（公章）：</w:t>
      </w:r>
    </w:p>
    <w:p>
      <w:pPr>
        <w:spacing w:line="500" w:lineRule="exact"/>
        <w:ind w:firstLine="4560" w:firstLineChars="19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日期：    年  月  日</w:t>
      </w:r>
    </w:p>
    <w:p>
      <w:pPr>
        <w:adjustRightInd w:val="0"/>
        <w:snapToGrid w:val="0"/>
        <w:spacing w:line="500" w:lineRule="exact"/>
        <w:rPr>
          <w:rFonts w:ascii="仿宋_GB2312" w:hAnsi="宋体" w:eastAsia="仿宋_GB2312" w:cs="宋体"/>
          <w:kern w:val="0"/>
          <w:szCs w:val="21"/>
        </w:rPr>
      </w:pPr>
    </w:p>
    <w:p>
      <w:pPr>
        <w:adjustRightInd w:val="0"/>
        <w:snapToGrid w:val="0"/>
        <w:spacing w:line="520" w:lineRule="exact"/>
        <w:ind w:firstLine="643" w:firstLineChars="200"/>
        <w:jc w:val="center"/>
        <w:rPr>
          <w:rFonts w:ascii="仿宋_GB2312" w:hAnsi="仿宋" w:eastAsia="仿宋_GB2312" w:cs="仿宋_GB2312"/>
          <w:b/>
          <w:color w:val="FF0000"/>
          <w:sz w:val="32"/>
          <w:szCs w:val="32"/>
          <w:lang w:val="zh-CN"/>
        </w:rPr>
      </w:pPr>
      <w:r>
        <w:rPr>
          <w:rFonts w:hint="eastAsia" w:ascii="仿宋_GB2312" w:hAnsi="仿宋" w:eastAsia="仿宋_GB2312" w:cs="仿宋_GB2312"/>
          <w:b/>
          <w:color w:val="FF0000"/>
          <w:sz w:val="32"/>
          <w:szCs w:val="32"/>
          <w:lang w:val="zh-CN"/>
        </w:rPr>
        <w:t>（请附法定代表人身份证正反面复印件）</w:t>
      </w:r>
    </w:p>
    <w:p>
      <w:pPr>
        <w:adjustRightInd w:val="0"/>
        <w:snapToGrid w:val="0"/>
        <w:spacing w:line="500" w:lineRule="exact"/>
        <w:rPr>
          <w:rFonts w:ascii="仿宋_GB2312" w:hAnsi="宋体" w:eastAsia="仿宋_GB2312" w:cs="宋体"/>
          <w:kern w:val="0"/>
          <w:szCs w:val="21"/>
        </w:rPr>
      </w:pPr>
      <w:r>
        <w:rPr>
          <w:rFonts w:ascii="仿宋_GB2312" w:hAnsi="宋体" w:eastAsia="仿宋_GB2312" w:cs="宋体"/>
          <w:kern w:val="0"/>
          <w:szCs w:val="21"/>
        </w:rPr>
        <w:br w:type="page"/>
      </w:r>
      <w:r>
        <w:rPr>
          <w:rFonts w:hint="eastAsia" w:ascii="仿宋_GB2312" w:hAnsi="宋体" w:eastAsia="仿宋_GB2312" w:cs="宋体"/>
          <w:kern w:val="0"/>
          <w:szCs w:val="21"/>
        </w:rPr>
        <w:t>格式文件1.3</w:t>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联合体协议（如有）</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各方经协商一致，决定组成一个联合体，以一个投标人的身份就杭州市公共资源交易中心组织实施的</w:t>
      </w:r>
      <w:r>
        <w:rPr>
          <w:rFonts w:hint="eastAsia" w:ascii="仿宋_GB2312" w:hAnsi="宋体" w:eastAsia="仿宋_GB2312" w:cs="仿宋_GB2312"/>
          <w:kern w:val="0"/>
          <w:sz w:val="24"/>
          <w:lang w:val="zh-CN"/>
        </w:rPr>
        <w:t>项目</w:t>
      </w:r>
      <w:r>
        <w:rPr>
          <w:rFonts w:hint="eastAsia" w:ascii="仿宋_GB2312" w:hAnsi="仿宋" w:eastAsia="仿宋_GB2312" w:cs="仿宋_GB2312"/>
          <w:kern w:val="0"/>
          <w:sz w:val="24"/>
          <w:lang w:val="zh-CN"/>
        </w:rPr>
        <w:t>（招标编号：）共同投标。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w:t>
      </w:r>
      <w:r>
        <w:rPr>
          <w:rFonts w:hint="eastAsia" w:ascii="仿宋_GB2312" w:hAnsi="仿宋" w:eastAsia="仿宋_GB2312" w:cs="Arial"/>
          <w:sz w:val="24"/>
          <w:u w:val="single"/>
        </w:rPr>
        <w:t xml:space="preserve">    </w:t>
      </w:r>
      <w:r>
        <w:rPr>
          <w:rFonts w:hint="eastAsia" w:ascii="仿宋_GB2312" w:hAnsi="仿宋" w:eastAsia="仿宋_GB2312" w:cs="Arial"/>
          <w:sz w:val="24"/>
        </w:rPr>
        <w:t>方为牵头人，代表所有联合体成员负责投标和合同实施阶段的主办、协调工作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所有联合体成员各方法定代表人签署授权书，授权书载明的</w:t>
      </w:r>
      <w:r>
        <w:rPr>
          <w:rFonts w:hint="eastAsia" w:ascii="仿宋_GB2312" w:hAnsi="仿宋" w:eastAsia="仿宋_GB2312" w:cs="仿宋_GB2312"/>
          <w:kern w:val="0"/>
          <w:sz w:val="24"/>
          <w:lang w:val="zh-CN"/>
        </w:rPr>
        <w:t>被授权人根据招标文件规定及投标内容而对采购人、采购机构所作的任何合法承诺，包括书面澄清及相应等均对联合投标各方产生约束力。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；乙方承担的工作和义务为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甲方单位（公章）：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 乙方单位（公章）：</w:t>
      </w:r>
    </w:p>
    <w:p>
      <w:pPr>
        <w:tabs>
          <w:tab w:val="left" w:pos="5245"/>
        </w:tabs>
        <w:snapToGrid w:val="0"/>
        <w:spacing w:line="360" w:lineRule="auto"/>
        <w:ind w:firstLine="566" w:firstLineChars="236"/>
        <w:rPr>
          <w:rFonts w:ascii="仿宋_GB2312" w:hAnsi="宋体" w:eastAsia="仿宋_GB2312" w:cs="宋体"/>
          <w:kern w:val="0"/>
          <w:szCs w:val="21"/>
        </w:rPr>
        <w:sectPr>
          <w:pgSz w:w="11906" w:h="16838"/>
          <w:pgMar w:top="2098" w:right="1474" w:bottom="1701" w:left="1588" w:header="851" w:footer="992" w:gutter="0"/>
          <w:cols w:space="720" w:num="1"/>
          <w:docGrid w:linePitch="312" w:charSpace="0"/>
        </w:sectPr>
      </w:pPr>
      <w:r>
        <w:rPr>
          <w:rFonts w:hint="eastAsia" w:ascii="仿宋_GB2312" w:hAnsi="仿宋" w:eastAsia="仿宋_GB2312" w:cs="仿宋_GB2312"/>
          <w:kern w:val="0"/>
          <w:sz w:val="24"/>
          <w:lang w:val="zh-CN"/>
        </w:rPr>
        <w:t xml:space="preserve">日期：    年  月  日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djustRightInd w:val="0"/>
        <w:snapToGrid w:val="0"/>
        <w:spacing w:line="500" w:lineRule="exact"/>
        <w:rPr>
          <w:rFonts w:ascii="仿宋_GB2312" w:hAnsi="宋体" w:eastAsia="仿宋_GB2312" w:cs="宋体"/>
          <w:kern w:val="0"/>
          <w:szCs w:val="21"/>
        </w:rPr>
      </w:pPr>
      <w:r>
        <w:rPr>
          <w:rFonts w:hint="eastAsia" w:ascii="仿宋_GB2312" w:hAnsi="宋体" w:eastAsia="仿宋_GB2312" w:cs="宋体"/>
          <w:kern w:val="0"/>
          <w:szCs w:val="21"/>
        </w:rPr>
        <w:t>格式文件1.4</w:t>
      </w:r>
    </w:p>
    <w:p>
      <w:pPr>
        <w:adjustRightInd w:val="0"/>
        <w:snapToGrid w:val="0"/>
        <w:spacing w:line="500" w:lineRule="exact"/>
        <w:jc w:val="center"/>
        <w:rPr>
          <w:rFonts w:ascii="仿宋_GB2312" w:hAnsi="宋体" w:eastAsia="仿宋_GB2312"/>
          <w:b/>
          <w:color w:val="000000"/>
          <w:sz w:val="28"/>
        </w:rPr>
      </w:pPr>
      <w:r>
        <w:rPr>
          <w:rFonts w:hint="eastAsia" w:ascii="仿宋_GB2312" w:hAnsi="宋体" w:eastAsia="仿宋_GB2312"/>
          <w:b/>
          <w:color w:val="000000"/>
          <w:sz w:val="28"/>
        </w:rPr>
        <w:t>具有良好商业信誉特别声明</w:t>
      </w:r>
    </w:p>
    <w:p>
      <w:pPr>
        <w:widowControl/>
        <w:snapToGrid w:val="0"/>
        <w:spacing w:line="500" w:lineRule="exact"/>
        <w:jc w:val="left"/>
        <w:rPr>
          <w:rFonts w:ascii="仿宋_GB2312" w:hAnsi="仿宋" w:eastAsia="仿宋_GB2312" w:cs="仿宋_GB2312"/>
          <w:kern w:val="0"/>
          <w:sz w:val="24"/>
          <w:szCs w:val="20"/>
        </w:rPr>
      </w:pPr>
      <w:r>
        <w:rPr>
          <w:rFonts w:hint="eastAsia" w:ascii="仿宋_GB2312" w:hAnsi="宋体" w:eastAsia="仿宋_GB2312" w:cs="宋体"/>
          <w:kern w:val="0"/>
          <w:sz w:val="24"/>
        </w:rPr>
        <w:t>杭州东站枢纽管理委员会</w:t>
      </w:r>
      <w:r>
        <w:rPr>
          <w:rFonts w:hint="eastAsia" w:ascii="仿宋_GB2312" w:hAnsi="仿宋" w:eastAsia="仿宋_GB2312" w:cs="仿宋_GB2312"/>
          <w:kern w:val="0"/>
          <w:sz w:val="24"/>
          <w:szCs w:val="20"/>
          <w:lang w:val="zh-CN"/>
        </w:rPr>
        <w:t>：</w:t>
      </w:r>
    </w:p>
    <w:p>
      <w:pPr>
        <w:widowControl/>
        <w:snapToGrid w:val="0"/>
        <w:spacing w:line="500" w:lineRule="exact"/>
        <w:ind w:firstLine="480"/>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rPr>
        <w:t>截至投标截止时间，我方具有良好的商业信誉，不存在下列情形（包括但不限于）。否则，我方将承担在资格审查时不被通过的后果。</w:t>
      </w:r>
    </w:p>
    <w:p>
      <w:pPr>
        <w:widowControl/>
        <w:spacing w:line="500" w:lineRule="exact"/>
        <w:ind w:firstLine="495"/>
        <w:jc w:val="left"/>
        <w:rPr>
          <w:rFonts w:ascii="仿宋_GB2312" w:hAnsi="仿宋" w:eastAsia="仿宋_GB2312" w:cs="MT Extra"/>
          <w:kern w:val="0"/>
          <w:sz w:val="24"/>
          <w:szCs w:val="20"/>
        </w:rPr>
      </w:pPr>
      <w:r>
        <w:rPr>
          <w:rFonts w:hint="eastAsia" w:ascii="仿宋_GB2312" w:hAnsi="仿宋" w:eastAsia="仿宋_GB2312" w:cs="MT Extra"/>
          <w:kern w:val="0"/>
          <w:sz w:val="24"/>
          <w:szCs w:val="20"/>
        </w:rPr>
        <w:t>1</w:t>
      </w:r>
      <w:r>
        <w:rPr>
          <w:rFonts w:hint="eastAsia" w:ascii="仿宋_GB2312" w:hAnsi="仿宋" w:eastAsia="仿宋_GB2312" w:cs="仿宋_GB2312"/>
          <w:b/>
          <w:kern w:val="0"/>
          <w:sz w:val="24"/>
        </w:rPr>
        <w:t>、</w:t>
      </w:r>
      <w:r>
        <w:rPr>
          <w:rFonts w:hint="eastAsia" w:ascii="仿宋_GB2312" w:hAnsi="仿宋" w:eastAsia="仿宋_GB2312" w:cs="MT Extra"/>
          <w:kern w:val="0"/>
          <w:sz w:val="24"/>
          <w:szCs w:val="20"/>
        </w:rPr>
        <w:t>按照招标文件规定的信用信息查询渠道及截止时间，经查询列入失信被执行人名单、重大税收违法案件当事人名单、政府采购严重违法失信行为记录名单；</w:t>
      </w:r>
    </w:p>
    <w:p>
      <w:pPr>
        <w:widowControl/>
        <w:tabs>
          <w:tab w:val="left" w:pos="5245"/>
        </w:tabs>
        <w:spacing w:line="500" w:lineRule="exact"/>
        <w:ind w:firstLine="480" w:firstLineChars="200"/>
        <w:jc w:val="left"/>
        <w:rPr>
          <w:rFonts w:ascii="仿宋_GB2312" w:hAnsi="仿宋" w:eastAsia="仿宋_GB2312"/>
          <w:kern w:val="0"/>
          <w:sz w:val="24"/>
          <w:szCs w:val="20"/>
        </w:rPr>
      </w:pPr>
      <w:r>
        <w:rPr>
          <w:rFonts w:hint="eastAsia" w:ascii="仿宋_GB2312" w:hAnsi="仿宋" w:eastAsia="仿宋_GB2312"/>
          <w:kern w:val="0"/>
          <w:sz w:val="24"/>
          <w:szCs w:val="20"/>
        </w:rPr>
        <w:t xml:space="preserve">2、截至投标截止时间，因违反《浙江省政府采购供应商注册及诚信管理暂行办法》而被列入“黑名单”，在处罚有效期内。 </w:t>
      </w:r>
    </w:p>
    <w:p>
      <w:pPr>
        <w:pStyle w:val="2"/>
      </w:pPr>
    </w:p>
    <w:p>
      <w:pPr>
        <w:widowControl/>
        <w:snapToGrid w:val="0"/>
        <w:spacing w:line="500" w:lineRule="exact"/>
        <w:ind w:firstLine="5160" w:firstLineChars="215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_GB2312" w:eastAsia="仿宋_GB2312" w:cs="仿宋_GB2312"/>
          <w:kern w:val="0"/>
          <w:sz w:val="24"/>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pStyle w:val="2"/>
        <w:ind w:firstLine="0" w:firstLineChars="0"/>
        <w:rPr>
          <w:rFonts w:ascii="仿宋_GB2312" w:hAnsi="宋体" w:eastAsia="仿宋_GB2312" w:cs="宋体"/>
        </w:rPr>
      </w:pPr>
      <w:r>
        <w:rPr>
          <w:lang w:val="zh-CN"/>
        </w:rPr>
        <w:br w:type="page"/>
      </w:r>
      <w:r>
        <w:rPr>
          <w:rFonts w:hint="eastAsia" w:ascii="仿宋_GB2312" w:hAnsi="宋体" w:eastAsia="仿宋_GB2312" w:cs="宋体"/>
        </w:rPr>
        <w:t>格式文件1.5</w:t>
      </w:r>
    </w:p>
    <w:p>
      <w:pPr>
        <w:adjustRightInd w:val="0"/>
        <w:snapToGrid w:val="0"/>
        <w:spacing w:line="500" w:lineRule="exact"/>
        <w:jc w:val="center"/>
        <w:rPr>
          <w:rFonts w:ascii="仿宋_GB2312" w:hAnsi="宋体" w:eastAsia="仿宋_GB2312"/>
          <w:b/>
          <w:color w:val="000000"/>
          <w:sz w:val="28"/>
        </w:rPr>
      </w:pPr>
      <w:r>
        <w:rPr>
          <w:rFonts w:hint="eastAsia" w:ascii="仿宋_GB2312" w:hAnsi="宋体" w:eastAsia="仿宋_GB2312"/>
          <w:b/>
          <w:color w:val="000000"/>
          <w:sz w:val="28"/>
        </w:rPr>
        <w:t>具有履行合同所必需的设备和专业技术能力的承诺函</w:t>
      </w:r>
    </w:p>
    <w:p>
      <w:pPr>
        <w:widowControl/>
        <w:snapToGrid w:val="0"/>
        <w:spacing w:line="500" w:lineRule="exact"/>
        <w:jc w:val="left"/>
        <w:rPr>
          <w:rFonts w:ascii="仿宋_GB2312" w:hAnsi="仿宋" w:eastAsia="仿宋_GB2312" w:cs="仿宋_GB2312"/>
          <w:kern w:val="0"/>
          <w:sz w:val="24"/>
          <w:szCs w:val="20"/>
        </w:rPr>
      </w:pPr>
      <w:r>
        <w:rPr>
          <w:rFonts w:hint="eastAsia" w:ascii="仿宋_GB2312" w:hAnsi="宋体" w:eastAsia="仿宋_GB2312" w:cs="宋体"/>
          <w:kern w:val="0"/>
          <w:sz w:val="24"/>
        </w:rPr>
        <w:t>杭州东站枢纽管理委员会</w:t>
      </w:r>
      <w:r>
        <w:rPr>
          <w:rFonts w:hint="eastAsia" w:ascii="仿宋_GB2312" w:hAnsi="仿宋" w:eastAsia="仿宋_GB2312" w:cs="仿宋_GB2312"/>
          <w:kern w:val="0"/>
          <w:sz w:val="24"/>
          <w:szCs w:val="20"/>
          <w:lang w:val="zh-CN"/>
        </w:rPr>
        <w:t>：</w:t>
      </w:r>
    </w:p>
    <w:p>
      <w:pPr>
        <w:widowControl/>
        <w:snapToGrid w:val="0"/>
        <w:spacing w:line="500" w:lineRule="exact"/>
        <w:ind w:firstLine="480" w:firstLineChars="20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rPr>
        <w:t>我方郑重承诺，我方具有履行杭州东站枢纽区域综合养护服务项目</w:t>
      </w:r>
      <w:r>
        <w:rPr>
          <w:rFonts w:hint="eastAsia" w:ascii="仿宋_GB2312" w:hAnsi="仿宋" w:eastAsia="仿宋_GB2312" w:cs="仿宋_GB2312"/>
          <w:kern w:val="0"/>
          <w:sz w:val="24"/>
          <w:szCs w:val="20"/>
          <w:lang w:val="zh-CN"/>
        </w:rPr>
        <w:t>（招标编号：SCCG2021-GK-12 ）</w:t>
      </w:r>
      <w:r>
        <w:rPr>
          <w:rFonts w:hint="eastAsia" w:ascii="仿宋_GB2312" w:hAnsi="仿宋" w:eastAsia="仿宋_GB2312" w:cs="仿宋_GB2312"/>
          <w:kern w:val="0"/>
          <w:sz w:val="24"/>
          <w:szCs w:val="20"/>
        </w:rPr>
        <w:t>合同所必需的设备和专业技术能力。如中标，我方将保证合同顺利履行。</w:t>
      </w:r>
    </w:p>
    <w:p>
      <w:pPr>
        <w:widowControl/>
        <w:snapToGrid w:val="0"/>
        <w:spacing w:line="500" w:lineRule="exact"/>
        <w:jc w:val="left"/>
        <w:rPr>
          <w:rFonts w:ascii="仿宋_GB2312" w:hAnsi="仿宋" w:eastAsia="仿宋_GB2312" w:cs="仿宋_GB2312"/>
          <w:kern w:val="0"/>
          <w:sz w:val="24"/>
          <w:szCs w:val="20"/>
          <w:lang w:val="zh-CN"/>
        </w:rPr>
      </w:pPr>
    </w:p>
    <w:p>
      <w:pPr>
        <w:widowControl/>
        <w:snapToGrid w:val="0"/>
        <w:spacing w:line="500" w:lineRule="exact"/>
        <w:ind w:firstLine="5040" w:firstLineChars="210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 xml:space="preserve"> 投标人名称(公章)：</w:t>
      </w:r>
    </w:p>
    <w:p>
      <w:pPr>
        <w:widowControl/>
        <w:snapToGrid w:val="0"/>
        <w:spacing w:line="500" w:lineRule="exact"/>
        <w:ind w:firstLine="5160" w:firstLineChars="2150"/>
        <w:jc w:val="left"/>
        <w:rPr>
          <w:rFonts w:ascii="仿宋_GB2312" w:hAnsi="仿宋_GB2312" w:eastAsia="仿宋_GB2312" w:cs="仿宋_GB2312"/>
          <w:kern w:val="0"/>
          <w:sz w:val="24"/>
        </w:rPr>
      </w:pPr>
      <w:r>
        <w:rPr>
          <w:rFonts w:hint="eastAsia" w:ascii="仿宋_GB2312" w:hAnsi="仿宋" w:eastAsia="仿宋_GB2312" w:cs="仿宋_GB2312"/>
          <w:kern w:val="0"/>
          <w:sz w:val="24"/>
          <w:szCs w:val="20"/>
          <w:lang w:val="zh-CN"/>
        </w:rPr>
        <w:t>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pStyle w:val="2"/>
        <w:ind w:firstLine="0" w:firstLineChars="0"/>
      </w:pPr>
    </w:p>
    <w:p>
      <w:pPr>
        <w:pStyle w:val="2"/>
        <w:ind w:firstLine="0" w:firstLineChars="0"/>
        <w:rPr>
          <w:rFonts w:ascii="仿宋_GB2312" w:hAnsi="宋体" w:eastAsia="仿宋_GB2312" w:cs="宋体"/>
        </w:rPr>
      </w:pPr>
      <w:r>
        <w:rPr>
          <w:rFonts w:hint="eastAsia" w:ascii="仿宋_GB2312" w:hAnsi="宋体" w:eastAsia="仿宋_GB2312" w:cs="宋体"/>
        </w:rPr>
        <w:br w:type="page"/>
      </w:r>
      <w:r>
        <w:rPr>
          <w:rFonts w:hint="eastAsia" w:ascii="仿宋_GB2312" w:hAnsi="宋体" w:eastAsia="仿宋_GB2312" w:cs="宋体"/>
        </w:rPr>
        <w:t>格式文件1.6</w:t>
      </w:r>
    </w:p>
    <w:p>
      <w:pPr>
        <w:adjustRightInd w:val="0"/>
        <w:snapToGrid w:val="0"/>
        <w:spacing w:line="500" w:lineRule="exact"/>
        <w:jc w:val="center"/>
        <w:rPr>
          <w:rFonts w:ascii="仿宋_GB2312" w:hAnsi="宋体" w:eastAsia="仿宋_GB2312"/>
          <w:b/>
          <w:color w:val="000000"/>
          <w:sz w:val="28"/>
        </w:rPr>
      </w:pPr>
      <w:r>
        <w:rPr>
          <w:rFonts w:hint="eastAsia" w:ascii="仿宋_GB2312" w:hAnsi="宋体" w:eastAsia="仿宋_GB2312"/>
          <w:b/>
          <w:color w:val="000000"/>
          <w:sz w:val="28"/>
        </w:rPr>
        <w:t>参加政府采购活动前三年内，在经营活动中没有重大违法记录的书面声明</w:t>
      </w:r>
    </w:p>
    <w:p>
      <w:pPr>
        <w:widowControl/>
        <w:snapToGrid w:val="0"/>
        <w:spacing w:line="500" w:lineRule="exact"/>
        <w:jc w:val="left"/>
        <w:rPr>
          <w:rFonts w:ascii="仿宋_GB2312" w:hAnsi="仿宋" w:eastAsia="仿宋_GB2312" w:cs="仿宋_GB2312"/>
          <w:kern w:val="0"/>
          <w:sz w:val="24"/>
          <w:szCs w:val="20"/>
        </w:rPr>
      </w:pPr>
      <w:r>
        <w:rPr>
          <w:rFonts w:hint="eastAsia" w:ascii="仿宋_GB2312" w:hAnsi="宋体" w:eastAsia="仿宋_GB2312" w:cs="宋体"/>
          <w:kern w:val="0"/>
          <w:sz w:val="24"/>
        </w:rPr>
        <w:t>杭州东站枢纽管理委员会</w:t>
      </w:r>
      <w:r>
        <w:rPr>
          <w:rFonts w:hint="eastAsia" w:ascii="仿宋_GB2312" w:hAnsi="仿宋" w:eastAsia="仿宋_GB2312" w:cs="仿宋_GB2312"/>
          <w:kern w:val="0"/>
          <w:sz w:val="24"/>
          <w:szCs w:val="20"/>
          <w:lang w:val="zh-CN"/>
        </w:rPr>
        <w:t>：</w:t>
      </w:r>
    </w:p>
    <w:p>
      <w:pPr>
        <w:widowControl/>
        <w:snapToGrid w:val="0"/>
        <w:spacing w:line="500" w:lineRule="exact"/>
        <w:ind w:firstLine="480" w:firstLineChars="20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xml:space="preserve">我方声明投标截止时间前三年，在经营活动中没有重大违法记录。 </w:t>
      </w:r>
    </w:p>
    <w:p>
      <w:pPr>
        <w:widowControl/>
        <w:spacing w:line="500" w:lineRule="exact"/>
        <w:ind w:firstLine="480" w:firstLineChars="200"/>
        <w:jc w:val="left"/>
        <w:rPr>
          <w:rFonts w:ascii="仿宋_GB2312" w:hAnsi="仿宋" w:eastAsia="仿宋_GB2312" w:cs="仿宋_GB2312"/>
          <w:kern w:val="0"/>
          <w:sz w:val="24"/>
          <w:szCs w:val="20"/>
        </w:rPr>
      </w:pPr>
    </w:p>
    <w:p>
      <w:pPr>
        <w:widowControl/>
        <w:snapToGrid w:val="0"/>
        <w:spacing w:line="500" w:lineRule="exact"/>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 xml:space="preserve">                                           投标人名称(公章)：</w:t>
      </w:r>
    </w:p>
    <w:p>
      <w:pPr>
        <w:widowControl/>
        <w:snapToGrid w:val="0"/>
        <w:spacing w:line="500" w:lineRule="exact"/>
        <w:jc w:val="left"/>
        <w:rPr>
          <w:rFonts w:ascii="宋体" w:hAnsi="宋体"/>
          <w:kern w:val="0"/>
          <w:sz w:val="20"/>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pStyle w:val="2"/>
        <w:ind w:firstLine="0" w:firstLineChars="0"/>
        <w:rPr>
          <w:rFonts w:ascii="仿宋_GB2312" w:hAnsi="宋体" w:eastAsia="仿宋_GB2312" w:cs="宋体"/>
        </w:rPr>
      </w:pPr>
      <w:r>
        <w:rPr>
          <w:rFonts w:ascii="仿宋_GB2312" w:hAnsi="宋体" w:eastAsia="仿宋_GB2312" w:cs="宋体"/>
        </w:rPr>
        <w:br w:type="page"/>
      </w:r>
      <w:r>
        <w:rPr>
          <w:rFonts w:hint="eastAsia" w:ascii="仿宋_GB2312" w:hAnsi="宋体" w:eastAsia="仿宋_GB2312" w:cs="宋体"/>
        </w:rPr>
        <w:t>格式文件1.7</w:t>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投标响应函</w:t>
      </w:r>
    </w:p>
    <w:p>
      <w:pPr>
        <w:adjustRightInd w:val="0"/>
        <w:snapToGrid w:val="0"/>
        <w:spacing w:line="500" w:lineRule="exact"/>
        <w:rPr>
          <w:rFonts w:ascii="仿宋_GB2312" w:hAnsi="宋体" w:eastAsia="仿宋_GB2312" w:cs="仿宋_GB2312"/>
          <w:sz w:val="24"/>
        </w:rPr>
      </w:pPr>
      <w:r>
        <w:rPr>
          <w:rFonts w:hint="eastAsia" w:ascii="仿宋_GB2312" w:hAnsi="宋体" w:eastAsia="仿宋_GB2312" w:cs="宋体"/>
          <w:kern w:val="0"/>
          <w:sz w:val="24"/>
        </w:rPr>
        <w:t>杭州东站枢纽管理委员会</w:t>
      </w:r>
      <w:r>
        <w:rPr>
          <w:rFonts w:hint="eastAsia" w:ascii="仿宋_GB2312" w:hAnsi="宋体" w:eastAsia="仿宋_GB2312" w:cs="仿宋_GB2312"/>
          <w:sz w:val="24"/>
        </w:rPr>
        <w:t>：</w:t>
      </w:r>
    </w:p>
    <w:p>
      <w:pPr>
        <w:adjustRightInd w:val="0"/>
        <w:snapToGrid w:val="0"/>
        <w:spacing w:line="500" w:lineRule="exact"/>
        <w:ind w:firstLine="360" w:firstLineChars="150"/>
        <w:rPr>
          <w:rFonts w:ascii="仿宋_GB2312" w:hAnsi="宋体" w:eastAsia="仿宋_GB2312" w:cs="仿宋_GB2312"/>
          <w:sz w:val="24"/>
        </w:rPr>
      </w:pPr>
      <w:r>
        <w:rPr>
          <w:rFonts w:hint="eastAsia" w:ascii="仿宋_GB2312" w:hAnsi="宋体" w:eastAsia="仿宋_GB2312" w:cs="仿宋_GB2312"/>
          <w:sz w:val="24"/>
        </w:rPr>
        <w:t>(投标人全称)授权(全权代表姓名)(职务、职称)为全权代表，参加贵方组织的</w:t>
      </w:r>
      <w:r>
        <w:rPr>
          <w:rFonts w:hint="eastAsia" w:ascii="仿宋_GB2312" w:hAnsi="仿宋" w:eastAsia="仿宋_GB2312" w:cs="仿宋_GB2312"/>
          <w:kern w:val="0"/>
          <w:sz w:val="24"/>
          <w:szCs w:val="20"/>
        </w:rPr>
        <w:t>杭州东站枢纽区域综合养护服务项目</w:t>
      </w:r>
      <w:r>
        <w:rPr>
          <w:rFonts w:hint="eastAsia" w:ascii="仿宋_GB2312" w:hAnsi="宋体" w:eastAsia="仿宋_GB2312" w:cs="仿宋_GB2312"/>
          <w:sz w:val="24"/>
        </w:rPr>
        <w:t>（招标编号：</w:t>
      </w:r>
      <w:r>
        <w:rPr>
          <w:rFonts w:hint="eastAsia" w:ascii="仿宋_GB2312" w:hAnsi="仿宋" w:eastAsia="仿宋_GB2312" w:cs="仿宋_GB2312"/>
          <w:kern w:val="0"/>
          <w:sz w:val="24"/>
          <w:szCs w:val="20"/>
          <w:lang w:val="zh-CN"/>
        </w:rPr>
        <w:t xml:space="preserve">SCCG2021-GK-12 </w:t>
      </w:r>
      <w:r>
        <w:rPr>
          <w:rFonts w:hint="eastAsia" w:ascii="仿宋_GB2312" w:hAnsi="宋体" w:eastAsia="仿宋_GB2312" w:cs="仿宋_GB2312"/>
          <w:sz w:val="24"/>
        </w:rPr>
        <w:t>)招标的有关活动，并对此项进行投标。为此：</w:t>
      </w:r>
    </w:p>
    <w:p>
      <w:pPr>
        <w:adjustRightInd w:val="0"/>
        <w:snapToGrid w:val="0"/>
        <w:spacing w:line="500" w:lineRule="exact"/>
        <w:ind w:right="-89" w:firstLine="480" w:firstLineChars="200"/>
        <w:jc w:val="left"/>
        <w:rPr>
          <w:rFonts w:ascii="宋体"/>
          <w:sz w:val="24"/>
        </w:rPr>
      </w:pPr>
      <w:r>
        <w:rPr>
          <w:rFonts w:hint="eastAsia" w:ascii="仿宋_GB2312" w:hAnsi="宋体" w:eastAsia="仿宋_GB2312" w:cs="仿宋_GB2312"/>
          <w:sz w:val="24"/>
        </w:rPr>
        <w:t>1、我方同意在招标文件规定的开标日期起遵守本投标书中的承诺且在投标有效期满之前均具有约束力，我方遵守《中华人民共和国政府采购法》及相关法律法规的规定。同意招标文件中所提到的无效标条款，并服从有关开标现场的会议纪律。否则，同意被废除投标资格。</w:t>
      </w:r>
    </w:p>
    <w:p>
      <w:pPr>
        <w:adjustRightInd w:val="0"/>
        <w:snapToGrid w:val="0"/>
        <w:spacing w:line="500" w:lineRule="exact"/>
        <w:ind w:firstLine="480" w:firstLineChars="200"/>
        <w:rPr>
          <w:rFonts w:ascii="仿宋_GB2312" w:hAnsi="宋体" w:eastAsia="仿宋_GB2312" w:cs="仿宋_GB2312"/>
          <w:sz w:val="24"/>
        </w:rPr>
      </w:pPr>
      <w:r>
        <w:rPr>
          <w:rFonts w:hint="eastAsia" w:ascii="仿宋_GB2312" w:hAnsi="宋体" w:eastAsia="仿宋_GB2312" w:cs="仿宋_GB2312"/>
          <w:sz w:val="24"/>
        </w:rPr>
        <w:t>2、我方承诺已经具备本次投标邀请书中规定的参加采购活动的投标人应当具备的条件。</w:t>
      </w:r>
    </w:p>
    <w:p>
      <w:pPr>
        <w:snapToGrid w:val="0"/>
        <w:spacing w:line="500" w:lineRule="exact"/>
        <w:ind w:firstLine="480" w:firstLineChars="200"/>
        <w:rPr>
          <w:rFonts w:ascii="仿宋_GB2312" w:hAnsi="仿宋" w:eastAsia="仿宋_GB2312" w:cs="仿宋_GB2312"/>
          <w:color w:val="000000"/>
          <w:sz w:val="24"/>
        </w:rPr>
      </w:pPr>
      <w:r>
        <w:rPr>
          <w:rFonts w:hint="eastAsia" w:ascii="仿宋_GB2312" w:hAnsi="仿宋" w:eastAsia="仿宋_GB2312" w:cs="仿宋_GB2312"/>
          <w:color w:val="000000"/>
          <w:sz w:val="24"/>
        </w:rPr>
        <w:t>3、我方中标后拟在中标后将</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工作分包，分包承担主体是</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，我方承诺分包承担主体具备相应资质条件，且不再次分包。（不再将工作进行分包或本项目不允许分包的，下划线处填写“/”。）</w:t>
      </w:r>
    </w:p>
    <w:p>
      <w:pPr>
        <w:adjustRightInd w:val="0"/>
        <w:snapToGrid w:val="0"/>
        <w:spacing w:line="500" w:lineRule="exact"/>
        <w:ind w:left="239" w:leftChars="114" w:firstLine="240" w:firstLineChars="100"/>
        <w:rPr>
          <w:rFonts w:ascii="仿宋_GB2312" w:hAnsi="宋体" w:eastAsia="仿宋_GB2312"/>
          <w:sz w:val="24"/>
        </w:rPr>
      </w:pPr>
      <w:r>
        <w:rPr>
          <w:rFonts w:hint="eastAsia" w:ascii="仿宋_GB2312" w:hAnsi="宋体" w:eastAsia="仿宋_GB2312" w:cs="仿宋_GB2312"/>
          <w:sz w:val="24"/>
        </w:rPr>
        <w:t>4、提供招标文件规定的全部投标文件。</w:t>
      </w:r>
    </w:p>
    <w:p>
      <w:pPr>
        <w:snapToGrid w:val="0"/>
        <w:spacing w:line="500" w:lineRule="exact"/>
        <w:ind w:firstLine="480" w:firstLineChars="200"/>
        <w:rPr>
          <w:rFonts w:ascii="仿宋_GB2312" w:hAnsi="仿宋" w:eastAsia="仿宋_GB2312" w:cs="仿宋_GB2312"/>
          <w:color w:val="000000"/>
          <w:sz w:val="24"/>
        </w:rPr>
      </w:pPr>
      <w:r>
        <w:rPr>
          <w:rFonts w:hint="eastAsia" w:ascii="仿宋_GB2312" w:hAnsi="宋体" w:eastAsia="仿宋_GB2312" w:cs="仿宋_GB2312"/>
          <w:sz w:val="24"/>
        </w:rPr>
        <w:t>5、</w:t>
      </w:r>
      <w:r>
        <w:rPr>
          <w:rFonts w:hint="eastAsia" w:ascii="仿宋_GB2312" w:hAnsi="仿宋" w:eastAsia="仿宋_GB2312" w:cs="仿宋_GB2312"/>
          <w:color w:val="000000"/>
          <w:sz w:val="24"/>
        </w:rPr>
        <w:t>我方承诺投标有效期从提交投标文件的截止之日起</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天，不少于招标文件中载明的投标有效期（从提交投标文件的截止之日起90天）。</w:t>
      </w:r>
    </w:p>
    <w:p>
      <w:pPr>
        <w:snapToGrid w:val="0"/>
        <w:spacing w:line="500" w:lineRule="exact"/>
        <w:ind w:firstLine="480" w:firstLineChars="200"/>
        <w:rPr>
          <w:rFonts w:ascii="仿宋_GB2312" w:hAnsi="宋体" w:eastAsia="仿宋_GB2312" w:cs="仿宋_GB2312"/>
          <w:sz w:val="24"/>
        </w:rPr>
      </w:pPr>
      <w:r>
        <w:rPr>
          <w:rFonts w:hint="eastAsia" w:ascii="仿宋_GB2312" w:hAnsi="宋体" w:eastAsia="仿宋_GB2312" w:cs="仿宋_GB2312"/>
          <w:sz w:val="24"/>
        </w:rPr>
        <w:t>6、我方完全理解贵方不一定要接受最低价的投标。</w:t>
      </w:r>
    </w:p>
    <w:p>
      <w:pPr>
        <w:snapToGrid w:val="0"/>
        <w:spacing w:line="500" w:lineRule="exact"/>
        <w:ind w:firstLine="480" w:firstLineChars="200"/>
        <w:rPr>
          <w:rFonts w:ascii="仿宋_GB2312" w:hAnsi="宋体" w:eastAsia="仿宋_GB2312" w:cs="仿宋_GB2312"/>
          <w:sz w:val="24"/>
        </w:rPr>
      </w:pPr>
      <w:r>
        <w:rPr>
          <w:rFonts w:hint="eastAsia" w:ascii="仿宋_GB2312" w:hAnsi="宋体" w:eastAsia="仿宋_GB2312" w:cs="仿宋_GB2312"/>
          <w:sz w:val="24"/>
        </w:rPr>
        <w:t>7、我方愿意向贵方提供任何与该项投标有关的数据、情况和技术资料。若贵方需要，愿意提供我方作出的一切承诺的证明材料。</w:t>
      </w:r>
    </w:p>
    <w:p>
      <w:pPr>
        <w:snapToGrid w:val="0"/>
        <w:spacing w:line="500" w:lineRule="exact"/>
        <w:ind w:firstLine="480" w:firstLineChars="200"/>
        <w:rPr>
          <w:rFonts w:ascii="仿宋_GB2312" w:eastAsia="仿宋_GB2312" w:cs="仿宋_GB2312"/>
          <w:sz w:val="24"/>
        </w:rPr>
      </w:pPr>
      <w:r>
        <w:rPr>
          <w:rFonts w:hint="eastAsia" w:ascii="仿宋_GB2312" w:hAnsi="宋体" w:eastAsia="仿宋_GB2312" w:cs="仿宋_GB2312"/>
          <w:sz w:val="24"/>
        </w:rPr>
        <w:t>8、</w:t>
      </w:r>
      <w:r>
        <w:rPr>
          <w:rFonts w:hint="eastAsia" w:ascii="仿宋_GB2312" w:eastAsia="仿宋_GB2312" w:cs="仿宋_GB2312"/>
          <w:sz w:val="24"/>
        </w:rPr>
        <w:t>我方已详细审核招标文件的全部内容，包括招标文件修改书（如有的话）、参考资料及有关附件，确认无误，并完全清晰理解全部内容及相关的补充文件</w:t>
      </w:r>
      <w:r>
        <w:rPr>
          <w:rFonts w:hint="eastAsia" w:ascii="仿宋_GB2312" w:eastAsia="仿宋_GB2312" w:cs="仿宋_GB2312"/>
          <w:b/>
          <w:bCs/>
          <w:sz w:val="24"/>
        </w:rPr>
        <w:t>（若有）</w:t>
      </w:r>
      <w:r>
        <w:rPr>
          <w:rFonts w:hint="eastAsia" w:ascii="仿宋_GB2312" w:eastAsia="仿宋_GB2312" w:cs="仿宋_GB2312"/>
          <w:sz w:val="24"/>
        </w:rPr>
        <w:t>，不存在任何误解之处，同意放弃提出异议和质疑的权利。</w:t>
      </w:r>
    </w:p>
    <w:p>
      <w:pPr>
        <w:snapToGrid w:val="0"/>
        <w:spacing w:line="500" w:lineRule="exact"/>
        <w:ind w:firstLine="480" w:firstLineChars="200"/>
        <w:rPr>
          <w:rFonts w:ascii="仿宋_GB2312" w:hAnsi="宋体" w:eastAsia="仿宋_GB2312"/>
          <w:sz w:val="24"/>
        </w:rPr>
      </w:pPr>
      <w:r>
        <w:rPr>
          <w:rFonts w:hint="eastAsia" w:ascii="仿宋_GB2312" w:eastAsia="仿宋_GB2312" w:cs="仿宋_GB2312"/>
          <w:sz w:val="24"/>
        </w:rPr>
        <w:t>9、</w:t>
      </w:r>
      <w:r>
        <w:rPr>
          <w:rFonts w:hint="eastAsia" w:ascii="仿宋_GB2312" w:hAnsi="宋体" w:eastAsia="仿宋_GB2312" w:cs="仿宋_GB2312"/>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a)提供虚假材料谋取中标、成交的；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b)采取不正当手段诋毁、排挤其他供应商的；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c)与采购人、其它供应商或者采购代理机构恶意串通的；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d)向采购人、采购代理机构行贿或者提供其他不正当利益的；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e)在招标采购过程中与采购人进行协商投标的；</w:t>
      </w:r>
    </w:p>
    <w:p>
      <w:pPr>
        <w:adjustRightInd w:val="0"/>
        <w:snapToGrid w:val="0"/>
        <w:spacing w:line="500" w:lineRule="exact"/>
        <w:ind w:right="-191" w:rightChars="-91" w:firstLine="480" w:firstLineChars="200"/>
        <w:rPr>
          <w:rFonts w:ascii="仿宋_GB2312" w:hAnsi="宋体" w:eastAsia="仿宋_GB2312"/>
          <w:sz w:val="24"/>
        </w:rPr>
      </w:pPr>
      <w:r>
        <w:rPr>
          <w:rFonts w:hint="eastAsia" w:ascii="仿宋_GB2312" w:hAnsi="宋体" w:eastAsia="仿宋_GB2312" w:cs="仿宋_GB2312"/>
          <w:sz w:val="24"/>
        </w:rPr>
        <w:t>f)拒绝有关部门监督检查或提供虚假情况的。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供应商有前款第a)至e)项情形之一的，中标、成交无效。</w:t>
      </w:r>
    </w:p>
    <w:p>
      <w:pPr>
        <w:adjustRightInd w:val="0"/>
        <w:snapToGrid w:val="0"/>
        <w:spacing w:line="500" w:lineRule="exact"/>
        <w:jc w:val="center"/>
        <w:rPr>
          <w:rFonts w:ascii="仿宋_GB2312" w:hAnsi="宋体" w:eastAsia="仿宋_GB2312" w:cs="仿宋_GB2312"/>
          <w:kern w:val="0"/>
          <w:sz w:val="24"/>
        </w:rPr>
      </w:pPr>
    </w:p>
    <w:p>
      <w:pPr>
        <w:adjustRightInd w:val="0"/>
        <w:snapToGrid w:val="0"/>
        <w:spacing w:line="500" w:lineRule="exact"/>
        <w:jc w:val="center"/>
        <w:rPr>
          <w:rFonts w:ascii="仿宋_GB2312" w:hAnsi="宋体" w:eastAsia="仿宋_GB2312" w:cs="仿宋_GB2312"/>
          <w:kern w:val="0"/>
          <w:sz w:val="24"/>
        </w:rPr>
      </w:pPr>
      <w:r>
        <w:rPr>
          <w:rFonts w:hint="eastAsia" w:ascii="仿宋_GB2312" w:hAnsi="宋体" w:eastAsia="仿宋_GB2312" w:cs="仿宋_GB2312"/>
          <w:kern w:val="0"/>
          <w:sz w:val="24"/>
        </w:rPr>
        <w:t>投标人名称（公章）：</w:t>
      </w:r>
    </w:p>
    <w:p>
      <w:pPr>
        <w:adjustRightInd w:val="0"/>
        <w:snapToGrid w:val="0"/>
        <w:spacing w:line="500" w:lineRule="exact"/>
        <w:jc w:val="center"/>
        <w:rPr>
          <w:rFonts w:ascii="仿宋_GB2312" w:hAnsi="宋体" w:eastAsia="仿宋_GB2312" w:cs="仿宋_GB2312"/>
          <w:kern w:val="0"/>
          <w:sz w:val="24"/>
        </w:rPr>
      </w:pPr>
      <w:r>
        <w:rPr>
          <w:rFonts w:hint="eastAsia" w:ascii="仿宋_GB2312" w:hAnsi="宋体" w:eastAsia="仿宋_GB2312" w:cs="仿宋_GB2312"/>
          <w:kern w:val="0"/>
          <w:sz w:val="24"/>
          <w:lang w:val="zh-CN"/>
        </w:rPr>
        <w:t>法定代表人或被授权人</w:t>
      </w:r>
      <w:r>
        <w:rPr>
          <w:rFonts w:hint="eastAsia" w:ascii="仿宋_GB2312" w:hAnsi="宋体" w:eastAsia="仿宋_GB2312" w:cs="仿宋_GB2312"/>
          <w:kern w:val="0"/>
          <w:sz w:val="24"/>
        </w:rPr>
        <w:t xml:space="preserve">（签字或盖章）：                                                                                                      </w:t>
      </w:r>
    </w:p>
    <w:p>
      <w:pPr>
        <w:adjustRightInd w:val="0"/>
        <w:snapToGrid w:val="0"/>
        <w:spacing w:line="500" w:lineRule="exact"/>
        <w:jc w:val="center"/>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 xml:space="preserve">  日  期</w:t>
      </w:r>
      <w:r>
        <w:rPr>
          <w:rFonts w:hint="eastAsia" w:ascii="仿宋_GB2312" w:hAnsi="宋体" w:eastAsia="仿宋_GB2312" w:cs="仿宋_GB2312"/>
          <w:kern w:val="0"/>
          <w:sz w:val="24"/>
        </w:rPr>
        <w:t>：</w:t>
      </w:r>
      <w:r>
        <w:rPr>
          <w:rFonts w:hint="eastAsia" w:ascii="仿宋_GB2312" w:hAnsi="仿宋" w:eastAsia="仿宋_GB2312" w:cs="仿宋_GB2312"/>
          <w:kern w:val="0"/>
          <w:sz w:val="24"/>
          <w:lang w:val="zh-CN"/>
        </w:rPr>
        <w:t xml:space="preserve">    年  月  日</w:t>
      </w:r>
    </w:p>
    <w:p>
      <w:pPr>
        <w:adjustRightInd w:val="0"/>
        <w:snapToGrid w:val="0"/>
        <w:spacing w:line="500" w:lineRule="exact"/>
        <w:rPr>
          <w:rFonts w:ascii="仿宋_GB2312" w:hAnsi="宋体" w:eastAsia="仿宋_GB2312"/>
          <w:b/>
          <w:bCs/>
          <w:color w:val="FF0000"/>
          <w:kern w:val="0"/>
          <w:sz w:val="24"/>
          <w:lang w:val="zh-CN"/>
        </w:rPr>
      </w:pPr>
      <w:r>
        <w:rPr>
          <w:rFonts w:hint="eastAsia" w:ascii="仿宋_GB2312" w:hAnsi="宋体" w:eastAsia="仿宋_GB2312" w:cs="仿宋_GB2312"/>
          <w:b/>
          <w:bCs/>
          <w:color w:val="FF0000"/>
          <w:kern w:val="0"/>
          <w:sz w:val="24"/>
          <w:lang w:val="zh-CN"/>
        </w:rPr>
        <w:t>注：未按照本投标响应函要求填报的将被视为非实质性响应投标，从而可能导致该投标被拒绝。</w:t>
      </w:r>
    </w:p>
    <w:p>
      <w:pPr>
        <w:pStyle w:val="2"/>
        <w:ind w:firstLine="0" w:firstLineChars="0"/>
        <w:rPr>
          <w:rFonts w:ascii="仿宋_GB2312" w:hAnsi="宋体" w:eastAsia="仿宋_GB2312" w:cs="宋体"/>
        </w:rPr>
      </w:pPr>
      <w:r>
        <w:rPr>
          <w:rFonts w:ascii="仿宋_GB2312" w:hAnsi="宋体" w:eastAsia="仿宋_GB2312" w:cs="宋体"/>
        </w:rPr>
        <w:br w:type="page"/>
      </w:r>
      <w:r>
        <w:rPr>
          <w:rFonts w:hint="eastAsia" w:ascii="仿宋_GB2312" w:hAnsi="宋体" w:eastAsia="仿宋_GB2312" w:cs="宋体"/>
        </w:rPr>
        <w:t>格式文件1.8</w:t>
      </w:r>
    </w:p>
    <w:p>
      <w:pPr>
        <w:adjustRightInd w:val="0"/>
        <w:snapToGrid w:val="0"/>
        <w:spacing w:after="120" w:afterLines="50" w:line="44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开标一览表（报价表）</w:t>
      </w:r>
    </w:p>
    <w:p>
      <w:pPr>
        <w:adjustRightInd w:val="0"/>
        <w:snapToGrid w:val="0"/>
        <w:spacing w:line="440" w:lineRule="exact"/>
        <w:rPr>
          <w:rFonts w:ascii="仿宋_GB2312" w:hAnsi="宋体" w:eastAsia="仿宋_GB2312" w:cs="仿宋_GB2312"/>
          <w:kern w:val="0"/>
          <w:sz w:val="24"/>
          <w:lang w:val="zh-CN"/>
        </w:rPr>
      </w:pPr>
      <w:r>
        <w:rPr>
          <w:rFonts w:hint="eastAsia" w:ascii="仿宋_GB2312" w:hAnsi="宋体" w:eastAsia="仿宋_GB2312" w:cs="宋体"/>
          <w:kern w:val="0"/>
          <w:sz w:val="24"/>
        </w:rPr>
        <w:t>杭州东站枢纽管理委员会</w:t>
      </w:r>
      <w:r>
        <w:rPr>
          <w:rFonts w:hint="eastAsia" w:ascii="仿宋_GB2312" w:hAnsi="宋体" w:eastAsia="仿宋_GB2312" w:cs="仿宋_GB2312"/>
          <w:kern w:val="0"/>
          <w:sz w:val="24"/>
          <w:lang w:val="zh-CN"/>
        </w:rPr>
        <w:t>：</w:t>
      </w:r>
    </w:p>
    <w:p>
      <w:pPr>
        <w:adjustRightInd w:val="0"/>
        <w:snapToGrid w:val="0"/>
        <w:spacing w:after="120" w:afterLines="50" w:line="440" w:lineRule="exact"/>
        <w:ind w:firstLine="480" w:firstLineChars="200"/>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按你方招标文件要求，我们，本标书签字方，谨此向你方发出要约如下：如你方接受本投标，我方承诺按照如下开标一览表（报价表）的价格完成编号为SCCG2021-GK-12 的招标文件[项目名称：</w:t>
      </w:r>
      <w:r>
        <w:rPr>
          <w:rFonts w:hint="eastAsia" w:ascii="仿宋_GB2312" w:eastAsia="仿宋_GB2312"/>
          <w:sz w:val="24"/>
          <w:szCs w:val="20"/>
        </w:rPr>
        <w:t>杭州东站枢纽区域综合养护服务项目</w:t>
      </w:r>
      <w:r>
        <w:rPr>
          <w:rFonts w:hint="eastAsia" w:ascii="仿宋_GB2312" w:hAnsi="宋体" w:eastAsia="仿宋_GB2312" w:cs="仿宋_GB2312"/>
          <w:kern w:val="0"/>
          <w:sz w:val="24"/>
          <w:lang w:val="zh-CN"/>
        </w:rPr>
        <w:t>]的实施。</w:t>
      </w:r>
    </w:p>
    <w:tbl>
      <w:tblPr>
        <w:tblStyle w:val="4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3399"/>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952" w:type="dxa"/>
            <w:vAlign w:val="center"/>
          </w:tcPr>
          <w:p>
            <w:pPr>
              <w:spacing w:line="440" w:lineRule="exact"/>
              <w:jc w:val="distribute"/>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7217" w:type="dxa"/>
            <w:gridSpan w:val="2"/>
            <w:vAlign w:val="center"/>
          </w:tcPr>
          <w:p>
            <w:pPr>
              <w:spacing w:line="440" w:lineRule="exact"/>
              <w:jc w:val="center"/>
              <w:rPr>
                <w:rFonts w:ascii="仿宋_GB2312" w:hAnsi="仿宋_GB2312" w:eastAsia="仿宋_GB2312" w:cs="仿宋_GB2312"/>
                <w:b/>
                <w:sz w:val="24"/>
              </w:rPr>
            </w:pPr>
            <w:r>
              <w:rPr>
                <w:rFonts w:hint="eastAsia" w:ascii="仿宋_GB2312" w:eastAsia="仿宋_GB2312"/>
                <w:sz w:val="24"/>
                <w:szCs w:val="20"/>
              </w:rPr>
              <w:t>杭州东站枢纽区域综合养护服务项目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952" w:type="dxa"/>
            <w:vAlign w:val="center"/>
          </w:tcPr>
          <w:p>
            <w:pPr>
              <w:spacing w:line="440" w:lineRule="exact"/>
              <w:jc w:val="distribute"/>
              <w:rPr>
                <w:rFonts w:ascii="仿宋_GB2312" w:hAnsi="仿宋_GB2312" w:eastAsia="仿宋_GB2312" w:cs="仿宋_GB2312"/>
                <w:sz w:val="24"/>
              </w:rPr>
            </w:pPr>
            <w:r>
              <w:rPr>
                <w:rFonts w:hint="eastAsia" w:ascii="仿宋_GB2312" w:hAnsi="仿宋_GB2312" w:eastAsia="仿宋_GB2312" w:cs="仿宋_GB2312"/>
                <w:sz w:val="24"/>
              </w:rPr>
              <w:t>投标报价</w:t>
            </w:r>
          </w:p>
        </w:tc>
        <w:tc>
          <w:tcPr>
            <w:tcW w:w="7217" w:type="dxa"/>
            <w:gridSpan w:val="2"/>
            <w:vAlign w:val="center"/>
          </w:tcPr>
          <w:p>
            <w:pPr>
              <w:spacing w:line="440" w:lineRule="exact"/>
              <w:rPr>
                <w:rFonts w:ascii="仿宋_GB2312" w:hAnsi="仿宋_GB2312" w:eastAsia="仿宋_GB2312" w:cs="仿宋_GB2312"/>
                <w:sz w:val="24"/>
              </w:rPr>
            </w:pPr>
            <w:r>
              <w:rPr>
                <w:rFonts w:hint="eastAsia" w:ascii="宋体" w:hAnsi="宋体" w:cs="宋体"/>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(小写：人民币元)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人民币（大写）    仟   佰   拾   万   仟   佰   拾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52" w:type="dxa"/>
            <w:vMerge w:val="restart"/>
            <w:vAlign w:val="center"/>
          </w:tcPr>
          <w:p>
            <w:pPr>
              <w:spacing w:line="440" w:lineRule="exact"/>
              <w:jc w:val="distribute"/>
              <w:rPr>
                <w:rFonts w:ascii="仿宋_GB2312" w:hAnsi="仿宋_GB2312" w:eastAsia="仿宋_GB2312" w:cs="仿宋_GB2312"/>
                <w:sz w:val="24"/>
              </w:rPr>
            </w:pPr>
            <w:r>
              <w:rPr>
                <w:rFonts w:hint="eastAsia" w:ascii="仿宋_GB2312" w:hAnsi="仿宋_GB2312" w:eastAsia="仿宋_GB2312" w:cs="仿宋_GB2312"/>
                <w:sz w:val="24"/>
              </w:rPr>
              <w:t>分项报价</w:t>
            </w:r>
          </w:p>
        </w:tc>
        <w:tc>
          <w:tcPr>
            <w:tcW w:w="3399" w:type="dxa"/>
            <w:vMerge w:val="restart"/>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市政养护</w:t>
            </w:r>
          </w:p>
        </w:tc>
        <w:tc>
          <w:tcPr>
            <w:tcW w:w="3818" w:type="dxa"/>
            <w:vAlign w:val="center"/>
          </w:tcPr>
          <w:p>
            <w:pPr>
              <w:spacing w:line="276" w:lineRule="auto"/>
              <w:ind w:right="60"/>
              <w:rPr>
                <w:rFonts w:hint="eastAsia" w:ascii="仿宋_GB2312" w:eastAsia="仿宋_GB2312"/>
                <w:sz w:val="24"/>
                <w:szCs w:val="20"/>
                <w:highlight w:val="none"/>
                <w:lang w:eastAsia="zh-CN"/>
              </w:rPr>
            </w:pPr>
            <w:r>
              <w:rPr>
                <w:rFonts w:hint="eastAsia" w:ascii="仿宋_GB2312" w:eastAsia="仿宋_GB2312"/>
                <w:sz w:val="24"/>
                <w:szCs w:val="20"/>
                <w:highlight w:val="none"/>
              </w:rPr>
              <w:t>王家井天桥</w:t>
            </w:r>
            <w:r>
              <w:rPr>
                <w:rFonts w:hint="eastAsia" w:ascii="宋体" w:hAnsi="宋体" w:cs="宋体"/>
                <w:sz w:val="24"/>
                <w:highlight w:val="none"/>
              </w:rPr>
              <w:t>¥</w:t>
            </w:r>
            <w:r>
              <w:rPr>
                <w:rFonts w:hint="eastAsia" w:ascii="仿宋_GB2312" w:eastAsia="仿宋_GB2312"/>
                <w:sz w:val="24"/>
                <w:szCs w:val="20"/>
                <w:highlight w:val="none"/>
                <w:u w:val="single"/>
              </w:rPr>
              <w:t xml:space="preserve">             </w:t>
            </w:r>
            <w:r>
              <w:rPr>
                <w:rFonts w:hint="eastAsia" w:ascii="仿宋_GB2312" w:eastAsia="仿宋_GB2312"/>
                <w:sz w:val="24"/>
                <w:szCs w:val="20"/>
                <w:highlight w:val="none"/>
                <w:u w:val="single"/>
                <w:lang w:val="en-US" w:eastAsia="zh-CN"/>
              </w:rPr>
              <w:t xml:space="preserve">  </w:t>
            </w:r>
            <w:r>
              <w:rPr>
                <w:rFonts w:hint="eastAsia" w:ascii="仿宋_GB2312" w:eastAsia="仿宋_GB2312"/>
                <w:sz w:val="24"/>
                <w:szCs w:val="20"/>
                <w:highlight w:val="none"/>
                <w:u w:val="single"/>
              </w:rPr>
              <w:t xml:space="preserve"> </w:t>
            </w:r>
            <w:r>
              <w:rPr>
                <w:rFonts w:hint="eastAsia" w:ascii="仿宋_GB2312" w:eastAsia="仿宋_GB2312"/>
                <w:sz w:val="24"/>
                <w:szCs w:val="20"/>
                <w:highlight w:val="none"/>
                <w:u w:val="singl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continue"/>
            <w:vAlign w:val="center"/>
          </w:tcPr>
          <w:p>
            <w:pPr>
              <w:spacing w:line="276" w:lineRule="auto"/>
              <w:ind w:left="60" w:right="60"/>
              <w:jc w:val="center"/>
              <w:rPr>
                <w:rFonts w:ascii="仿宋_GB2312" w:eastAsia="仿宋_GB2312"/>
                <w:sz w:val="24"/>
                <w:szCs w:val="20"/>
              </w:rPr>
            </w:pPr>
          </w:p>
        </w:tc>
        <w:tc>
          <w:tcPr>
            <w:tcW w:w="3818" w:type="dxa"/>
            <w:vAlign w:val="center"/>
          </w:tcPr>
          <w:p>
            <w:pPr>
              <w:spacing w:line="276" w:lineRule="auto"/>
              <w:ind w:right="60"/>
              <w:rPr>
                <w:rFonts w:ascii="宋体" w:hAnsi="宋体" w:cs="宋体"/>
                <w:sz w:val="24"/>
                <w:highlight w:val="none"/>
              </w:rPr>
            </w:pPr>
            <w:r>
              <w:rPr>
                <w:rFonts w:hint="eastAsia" w:ascii="仿宋_GB2312" w:eastAsia="仿宋_GB2312"/>
                <w:sz w:val="24"/>
                <w:szCs w:val="20"/>
                <w:highlight w:val="none"/>
              </w:rPr>
              <w:t>总计</w:t>
            </w:r>
            <w:r>
              <w:rPr>
                <w:rFonts w:hint="eastAsia" w:ascii="宋体" w:hAnsi="宋体" w:cs="宋体"/>
                <w:sz w:val="24"/>
                <w:highlight w:val="none"/>
              </w:rPr>
              <w:t>¥</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eastAsia="仿宋_GB2312"/>
                <w:sz w:val="24"/>
                <w:szCs w:val="2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restart"/>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雨水管网养护</w:t>
            </w:r>
          </w:p>
        </w:tc>
        <w:tc>
          <w:tcPr>
            <w:tcW w:w="3818" w:type="dxa"/>
            <w:vAlign w:val="center"/>
          </w:tcPr>
          <w:p>
            <w:pPr>
              <w:spacing w:line="276" w:lineRule="auto"/>
              <w:ind w:right="60"/>
              <w:jc w:val="left"/>
              <w:rPr>
                <w:rFonts w:ascii="仿宋_GB2312" w:eastAsia="仿宋_GB2312"/>
                <w:sz w:val="24"/>
                <w:szCs w:val="20"/>
                <w:highlight w:val="none"/>
              </w:rPr>
            </w:pPr>
            <w:r>
              <w:rPr>
                <w:rFonts w:hint="eastAsia" w:ascii="仿宋_GB2312" w:eastAsia="仿宋_GB2312"/>
                <w:sz w:val="24"/>
                <w:szCs w:val="20"/>
                <w:highlight w:val="none"/>
                <w:lang w:eastAsia="zh-CN"/>
              </w:rPr>
              <w:t>污水泵房</w:t>
            </w:r>
            <w:r>
              <w:rPr>
                <w:rFonts w:hint="eastAsia" w:ascii="宋体" w:hAnsi="宋体" w:cs="宋体"/>
                <w:sz w:val="24"/>
                <w:highlight w:val="none"/>
              </w:rPr>
              <w:t>¥</w:t>
            </w:r>
            <w:r>
              <w:rPr>
                <w:rFonts w:hint="eastAsia" w:ascii="仿宋_GB2312" w:hAnsi="仿宋_GB2312" w:eastAsia="仿宋_GB2312" w:cs="仿宋_GB2312"/>
                <w:sz w:val="24"/>
                <w:highlight w:val="none"/>
                <w:u w:val="single"/>
              </w:rPr>
              <w:t xml:space="preserve">                  </w:t>
            </w:r>
            <w:r>
              <w:rPr>
                <w:rFonts w:hint="eastAsia" w:ascii="仿宋_GB2312" w:eastAsia="仿宋_GB2312"/>
                <w:sz w:val="24"/>
                <w:szCs w:val="2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continue"/>
            <w:vAlign w:val="center"/>
          </w:tcPr>
          <w:p>
            <w:pPr>
              <w:spacing w:line="276" w:lineRule="auto"/>
              <w:ind w:left="60" w:right="60"/>
              <w:jc w:val="center"/>
              <w:rPr>
                <w:rFonts w:hint="eastAsia" w:ascii="仿宋_GB2312" w:eastAsia="仿宋_GB2312"/>
                <w:sz w:val="24"/>
                <w:szCs w:val="20"/>
              </w:rPr>
            </w:pPr>
          </w:p>
        </w:tc>
        <w:tc>
          <w:tcPr>
            <w:tcW w:w="3818" w:type="dxa"/>
            <w:vAlign w:val="center"/>
          </w:tcPr>
          <w:p>
            <w:pPr>
              <w:spacing w:line="276" w:lineRule="auto"/>
              <w:ind w:right="60"/>
              <w:rPr>
                <w:rFonts w:hint="eastAsia" w:ascii="宋体" w:hAnsi="宋体" w:cs="宋体"/>
                <w:sz w:val="24"/>
                <w:highlight w:val="none"/>
              </w:rPr>
            </w:pPr>
            <w:r>
              <w:rPr>
                <w:rFonts w:hint="eastAsia" w:ascii="仿宋_GB2312" w:eastAsia="仿宋_GB2312"/>
                <w:sz w:val="24"/>
                <w:szCs w:val="20"/>
                <w:highlight w:val="none"/>
                <w:lang w:eastAsia="zh-CN"/>
              </w:rPr>
              <w:t>总计</w:t>
            </w:r>
            <w:r>
              <w:rPr>
                <w:rFonts w:hint="eastAsia" w:ascii="宋体" w:hAnsi="宋体" w:cs="宋体"/>
                <w:sz w:val="24"/>
                <w:highlight w:val="none"/>
              </w:rPr>
              <w:t>¥</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u w:val="single"/>
              </w:rPr>
              <w:t xml:space="preserve">  </w:t>
            </w:r>
            <w:r>
              <w:rPr>
                <w:rFonts w:hint="eastAsia" w:ascii="仿宋_GB2312" w:eastAsia="仿宋_GB2312"/>
                <w:sz w:val="24"/>
                <w:szCs w:val="2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restart"/>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保洁长效养护（包含公厕，牛皮癣，道路保洁）</w:t>
            </w:r>
          </w:p>
        </w:tc>
        <w:tc>
          <w:tcPr>
            <w:tcW w:w="3818" w:type="dxa"/>
            <w:vAlign w:val="center"/>
          </w:tcPr>
          <w:p>
            <w:pPr>
              <w:spacing w:line="276" w:lineRule="auto"/>
              <w:ind w:right="60"/>
              <w:rPr>
                <w:rFonts w:ascii="仿宋_GB2312" w:eastAsia="仿宋_GB2312"/>
                <w:sz w:val="24"/>
                <w:szCs w:val="20"/>
              </w:rPr>
            </w:pPr>
            <w:r>
              <w:rPr>
                <w:rFonts w:hint="eastAsia" w:ascii="仿宋_GB2312" w:eastAsia="仿宋_GB2312"/>
                <w:sz w:val="24"/>
                <w:szCs w:val="20"/>
              </w:rPr>
              <w:t xml:space="preserve">道路保洁¥ </w:t>
            </w:r>
            <w:r>
              <w:rPr>
                <w:rFonts w:hint="eastAsia" w:ascii="仿宋_GB2312" w:eastAsia="仿宋_GB2312"/>
                <w:sz w:val="24"/>
                <w:szCs w:val="20"/>
                <w:u w:val="single"/>
              </w:rPr>
              <w:t xml:space="preserve">                 </w:t>
            </w:r>
            <w:r>
              <w:rPr>
                <w:rFonts w:hint="eastAsia" w:ascii="仿宋_GB2312" w:eastAsia="仿宋_GB231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continue"/>
            <w:vAlign w:val="center"/>
          </w:tcPr>
          <w:p>
            <w:pPr>
              <w:spacing w:line="276" w:lineRule="auto"/>
              <w:ind w:left="60" w:right="60"/>
              <w:jc w:val="center"/>
              <w:rPr>
                <w:rFonts w:ascii="仿宋_GB2312" w:eastAsia="仿宋_GB2312"/>
                <w:sz w:val="24"/>
                <w:szCs w:val="20"/>
              </w:rPr>
            </w:pPr>
          </w:p>
        </w:tc>
        <w:tc>
          <w:tcPr>
            <w:tcW w:w="3818" w:type="dxa"/>
            <w:vAlign w:val="center"/>
          </w:tcPr>
          <w:p>
            <w:pPr>
              <w:spacing w:line="276" w:lineRule="auto"/>
              <w:ind w:right="60"/>
              <w:rPr>
                <w:rFonts w:ascii="仿宋_GB2312" w:eastAsia="仿宋_GB2312"/>
                <w:sz w:val="24"/>
                <w:szCs w:val="20"/>
                <w:highlight w:val="none"/>
              </w:rPr>
            </w:pPr>
            <w:r>
              <w:rPr>
                <w:rFonts w:hint="eastAsia" w:ascii="仿宋_GB2312" w:eastAsia="仿宋_GB2312"/>
                <w:sz w:val="24"/>
                <w:szCs w:val="20"/>
                <w:highlight w:val="none"/>
                <w:lang w:eastAsia="zh-CN"/>
              </w:rPr>
              <w:t>牛皮癣</w:t>
            </w:r>
            <w:r>
              <w:rPr>
                <w:rFonts w:hint="eastAsia" w:ascii="仿宋_GB2312" w:eastAsia="仿宋_GB2312"/>
                <w:sz w:val="24"/>
                <w:szCs w:val="20"/>
                <w:highlight w:val="none"/>
              </w:rPr>
              <w:t>¥</w:t>
            </w:r>
            <w:r>
              <w:rPr>
                <w:rFonts w:hint="eastAsia" w:ascii="仿宋_GB2312" w:eastAsia="仿宋_GB2312"/>
                <w:sz w:val="24"/>
                <w:szCs w:val="20"/>
                <w:highlight w:val="none"/>
                <w:u w:val="single"/>
              </w:rPr>
              <w:t xml:space="preserve">                    </w:t>
            </w:r>
            <w:r>
              <w:rPr>
                <w:rFonts w:hint="eastAsia" w:ascii="仿宋_GB2312" w:eastAsia="仿宋_GB2312"/>
                <w:sz w:val="24"/>
                <w:szCs w:val="2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continue"/>
            <w:vAlign w:val="center"/>
          </w:tcPr>
          <w:p>
            <w:pPr>
              <w:spacing w:line="276" w:lineRule="auto"/>
              <w:ind w:left="60" w:right="60"/>
              <w:jc w:val="center"/>
              <w:rPr>
                <w:rFonts w:ascii="仿宋_GB2312" w:eastAsia="仿宋_GB2312"/>
                <w:sz w:val="24"/>
                <w:szCs w:val="20"/>
              </w:rPr>
            </w:pPr>
          </w:p>
        </w:tc>
        <w:tc>
          <w:tcPr>
            <w:tcW w:w="3818" w:type="dxa"/>
            <w:vAlign w:val="center"/>
          </w:tcPr>
          <w:p>
            <w:pPr>
              <w:spacing w:line="276" w:lineRule="auto"/>
              <w:ind w:right="60"/>
              <w:rPr>
                <w:rFonts w:ascii="仿宋_GB2312" w:eastAsia="仿宋_GB2312"/>
                <w:sz w:val="24"/>
                <w:szCs w:val="20"/>
              </w:rPr>
            </w:pPr>
            <w:r>
              <w:rPr>
                <w:rFonts w:hint="eastAsia" w:ascii="仿宋_GB2312" w:eastAsia="仿宋_GB2312"/>
                <w:sz w:val="24"/>
                <w:szCs w:val="20"/>
              </w:rPr>
              <w:t xml:space="preserve">公 厕  ¥ </w:t>
            </w:r>
            <w:r>
              <w:rPr>
                <w:rFonts w:hint="eastAsia" w:ascii="仿宋_GB2312" w:eastAsia="仿宋_GB2312"/>
                <w:sz w:val="24"/>
                <w:szCs w:val="20"/>
                <w:u w:val="single"/>
              </w:rPr>
              <w:t xml:space="preserve">                 </w:t>
            </w:r>
            <w:r>
              <w:rPr>
                <w:rFonts w:hint="eastAsia" w:ascii="仿宋_GB2312" w:eastAsia="仿宋_GB2312"/>
                <w:sz w:val="24"/>
                <w:szCs w:val="2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Merge w:val="continue"/>
            <w:vAlign w:val="center"/>
          </w:tcPr>
          <w:p>
            <w:pPr>
              <w:spacing w:line="276" w:lineRule="auto"/>
              <w:ind w:left="60" w:right="60"/>
              <w:jc w:val="center"/>
              <w:rPr>
                <w:rFonts w:ascii="仿宋_GB2312" w:eastAsia="仿宋_GB2312"/>
                <w:sz w:val="24"/>
                <w:szCs w:val="20"/>
              </w:rPr>
            </w:pPr>
          </w:p>
        </w:tc>
        <w:tc>
          <w:tcPr>
            <w:tcW w:w="3818" w:type="dxa"/>
            <w:vAlign w:val="center"/>
          </w:tcPr>
          <w:p>
            <w:pPr>
              <w:spacing w:line="276" w:lineRule="auto"/>
              <w:ind w:right="60"/>
              <w:rPr>
                <w:rFonts w:ascii="仿宋_GB2312" w:eastAsia="仿宋_GB2312"/>
                <w:sz w:val="24"/>
                <w:szCs w:val="20"/>
              </w:rPr>
            </w:pPr>
            <w:r>
              <w:rPr>
                <w:rFonts w:hint="eastAsia" w:ascii="仿宋_GB2312" w:eastAsia="仿宋_GB2312"/>
                <w:sz w:val="24"/>
                <w:szCs w:val="20"/>
              </w:rPr>
              <w:t xml:space="preserve">总计¥ </w:t>
            </w:r>
            <w:r>
              <w:rPr>
                <w:rFonts w:hint="eastAsia" w:ascii="仿宋_GB2312" w:eastAsia="仿宋_GB2312"/>
                <w:sz w:val="24"/>
                <w:szCs w:val="20"/>
                <w:u w:val="single"/>
              </w:rPr>
              <w:t xml:space="preserve">            </w:t>
            </w:r>
            <w:r>
              <w:rPr>
                <w:rFonts w:hint="eastAsia" w:ascii="仿宋_GB2312" w:eastAsia="仿宋_GB2312"/>
                <w:sz w:val="24"/>
                <w:szCs w:val="20"/>
                <w:u w:val="single"/>
                <w:lang w:val="en-US" w:eastAsia="zh-CN"/>
              </w:rPr>
              <w:t xml:space="preserve">    </w:t>
            </w:r>
            <w:r>
              <w:rPr>
                <w:rFonts w:hint="eastAsia" w:ascii="仿宋_GB2312" w:eastAsia="仿宋_GB2312"/>
                <w:sz w:val="24"/>
                <w:szCs w:val="20"/>
                <w:u w:val="single"/>
              </w:rPr>
              <w:t xml:space="preserve">    </w:t>
            </w:r>
            <w:r>
              <w:rPr>
                <w:rFonts w:hint="eastAsia" w:ascii="仿宋_GB2312" w:eastAsia="仿宋_GB2312"/>
                <w:sz w:val="24"/>
                <w:szCs w:val="20"/>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Align w:val="center"/>
          </w:tcPr>
          <w:p>
            <w:pPr>
              <w:spacing w:line="276" w:lineRule="auto"/>
              <w:ind w:left="60" w:right="60"/>
              <w:jc w:val="center"/>
              <w:rPr>
                <w:rFonts w:ascii="仿宋_GB2312" w:eastAsia="仿宋_GB2312"/>
                <w:sz w:val="24"/>
                <w:szCs w:val="20"/>
              </w:rPr>
            </w:pPr>
            <w:r>
              <w:rPr>
                <w:rFonts w:hint="eastAsia" w:ascii="仿宋_GB2312" w:eastAsia="仿宋_GB2312"/>
                <w:sz w:val="24"/>
                <w:szCs w:val="20"/>
              </w:rPr>
              <w:t>绿化养护</w:t>
            </w:r>
          </w:p>
        </w:tc>
        <w:tc>
          <w:tcPr>
            <w:tcW w:w="3818" w:type="dxa"/>
            <w:vAlign w:val="center"/>
          </w:tcPr>
          <w:p>
            <w:pPr>
              <w:spacing w:line="276" w:lineRule="auto"/>
              <w:ind w:right="60"/>
              <w:rPr>
                <w:rFonts w:ascii="仿宋_GB2312" w:eastAsia="仿宋_GB2312"/>
                <w:sz w:val="24"/>
                <w:szCs w:val="20"/>
              </w:rPr>
            </w:pPr>
            <w:r>
              <w:rPr>
                <w:rFonts w:hint="eastAsia" w:ascii="宋体" w:hAnsi="宋体" w:cs="宋体"/>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eastAsia="仿宋_GB231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952" w:type="dxa"/>
            <w:vMerge w:val="continue"/>
            <w:vAlign w:val="center"/>
          </w:tcPr>
          <w:p>
            <w:pPr>
              <w:spacing w:line="440" w:lineRule="exact"/>
              <w:jc w:val="distribute"/>
              <w:rPr>
                <w:rFonts w:ascii="仿宋_GB2312" w:hAnsi="仿宋_GB2312" w:eastAsia="仿宋_GB2312" w:cs="仿宋_GB2312"/>
                <w:sz w:val="24"/>
              </w:rPr>
            </w:pPr>
          </w:p>
        </w:tc>
        <w:tc>
          <w:tcPr>
            <w:tcW w:w="3399" w:type="dxa"/>
            <w:vAlign w:val="center"/>
          </w:tcPr>
          <w:p>
            <w:pPr>
              <w:spacing w:line="276" w:lineRule="auto"/>
              <w:ind w:left="60" w:right="60"/>
              <w:jc w:val="center"/>
              <w:rPr>
                <w:rFonts w:ascii="仿宋_GB2312" w:eastAsia="仿宋_GB2312"/>
                <w:sz w:val="24"/>
              </w:rPr>
            </w:pPr>
            <w:r>
              <w:rPr>
                <w:rFonts w:hint="eastAsia" w:ascii="仿宋_GB2312" w:eastAsia="仿宋_GB2312"/>
                <w:sz w:val="24"/>
              </w:rPr>
              <w:t>亮化养护</w:t>
            </w:r>
          </w:p>
        </w:tc>
        <w:tc>
          <w:tcPr>
            <w:tcW w:w="3818" w:type="dxa"/>
            <w:vAlign w:val="center"/>
          </w:tcPr>
          <w:p>
            <w:pPr>
              <w:spacing w:line="276" w:lineRule="auto"/>
              <w:ind w:right="60"/>
              <w:rPr>
                <w:rFonts w:ascii="仿宋_GB2312" w:eastAsia="仿宋_GB2312"/>
                <w:sz w:val="24"/>
              </w:rPr>
            </w:pPr>
            <w:r>
              <w:rPr>
                <w:rFonts w:hint="eastAsia" w:ascii="宋体" w:hAnsi="宋体" w:cs="宋体"/>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eastAsia="仿宋_GB2312"/>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952" w:type="dxa"/>
            <w:vAlign w:val="center"/>
          </w:tcPr>
          <w:p>
            <w:pPr>
              <w:spacing w:line="440" w:lineRule="exact"/>
              <w:jc w:val="distribute"/>
              <w:rPr>
                <w:rFonts w:ascii="仿宋_GB2312" w:hAnsi="仿宋_GB2312" w:eastAsia="仿宋_GB2312" w:cs="仿宋_GB2312"/>
                <w:sz w:val="24"/>
              </w:rPr>
            </w:pPr>
            <w:r>
              <w:rPr>
                <w:rFonts w:hint="eastAsia" w:ascii="仿宋_GB2312" w:hAnsi="仿宋_GB2312" w:eastAsia="仿宋_GB2312" w:cs="仿宋_GB2312"/>
                <w:sz w:val="24"/>
              </w:rPr>
              <w:t>服务期限</w:t>
            </w:r>
          </w:p>
        </w:tc>
        <w:tc>
          <w:tcPr>
            <w:tcW w:w="7217" w:type="dxa"/>
            <w:gridSpan w:val="2"/>
            <w:vAlign w:val="center"/>
          </w:tcPr>
          <w:p>
            <w:pPr>
              <w:spacing w:line="440" w:lineRule="exact"/>
              <w:ind w:firstLine="2400" w:firstLineChars="10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52" w:type="dxa"/>
            <w:vAlign w:val="center"/>
          </w:tcPr>
          <w:p>
            <w:pPr>
              <w:spacing w:line="440" w:lineRule="exact"/>
              <w:jc w:val="distribute"/>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217" w:type="dxa"/>
            <w:gridSpan w:val="2"/>
            <w:vAlign w:val="center"/>
          </w:tcPr>
          <w:p>
            <w:pPr>
              <w:spacing w:line="440" w:lineRule="exact"/>
              <w:rPr>
                <w:rFonts w:ascii="仿宋_GB2312" w:hAnsi="仿宋_GB2312" w:eastAsia="仿宋_GB2312" w:cs="仿宋_GB2312"/>
                <w:sz w:val="24"/>
              </w:rPr>
            </w:pPr>
          </w:p>
        </w:tc>
      </w:tr>
    </w:tbl>
    <w:p>
      <w:pPr>
        <w:adjustRightInd w:val="0"/>
        <w:snapToGrid w:val="0"/>
        <w:spacing w:line="440" w:lineRule="exac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注: 1、报价一经涂改，应在涂改处加盖投标人公章或者由法定代表人签字，否则其投标作无效标处理。</w:t>
      </w:r>
    </w:p>
    <w:p>
      <w:pPr>
        <w:adjustRightInd w:val="0"/>
        <w:snapToGrid w:val="0"/>
        <w:spacing w:line="440" w:lineRule="exact"/>
        <w:ind w:firstLine="480" w:firstLineChars="200"/>
        <w:rPr>
          <w:rFonts w:ascii="仿宋_GB2312" w:hAnsi="宋体" w:eastAsia="仿宋_GB2312" w:cs="仿宋_GB2312"/>
          <w:b/>
          <w:color w:val="FF0000"/>
          <w:kern w:val="0"/>
          <w:sz w:val="24"/>
          <w:lang w:val="zh-CN"/>
        </w:rPr>
      </w:pPr>
      <w:r>
        <w:rPr>
          <w:rFonts w:hint="eastAsia" w:ascii="仿宋_GB2312" w:hAnsi="宋体" w:eastAsia="仿宋_GB2312" w:cs="仿宋_GB2312"/>
          <w:kern w:val="0"/>
          <w:sz w:val="24"/>
        </w:rPr>
        <w:t>2</w:t>
      </w:r>
      <w:r>
        <w:rPr>
          <w:rFonts w:hint="eastAsia" w:ascii="仿宋_GB2312" w:hAnsi="宋体" w:eastAsia="仿宋_GB2312" w:cs="仿宋_GB2312"/>
          <w:kern w:val="0"/>
          <w:sz w:val="24"/>
          <w:lang w:val="zh-CN"/>
        </w:rPr>
        <w:t>、</w:t>
      </w:r>
      <w:r>
        <w:rPr>
          <w:rFonts w:hint="eastAsia" w:ascii="仿宋_GB2312" w:hAnsi="宋体" w:eastAsia="仿宋_GB2312" w:cs="仿宋_GB2312"/>
          <w:b/>
          <w:color w:val="FF0000"/>
          <w:kern w:val="0"/>
          <w:sz w:val="24"/>
          <w:lang w:val="zh-CN"/>
        </w:rPr>
        <w:t>本投标报价为一次性报价，过程中不再调整。报价均不得超过各养护服务的分项预算</w:t>
      </w:r>
      <w:r>
        <w:rPr>
          <w:rFonts w:hint="eastAsia" w:ascii="仿宋_GB2312" w:hAnsi="宋体" w:eastAsia="仿宋_GB2312" w:cs="仿宋_GB2312"/>
          <w:b/>
          <w:color w:val="FF0000"/>
          <w:kern w:val="0"/>
          <w:sz w:val="24"/>
          <w:lang w:val="zh-CN" w:eastAsia="zh-CN"/>
        </w:rPr>
        <w:t>以及单项预算</w:t>
      </w:r>
      <w:r>
        <w:rPr>
          <w:rFonts w:hint="eastAsia" w:ascii="仿宋_GB2312" w:hAnsi="宋体" w:eastAsia="仿宋_GB2312" w:cs="仿宋_GB2312"/>
          <w:b/>
          <w:color w:val="FF0000"/>
          <w:kern w:val="0"/>
          <w:sz w:val="24"/>
          <w:lang w:val="zh-CN"/>
        </w:rPr>
        <w:t>。</w:t>
      </w:r>
      <w:r>
        <w:rPr>
          <w:rFonts w:hint="eastAsia" w:ascii="仿宋_GB2312" w:hAnsi="宋体" w:eastAsia="仿宋_GB2312" w:cs="仿宋_GB2312"/>
          <w:b/>
          <w:color w:val="FF0000"/>
          <w:kern w:val="0"/>
          <w:sz w:val="24"/>
          <w:lang w:val="en-US" w:eastAsia="zh-CN"/>
        </w:rPr>
        <w:t>亮化</w:t>
      </w:r>
      <w:r>
        <w:rPr>
          <w:rFonts w:hint="eastAsia" w:ascii="仿宋_GB2312" w:hAnsi="宋体" w:eastAsia="仿宋_GB2312" w:cs="仿宋_GB2312"/>
          <w:b/>
          <w:color w:val="FF0000"/>
          <w:kern w:val="0"/>
          <w:sz w:val="24"/>
          <w:lang w:val="zh-CN"/>
        </w:rPr>
        <w:t>招标设施量中单盏灯的年维护费报价不得超过41.68元/年的110%。（41.68元/年为原江干区景观照明设施项目2021年度最高报价）。</w:t>
      </w:r>
    </w:p>
    <w:p>
      <w:pPr>
        <w:adjustRightInd w:val="0"/>
        <w:snapToGrid w:val="0"/>
        <w:spacing w:line="440" w:lineRule="exact"/>
        <w:rPr>
          <w:rFonts w:ascii="仿宋_GB2312" w:hAnsi="宋体" w:eastAsia="仿宋_GB2312" w:cs="仿宋_GB2312"/>
          <w:kern w:val="0"/>
          <w:sz w:val="24"/>
          <w:lang w:val="zh-CN"/>
        </w:rPr>
      </w:pPr>
      <w:r>
        <w:rPr>
          <w:rFonts w:hint="eastAsia" w:ascii="仿宋_GB2312" w:hAnsi="宋体" w:eastAsia="仿宋_GB2312" w:cs="仿宋_GB2312"/>
          <w:kern w:val="0"/>
          <w:sz w:val="24"/>
        </w:rPr>
        <w:t xml:space="preserve">    3</w:t>
      </w:r>
      <w:r>
        <w:rPr>
          <w:rFonts w:hint="eastAsia" w:ascii="仿宋_GB2312" w:hAnsi="宋体" w:eastAsia="仿宋_GB2312" w:cs="仿宋_GB2312"/>
          <w:kern w:val="0"/>
          <w:sz w:val="24"/>
          <w:lang w:val="zh-CN"/>
        </w:rPr>
        <w:t>、本投标文件及其所附文件涵盖了我方要约的全部内容。在标期内，我方受投标文件之价目表上我方要约金额的约束。</w:t>
      </w:r>
    </w:p>
    <w:p>
      <w:pPr>
        <w:adjustRightInd w:val="0"/>
        <w:snapToGrid w:val="0"/>
        <w:spacing w:line="440" w:lineRule="exact"/>
        <w:ind w:firstLine="480"/>
        <w:rPr>
          <w:rFonts w:ascii="仿宋_GB2312" w:hAnsi="宋体" w:eastAsia="仿宋_GB2312" w:cs="仿宋_GB2312"/>
          <w:kern w:val="0"/>
          <w:sz w:val="24"/>
          <w:lang w:val="zh-CN"/>
        </w:rPr>
      </w:pPr>
      <w:r>
        <w:rPr>
          <w:rFonts w:hint="eastAsia" w:ascii="仿宋_GB2312" w:hAnsi="宋体" w:eastAsia="仿宋_GB2312" w:cs="仿宋_GB2312"/>
          <w:kern w:val="0"/>
          <w:sz w:val="24"/>
        </w:rPr>
        <w:t>4</w:t>
      </w:r>
      <w:r>
        <w:rPr>
          <w:rFonts w:hint="eastAsia" w:ascii="仿宋_GB2312" w:hAnsi="宋体" w:eastAsia="仿宋_GB2312" w:cs="仿宋_GB2312"/>
          <w:kern w:val="0"/>
          <w:sz w:val="24"/>
          <w:lang w:val="zh-CN"/>
        </w:rPr>
        <w:t>、本投标文件，你方之接受函，包括条款栏，标的规格要求栏和其它有关文件在内的应标文件对我们双方均具约束力。</w:t>
      </w:r>
    </w:p>
    <w:p>
      <w:pPr>
        <w:adjustRightInd w:val="0"/>
        <w:snapToGrid w:val="0"/>
        <w:spacing w:line="440" w:lineRule="exact"/>
        <w:ind w:firstLine="480"/>
        <w:rPr>
          <w:rFonts w:ascii="仿宋_GB2312" w:hAnsi="宋体" w:eastAsia="仿宋_GB2312" w:cs="仿宋_GB2312"/>
          <w:kern w:val="0"/>
          <w:sz w:val="24"/>
          <w:lang w:val="zh-CN"/>
        </w:rPr>
      </w:pPr>
      <w:r>
        <w:rPr>
          <w:rFonts w:hint="eastAsia" w:ascii="仿宋_GB2312" w:hAnsi="宋体" w:eastAsia="仿宋_GB2312" w:cs="仿宋_GB2312"/>
          <w:kern w:val="0"/>
          <w:sz w:val="24"/>
        </w:rPr>
        <w:t>5</w:t>
      </w:r>
      <w:r>
        <w:rPr>
          <w:rFonts w:hint="eastAsia" w:ascii="仿宋_GB2312" w:hAnsi="宋体" w:eastAsia="仿宋_GB2312" w:cs="仿宋_GB2312"/>
          <w:kern w:val="0"/>
          <w:sz w:val="24"/>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440" w:lineRule="exact"/>
        <w:ind w:left="719" w:hanging="240"/>
        <w:rPr>
          <w:rFonts w:ascii="仿宋_GB2312" w:hAnsi="宋体" w:eastAsia="仿宋_GB2312" w:cs="仿宋_GB2312"/>
          <w:kern w:val="0"/>
          <w:sz w:val="24"/>
          <w:lang w:val="zh-CN"/>
        </w:rPr>
      </w:pPr>
      <w:r>
        <w:rPr>
          <w:rFonts w:hint="eastAsia" w:ascii="仿宋_GB2312" w:hAnsi="宋体" w:eastAsia="仿宋_GB2312" w:cs="仿宋_GB2312"/>
          <w:kern w:val="0"/>
          <w:sz w:val="24"/>
        </w:rPr>
        <w:t>6</w:t>
      </w:r>
      <w:r>
        <w:rPr>
          <w:rFonts w:hint="eastAsia" w:ascii="仿宋_GB2312" w:hAnsi="宋体" w:eastAsia="仿宋_GB2312" w:cs="仿宋_GB2312"/>
          <w:kern w:val="0"/>
          <w:sz w:val="24"/>
          <w:lang w:val="zh-CN"/>
        </w:rPr>
        <w:t>、另外，我方承诺还将就你方所要求的进一步信息提供给你方。</w:t>
      </w:r>
    </w:p>
    <w:p>
      <w:pPr>
        <w:tabs>
          <w:tab w:val="left" w:pos="720"/>
        </w:tabs>
        <w:autoSpaceDE w:val="0"/>
        <w:autoSpaceDN w:val="0"/>
        <w:adjustRightInd w:val="0"/>
        <w:spacing w:line="440" w:lineRule="exact"/>
        <w:ind w:left="719" w:hanging="240"/>
        <w:rPr>
          <w:rFonts w:ascii="仿宋_GB2312" w:hAnsi="宋体" w:eastAsia="仿宋_GB2312" w:cs="仿宋_GB2312"/>
          <w:kern w:val="0"/>
          <w:sz w:val="24"/>
          <w:lang w:val="zh-CN"/>
        </w:rPr>
      </w:pPr>
      <w:r>
        <w:rPr>
          <w:rFonts w:hint="eastAsia" w:ascii="仿宋_GB2312" w:hAnsi="宋体" w:eastAsia="仿宋_GB2312" w:cs="仿宋_GB2312"/>
          <w:kern w:val="0"/>
          <w:sz w:val="24"/>
        </w:rPr>
        <w:t>7</w:t>
      </w:r>
      <w:r>
        <w:rPr>
          <w:rFonts w:hint="eastAsia" w:ascii="仿宋_GB2312" w:hAnsi="宋体" w:eastAsia="仿宋_GB2312" w:cs="仿宋_GB2312"/>
          <w:kern w:val="0"/>
          <w:sz w:val="24"/>
          <w:lang w:val="zh-CN"/>
        </w:rPr>
        <w:t>、如果我方中标，我方愿意提供如下优惠条件：</w:t>
      </w:r>
    </w:p>
    <w:p>
      <w:pPr>
        <w:tabs>
          <w:tab w:val="left" w:pos="720"/>
        </w:tabs>
        <w:autoSpaceDE w:val="0"/>
        <w:autoSpaceDN w:val="0"/>
        <w:adjustRightInd w:val="0"/>
        <w:spacing w:line="440" w:lineRule="exact"/>
        <w:ind w:firstLine="480"/>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 xml:space="preserve">(1)                                                       </w:t>
      </w:r>
    </w:p>
    <w:p>
      <w:pPr>
        <w:widowControl/>
        <w:spacing w:line="440" w:lineRule="exact"/>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投标人名称（公章）： </w:t>
      </w:r>
    </w:p>
    <w:p>
      <w:pPr>
        <w:widowControl/>
        <w:spacing w:line="440" w:lineRule="exact"/>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法定代表人或被授权人（签字或盖章）：</w:t>
      </w:r>
    </w:p>
    <w:p>
      <w:pPr>
        <w:tabs>
          <w:tab w:val="center" w:pos="4539"/>
          <w:tab w:val="right" w:pos="8958"/>
        </w:tabs>
        <w:autoSpaceDE w:val="0"/>
        <w:autoSpaceDN w:val="0"/>
        <w:adjustRightInd w:val="0"/>
        <w:spacing w:line="440" w:lineRule="exact"/>
        <w:ind w:firstLine="3000" w:firstLineChars="1250"/>
        <w:jc w:val="left"/>
        <w:rPr>
          <w:rFonts w:ascii="仿宋_GB2312" w:hAnsi="宋体" w:eastAsia="仿宋_GB2312" w:cs="仿宋_GB2312"/>
          <w:b/>
          <w:sz w:val="24"/>
        </w:rPr>
        <w:sectPr>
          <w:pgSz w:w="11906" w:h="16838"/>
          <w:pgMar w:top="2098" w:right="1474" w:bottom="1701" w:left="1588" w:header="851" w:footer="992" w:gutter="0"/>
          <w:cols w:space="720" w:num="1"/>
          <w:docGrid w:linePitch="312" w:charSpace="0"/>
        </w:sectPr>
      </w:pPr>
      <w:r>
        <w:rPr>
          <w:rFonts w:hint="eastAsia" w:ascii="仿宋_GB2312" w:hAnsi="宋体" w:eastAsia="仿宋_GB2312" w:cs="仿宋_GB2312"/>
          <w:kern w:val="0"/>
          <w:sz w:val="24"/>
          <w:lang w:val="zh-CN"/>
        </w:rPr>
        <w:t>日期</w:t>
      </w:r>
      <w:r>
        <w:rPr>
          <w:rFonts w:hint="eastAsia" w:ascii="仿宋_GB2312" w:hAnsi="宋体" w:eastAsia="仿宋_GB2312" w:cs="仿宋_GB2312"/>
          <w:kern w:val="0"/>
          <w:sz w:val="24"/>
        </w:rPr>
        <w:t>：</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ind w:firstLine="0" w:firstLineChars="0"/>
        <w:rPr>
          <w:rFonts w:ascii="仿宋_GB2312" w:hAnsi="宋体" w:eastAsia="仿宋_GB2312" w:cs="宋体"/>
        </w:rPr>
      </w:pPr>
      <w:r>
        <w:rPr>
          <w:rFonts w:hint="eastAsia" w:ascii="仿宋_GB2312" w:hAnsi="宋体" w:eastAsia="仿宋_GB2312" w:cs="宋体"/>
        </w:rPr>
        <w:t>格式文件1.9</w:t>
      </w:r>
    </w:p>
    <w:p>
      <w:pPr>
        <w:adjustRightInd w:val="0"/>
        <w:snapToGrid w:val="0"/>
        <w:spacing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报价明细清单</w:t>
      </w:r>
    </w:p>
    <w:tbl>
      <w:tblPr>
        <w:tblStyle w:val="41"/>
        <w:tblW w:w="12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3"/>
        <w:gridCol w:w="1275"/>
        <w:gridCol w:w="2453"/>
        <w:gridCol w:w="996"/>
        <w:gridCol w:w="915"/>
        <w:gridCol w:w="915"/>
        <w:gridCol w:w="1110"/>
        <w:gridCol w:w="1485"/>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17" w:type="dxa"/>
            <w:vAlign w:val="center"/>
          </w:tcPr>
          <w:p>
            <w:pPr>
              <w:jc w:val="center"/>
              <w:rPr>
                <w:rFonts w:ascii="仿宋_GB2312" w:hAnsi="仿宋" w:eastAsia="仿宋_GB2312" w:cs="仿宋_GB2312"/>
                <w:b/>
                <w:color w:val="000000"/>
                <w:sz w:val="24"/>
              </w:rPr>
            </w:pPr>
            <w:r>
              <w:rPr>
                <w:rFonts w:hint="eastAsia" w:ascii="仿宋_GB2312" w:hAnsi="仿宋" w:eastAsia="仿宋_GB2312"/>
                <w:b/>
                <w:color w:val="000000"/>
                <w:sz w:val="24"/>
              </w:rPr>
              <w:t>序号</w:t>
            </w:r>
          </w:p>
        </w:tc>
        <w:tc>
          <w:tcPr>
            <w:tcW w:w="993" w:type="dxa"/>
            <w:vAlign w:val="center"/>
          </w:tcPr>
          <w:p>
            <w:pPr>
              <w:jc w:val="center"/>
              <w:rPr>
                <w:rFonts w:ascii="仿宋_GB2312" w:hAnsi="仿宋" w:eastAsia="仿宋_GB2312" w:cs="仿宋_GB2312"/>
                <w:b/>
                <w:color w:val="000000"/>
                <w:sz w:val="24"/>
              </w:rPr>
            </w:pPr>
            <w:r>
              <w:rPr>
                <w:rFonts w:hint="eastAsia" w:ascii="仿宋_GB2312" w:hAnsi="仿宋" w:eastAsia="仿宋_GB2312"/>
                <w:b/>
                <w:color w:val="000000"/>
                <w:sz w:val="24"/>
              </w:rPr>
              <w:t>名称</w:t>
            </w:r>
          </w:p>
        </w:tc>
        <w:tc>
          <w:tcPr>
            <w:tcW w:w="1275" w:type="dxa"/>
            <w:vAlign w:val="center"/>
          </w:tcPr>
          <w:p>
            <w:pPr>
              <w:jc w:val="center"/>
              <w:rPr>
                <w:rFonts w:ascii="仿宋_GB2312" w:hAnsi="仿宋" w:eastAsia="仿宋_GB2312"/>
                <w:b/>
                <w:color w:val="000000"/>
                <w:sz w:val="24"/>
              </w:rPr>
            </w:pPr>
            <w:r>
              <w:rPr>
                <w:rFonts w:hint="eastAsia" w:ascii="仿宋_GB2312" w:hAnsi="仿宋" w:eastAsia="仿宋_GB2312"/>
                <w:b/>
                <w:color w:val="000000"/>
                <w:sz w:val="24"/>
              </w:rPr>
              <w:t>品牌</w:t>
            </w:r>
          </w:p>
          <w:p>
            <w:pPr>
              <w:jc w:val="center"/>
              <w:rPr>
                <w:rFonts w:ascii="仿宋_GB2312" w:hAnsi="仿宋" w:eastAsia="仿宋_GB2312" w:cs="仿宋_GB2312"/>
                <w:b/>
                <w:color w:val="000000"/>
                <w:sz w:val="24"/>
              </w:rPr>
            </w:pPr>
            <w:r>
              <w:rPr>
                <w:rFonts w:hint="eastAsia" w:ascii="仿宋_GB2312" w:hAnsi="仿宋" w:eastAsia="仿宋_GB2312"/>
                <w:b/>
                <w:color w:val="000000"/>
                <w:sz w:val="24"/>
              </w:rPr>
              <w:t>（如有）</w:t>
            </w:r>
          </w:p>
        </w:tc>
        <w:tc>
          <w:tcPr>
            <w:tcW w:w="2453" w:type="dxa"/>
            <w:vAlign w:val="center"/>
          </w:tcPr>
          <w:p>
            <w:pPr>
              <w:jc w:val="center"/>
              <w:rPr>
                <w:rFonts w:ascii="仿宋_GB2312" w:hAnsi="仿宋" w:eastAsia="仿宋_GB2312"/>
                <w:b/>
                <w:color w:val="000000"/>
                <w:sz w:val="24"/>
              </w:rPr>
            </w:pPr>
            <w:r>
              <w:rPr>
                <w:rFonts w:hint="eastAsia" w:ascii="仿宋_GB2312" w:hAnsi="仿宋" w:eastAsia="仿宋_GB2312"/>
                <w:b/>
                <w:color w:val="000000"/>
                <w:sz w:val="24"/>
              </w:rPr>
              <w:t>规格型号</w:t>
            </w:r>
          </w:p>
          <w:p>
            <w:pPr>
              <w:jc w:val="center"/>
              <w:rPr>
                <w:rFonts w:ascii="仿宋_GB2312" w:hAnsi="仿宋" w:eastAsia="仿宋_GB2312" w:cs="仿宋_GB2312"/>
                <w:b/>
                <w:color w:val="000000"/>
                <w:sz w:val="24"/>
              </w:rPr>
            </w:pPr>
            <w:r>
              <w:rPr>
                <w:rFonts w:hint="eastAsia" w:ascii="仿宋_GB2312" w:hAnsi="仿宋" w:eastAsia="仿宋_GB2312"/>
                <w:b/>
                <w:color w:val="000000"/>
                <w:sz w:val="24"/>
              </w:rPr>
              <w:t>（或具体服务）</w:t>
            </w:r>
          </w:p>
        </w:tc>
        <w:tc>
          <w:tcPr>
            <w:tcW w:w="996" w:type="dxa"/>
            <w:vAlign w:val="center"/>
          </w:tcPr>
          <w:p>
            <w:pPr>
              <w:jc w:val="center"/>
              <w:rPr>
                <w:rFonts w:ascii="仿宋_GB2312" w:hAnsi="仿宋" w:eastAsia="仿宋_GB2312"/>
                <w:b/>
                <w:color w:val="000000"/>
                <w:sz w:val="24"/>
              </w:rPr>
            </w:pPr>
            <w:r>
              <w:rPr>
                <w:rFonts w:hint="eastAsia" w:ascii="仿宋_GB2312" w:hAnsi="仿宋" w:eastAsia="仿宋_GB2312"/>
                <w:b/>
                <w:color w:val="000000"/>
                <w:sz w:val="24"/>
              </w:rPr>
              <w:t>数量</w:t>
            </w:r>
          </w:p>
        </w:tc>
        <w:tc>
          <w:tcPr>
            <w:tcW w:w="915" w:type="dxa"/>
            <w:vAlign w:val="center"/>
          </w:tcPr>
          <w:p>
            <w:pPr>
              <w:jc w:val="center"/>
              <w:rPr>
                <w:rFonts w:ascii="仿宋_GB2312" w:hAnsi="仿宋" w:eastAsia="仿宋_GB2312"/>
                <w:b/>
                <w:color w:val="000000"/>
                <w:sz w:val="24"/>
              </w:rPr>
            </w:pPr>
            <w:r>
              <w:rPr>
                <w:rFonts w:hint="eastAsia" w:ascii="仿宋_GB2312" w:hAnsi="仿宋" w:eastAsia="仿宋_GB2312"/>
                <w:b/>
                <w:color w:val="000000"/>
                <w:sz w:val="24"/>
              </w:rPr>
              <w:t>单位</w:t>
            </w:r>
          </w:p>
        </w:tc>
        <w:tc>
          <w:tcPr>
            <w:tcW w:w="915" w:type="dxa"/>
            <w:vAlign w:val="center"/>
          </w:tcPr>
          <w:p>
            <w:pPr>
              <w:jc w:val="center"/>
              <w:rPr>
                <w:rFonts w:ascii="仿宋_GB2312" w:hAnsi="仿宋" w:eastAsia="仿宋_GB2312" w:cs="仿宋_GB2312"/>
                <w:b/>
                <w:color w:val="000000"/>
                <w:sz w:val="24"/>
              </w:rPr>
            </w:pPr>
            <w:r>
              <w:rPr>
                <w:rFonts w:hint="eastAsia" w:ascii="仿宋_GB2312" w:hAnsi="仿宋" w:eastAsia="仿宋_GB2312"/>
                <w:b/>
                <w:color w:val="000000"/>
                <w:sz w:val="24"/>
              </w:rPr>
              <w:t>单价</w:t>
            </w:r>
          </w:p>
        </w:tc>
        <w:tc>
          <w:tcPr>
            <w:tcW w:w="1110" w:type="dxa"/>
            <w:vAlign w:val="center"/>
          </w:tcPr>
          <w:p>
            <w:pPr>
              <w:jc w:val="center"/>
              <w:rPr>
                <w:rFonts w:ascii="仿宋_GB2312" w:hAnsi="仿宋" w:eastAsia="仿宋_GB2312" w:cs="仿宋_GB2312"/>
                <w:b/>
                <w:color w:val="000000"/>
                <w:sz w:val="24"/>
              </w:rPr>
            </w:pPr>
            <w:r>
              <w:rPr>
                <w:rFonts w:hint="eastAsia" w:ascii="仿宋_GB2312" w:hAnsi="仿宋" w:eastAsia="仿宋_GB2312"/>
                <w:b/>
                <w:color w:val="000000"/>
                <w:sz w:val="24"/>
              </w:rPr>
              <w:t>总价</w:t>
            </w:r>
          </w:p>
        </w:tc>
        <w:tc>
          <w:tcPr>
            <w:tcW w:w="1485" w:type="dxa"/>
            <w:vAlign w:val="center"/>
          </w:tcPr>
          <w:p>
            <w:pPr>
              <w:jc w:val="center"/>
              <w:rPr>
                <w:rFonts w:ascii="仿宋_GB2312" w:hAnsi="仿宋" w:eastAsia="仿宋_GB2312" w:cs="仿宋_GB2312"/>
                <w:b/>
                <w:color w:val="000000"/>
                <w:sz w:val="24"/>
              </w:rPr>
            </w:pPr>
            <w:r>
              <w:rPr>
                <w:rFonts w:hint="eastAsia" w:ascii="仿宋_GB2312" w:hAnsi="仿宋" w:eastAsia="仿宋_GB2312"/>
                <w:b/>
                <w:color w:val="000000"/>
                <w:sz w:val="24"/>
              </w:rPr>
              <w:t>服务要求（年限）</w:t>
            </w:r>
          </w:p>
        </w:tc>
        <w:tc>
          <w:tcPr>
            <w:tcW w:w="1623" w:type="dxa"/>
            <w:vAlign w:val="center"/>
          </w:tcPr>
          <w:p>
            <w:pPr>
              <w:jc w:val="center"/>
              <w:rPr>
                <w:rFonts w:ascii="仿宋_GB2312" w:hAnsi="仿宋" w:eastAsia="仿宋_GB2312"/>
                <w:b/>
                <w:color w:val="000000"/>
                <w:sz w:val="24"/>
              </w:rPr>
            </w:pPr>
            <w:r>
              <w:rPr>
                <w:rFonts w:hint="eastAsia" w:ascii="仿宋_GB2312" w:hAnsi="仿宋"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1</w:t>
            </w:r>
          </w:p>
        </w:tc>
        <w:tc>
          <w:tcPr>
            <w:tcW w:w="993" w:type="dxa"/>
            <w:vAlign w:val="center"/>
          </w:tcPr>
          <w:p>
            <w:pPr>
              <w:snapToGrid w:val="0"/>
              <w:jc w:val="center"/>
              <w:rPr>
                <w:rFonts w:ascii="仿宋_GB2312" w:hAnsi="仿宋" w:eastAsia="仿宋_GB2312" w:cs="仿宋_GB2312"/>
                <w:color w:val="000000"/>
                <w:sz w:val="24"/>
              </w:rPr>
            </w:pPr>
          </w:p>
        </w:tc>
        <w:tc>
          <w:tcPr>
            <w:tcW w:w="1275" w:type="dxa"/>
            <w:vAlign w:val="center"/>
          </w:tcPr>
          <w:p>
            <w:pPr>
              <w:snapToGrid w:val="0"/>
              <w:jc w:val="center"/>
              <w:rPr>
                <w:rFonts w:ascii="仿宋_GB2312" w:hAnsi="仿宋" w:eastAsia="仿宋_GB2312" w:cs="仿宋_GB2312"/>
                <w:color w:val="000000"/>
                <w:sz w:val="24"/>
              </w:rPr>
            </w:pPr>
          </w:p>
        </w:tc>
        <w:tc>
          <w:tcPr>
            <w:tcW w:w="2453" w:type="dxa"/>
            <w:vAlign w:val="center"/>
          </w:tcPr>
          <w:p>
            <w:pPr>
              <w:snapToGrid w:val="0"/>
              <w:jc w:val="center"/>
              <w:rPr>
                <w:rFonts w:ascii="仿宋_GB2312" w:hAnsi="仿宋" w:eastAsia="仿宋_GB2312" w:cs="仿宋_GB2312"/>
                <w:color w:val="000000"/>
                <w:sz w:val="24"/>
              </w:rPr>
            </w:pPr>
          </w:p>
        </w:tc>
        <w:tc>
          <w:tcPr>
            <w:tcW w:w="996" w:type="dxa"/>
            <w:vAlign w:val="center"/>
          </w:tcPr>
          <w:p>
            <w:pPr>
              <w:snapToGrid w:val="0"/>
              <w:jc w:val="center"/>
              <w:rPr>
                <w:rFonts w:ascii="仿宋_GB2312" w:hAnsi="仿宋" w:eastAsia="仿宋_GB2312" w:cs="仿宋_GB2312"/>
                <w:color w:val="000000"/>
                <w:sz w:val="24"/>
              </w:rPr>
            </w:pPr>
          </w:p>
        </w:tc>
        <w:tc>
          <w:tcPr>
            <w:tcW w:w="915" w:type="dxa"/>
            <w:vAlign w:val="center"/>
          </w:tcPr>
          <w:p>
            <w:pPr>
              <w:jc w:val="center"/>
              <w:rPr>
                <w:rFonts w:ascii="仿宋_GB2312" w:hAnsi="仿宋" w:eastAsia="仿宋_GB2312" w:cs="仿宋_GB2312"/>
                <w:color w:val="000000"/>
                <w:sz w:val="24"/>
              </w:rPr>
            </w:pPr>
          </w:p>
        </w:tc>
        <w:tc>
          <w:tcPr>
            <w:tcW w:w="915" w:type="dxa"/>
            <w:vAlign w:val="center"/>
          </w:tcPr>
          <w:p>
            <w:pPr>
              <w:jc w:val="center"/>
              <w:rPr>
                <w:rFonts w:ascii="仿宋_GB2312" w:hAnsi="仿宋" w:eastAsia="仿宋_GB2312" w:cs="仿宋_GB2312"/>
                <w:color w:val="000000"/>
                <w:sz w:val="24"/>
              </w:rPr>
            </w:pPr>
          </w:p>
        </w:tc>
        <w:tc>
          <w:tcPr>
            <w:tcW w:w="1110" w:type="dxa"/>
            <w:vAlign w:val="center"/>
          </w:tcPr>
          <w:p>
            <w:pPr>
              <w:jc w:val="center"/>
              <w:rPr>
                <w:rFonts w:ascii="仿宋_GB2312" w:hAnsi="仿宋" w:eastAsia="仿宋_GB2312" w:cs="仿宋_GB2312"/>
                <w:color w:val="000000"/>
                <w:sz w:val="24"/>
              </w:rPr>
            </w:pPr>
          </w:p>
        </w:tc>
        <w:tc>
          <w:tcPr>
            <w:tcW w:w="1485" w:type="dxa"/>
            <w:vAlign w:val="center"/>
          </w:tcPr>
          <w:p>
            <w:pPr>
              <w:jc w:val="center"/>
              <w:rPr>
                <w:rFonts w:ascii="仿宋_GB2312" w:hAnsi="仿宋" w:eastAsia="仿宋_GB2312" w:cs="仿宋_GB2312"/>
                <w:color w:val="000000"/>
                <w:sz w:val="24"/>
              </w:rPr>
            </w:pPr>
          </w:p>
        </w:tc>
        <w:tc>
          <w:tcPr>
            <w:tcW w:w="1623" w:type="dxa"/>
            <w:vAlign w:val="center"/>
          </w:tcPr>
          <w:p>
            <w:pPr>
              <w:jc w:val="center"/>
              <w:rPr>
                <w:rFonts w:ascii="仿宋_GB2312" w:hAnsi="仿宋"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2</w:t>
            </w:r>
          </w:p>
        </w:tc>
        <w:tc>
          <w:tcPr>
            <w:tcW w:w="993" w:type="dxa"/>
            <w:vAlign w:val="center"/>
          </w:tcPr>
          <w:p>
            <w:pPr>
              <w:snapToGrid w:val="0"/>
              <w:jc w:val="center"/>
              <w:rPr>
                <w:rFonts w:ascii="仿宋_GB2312" w:hAnsi="仿宋" w:eastAsia="仿宋_GB2312" w:cs="仿宋_GB2312"/>
                <w:color w:val="000000"/>
                <w:sz w:val="24"/>
              </w:rPr>
            </w:pPr>
          </w:p>
        </w:tc>
        <w:tc>
          <w:tcPr>
            <w:tcW w:w="1275" w:type="dxa"/>
            <w:vAlign w:val="center"/>
          </w:tcPr>
          <w:p>
            <w:pPr>
              <w:snapToGrid w:val="0"/>
              <w:jc w:val="center"/>
              <w:rPr>
                <w:rFonts w:ascii="仿宋_GB2312" w:hAnsi="仿宋" w:eastAsia="仿宋_GB2312" w:cs="仿宋_GB2312"/>
                <w:color w:val="000000"/>
                <w:sz w:val="24"/>
              </w:rPr>
            </w:pPr>
          </w:p>
        </w:tc>
        <w:tc>
          <w:tcPr>
            <w:tcW w:w="2453" w:type="dxa"/>
            <w:vAlign w:val="center"/>
          </w:tcPr>
          <w:p>
            <w:pPr>
              <w:snapToGrid w:val="0"/>
              <w:jc w:val="center"/>
              <w:rPr>
                <w:rFonts w:ascii="仿宋_GB2312" w:hAnsi="仿宋" w:eastAsia="仿宋_GB2312" w:cs="仿宋_GB2312"/>
                <w:color w:val="000000"/>
                <w:sz w:val="24"/>
              </w:rPr>
            </w:pPr>
          </w:p>
        </w:tc>
        <w:tc>
          <w:tcPr>
            <w:tcW w:w="996" w:type="dxa"/>
            <w:vAlign w:val="center"/>
          </w:tcPr>
          <w:p>
            <w:pPr>
              <w:snapToGrid w:val="0"/>
              <w:jc w:val="center"/>
              <w:rPr>
                <w:rFonts w:ascii="仿宋_GB2312" w:hAnsi="仿宋" w:eastAsia="仿宋_GB2312" w:cs="仿宋_GB2312"/>
                <w:color w:val="000000"/>
                <w:sz w:val="24"/>
              </w:rPr>
            </w:pPr>
          </w:p>
        </w:tc>
        <w:tc>
          <w:tcPr>
            <w:tcW w:w="915" w:type="dxa"/>
          </w:tcPr>
          <w:p>
            <w:pPr>
              <w:jc w:val="center"/>
              <w:rPr>
                <w:rFonts w:ascii="仿宋_GB2312" w:hAnsi="仿宋" w:eastAsia="仿宋_GB2312" w:cs="仿宋_GB2312"/>
                <w:color w:val="000000"/>
                <w:sz w:val="24"/>
              </w:rPr>
            </w:pPr>
          </w:p>
        </w:tc>
        <w:tc>
          <w:tcPr>
            <w:tcW w:w="915" w:type="dxa"/>
            <w:vAlign w:val="center"/>
          </w:tcPr>
          <w:p>
            <w:pPr>
              <w:jc w:val="center"/>
              <w:rPr>
                <w:rFonts w:ascii="仿宋_GB2312" w:hAnsi="仿宋" w:eastAsia="仿宋_GB2312" w:cs="仿宋_GB2312"/>
                <w:color w:val="000000"/>
                <w:sz w:val="24"/>
              </w:rPr>
            </w:pPr>
          </w:p>
        </w:tc>
        <w:tc>
          <w:tcPr>
            <w:tcW w:w="1110" w:type="dxa"/>
            <w:vAlign w:val="center"/>
          </w:tcPr>
          <w:p>
            <w:pPr>
              <w:jc w:val="center"/>
              <w:rPr>
                <w:rFonts w:ascii="仿宋_GB2312" w:hAnsi="仿宋" w:eastAsia="仿宋_GB2312" w:cs="仿宋_GB2312"/>
                <w:color w:val="000000"/>
                <w:sz w:val="24"/>
              </w:rPr>
            </w:pPr>
          </w:p>
        </w:tc>
        <w:tc>
          <w:tcPr>
            <w:tcW w:w="1485" w:type="dxa"/>
            <w:vAlign w:val="center"/>
          </w:tcPr>
          <w:p>
            <w:pPr>
              <w:jc w:val="center"/>
              <w:rPr>
                <w:rFonts w:ascii="仿宋_GB2312" w:hAnsi="仿宋" w:eastAsia="仿宋_GB2312" w:cs="仿宋_GB2312"/>
                <w:color w:val="000000"/>
                <w:sz w:val="24"/>
              </w:rPr>
            </w:pPr>
          </w:p>
        </w:tc>
        <w:tc>
          <w:tcPr>
            <w:tcW w:w="1623" w:type="dxa"/>
          </w:tcPr>
          <w:p>
            <w:pPr>
              <w:jc w:val="center"/>
              <w:rPr>
                <w:rFonts w:ascii="仿宋_GB2312" w:hAnsi="仿宋"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7" w:type="dxa"/>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3</w:t>
            </w:r>
          </w:p>
        </w:tc>
        <w:tc>
          <w:tcPr>
            <w:tcW w:w="993" w:type="dxa"/>
            <w:vAlign w:val="center"/>
          </w:tcPr>
          <w:p>
            <w:pPr>
              <w:snapToGrid w:val="0"/>
              <w:jc w:val="center"/>
              <w:rPr>
                <w:rFonts w:ascii="仿宋_GB2312" w:hAnsi="仿宋" w:eastAsia="仿宋_GB2312" w:cs="仿宋_GB2312"/>
                <w:color w:val="000000"/>
                <w:sz w:val="24"/>
              </w:rPr>
            </w:pPr>
          </w:p>
        </w:tc>
        <w:tc>
          <w:tcPr>
            <w:tcW w:w="1275" w:type="dxa"/>
            <w:vAlign w:val="center"/>
          </w:tcPr>
          <w:p>
            <w:pPr>
              <w:snapToGrid w:val="0"/>
              <w:jc w:val="center"/>
              <w:rPr>
                <w:rFonts w:ascii="仿宋_GB2312" w:hAnsi="仿宋" w:eastAsia="仿宋_GB2312" w:cs="仿宋_GB2312"/>
                <w:color w:val="000000"/>
                <w:sz w:val="24"/>
              </w:rPr>
            </w:pPr>
          </w:p>
        </w:tc>
        <w:tc>
          <w:tcPr>
            <w:tcW w:w="2453" w:type="dxa"/>
            <w:vAlign w:val="center"/>
          </w:tcPr>
          <w:p>
            <w:pPr>
              <w:snapToGrid w:val="0"/>
              <w:jc w:val="center"/>
              <w:rPr>
                <w:rFonts w:ascii="仿宋_GB2312" w:hAnsi="仿宋" w:eastAsia="仿宋_GB2312" w:cs="仿宋_GB2312"/>
                <w:color w:val="000000"/>
                <w:sz w:val="24"/>
              </w:rPr>
            </w:pPr>
          </w:p>
        </w:tc>
        <w:tc>
          <w:tcPr>
            <w:tcW w:w="996" w:type="dxa"/>
            <w:vAlign w:val="center"/>
          </w:tcPr>
          <w:p>
            <w:pPr>
              <w:snapToGrid w:val="0"/>
              <w:jc w:val="center"/>
              <w:rPr>
                <w:rFonts w:ascii="仿宋_GB2312" w:hAnsi="仿宋" w:eastAsia="仿宋_GB2312" w:cs="仿宋_GB2312"/>
                <w:color w:val="000000"/>
                <w:sz w:val="24"/>
              </w:rPr>
            </w:pPr>
          </w:p>
        </w:tc>
        <w:tc>
          <w:tcPr>
            <w:tcW w:w="915" w:type="dxa"/>
          </w:tcPr>
          <w:p>
            <w:pPr>
              <w:jc w:val="center"/>
              <w:rPr>
                <w:rFonts w:ascii="仿宋_GB2312" w:hAnsi="仿宋" w:eastAsia="仿宋_GB2312" w:cs="仿宋_GB2312"/>
                <w:color w:val="000000"/>
                <w:sz w:val="24"/>
              </w:rPr>
            </w:pPr>
          </w:p>
        </w:tc>
        <w:tc>
          <w:tcPr>
            <w:tcW w:w="915" w:type="dxa"/>
            <w:vAlign w:val="center"/>
          </w:tcPr>
          <w:p>
            <w:pPr>
              <w:jc w:val="center"/>
              <w:rPr>
                <w:rFonts w:ascii="仿宋_GB2312" w:hAnsi="仿宋" w:eastAsia="仿宋_GB2312" w:cs="仿宋_GB2312"/>
                <w:color w:val="000000"/>
                <w:sz w:val="24"/>
              </w:rPr>
            </w:pPr>
          </w:p>
        </w:tc>
        <w:tc>
          <w:tcPr>
            <w:tcW w:w="1110" w:type="dxa"/>
            <w:vAlign w:val="center"/>
          </w:tcPr>
          <w:p>
            <w:pPr>
              <w:jc w:val="center"/>
              <w:rPr>
                <w:rFonts w:ascii="仿宋_GB2312" w:hAnsi="仿宋" w:eastAsia="仿宋_GB2312" w:cs="仿宋_GB2312"/>
                <w:color w:val="000000"/>
                <w:sz w:val="24"/>
              </w:rPr>
            </w:pPr>
          </w:p>
        </w:tc>
        <w:tc>
          <w:tcPr>
            <w:tcW w:w="1485" w:type="dxa"/>
            <w:vAlign w:val="center"/>
          </w:tcPr>
          <w:p>
            <w:pPr>
              <w:jc w:val="center"/>
              <w:rPr>
                <w:rFonts w:ascii="仿宋_GB2312" w:hAnsi="仿宋" w:eastAsia="仿宋_GB2312" w:cs="仿宋_GB2312"/>
                <w:color w:val="000000"/>
                <w:sz w:val="24"/>
              </w:rPr>
            </w:pPr>
          </w:p>
        </w:tc>
        <w:tc>
          <w:tcPr>
            <w:tcW w:w="1623" w:type="dxa"/>
          </w:tcPr>
          <w:p>
            <w:pPr>
              <w:jc w:val="center"/>
              <w:rPr>
                <w:rFonts w:ascii="仿宋_GB2312" w:hAnsi="仿宋"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538" w:type="dxa"/>
            <w:gridSpan w:val="4"/>
            <w:vAlign w:val="center"/>
          </w:tcPr>
          <w:p>
            <w:pPr>
              <w:jc w:val="center"/>
              <w:rPr>
                <w:rFonts w:ascii="仿宋_GB2312" w:hAnsi="仿宋" w:eastAsia="仿宋_GB2312" w:cs="仿宋_GB2312"/>
                <w:b/>
                <w:color w:val="000000"/>
                <w:sz w:val="24"/>
              </w:rPr>
            </w:pPr>
            <w:r>
              <w:rPr>
                <w:rFonts w:hint="eastAsia" w:ascii="仿宋_GB2312" w:hAnsi="仿宋" w:eastAsia="仿宋_GB2312" w:cs="仿宋_GB2312"/>
                <w:b/>
                <w:color w:val="000000"/>
                <w:sz w:val="24"/>
              </w:rPr>
              <w:t>投标报价</w:t>
            </w:r>
          </w:p>
        </w:tc>
        <w:tc>
          <w:tcPr>
            <w:tcW w:w="7044" w:type="dxa"/>
            <w:gridSpan w:val="6"/>
          </w:tcPr>
          <w:p>
            <w:pPr>
              <w:spacing w:line="360" w:lineRule="auto"/>
              <w:ind w:firstLine="840" w:firstLineChars="350"/>
              <w:rPr>
                <w:rFonts w:ascii="仿宋_GB2312" w:hAnsi="仿宋" w:eastAsia="仿宋_GB2312" w:cs="仿宋"/>
                <w:sz w:val="24"/>
              </w:rPr>
            </w:pPr>
            <w:r>
              <w:rPr>
                <w:rFonts w:hint="eastAsia" w:ascii="仿宋_GB2312" w:hAnsi="宋体" w:eastAsia="仿宋_GB2312" w:cs="宋体"/>
                <w:sz w:val="24"/>
              </w:rPr>
              <w:t>¥</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(小写：人民币元) </w:t>
            </w:r>
          </w:p>
          <w:p>
            <w:pPr>
              <w:spacing w:line="360" w:lineRule="auto"/>
              <w:ind w:firstLine="708" w:firstLineChars="294"/>
              <w:rPr>
                <w:rFonts w:ascii="仿宋_GB2312" w:hAnsi="仿宋" w:eastAsia="仿宋_GB2312" w:cs="仿宋_GB2312"/>
                <w:b/>
                <w:color w:val="000000"/>
                <w:sz w:val="24"/>
              </w:rPr>
            </w:pPr>
            <w:r>
              <w:rPr>
                <w:rFonts w:hint="eastAsia" w:ascii="仿宋_GB2312" w:hAnsi="仿宋" w:eastAsia="仿宋_GB2312" w:cs="仿宋"/>
                <w:b/>
                <w:sz w:val="24"/>
              </w:rPr>
              <w:t xml:space="preserve">人民币（大写） </w:t>
            </w:r>
            <w:r>
              <w:rPr>
                <w:rFonts w:hint="eastAsia" w:ascii="仿宋_GB2312" w:hAnsi="仿宋" w:eastAsia="仿宋_GB2312" w:cs="仿宋"/>
                <w:b/>
                <w:sz w:val="24"/>
                <w:u w:val="single"/>
              </w:rPr>
              <w:t xml:space="preserve"> 仟  佰   拾   万  仟  佰   拾  元整</w:t>
            </w:r>
          </w:p>
        </w:tc>
      </w:tr>
    </w:tbl>
    <w:p>
      <w:pPr>
        <w:snapToGrid w:val="0"/>
        <w:spacing w:before="120" w:beforeLines="50" w:line="360" w:lineRule="auto"/>
        <w:rPr>
          <w:rFonts w:ascii="仿宋_GB2312" w:hAnsi="仿宋" w:eastAsia="仿宋_GB2312" w:cs="仿宋_GB2312"/>
          <w:color w:val="000000"/>
          <w:kern w:val="0"/>
          <w:sz w:val="24"/>
          <w:lang w:val="zh-CN"/>
        </w:rPr>
      </w:pPr>
      <w:r>
        <w:rPr>
          <w:rFonts w:hint="eastAsia" w:ascii="仿宋_GB2312" w:hAnsi="仿宋" w:eastAsia="仿宋_GB2312" w:cs="仿宋_GB2312"/>
          <w:b/>
          <w:color w:val="000000"/>
          <w:kern w:val="0"/>
          <w:sz w:val="24"/>
          <w:lang w:val="zh-CN" w:bidi="ar"/>
        </w:rPr>
        <w:t>注：</w:t>
      </w:r>
      <w:r>
        <w:rPr>
          <w:rFonts w:hint="eastAsia" w:ascii="仿宋_GB2312" w:hAnsi="仿宋" w:eastAsia="仿宋_GB2312" w:cs="仿宋_GB2312"/>
          <w:color w:val="000000"/>
          <w:kern w:val="0"/>
          <w:sz w:val="24"/>
          <w:lang w:val="zh-CN" w:bidi="ar"/>
        </w:rPr>
        <w:t>1、投标人可按上述的格式自行编制。</w:t>
      </w:r>
    </w:p>
    <w:p>
      <w:pPr>
        <w:snapToGrid w:val="0"/>
        <w:spacing w:line="360" w:lineRule="auto"/>
        <w:ind w:left="480"/>
        <w:rPr>
          <w:rFonts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bidi="ar"/>
        </w:rPr>
        <w:t>2、有关本项目实施所涉及的一切费用（详见前附表）均计入报价。</w:t>
      </w:r>
    </w:p>
    <w:p>
      <w:pPr>
        <w:snapToGrid w:val="0"/>
        <w:spacing w:line="360" w:lineRule="auto"/>
        <w:ind w:firstLine="480" w:firstLineChars="200"/>
        <w:jc w:val="left"/>
        <w:rPr>
          <w:rFonts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bidi="ar"/>
        </w:rPr>
        <w:t>3、以上表格要求细分项目及报价，在“规格型号（或具体服务）”一栏中，货物类项目填写规格型号，服务类项目填写具体服务。</w:t>
      </w:r>
    </w:p>
    <w:p>
      <w:pPr>
        <w:adjustRightInd w:val="0"/>
        <w:snapToGrid w:val="0"/>
        <w:spacing w:after="120" w:afterLines="50" w:line="500" w:lineRule="exact"/>
        <w:ind w:firstLine="562"/>
        <w:jc w:val="left"/>
        <w:rPr>
          <w:rFonts w:ascii="仿宋_GB2312" w:hAnsi="仿宋_GB2312" w:eastAsia="仿宋_GB2312" w:cs="仿宋_GB2312"/>
          <w:sz w:val="24"/>
          <w:lang w:val="zh-CN"/>
        </w:rPr>
      </w:pPr>
      <w:r>
        <w:rPr>
          <w:rFonts w:hint="eastAsia" w:ascii="仿宋_GB2312" w:hAnsi="仿宋_GB2312" w:eastAsia="仿宋_GB2312" w:cs="仿宋_GB2312"/>
          <w:sz w:val="24"/>
          <w:lang w:bidi="ar"/>
        </w:rPr>
        <w:t>4.</w:t>
      </w:r>
      <w:r>
        <w:rPr>
          <w:rFonts w:hint="eastAsia" w:ascii="仿宋_GB2312" w:hAnsi="仿宋_GB2312" w:eastAsia="仿宋_GB2312" w:cs="仿宋_GB2312"/>
          <w:sz w:val="24"/>
          <w:lang w:val="zh-CN" w:bidi="ar"/>
        </w:rPr>
        <w:t>特别提示：采购机构将对项目名称和项目编号，中标供应商名称、地址和中标金额，主要中标标的的名称、规格型号、数量、单价、服务要求等予以公示。</w:t>
      </w:r>
    </w:p>
    <w:p>
      <w:pPr>
        <w:adjustRightInd w:val="0"/>
        <w:snapToGrid w:val="0"/>
        <w:spacing w:after="120" w:afterLines="50" w:line="500" w:lineRule="exact"/>
        <w:ind w:firstLine="562"/>
        <w:jc w:val="left"/>
        <w:rPr>
          <w:rFonts w:ascii="仿宋_GB2312" w:hAnsi="仿宋_GB2312" w:eastAsia="仿宋_GB2312" w:cs="仿宋_GB2312"/>
          <w:sz w:val="24"/>
          <w:lang w:val="zh-CN"/>
        </w:rPr>
      </w:pPr>
      <w:r>
        <w:rPr>
          <w:rFonts w:hint="eastAsia" w:ascii="仿宋_GB2312" w:hAnsi="仿宋_GB2312" w:eastAsia="仿宋_GB2312" w:cs="仿宋_GB2312"/>
          <w:sz w:val="24"/>
          <w:lang w:val="zh-CN" w:bidi="ar"/>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460" w:lineRule="exact"/>
        <w:ind w:firstLine="480" w:firstLineChars="200"/>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 xml:space="preserve">                                          投标人名称（公章）：</w:t>
      </w:r>
    </w:p>
    <w:p>
      <w:pPr>
        <w:spacing w:line="460" w:lineRule="exact"/>
        <w:ind w:firstLine="480" w:firstLineChars="200"/>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 xml:space="preserve">                                法定代表人或被授权人（签字）：</w:t>
      </w:r>
    </w:p>
    <w:p>
      <w:pPr>
        <w:pStyle w:val="2"/>
        <w:ind w:firstLine="0" w:firstLineChars="0"/>
        <w:rPr>
          <w:rFonts w:ascii="仿宋_GB2312" w:hAnsi="仿宋" w:eastAsia="仿宋_GB2312" w:cs="仿宋_GB2312"/>
          <w:kern w:val="0"/>
          <w:sz w:val="24"/>
          <w:lang w:val="zh-CN"/>
        </w:rPr>
      </w:pPr>
      <w:r>
        <w:rPr>
          <w:rFonts w:hint="eastAsia" w:ascii="仿宋_GB2312" w:hAnsi="仿宋" w:eastAsia="仿宋_GB2312" w:cs="仿宋_GB2312"/>
          <w:color w:val="000000"/>
          <w:sz w:val="24"/>
        </w:rPr>
        <w:t xml:space="preserve">                                                                  日期：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ind w:firstLine="0" w:firstLineChars="0"/>
        <w:rPr>
          <w:rFonts w:ascii="仿宋_GB2312" w:hAnsi="宋体" w:eastAsia="仿宋_GB2312" w:cs="宋体"/>
        </w:rPr>
        <w:sectPr>
          <w:pgSz w:w="16838" w:h="11906" w:orient="landscape"/>
          <w:pgMar w:top="1588" w:right="2098" w:bottom="1474" w:left="1701" w:header="851" w:footer="992" w:gutter="0"/>
          <w:cols w:space="720" w:num="1"/>
          <w:docGrid w:linePitch="312" w:charSpace="0"/>
        </w:sectPr>
      </w:pPr>
    </w:p>
    <w:p>
      <w:pPr>
        <w:pStyle w:val="2"/>
        <w:ind w:firstLine="0" w:firstLineChars="0"/>
        <w:rPr>
          <w:rFonts w:ascii="仿宋_GB2312" w:hAnsi="宋体" w:eastAsia="仿宋_GB2312" w:cs="宋体"/>
        </w:rPr>
      </w:pPr>
      <w:r>
        <w:rPr>
          <w:rFonts w:hint="eastAsia" w:ascii="仿宋_GB2312" w:hAnsi="宋体" w:eastAsia="仿宋_GB2312" w:cs="宋体"/>
        </w:rPr>
        <w:t>格式文件1.10</w:t>
      </w:r>
    </w:p>
    <w:p>
      <w:pPr>
        <w:adjustRightInd w:val="0"/>
        <w:snapToGrid w:val="0"/>
        <w:spacing w:after="120" w:afterLines="50" w:line="500" w:lineRule="exact"/>
        <w:jc w:val="center"/>
        <w:rPr>
          <w:rFonts w:ascii="仿宋_GB2312" w:hAnsi="宋体" w:eastAsia="仿宋_GB2312"/>
          <w:bCs/>
          <w:sz w:val="28"/>
        </w:rPr>
      </w:pPr>
      <w:r>
        <w:rPr>
          <w:rFonts w:hint="eastAsia" w:ascii="仿宋_GB2312" w:hAnsi="宋体" w:eastAsia="仿宋_GB2312"/>
          <w:bCs/>
          <w:sz w:val="28"/>
        </w:rPr>
        <w:t xml:space="preserve">（一）中小企业声明函（货物） </w:t>
      </w:r>
    </w:p>
    <w:p>
      <w:pPr>
        <w:adjustRightInd w:val="0"/>
        <w:snapToGrid w:val="0"/>
        <w:spacing w:after="120" w:afterLines="50" w:line="500" w:lineRule="exact"/>
        <w:ind w:firstLine="562"/>
        <w:jc w:val="left"/>
        <w:rPr>
          <w:rFonts w:ascii="仿宋_GB2312" w:hAnsi="仿宋_GB2312" w:eastAsia="仿宋_GB2312" w:cs="仿宋_GB2312"/>
          <w:bCs/>
          <w:sz w:val="24"/>
        </w:rPr>
      </w:pPr>
      <w:r>
        <w:rPr>
          <w:rFonts w:hint="eastAsia" w:ascii="仿宋_GB2312" w:hAnsi="仿宋_GB2312" w:eastAsia="仿宋_GB2312" w:cs="仿宋_GB2312"/>
          <w:bCs/>
          <w:sz w:val="24"/>
        </w:rPr>
        <w:t>本公司（联合体）郑重声明，根据《政府采购促进中小企业发展管理办法》（财库﹝2020﹞46 号）的规定，本公司（联合体）参加</w:t>
      </w:r>
      <w:r>
        <w:rPr>
          <w:rFonts w:hint="eastAsia" w:ascii="仿宋_GB2312" w:hAnsi="仿宋_GB2312" w:eastAsia="仿宋_GB2312" w:cs="仿宋_GB2312"/>
          <w:bCs/>
          <w:sz w:val="24"/>
          <w:u w:val="single"/>
        </w:rPr>
        <w:t>（单位名称）</w:t>
      </w:r>
      <w:r>
        <w:rPr>
          <w:rFonts w:hint="eastAsia" w:ascii="仿宋_GB2312" w:hAnsi="仿宋_GB2312" w:eastAsia="仿宋_GB2312" w:cs="仿宋_GB2312"/>
          <w:bCs/>
          <w:sz w:val="24"/>
        </w:rPr>
        <w:t>的</w:t>
      </w:r>
      <w:r>
        <w:rPr>
          <w:rFonts w:hint="eastAsia" w:ascii="仿宋_GB2312" w:hAnsi="仿宋_GB2312" w:eastAsia="仿宋_GB2312" w:cs="仿宋_GB2312"/>
          <w:bCs/>
          <w:sz w:val="24"/>
          <w:u w:val="single"/>
        </w:rPr>
        <w:t>（项目名称）</w:t>
      </w:r>
      <w:r>
        <w:rPr>
          <w:rFonts w:hint="eastAsia" w:ascii="仿宋_GB2312" w:hAnsi="仿宋_GB2312" w:eastAsia="仿宋_GB2312" w:cs="仿宋_GB2312"/>
          <w:bCs/>
          <w:sz w:val="24"/>
        </w:rPr>
        <w:t>采购活动，提供的货物全部由符合政策要求的中小企业制造。相关企业（含联合体中的中小企业、签订分包意向协议的中小企业）的具体情况如下：</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u w:val="single"/>
        </w:rPr>
        <w:t>1.（标的名称）</w:t>
      </w:r>
      <w:r>
        <w:rPr>
          <w:rFonts w:hint="eastAsia" w:ascii="仿宋_GB2312" w:hAnsi="仿宋_GB2312" w:eastAsia="仿宋_GB2312" w:cs="仿宋_GB2312"/>
          <w:bCs/>
          <w:sz w:val="24"/>
        </w:rPr>
        <w:t>，属于</w:t>
      </w:r>
      <w:r>
        <w:rPr>
          <w:rFonts w:hint="eastAsia" w:ascii="仿宋_GB2312" w:hAnsi="仿宋_GB2312" w:eastAsia="仿宋_GB2312" w:cs="仿宋_GB2312"/>
          <w:bCs/>
          <w:sz w:val="24"/>
          <w:u w:val="single"/>
        </w:rPr>
        <w:t>（采购文件中明确的所属行业）</w:t>
      </w:r>
      <w:r>
        <w:rPr>
          <w:rFonts w:hint="eastAsia" w:ascii="仿宋_GB2312" w:hAnsi="仿宋_GB2312" w:eastAsia="仿宋_GB2312" w:cs="仿宋_GB2312"/>
          <w:bCs/>
          <w:sz w:val="24"/>
        </w:rPr>
        <w:t>行业；制造商为</w:t>
      </w:r>
      <w:r>
        <w:rPr>
          <w:rFonts w:hint="eastAsia" w:ascii="仿宋_GB2312" w:hAnsi="仿宋_GB2312" w:eastAsia="仿宋_GB2312" w:cs="仿宋_GB2312"/>
          <w:bCs/>
          <w:sz w:val="24"/>
          <w:u w:val="single"/>
        </w:rPr>
        <w:t>（企业名称）</w:t>
      </w:r>
      <w:r>
        <w:rPr>
          <w:rFonts w:hint="eastAsia" w:ascii="仿宋_GB2312" w:hAnsi="仿宋_GB2312" w:eastAsia="仿宋_GB2312" w:cs="仿宋_GB2312"/>
          <w:bCs/>
          <w:sz w:val="24"/>
        </w:rPr>
        <w:t>，从业人员</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人，营业收入为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万元，资产总额为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万元</w:t>
      </w:r>
      <w:r>
        <w:rPr>
          <w:rFonts w:hint="eastAsia" w:ascii="仿宋_GB2312" w:hAnsi="仿宋_GB2312" w:eastAsia="仿宋_GB2312" w:cs="仿宋_GB2312"/>
          <w:bCs/>
          <w:sz w:val="24"/>
          <w:vertAlign w:val="superscript"/>
        </w:rPr>
        <w:t>1</w:t>
      </w:r>
      <w:r>
        <w:rPr>
          <w:rFonts w:hint="eastAsia" w:ascii="仿宋_GB2312" w:hAnsi="仿宋_GB2312" w:eastAsia="仿宋_GB2312" w:cs="仿宋_GB2312"/>
          <w:bCs/>
          <w:sz w:val="24"/>
        </w:rPr>
        <w:t>，属于</w:t>
      </w:r>
      <w:r>
        <w:rPr>
          <w:rFonts w:hint="eastAsia" w:ascii="仿宋_GB2312" w:hAnsi="仿宋_GB2312" w:eastAsia="仿宋_GB2312" w:cs="仿宋_GB2312"/>
          <w:bCs/>
          <w:sz w:val="24"/>
          <w:u w:val="single"/>
        </w:rPr>
        <w:t>（中型企业、小 型企业、微型企业）；</w:t>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u w:val="single"/>
        </w:rPr>
        <w:t>2.（标的名称）</w:t>
      </w:r>
      <w:r>
        <w:rPr>
          <w:rFonts w:hint="eastAsia" w:ascii="仿宋_GB2312" w:hAnsi="仿宋_GB2312" w:eastAsia="仿宋_GB2312" w:cs="仿宋_GB2312"/>
          <w:bCs/>
          <w:sz w:val="24"/>
        </w:rPr>
        <w:t>，属于</w:t>
      </w:r>
      <w:r>
        <w:rPr>
          <w:rFonts w:hint="eastAsia" w:ascii="仿宋_GB2312" w:hAnsi="仿宋_GB2312" w:eastAsia="仿宋_GB2312" w:cs="仿宋_GB2312"/>
          <w:bCs/>
          <w:sz w:val="24"/>
          <w:u w:val="single"/>
        </w:rPr>
        <w:t>（采购文件中明确的所属行业）</w:t>
      </w:r>
      <w:r>
        <w:rPr>
          <w:rFonts w:hint="eastAsia" w:ascii="仿宋_GB2312" w:hAnsi="仿宋_GB2312" w:eastAsia="仿宋_GB2312" w:cs="仿宋_GB2312"/>
          <w:bCs/>
          <w:sz w:val="24"/>
        </w:rPr>
        <w:t>行业；制造商为</w:t>
      </w:r>
      <w:r>
        <w:rPr>
          <w:rFonts w:hint="eastAsia" w:ascii="仿宋_GB2312" w:hAnsi="仿宋_GB2312" w:eastAsia="仿宋_GB2312" w:cs="仿宋_GB2312"/>
          <w:bCs/>
          <w:sz w:val="24"/>
          <w:u w:val="single"/>
        </w:rPr>
        <w:t>（企业名称）</w:t>
      </w:r>
      <w:r>
        <w:rPr>
          <w:rFonts w:hint="eastAsia" w:ascii="仿宋_GB2312" w:hAnsi="仿宋_GB2312" w:eastAsia="仿宋_GB2312" w:cs="仿宋_GB2312"/>
          <w:bCs/>
          <w:sz w:val="24"/>
        </w:rPr>
        <w:t>，从业人员</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人，营业收入为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万元，资产总额为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万元，属于</w:t>
      </w:r>
      <w:r>
        <w:rPr>
          <w:rFonts w:hint="eastAsia" w:ascii="仿宋_GB2312" w:hAnsi="仿宋_GB2312" w:eastAsia="仿宋_GB2312" w:cs="仿宋_GB2312"/>
          <w:bCs/>
          <w:sz w:val="24"/>
          <w:u w:val="single"/>
        </w:rPr>
        <w:t>（中型企业、小型 企业、微型企业）</w:t>
      </w:r>
      <w:r>
        <w:rPr>
          <w:rFonts w:hint="eastAsia" w:ascii="仿宋_GB2312" w:hAnsi="仿宋_GB2312" w:eastAsia="仿宋_GB2312" w:cs="仿宋_GB2312"/>
          <w:bCs/>
          <w:sz w:val="24"/>
        </w:rPr>
        <w:t>；</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以上企业，不属于大企业的分支机构，不存在控股股东为大企业的情形，也不存在与大企业的负责人为同一人的情形。本企业对上述声明内容的真实性负责。如有虚假，将依 法承担相应责任。 </w:t>
      </w:r>
    </w:p>
    <w:p>
      <w:pPr>
        <w:pStyle w:val="2"/>
        <w:ind w:firstLine="480"/>
        <w:rPr>
          <w:rFonts w:ascii="仿宋_GB2312" w:hAnsi="仿宋_GB2312" w:eastAsia="仿宋_GB2312" w:cs="仿宋_GB2312"/>
          <w:bCs/>
          <w:sz w:val="24"/>
        </w:rPr>
      </w:pPr>
    </w:p>
    <w:p>
      <w:pPr>
        <w:pStyle w:val="2"/>
        <w:ind w:firstLine="480"/>
        <w:rPr>
          <w:rFonts w:ascii="仿宋_GB2312" w:hAnsi="仿宋_GB2312" w:eastAsia="仿宋_GB2312" w:cs="仿宋_GB2312"/>
          <w:bCs/>
          <w:sz w:val="24"/>
        </w:rPr>
      </w:pPr>
    </w:p>
    <w:p>
      <w:pPr>
        <w:adjustRightInd w:val="0"/>
        <w:snapToGrid w:val="0"/>
        <w:spacing w:after="120" w:afterLines="50" w:line="5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 xml:space="preserve">                            企业名称（盖章）： </w:t>
      </w:r>
    </w:p>
    <w:p>
      <w:pPr>
        <w:adjustRightInd w:val="0"/>
        <w:snapToGrid w:val="0"/>
        <w:spacing w:after="120" w:afterLines="50" w:line="5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 xml:space="preserve">                        日    期：</w:t>
      </w:r>
    </w:p>
    <w:p>
      <w:pPr>
        <w:pStyle w:val="2"/>
        <w:ind w:firstLine="480"/>
        <w:rPr>
          <w:rFonts w:ascii="仿宋_GB2312" w:hAnsi="仿宋_GB2312" w:eastAsia="仿宋_GB2312" w:cs="仿宋_GB2312"/>
          <w:bCs/>
          <w:sz w:val="24"/>
        </w:rPr>
      </w:pPr>
    </w:p>
    <w:p>
      <w:pPr>
        <w:adjustRightInd w:val="0"/>
        <w:snapToGrid w:val="0"/>
        <w:spacing w:after="120" w:afterLines="50" w:line="500" w:lineRule="exact"/>
        <w:jc w:val="left"/>
        <w:rPr>
          <w:rFonts w:ascii="仿宋_GB2312" w:hAnsi="仿宋_GB2312" w:eastAsia="仿宋_GB2312" w:cs="仿宋_GB2312"/>
          <w:bCs/>
          <w:sz w:val="24"/>
        </w:rPr>
      </w:pPr>
    </w:p>
    <w:p>
      <w:pPr>
        <w:pStyle w:val="2"/>
        <w:ind w:left="0" w:leftChars="0" w:firstLine="0" w:firstLineChars="0"/>
        <w:rPr>
          <w:rFonts w:ascii="仿宋_GB2312" w:hAnsi="仿宋_GB2312" w:eastAsia="仿宋_GB2312" w:cs="仿宋_GB2312"/>
          <w:bCs/>
          <w:sz w:val="24"/>
        </w:rPr>
      </w:pPr>
    </w:p>
    <w:p>
      <w:pPr>
        <w:adjustRightInd w:val="0"/>
        <w:snapToGrid w:val="0"/>
        <w:spacing w:after="120" w:afterLines="50" w:line="500" w:lineRule="exact"/>
        <w:jc w:val="left"/>
        <w:rPr>
          <w:rFonts w:ascii="仿宋_GB2312" w:hAnsi="仿宋_GB2312" w:eastAsia="仿宋_GB2312" w:cs="仿宋_GB2312"/>
          <w:bCs/>
          <w:sz w:val="24"/>
        </w:rPr>
      </w:pPr>
    </w:p>
    <w:p>
      <w:pPr>
        <w:adjustRightInd w:val="0"/>
        <w:snapToGrid w:val="0"/>
        <w:spacing w:after="120" w:afterLines="50" w:line="5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1.从业人员、营业收入、资产总额填报上一年度数据，无上一年度数据的新成立企业可不填报。</w:t>
      </w:r>
    </w:p>
    <w:p>
      <w:pPr>
        <w:widowControl/>
        <w:jc w:val="center"/>
        <w:rPr>
          <w:rFonts w:ascii="仿宋_GB2312" w:hAnsi="宋体" w:eastAsia="仿宋_GB2312"/>
          <w:bCs/>
          <w:sz w:val="28"/>
        </w:rPr>
      </w:pPr>
      <w:r>
        <w:rPr>
          <w:rFonts w:hint="eastAsia" w:ascii="仿宋_GB2312" w:hAnsi="宋体" w:eastAsia="仿宋_GB2312"/>
          <w:bCs/>
          <w:sz w:val="28"/>
        </w:rPr>
        <w:t>中小企业声明函（工程、服务）</w:t>
      </w:r>
    </w:p>
    <w:p>
      <w:pPr>
        <w:adjustRightInd w:val="0"/>
        <w:snapToGrid w:val="0"/>
        <w:spacing w:after="120" w:afterLines="50" w:line="500" w:lineRule="exact"/>
        <w:ind w:firstLine="562"/>
        <w:jc w:val="left"/>
        <w:rPr>
          <w:rFonts w:ascii="仿宋_GB2312" w:hAnsi="仿宋_GB2312" w:eastAsia="仿宋_GB2312" w:cs="仿宋_GB2312"/>
          <w:bCs/>
          <w:sz w:val="24"/>
        </w:rPr>
      </w:pPr>
      <w:r>
        <w:rPr>
          <w:rFonts w:hint="eastAsia" w:ascii="仿宋_GB2312" w:hAnsi="仿宋_GB2312" w:eastAsia="仿宋_GB2312" w:cs="仿宋_GB2312"/>
          <w:bCs/>
          <w:sz w:val="24"/>
        </w:rPr>
        <w:t>本公司（联合体）郑重声明，根据《政府采购促进中小企业发展管理办法》（财库﹝2020﹞46 号）的规定，本公司（联合体）参加</w:t>
      </w:r>
      <w:r>
        <w:rPr>
          <w:rFonts w:hint="eastAsia" w:ascii="仿宋_GB2312" w:hAnsi="仿宋_GB2312" w:eastAsia="仿宋_GB2312" w:cs="仿宋_GB2312"/>
          <w:bCs/>
          <w:sz w:val="24"/>
          <w:u w:val="single"/>
        </w:rPr>
        <w:t>（单位名称）</w:t>
      </w:r>
      <w:r>
        <w:rPr>
          <w:rFonts w:hint="eastAsia" w:ascii="仿宋_GB2312" w:hAnsi="仿宋_GB2312" w:eastAsia="仿宋_GB2312" w:cs="仿宋_GB2312"/>
          <w:bCs/>
          <w:sz w:val="24"/>
        </w:rPr>
        <w:t>的</w:t>
      </w:r>
      <w:r>
        <w:rPr>
          <w:rFonts w:hint="eastAsia" w:ascii="仿宋_GB2312" w:hAnsi="仿宋_GB2312" w:eastAsia="仿宋_GB2312" w:cs="仿宋_GB2312"/>
          <w:bCs/>
          <w:sz w:val="24"/>
          <w:u w:val="single"/>
        </w:rPr>
        <w:t>（项目名称）</w:t>
      </w:r>
      <w:r>
        <w:rPr>
          <w:rFonts w:hint="eastAsia" w:ascii="仿宋_GB2312" w:hAnsi="仿宋_GB2312" w:eastAsia="仿宋_GB2312" w:cs="仿宋_GB2312"/>
          <w:bCs/>
          <w:sz w:val="24"/>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u w:val="single"/>
        </w:rPr>
        <w:t>1.（标的名称）</w:t>
      </w:r>
      <w:r>
        <w:rPr>
          <w:rFonts w:hint="eastAsia" w:ascii="仿宋_GB2312" w:hAnsi="仿宋_GB2312" w:eastAsia="仿宋_GB2312" w:cs="仿宋_GB2312"/>
          <w:bCs/>
          <w:sz w:val="24"/>
        </w:rPr>
        <w:t>，属于</w:t>
      </w:r>
      <w:r>
        <w:rPr>
          <w:rFonts w:hint="eastAsia" w:ascii="仿宋_GB2312" w:hAnsi="仿宋_GB2312" w:eastAsia="仿宋_GB2312" w:cs="仿宋_GB2312"/>
          <w:bCs/>
          <w:sz w:val="24"/>
          <w:u w:val="single"/>
        </w:rPr>
        <w:t>（采购文件中明确的所属行业）</w:t>
      </w:r>
      <w:r>
        <w:rPr>
          <w:rFonts w:hint="eastAsia" w:ascii="仿宋_GB2312" w:hAnsi="仿宋_GB2312" w:eastAsia="仿宋_GB2312" w:cs="仿宋_GB2312"/>
          <w:bCs/>
          <w:sz w:val="24"/>
        </w:rPr>
        <w:t>行业；承建（承接）为</w:t>
      </w:r>
      <w:r>
        <w:rPr>
          <w:rFonts w:hint="eastAsia" w:ascii="仿宋_GB2312" w:hAnsi="仿宋_GB2312" w:eastAsia="仿宋_GB2312" w:cs="仿宋_GB2312"/>
          <w:bCs/>
          <w:sz w:val="24"/>
          <w:u w:val="single"/>
        </w:rPr>
        <w:t>（企业名称）</w:t>
      </w:r>
      <w:r>
        <w:rPr>
          <w:rFonts w:hint="eastAsia" w:ascii="仿宋_GB2312" w:hAnsi="仿宋_GB2312" w:eastAsia="仿宋_GB2312" w:cs="仿宋_GB2312"/>
          <w:bCs/>
          <w:sz w:val="24"/>
        </w:rPr>
        <w:t>，从业人员</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人，营业收入为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万元，资产总额为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万元</w:t>
      </w:r>
      <w:r>
        <w:rPr>
          <w:rFonts w:hint="eastAsia" w:ascii="仿宋_GB2312" w:hAnsi="仿宋_GB2312" w:eastAsia="仿宋_GB2312" w:cs="仿宋_GB2312"/>
          <w:bCs/>
          <w:sz w:val="24"/>
          <w:vertAlign w:val="superscript"/>
        </w:rPr>
        <w:t>1</w:t>
      </w:r>
      <w:r>
        <w:rPr>
          <w:rFonts w:hint="eastAsia" w:ascii="仿宋_GB2312" w:hAnsi="仿宋_GB2312" w:eastAsia="仿宋_GB2312" w:cs="仿宋_GB2312"/>
          <w:bCs/>
          <w:sz w:val="24"/>
        </w:rPr>
        <w:t>，属于</w:t>
      </w:r>
      <w:r>
        <w:rPr>
          <w:rFonts w:hint="eastAsia" w:ascii="仿宋_GB2312" w:hAnsi="仿宋_GB2312" w:eastAsia="仿宋_GB2312" w:cs="仿宋_GB2312"/>
          <w:bCs/>
          <w:sz w:val="24"/>
          <w:u w:val="single"/>
        </w:rPr>
        <w:t>（中型企业、小 型企业、微型企业）；</w:t>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u w:val="single"/>
        </w:rPr>
        <w:t>2.（标的名称）</w:t>
      </w:r>
      <w:r>
        <w:rPr>
          <w:rFonts w:hint="eastAsia" w:ascii="仿宋_GB2312" w:hAnsi="仿宋_GB2312" w:eastAsia="仿宋_GB2312" w:cs="仿宋_GB2312"/>
          <w:bCs/>
          <w:sz w:val="24"/>
        </w:rPr>
        <w:t>，属于</w:t>
      </w:r>
      <w:r>
        <w:rPr>
          <w:rFonts w:hint="eastAsia" w:ascii="仿宋_GB2312" w:hAnsi="仿宋_GB2312" w:eastAsia="仿宋_GB2312" w:cs="仿宋_GB2312"/>
          <w:bCs/>
          <w:sz w:val="24"/>
          <w:u w:val="single"/>
        </w:rPr>
        <w:t>（采购文件中明确的所属行业）</w:t>
      </w:r>
      <w:r>
        <w:rPr>
          <w:rFonts w:hint="eastAsia" w:ascii="仿宋_GB2312" w:hAnsi="仿宋_GB2312" w:eastAsia="仿宋_GB2312" w:cs="仿宋_GB2312"/>
          <w:bCs/>
          <w:sz w:val="24"/>
        </w:rPr>
        <w:t>行业；承建（承接）为</w:t>
      </w:r>
      <w:r>
        <w:rPr>
          <w:rFonts w:hint="eastAsia" w:ascii="仿宋_GB2312" w:hAnsi="仿宋_GB2312" w:eastAsia="仿宋_GB2312" w:cs="仿宋_GB2312"/>
          <w:bCs/>
          <w:sz w:val="24"/>
          <w:u w:val="single"/>
        </w:rPr>
        <w:t>（企业名称）</w:t>
      </w:r>
      <w:r>
        <w:rPr>
          <w:rFonts w:hint="eastAsia" w:ascii="仿宋_GB2312" w:hAnsi="仿宋_GB2312" w:eastAsia="仿宋_GB2312" w:cs="仿宋_GB2312"/>
          <w:bCs/>
          <w:sz w:val="24"/>
        </w:rPr>
        <w:t>，从业人员</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人，营业收入为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万元，资产总额为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万元，属于</w:t>
      </w:r>
      <w:r>
        <w:rPr>
          <w:rFonts w:hint="eastAsia" w:ascii="仿宋_GB2312" w:hAnsi="仿宋_GB2312" w:eastAsia="仿宋_GB2312" w:cs="仿宋_GB2312"/>
          <w:bCs/>
          <w:sz w:val="24"/>
          <w:u w:val="single"/>
        </w:rPr>
        <w:t>（中型企业、小型 企业、微型企业）</w:t>
      </w:r>
      <w:r>
        <w:rPr>
          <w:rFonts w:hint="eastAsia" w:ascii="仿宋_GB2312" w:hAnsi="仿宋_GB2312" w:eastAsia="仿宋_GB2312" w:cs="仿宋_GB2312"/>
          <w:bCs/>
          <w:sz w:val="24"/>
        </w:rPr>
        <w:t>；</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rPr>
        <w:br w:type="textWrapping"/>
      </w:r>
      <w:r>
        <w:rPr>
          <w:rFonts w:hint="eastAsia" w:ascii="仿宋_GB2312" w:hAnsi="仿宋_GB2312" w:eastAsia="仿宋_GB2312" w:cs="仿宋_GB2312"/>
          <w:bCs/>
          <w:sz w:val="24"/>
        </w:rPr>
        <w:t xml:space="preserve">    以上企业，不属于大企业的分支机构，不存在控股股东为大企业的情形，也不存在与大企业的负责人为同一人的情形。本企业对上述声明内容的真实性负责。如有虚假，将依 法承担相应责任。 </w:t>
      </w:r>
    </w:p>
    <w:p>
      <w:pPr>
        <w:pStyle w:val="2"/>
        <w:ind w:firstLine="480"/>
        <w:rPr>
          <w:rFonts w:ascii="仿宋_GB2312" w:hAnsi="仿宋_GB2312" w:eastAsia="仿宋_GB2312" w:cs="仿宋_GB2312"/>
          <w:bCs/>
          <w:sz w:val="24"/>
        </w:rPr>
      </w:pPr>
    </w:p>
    <w:p>
      <w:pPr>
        <w:adjustRightInd w:val="0"/>
        <w:snapToGrid w:val="0"/>
        <w:spacing w:after="120" w:afterLines="50" w:line="5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1.从业人员、营业收入、资产总额填报上一年度数据，无上一年度数据的新成立企业可不填报。</w:t>
      </w:r>
    </w:p>
    <w:p>
      <w:pPr>
        <w:pStyle w:val="2"/>
        <w:ind w:firstLine="482"/>
        <w:rPr>
          <w:rFonts w:ascii="仿宋_GB2312" w:hAnsi="仿宋_GB2312" w:eastAsia="仿宋_GB2312" w:cs="仿宋_GB2312"/>
          <w:b/>
          <w:color w:val="00B050"/>
          <w:sz w:val="24"/>
        </w:rPr>
      </w:pPr>
    </w:p>
    <w:p>
      <w:pPr>
        <w:adjustRightInd w:val="0"/>
        <w:snapToGrid w:val="0"/>
        <w:spacing w:after="120" w:afterLines="50" w:line="500" w:lineRule="exact"/>
        <w:jc w:val="center"/>
        <w:rPr>
          <w:rFonts w:ascii="仿宋_GB2312" w:hAnsi="仿宋_GB2312" w:eastAsia="仿宋_GB2312" w:cs="仿宋_GB2312"/>
          <w:bCs/>
          <w:sz w:val="24"/>
        </w:rPr>
      </w:pPr>
      <w:r>
        <w:rPr>
          <w:rFonts w:hint="eastAsia" w:ascii="仿宋_GB2312" w:hAnsi="仿宋_GB2312" w:eastAsia="仿宋_GB2312" w:cs="仿宋_GB2312"/>
          <w:b/>
          <w:color w:val="00B050"/>
          <w:sz w:val="24"/>
        </w:rPr>
        <w:t xml:space="preserve">                          </w:t>
      </w:r>
      <w:r>
        <w:rPr>
          <w:rFonts w:hint="eastAsia" w:ascii="仿宋_GB2312" w:hAnsi="仿宋_GB2312" w:eastAsia="仿宋_GB2312" w:cs="仿宋_GB2312"/>
          <w:bCs/>
          <w:sz w:val="24"/>
        </w:rPr>
        <w:t xml:space="preserve">  企业名称（盖章）： </w:t>
      </w:r>
    </w:p>
    <w:p>
      <w:pPr>
        <w:adjustRightInd w:val="0"/>
        <w:snapToGrid w:val="0"/>
        <w:spacing w:after="120" w:afterLines="50" w:line="5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 xml:space="preserve">                        日    期：</w:t>
      </w:r>
    </w:p>
    <w:p>
      <w:pPr>
        <w:pStyle w:val="188"/>
        <w:widowControl/>
        <w:spacing w:line="500" w:lineRule="exact"/>
        <w:ind w:firstLineChars="0"/>
        <w:rPr>
          <w:rFonts w:ascii="仿宋_GB2312" w:hAnsi="仿宋_GB2312" w:eastAsia="仿宋_GB2312" w:cs="仿宋_GB2312"/>
          <w:sz w:val="24"/>
        </w:rPr>
      </w:pPr>
    </w:p>
    <w:p>
      <w:pPr>
        <w:pStyle w:val="188"/>
        <w:widowControl/>
        <w:spacing w:line="500" w:lineRule="exact"/>
        <w:ind w:firstLineChars="0"/>
      </w:pPr>
      <w:r>
        <w:rPr>
          <w:rFonts w:hint="eastAsia" w:ascii="仿宋_GB2312" w:hAnsi="仿宋_GB2312" w:eastAsia="仿宋_GB2312" w:cs="仿宋_GB2312"/>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ind w:firstLine="0" w:firstLineChars="0"/>
      </w:pPr>
    </w:p>
    <w:p>
      <w:pPr>
        <w:adjustRightInd w:val="0"/>
        <w:snapToGrid w:val="0"/>
        <w:spacing w:after="120" w:afterLines="50" w:line="500" w:lineRule="exact"/>
        <w:jc w:val="center"/>
        <w:rPr>
          <w:rFonts w:ascii="仿宋_GB2312" w:hAnsi="宋体" w:eastAsia="仿宋_GB2312"/>
          <w:b/>
          <w:color w:val="000000"/>
          <w:sz w:val="28"/>
        </w:rPr>
      </w:pPr>
      <w:r>
        <w:rPr>
          <w:rFonts w:ascii="仿宋_GB2312" w:hAnsi="宋体" w:eastAsia="仿宋_GB2312"/>
          <w:b/>
          <w:color w:val="000000"/>
          <w:sz w:val="28"/>
        </w:rPr>
        <w:br w:type="page"/>
      </w:r>
      <w:r>
        <w:rPr>
          <w:rFonts w:hint="eastAsia" w:ascii="仿宋_GB2312" w:hAnsi="宋体" w:eastAsia="仿宋_GB2312"/>
          <w:b/>
          <w:color w:val="000000"/>
          <w:sz w:val="28"/>
        </w:rPr>
        <w:t>含有小型、微型企业的联合体声明函</w:t>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（仅适用于允许联合体投标的项目）</w:t>
      </w:r>
    </w:p>
    <w:p>
      <w:pPr>
        <w:widowControl/>
        <w:shd w:val="clear" w:color="auto" w:fill="FFFFFF"/>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kern w:val="0"/>
          <w:sz w:val="24"/>
          <w:u w:val="single"/>
        </w:rPr>
        <w:t>（供应商名称、供应商名称）</w:t>
      </w:r>
      <w:r>
        <w:rPr>
          <w:rFonts w:hint="eastAsia" w:ascii="仿宋_GB2312" w:hAnsi="宋体" w:eastAsia="仿宋_GB2312" w:cs="宋体"/>
          <w:kern w:val="0"/>
          <w:sz w:val="24"/>
        </w:rPr>
        <w:t>共同组成联合体（详见联合体协议）。根据《工业和信息化部、国家统计局、国家发展和改革委员会、财政部关于印发中小企业划型标准规定的通知》（工信部联企业〔2011〕300号）规定的划分标准，本联合体中：□</w:t>
      </w:r>
      <w:r>
        <w:rPr>
          <w:rFonts w:hint="eastAsia" w:ascii="仿宋_GB2312" w:hAnsi="仿宋_GB2312" w:eastAsia="仿宋_GB2312" w:cs="仿宋_GB2312"/>
          <w:sz w:val="24"/>
          <w:u w:val="single"/>
        </w:rPr>
        <w:t xml:space="preserve">     </w:t>
      </w:r>
      <w:r>
        <w:rPr>
          <w:rFonts w:hint="eastAsia" w:ascii="仿宋_GB2312" w:hAnsi="宋体" w:eastAsia="仿宋_GB2312" w:cs="宋体"/>
          <w:kern w:val="0"/>
          <w:sz w:val="24"/>
        </w:rPr>
        <w:t>单位</w:t>
      </w:r>
      <w:r>
        <w:rPr>
          <w:rFonts w:hint="eastAsia" w:ascii="仿宋_GB2312" w:hAnsi="宋体" w:eastAsia="仿宋_GB2312" w:cs="宋体"/>
          <w:kern w:val="0"/>
          <w:sz w:val="24"/>
        </w:rPr>
        <w:softHyphen/>
      </w:r>
      <w:r>
        <w:rPr>
          <w:rFonts w:hint="eastAsia" w:ascii="仿宋_GB2312" w:hAnsi="宋体" w:eastAsia="仿宋_GB2312" w:cs="宋体"/>
          <w:kern w:val="0"/>
          <w:sz w:val="24"/>
        </w:rPr>
        <w:t>为</w:t>
      </w:r>
      <w:r>
        <w:rPr>
          <w:rFonts w:hint="eastAsia" w:ascii="仿宋_GB2312" w:hAnsi="仿宋_GB2312" w:eastAsia="仿宋_GB2312" w:cs="仿宋_GB2312"/>
          <w:sz w:val="24"/>
          <w:u w:val="single"/>
        </w:rPr>
        <w:t xml:space="preserve">     </w:t>
      </w:r>
      <w:r>
        <w:rPr>
          <w:rFonts w:hint="eastAsia" w:ascii="仿宋_GB2312" w:hAnsi="宋体" w:eastAsia="仿宋_GB2312" w:cs="宋体"/>
          <w:kern w:val="0"/>
          <w:sz w:val="24"/>
        </w:rPr>
        <w:t>（请填写：中型、小型、微型）企业，</w:t>
      </w:r>
      <w:r>
        <w:rPr>
          <w:rFonts w:hint="eastAsia" w:ascii="仿宋_GB2312" w:hAnsi="仿宋_GB2312" w:eastAsia="仿宋_GB2312" w:cs="仿宋_GB2312"/>
          <w:sz w:val="24"/>
          <w:u w:val="single"/>
        </w:rPr>
        <w:t xml:space="preserve">     </w:t>
      </w:r>
      <w:r>
        <w:rPr>
          <w:rFonts w:hint="eastAsia" w:ascii="仿宋_GB2312" w:hAnsi="宋体" w:eastAsia="仿宋_GB2312" w:cs="宋体"/>
          <w:kern w:val="0"/>
          <w:sz w:val="24"/>
        </w:rPr>
        <w:t>单位</w:t>
      </w:r>
      <w:r>
        <w:rPr>
          <w:rFonts w:hint="eastAsia" w:ascii="仿宋_GB2312" w:hAnsi="宋体" w:eastAsia="仿宋_GB2312" w:cs="宋体"/>
          <w:kern w:val="0"/>
          <w:sz w:val="24"/>
        </w:rPr>
        <w:softHyphen/>
      </w:r>
      <w:r>
        <w:rPr>
          <w:rFonts w:hint="eastAsia" w:ascii="仿宋_GB2312" w:hAnsi="宋体" w:eastAsia="仿宋_GB2312" w:cs="宋体"/>
          <w:kern w:val="0"/>
          <w:sz w:val="24"/>
        </w:rPr>
        <w:t>为</w:t>
      </w:r>
      <w:r>
        <w:rPr>
          <w:rFonts w:hint="eastAsia" w:ascii="仿宋_GB2312" w:hAnsi="仿宋_GB2312" w:eastAsia="仿宋_GB2312" w:cs="仿宋_GB2312"/>
          <w:sz w:val="24"/>
          <w:u w:val="single"/>
        </w:rPr>
        <w:t xml:space="preserve">     </w:t>
      </w:r>
      <w:r>
        <w:rPr>
          <w:rFonts w:hint="eastAsia" w:ascii="仿宋_GB2312" w:hAnsi="宋体" w:eastAsia="仿宋_GB2312" w:cs="宋体"/>
          <w:kern w:val="0"/>
          <w:sz w:val="24"/>
        </w:rPr>
        <w:t>（请填写：中型、小型、微型）企业；□联合体各方均为小微企业（承诺人在□处打√）。</w:t>
      </w:r>
    </w:p>
    <w:p>
      <w:pPr>
        <w:widowControl/>
        <w:shd w:val="clear" w:color="auto" w:fill="FFFFFF"/>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2.本联合体参加</w:t>
      </w:r>
      <w:r>
        <w:rPr>
          <w:rFonts w:hint="eastAsia" w:ascii="仿宋_GB2312" w:hAnsi="宋体" w:eastAsia="仿宋_GB2312" w:cs="宋体"/>
          <w:spacing w:val="6"/>
          <w:sz w:val="24"/>
          <w:u w:val="single"/>
        </w:rPr>
        <w:t xml:space="preserve"> （采购单位名称）</w:t>
      </w:r>
      <w:r>
        <w:rPr>
          <w:rFonts w:hint="eastAsia" w:ascii="仿宋_GB2312" w:hAnsi="宋体" w:eastAsia="仿宋_GB2312" w:cs="宋体"/>
          <w:spacing w:val="6"/>
          <w:sz w:val="24"/>
        </w:rPr>
        <w:t>单位的</w:t>
      </w:r>
      <w:r>
        <w:rPr>
          <w:rFonts w:hint="eastAsia" w:ascii="仿宋_GB2312" w:hAnsi="宋体" w:eastAsia="仿宋_GB2312" w:cs="宋体"/>
          <w:spacing w:val="6"/>
          <w:sz w:val="24"/>
          <w:u w:val="single"/>
        </w:rPr>
        <w:t xml:space="preserve">  （采购项目名称） </w:t>
      </w:r>
      <w:r>
        <w:rPr>
          <w:rFonts w:hint="eastAsia" w:ascii="仿宋_GB2312" w:hAnsi="宋体" w:eastAsia="仿宋_GB2312" w:cs="宋体"/>
          <w:kern w:val="0"/>
          <w:sz w:val="24"/>
        </w:rPr>
        <w:t>项目采购活动，其中，小型、微型企业</w:t>
      </w:r>
      <w:r>
        <w:rPr>
          <w:rFonts w:hint="eastAsia" w:ascii="仿宋_GB2312" w:hAnsi="宋体" w:eastAsia="仿宋_GB2312" w:cs="宋体"/>
          <w:sz w:val="24"/>
        </w:rPr>
        <w:t>协议合同金额占到联合体协议总金额比例为</w:t>
      </w:r>
      <w:r>
        <w:rPr>
          <w:rFonts w:hint="eastAsia" w:ascii="仿宋_GB2312" w:hAnsi="宋体" w:eastAsia="仿宋_GB2312" w:cs="宋体"/>
          <w:kern w:val="0"/>
          <w:sz w:val="24"/>
        </w:rPr>
        <w:t>_____</w:t>
      </w:r>
      <w:r>
        <w:rPr>
          <w:rFonts w:hint="eastAsia" w:ascii="仿宋_GB2312" w:hAnsi="宋体" w:eastAsia="仿宋_GB2312" w:cs="宋体"/>
          <w:sz w:val="24"/>
        </w:rPr>
        <w:t>%（该合同金额为：</w:t>
      </w:r>
      <w:r>
        <w:rPr>
          <w:rFonts w:hint="eastAsia" w:ascii="仿宋_GB2312" w:hAnsi="宋体" w:eastAsia="仿宋_GB2312" w:cs="宋体"/>
          <w:kern w:val="0"/>
          <w:sz w:val="24"/>
        </w:rPr>
        <w:t>□</w:t>
      </w:r>
      <w:r>
        <w:rPr>
          <w:rFonts w:hint="eastAsia" w:ascii="仿宋_GB2312" w:hAnsi="宋体" w:eastAsia="仿宋_GB2312" w:cs="宋体"/>
          <w:sz w:val="24"/>
        </w:rPr>
        <w:t>小微企业制造的货物，</w:t>
      </w:r>
      <w:r>
        <w:rPr>
          <w:rFonts w:hint="eastAsia" w:ascii="仿宋_GB2312" w:hAnsi="宋体" w:eastAsia="仿宋_GB2312" w:cs="宋体"/>
          <w:kern w:val="0"/>
          <w:sz w:val="24"/>
        </w:rPr>
        <w:t>□</w:t>
      </w:r>
      <w:r>
        <w:rPr>
          <w:rFonts w:hint="eastAsia" w:ascii="仿宋_GB2312" w:hAnsi="宋体" w:eastAsia="仿宋_GB2312" w:cs="宋体"/>
          <w:sz w:val="24"/>
        </w:rPr>
        <w:t>小微企业</w:t>
      </w:r>
      <w:r>
        <w:rPr>
          <w:rFonts w:hint="eastAsia" w:ascii="仿宋_GB2312" w:hAnsi="宋体" w:eastAsia="仿宋_GB2312" w:cs="宋体"/>
          <w:kern w:val="0"/>
          <w:sz w:val="24"/>
        </w:rPr>
        <w:t>承担的工程、提供服务，□提供其他</w:t>
      </w:r>
      <w:r>
        <w:rPr>
          <w:rFonts w:hint="eastAsia" w:ascii="仿宋_GB2312" w:hAnsi="宋体" w:eastAsia="仿宋_GB2312" w:cs="宋体"/>
          <w:sz w:val="24"/>
        </w:rPr>
        <w:t>小微企业制造的货物；</w:t>
      </w:r>
      <w:r>
        <w:rPr>
          <w:rFonts w:hint="eastAsia" w:ascii="仿宋_GB2312" w:hAnsi="宋体" w:eastAsia="仿宋_GB2312" w:cs="宋体"/>
          <w:kern w:val="0"/>
          <w:sz w:val="24"/>
        </w:rPr>
        <w:t>不包括使用大型企业注册商标的货物；</w:t>
      </w:r>
      <w:r>
        <w:rPr>
          <w:rFonts w:hint="eastAsia" w:ascii="仿宋_GB2312" w:hAnsi="宋体" w:eastAsia="仿宋_GB2312" w:cs="宋体"/>
          <w:sz w:val="24"/>
        </w:rPr>
        <w:t>请</w:t>
      </w:r>
      <w:r>
        <w:rPr>
          <w:rFonts w:hint="eastAsia" w:ascii="仿宋_GB2312" w:hAnsi="宋体" w:eastAsia="仿宋_GB2312" w:cs="宋体"/>
          <w:kern w:val="0"/>
          <w:sz w:val="24"/>
        </w:rPr>
        <w:t>承诺人在□处打√</w:t>
      </w:r>
      <w:r>
        <w:rPr>
          <w:rFonts w:hint="eastAsia" w:ascii="仿宋_GB2312" w:hAnsi="宋体" w:eastAsia="仿宋_GB2312" w:cs="宋体"/>
          <w:sz w:val="24"/>
        </w:rPr>
        <w:t>），符合</w:t>
      </w:r>
      <w:r>
        <w:rPr>
          <w:rFonts w:hint="eastAsia" w:ascii="仿宋_GB2312" w:hAnsi="仿宋_GB2312" w:eastAsia="仿宋_GB2312" w:cs="仿宋_GB2312"/>
          <w:b/>
          <w:bCs/>
          <w:sz w:val="24"/>
        </w:rPr>
        <w:t>《政府采购促进中小企业发展管理办法》（财库﹝2020﹞46 号）</w:t>
      </w:r>
      <w:r>
        <w:rPr>
          <w:rFonts w:hint="eastAsia" w:ascii="仿宋_GB2312" w:hAnsi="宋体" w:eastAsia="仿宋_GB2312" w:cs="宋体"/>
          <w:sz w:val="24"/>
        </w:rPr>
        <w:t>规定的优惠政策</w:t>
      </w:r>
      <w:r>
        <w:rPr>
          <w:rFonts w:hint="eastAsia" w:ascii="仿宋_GB2312" w:hAnsi="宋体" w:eastAsia="仿宋_GB2312" w:cs="宋体"/>
          <w:kern w:val="0"/>
          <w:sz w:val="24"/>
        </w:rPr>
        <w:t>。</w:t>
      </w:r>
    </w:p>
    <w:p>
      <w:pPr>
        <w:widowControl/>
        <w:shd w:val="clear" w:color="auto" w:fill="FFFFFF"/>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本联合体对上述声明的真实性负责。如有虚假，将依法承担相应责任。</w:t>
      </w:r>
    </w:p>
    <w:p>
      <w:pPr>
        <w:adjustRightInd w:val="0"/>
        <w:snapToGrid w:val="0"/>
        <w:spacing w:after="120" w:afterLines="50" w:line="500" w:lineRule="exact"/>
        <w:jc w:val="center"/>
        <w:rPr>
          <w:rFonts w:ascii="仿宋_GB2312" w:hAnsi="宋体" w:eastAsia="仿宋_GB2312" w:cs="宋体"/>
          <w:kern w:val="0"/>
          <w:sz w:val="24"/>
        </w:rPr>
      </w:pPr>
    </w:p>
    <w:p>
      <w:pPr>
        <w:widowControl/>
        <w:shd w:val="clear" w:color="auto" w:fill="FFFFFF"/>
        <w:spacing w:line="500" w:lineRule="exact"/>
        <w:ind w:firstLine="480" w:firstLineChars="200"/>
        <w:rPr>
          <w:rFonts w:ascii="仿宋_GB2312" w:hAnsi="宋体" w:eastAsia="仿宋_GB2312" w:cs="宋体"/>
          <w:kern w:val="0"/>
          <w:sz w:val="24"/>
        </w:rPr>
      </w:pPr>
    </w:p>
    <w:p>
      <w:pPr>
        <w:widowControl/>
        <w:shd w:val="clear" w:color="auto" w:fill="FFFFFF"/>
        <w:spacing w:line="5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企业名称（盖章）：                   企业名称（盖章）：</w:t>
      </w:r>
    </w:p>
    <w:p>
      <w:pPr>
        <w:tabs>
          <w:tab w:val="left" w:pos="4840"/>
        </w:tabs>
        <w:spacing w:line="500" w:lineRule="exact"/>
        <w:ind w:right="420" w:firstLine="424" w:firstLineChars="177"/>
        <w:jc w:val="left"/>
        <w:rPr>
          <w:rFonts w:ascii="仿宋_GB2312" w:hAnsi="仿宋" w:eastAsia="仿宋_GB2312" w:cs="仿宋_GB2312"/>
          <w:kern w:val="0"/>
          <w:sz w:val="24"/>
        </w:rPr>
      </w:pPr>
      <w:r>
        <w:rPr>
          <w:rFonts w:hint="eastAsia" w:ascii="仿宋_GB2312" w:hAnsi="仿宋_GB2312" w:eastAsia="仿宋_GB2312" w:cs="仿宋_GB2312"/>
          <w:sz w:val="24"/>
        </w:rPr>
        <w:t xml:space="preserve">日期：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r>
        <w:rPr>
          <w:rFonts w:hint="eastAsia" w:ascii="仿宋_GB2312" w:hAnsi="仿宋" w:eastAsia="仿宋_GB2312" w:cs="仿宋_GB2312"/>
          <w:kern w:val="0"/>
          <w:sz w:val="24"/>
        </w:rPr>
        <w:t xml:space="preserve">                  </w:t>
      </w:r>
      <w:r>
        <w:rPr>
          <w:rFonts w:hint="eastAsia" w:ascii="仿宋_GB2312" w:hAnsi="仿宋_GB2312" w:eastAsia="仿宋_GB2312" w:cs="仿宋_GB2312"/>
          <w:sz w:val="24"/>
        </w:rPr>
        <w:t xml:space="preserve">日期：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adjustRightInd w:val="0"/>
        <w:snapToGrid w:val="0"/>
        <w:spacing w:after="120" w:afterLines="50" w:line="500" w:lineRule="exact"/>
        <w:rPr>
          <w:rFonts w:ascii="仿宋_GB2312" w:hAnsi="宋体" w:eastAsia="仿宋_GB2312"/>
          <w:b/>
          <w:color w:val="000000"/>
          <w:sz w:val="28"/>
        </w:rPr>
      </w:pPr>
      <w:r>
        <w:rPr>
          <w:rFonts w:ascii="仿宋_GB2312" w:hAnsi="宋体" w:eastAsia="仿宋_GB2312"/>
          <w:b/>
          <w:color w:val="000000"/>
          <w:sz w:val="28"/>
        </w:rPr>
        <w:br w:type="page"/>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残疾人福利性单位声明函</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500" w:lineRule="exact"/>
        <w:ind w:right="840"/>
        <w:jc w:val="right"/>
        <w:rPr>
          <w:rFonts w:ascii="仿宋_GB2312" w:hAnsi="仿宋_GB2312" w:eastAsia="仿宋_GB2312" w:cs="仿宋_GB2312"/>
          <w:sz w:val="24"/>
        </w:rPr>
      </w:pPr>
    </w:p>
    <w:p>
      <w:pPr>
        <w:spacing w:line="500" w:lineRule="exact"/>
        <w:ind w:right="840"/>
        <w:jc w:val="right"/>
        <w:rPr>
          <w:rFonts w:ascii="仿宋_GB2312" w:hAnsi="仿宋_GB2312" w:eastAsia="仿宋_GB2312" w:cs="仿宋_GB2312"/>
          <w:sz w:val="24"/>
        </w:rPr>
      </w:pPr>
    </w:p>
    <w:p>
      <w:pPr>
        <w:spacing w:line="500" w:lineRule="exact"/>
        <w:ind w:right="840"/>
        <w:jc w:val="right"/>
        <w:rPr>
          <w:rFonts w:ascii="仿宋_GB2312" w:hAnsi="仿宋_GB2312" w:eastAsia="仿宋_GB2312" w:cs="仿宋_GB2312"/>
          <w:sz w:val="24"/>
        </w:rPr>
      </w:pPr>
      <w:r>
        <w:rPr>
          <w:rFonts w:hint="eastAsia" w:ascii="仿宋_GB2312" w:hAnsi="仿宋_GB2312" w:eastAsia="仿宋_GB2312" w:cs="仿宋_GB2312"/>
          <w:sz w:val="24"/>
        </w:rPr>
        <w:t xml:space="preserve">单位名称（公章）：  </w:t>
      </w:r>
    </w:p>
    <w:p>
      <w:pPr>
        <w:spacing w:line="500" w:lineRule="exact"/>
        <w:ind w:right="480"/>
        <w:jc w:val="right"/>
        <w:rPr>
          <w:rFonts w:ascii="仿宋_GB2312" w:hAnsi="仿宋_GB2312" w:eastAsia="仿宋_GB2312" w:cs="仿宋_GB2312"/>
          <w:sz w:val="24"/>
        </w:rPr>
      </w:pPr>
      <w:r>
        <w:rPr>
          <w:rFonts w:hint="eastAsia" w:ascii="仿宋_GB2312" w:hAnsi="仿宋_GB2312" w:eastAsia="仿宋_GB2312" w:cs="仿宋_GB2312"/>
          <w:sz w:val="24"/>
        </w:rPr>
        <w:t>日期：  年   月   日</w:t>
      </w:r>
    </w:p>
    <w:p>
      <w:pPr>
        <w:adjustRightInd w:val="0"/>
        <w:snapToGrid w:val="0"/>
        <w:spacing w:after="120" w:afterLines="50" w:line="500" w:lineRule="exact"/>
        <w:rPr>
          <w:rFonts w:ascii="仿宋_GB2312" w:hAnsi="宋体" w:eastAsia="仿宋_GB2312"/>
          <w:b/>
          <w:color w:val="000000"/>
          <w:sz w:val="28"/>
        </w:rPr>
      </w:pPr>
    </w:p>
    <w:p>
      <w:pPr>
        <w:adjustRightInd w:val="0"/>
        <w:snapToGrid w:val="0"/>
        <w:spacing w:after="120" w:afterLines="50" w:line="500" w:lineRule="exact"/>
        <w:jc w:val="center"/>
        <w:rPr>
          <w:rFonts w:ascii="仿宋_GB2312" w:hAnsi="宋体" w:eastAsia="仿宋_GB2312"/>
          <w:b/>
          <w:color w:val="FF0000"/>
          <w:sz w:val="28"/>
        </w:rPr>
        <w:sectPr>
          <w:pgSz w:w="11906" w:h="16838"/>
          <w:pgMar w:top="2098" w:right="1474" w:bottom="1701" w:left="1588" w:header="851" w:footer="992" w:gutter="0"/>
          <w:cols w:space="720" w:num="1"/>
          <w:docGrid w:linePitch="312" w:charSpace="0"/>
        </w:sectPr>
      </w:pPr>
      <w:r>
        <w:rPr>
          <w:rFonts w:ascii="仿宋_GB2312" w:hAnsi="宋体" w:eastAsia="仿宋_GB2312"/>
          <w:b/>
          <w:color w:val="000000"/>
          <w:sz w:val="28"/>
        </w:rPr>
        <w:br w:type="page"/>
      </w:r>
    </w:p>
    <w:p>
      <w:pPr>
        <w:pStyle w:val="2"/>
        <w:ind w:firstLine="0" w:firstLineChars="0"/>
        <w:rPr>
          <w:rFonts w:ascii="仿宋_GB2312" w:hAnsi="宋体" w:eastAsia="仿宋_GB2312" w:cs="宋体"/>
        </w:rPr>
      </w:pPr>
      <w:r>
        <w:rPr>
          <w:rFonts w:hint="eastAsia" w:ascii="仿宋_GB2312" w:hAnsi="宋体" w:eastAsia="仿宋_GB2312" w:cs="宋体"/>
        </w:rPr>
        <w:t>格式文件1.11</w:t>
      </w:r>
    </w:p>
    <w:p>
      <w:pPr>
        <w:widowControl/>
        <w:adjustRightInd w:val="0"/>
        <w:snapToGrid w:val="0"/>
        <w:spacing w:after="120" w:afterLines="50"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供应商基本情况</w:t>
      </w:r>
    </w:p>
    <w:tbl>
      <w:tblPr>
        <w:tblStyle w:val="41"/>
        <w:tblW w:w="795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43"/>
        <w:gridCol w:w="1604"/>
        <w:gridCol w:w="1920"/>
        <w:gridCol w:w="18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restart"/>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投</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标</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人</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概</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况</w:t>
            </w: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5395" w:type="dxa"/>
            <w:gridSpan w:val="3"/>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地址</w:t>
            </w:r>
          </w:p>
        </w:tc>
        <w:tc>
          <w:tcPr>
            <w:tcW w:w="5395" w:type="dxa"/>
            <w:gridSpan w:val="3"/>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5395" w:type="dxa"/>
            <w:gridSpan w:val="3"/>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1604" w:type="dxa"/>
            <w:vAlign w:val="center"/>
          </w:tcPr>
          <w:p>
            <w:pPr>
              <w:spacing w:line="500" w:lineRule="exact"/>
              <w:jc w:val="center"/>
              <w:rPr>
                <w:rFonts w:ascii="仿宋_GB2312" w:hAnsi="仿宋_GB2312" w:eastAsia="仿宋_GB2312" w:cs="仿宋_GB2312"/>
                <w:sz w:val="24"/>
              </w:rPr>
            </w:pPr>
          </w:p>
        </w:tc>
        <w:tc>
          <w:tcPr>
            <w:tcW w:w="1920"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经济性质</w:t>
            </w:r>
          </w:p>
        </w:tc>
        <w:tc>
          <w:tcPr>
            <w:tcW w:w="1871" w:type="dxa"/>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1604" w:type="dxa"/>
            <w:vAlign w:val="center"/>
          </w:tcPr>
          <w:p>
            <w:pPr>
              <w:spacing w:line="500" w:lineRule="exact"/>
              <w:jc w:val="center"/>
              <w:rPr>
                <w:rFonts w:ascii="仿宋_GB2312" w:hAnsi="仿宋_GB2312" w:eastAsia="仿宋_GB2312" w:cs="仿宋_GB2312"/>
                <w:sz w:val="24"/>
              </w:rPr>
            </w:pPr>
          </w:p>
        </w:tc>
        <w:tc>
          <w:tcPr>
            <w:tcW w:w="1920"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871" w:type="dxa"/>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1604" w:type="dxa"/>
            <w:vAlign w:val="center"/>
          </w:tcPr>
          <w:p>
            <w:pPr>
              <w:spacing w:line="500" w:lineRule="exact"/>
              <w:jc w:val="center"/>
              <w:rPr>
                <w:rFonts w:ascii="仿宋_GB2312" w:hAnsi="仿宋_GB2312" w:eastAsia="仿宋_GB2312" w:cs="仿宋_GB2312"/>
                <w:sz w:val="24"/>
              </w:rPr>
            </w:pPr>
          </w:p>
        </w:tc>
        <w:tc>
          <w:tcPr>
            <w:tcW w:w="1920"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技术人员数</w:t>
            </w:r>
          </w:p>
        </w:tc>
        <w:tc>
          <w:tcPr>
            <w:tcW w:w="1871" w:type="dxa"/>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资产总额</w:t>
            </w:r>
          </w:p>
        </w:tc>
        <w:tc>
          <w:tcPr>
            <w:tcW w:w="1604" w:type="dxa"/>
            <w:vAlign w:val="center"/>
          </w:tcPr>
          <w:p>
            <w:pPr>
              <w:spacing w:line="500" w:lineRule="exact"/>
              <w:jc w:val="center"/>
              <w:rPr>
                <w:rFonts w:ascii="仿宋_GB2312" w:hAnsi="仿宋_GB2312" w:eastAsia="仿宋_GB2312" w:cs="仿宋_GB2312"/>
                <w:sz w:val="24"/>
              </w:rPr>
            </w:pPr>
          </w:p>
        </w:tc>
        <w:tc>
          <w:tcPr>
            <w:tcW w:w="1920"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净资产</w:t>
            </w:r>
          </w:p>
        </w:tc>
        <w:tc>
          <w:tcPr>
            <w:tcW w:w="1871" w:type="dxa"/>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工商登记号</w:t>
            </w:r>
          </w:p>
        </w:tc>
        <w:tc>
          <w:tcPr>
            <w:tcW w:w="1604" w:type="dxa"/>
            <w:vAlign w:val="center"/>
          </w:tcPr>
          <w:p>
            <w:pPr>
              <w:spacing w:line="500" w:lineRule="exact"/>
              <w:jc w:val="center"/>
              <w:rPr>
                <w:rFonts w:ascii="仿宋_GB2312" w:hAnsi="仿宋_GB2312" w:eastAsia="仿宋_GB2312" w:cs="仿宋_GB2312"/>
                <w:sz w:val="24"/>
              </w:rPr>
            </w:pPr>
          </w:p>
        </w:tc>
        <w:tc>
          <w:tcPr>
            <w:tcW w:w="1920"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税务登记号</w:t>
            </w:r>
          </w:p>
        </w:tc>
        <w:tc>
          <w:tcPr>
            <w:tcW w:w="1871" w:type="dxa"/>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1843"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是否依法纳税</w:t>
            </w:r>
          </w:p>
        </w:tc>
        <w:tc>
          <w:tcPr>
            <w:tcW w:w="1604" w:type="dxa"/>
            <w:vAlign w:val="center"/>
          </w:tcPr>
          <w:p>
            <w:pPr>
              <w:spacing w:line="500" w:lineRule="exact"/>
              <w:jc w:val="center"/>
              <w:rPr>
                <w:rFonts w:ascii="仿宋_GB2312" w:hAnsi="仿宋_GB2312" w:eastAsia="仿宋_GB2312" w:cs="仿宋_GB2312"/>
                <w:sz w:val="24"/>
              </w:rPr>
            </w:pPr>
          </w:p>
        </w:tc>
        <w:tc>
          <w:tcPr>
            <w:tcW w:w="1920" w:type="dxa"/>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是否参加社保</w:t>
            </w:r>
          </w:p>
        </w:tc>
        <w:tc>
          <w:tcPr>
            <w:tcW w:w="1871" w:type="dxa"/>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2" w:hRule="atLeast"/>
          <w:jc w:val="center"/>
        </w:trPr>
        <w:tc>
          <w:tcPr>
            <w:tcW w:w="718" w:type="dxa"/>
            <w:vMerge w:val="continue"/>
            <w:vAlign w:val="center"/>
          </w:tcPr>
          <w:p>
            <w:pPr>
              <w:spacing w:line="500" w:lineRule="exact"/>
              <w:jc w:val="center"/>
              <w:rPr>
                <w:rFonts w:ascii="仿宋_GB2312" w:hAnsi="仿宋_GB2312" w:eastAsia="仿宋_GB2312" w:cs="仿宋_GB2312"/>
                <w:sz w:val="24"/>
              </w:rPr>
            </w:pPr>
          </w:p>
        </w:tc>
        <w:tc>
          <w:tcPr>
            <w:tcW w:w="7238" w:type="dxa"/>
            <w:gridSpan w:val="4"/>
          </w:tcPr>
          <w:p>
            <w:pPr>
              <w:spacing w:line="5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单位优势及投标服务特点：可包括以下一些内容（须复印件加盖公章）：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561" w:type="dxa"/>
            <w:gridSpan w:val="2"/>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法定代表人签字</w:t>
            </w:r>
          </w:p>
        </w:tc>
        <w:tc>
          <w:tcPr>
            <w:tcW w:w="5395" w:type="dxa"/>
            <w:gridSpan w:val="3"/>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（单位公章）</w:t>
            </w:r>
          </w:p>
          <w:p>
            <w:pPr>
              <w:spacing w:line="500" w:lineRule="exact"/>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561" w:type="dxa"/>
            <w:gridSpan w:val="2"/>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在本地售后服务</w:t>
            </w: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机构情况</w:t>
            </w:r>
          </w:p>
        </w:tc>
        <w:tc>
          <w:tcPr>
            <w:tcW w:w="5395" w:type="dxa"/>
            <w:gridSpan w:val="3"/>
            <w:vAlign w:val="center"/>
          </w:tcPr>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机构名称：            地址：</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人员状况：                联系电话：</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（可另附纸说明）</w:t>
            </w:r>
          </w:p>
        </w:tc>
      </w:tr>
    </w:tbl>
    <w:p>
      <w:pPr>
        <w:pStyle w:val="2"/>
        <w:ind w:firstLine="0" w:firstLineChars="0"/>
        <w:rPr>
          <w:rFonts w:ascii="仿宋_GB2312" w:hAnsi="宋体" w:eastAsia="仿宋_GB2312" w:cs="宋体"/>
        </w:rPr>
        <w:sectPr>
          <w:pgSz w:w="11906" w:h="16838"/>
          <w:pgMar w:top="2098" w:right="1474" w:bottom="1701" w:left="1588" w:header="851" w:footer="992" w:gutter="0"/>
          <w:cols w:space="720" w:num="1"/>
          <w:docGrid w:linePitch="312" w:charSpace="0"/>
        </w:sectPr>
      </w:pPr>
    </w:p>
    <w:p>
      <w:pPr>
        <w:pStyle w:val="2"/>
        <w:ind w:firstLine="0" w:firstLineChars="0"/>
        <w:rPr>
          <w:rFonts w:ascii="仿宋_GB2312" w:hAnsi="宋体" w:eastAsia="仿宋_GB2312" w:cs="宋体"/>
        </w:rPr>
      </w:pPr>
      <w:r>
        <w:rPr>
          <w:rFonts w:hint="eastAsia" w:ascii="仿宋_GB2312" w:hAnsi="宋体" w:eastAsia="仿宋_GB2312" w:cs="宋体"/>
        </w:rPr>
        <w:t>格式文件1.12</w:t>
      </w:r>
    </w:p>
    <w:p>
      <w:pPr>
        <w:widowControl/>
        <w:adjustRightInd w:val="0"/>
        <w:snapToGrid w:val="0"/>
        <w:spacing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投标声明书</w:t>
      </w:r>
    </w:p>
    <w:p>
      <w:pPr>
        <w:adjustRightInd w:val="0"/>
        <w:snapToGrid w:val="0"/>
        <w:spacing w:line="500" w:lineRule="exact"/>
        <w:jc w:val="left"/>
        <w:rPr>
          <w:rFonts w:ascii="仿宋_GB2312" w:hAnsi="宋体" w:eastAsia="仿宋_GB2312"/>
          <w:sz w:val="24"/>
        </w:rPr>
      </w:pPr>
      <w:r>
        <w:rPr>
          <w:rFonts w:hint="eastAsia" w:ascii="仿宋_GB2312" w:hAnsi="仿宋" w:eastAsia="仿宋_GB2312" w:cs="仿宋_GB2312"/>
          <w:kern w:val="0"/>
          <w:sz w:val="24"/>
          <w:szCs w:val="20"/>
        </w:rPr>
        <w:t>杭州东站枢纽管理委员会</w:t>
      </w:r>
      <w:r>
        <w:rPr>
          <w:rFonts w:hint="eastAsia" w:ascii="仿宋_GB2312" w:hAnsi="宋体" w:eastAsia="仿宋_GB2312"/>
          <w:sz w:val="24"/>
        </w:rPr>
        <w:t xml:space="preserve">、杭州市公共资源交易中心上城分中心： </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我司自愿参加</w:t>
      </w:r>
      <w:r>
        <w:rPr>
          <w:rFonts w:hint="eastAsia" w:ascii="仿宋_GB2312" w:hAnsi="宋体" w:eastAsia="仿宋_GB2312"/>
          <w:sz w:val="24"/>
          <w:u w:val="single"/>
        </w:rPr>
        <w:t>杭州东站枢纽区域综合养护服务项目</w:t>
      </w:r>
      <w:r>
        <w:rPr>
          <w:rFonts w:hint="eastAsia" w:ascii="仿宋_GB2312" w:hAnsi="宋体" w:eastAsia="仿宋_GB2312"/>
          <w:sz w:val="24"/>
        </w:rPr>
        <w:t>（招标编号：SCCG2021-GK-12 )的投标，现声明如下：</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一、同意此次招标文件中的各项内容及要求。</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二、同意按照贵方要求提供与投标有关的一切数据或资料等，并保证相关内容真实、合法。</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三、参加本次政府采购活动前五年内，我司及法定代表人、主要管理人员在生产经营活动中无重大违法犯罪记录。</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四、参加本次政府采购活动前五年内，我司及法定代表人、主要管理人员无涉嫌行贿犯罪等违法行为正被相关部门调查的。</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若上述声明不实，我司愿按照政府采购相关法律、法规接受处罚。</w:t>
      </w:r>
    </w:p>
    <w:p>
      <w:pPr>
        <w:adjustRightInd w:val="0"/>
        <w:snapToGrid w:val="0"/>
        <w:spacing w:line="500" w:lineRule="exact"/>
        <w:ind w:firstLine="480" w:firstLineChars="200"/>
        <w:jc w:val="left"/>
        <w:rPr>
          <w:rFonts w:ascii="仿宋_GB2312" w:hAnsi="宋体" w:eastAsia="仿宋_GB2312"/>
          <w:sz w:val="24"/>
        </w:rPr>
      </w:pP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特此声明。</w:t>
      </w:r>
    </w:p>
    <w:p>
      <w:pPr>
        <w:adjustRightInd w:val="0"/>
        <w:snapToGrid w:val="0"/>
        <w:spacing w:line="500" w:lineRule="exact"/>
        <w:ind w:firstLine="5400" w:firstLineChars="2250"/>
        <w:rPr>
          <w:rFonts w:ascii="仿宋_GB2312" w:hAnsi="宋体" w:eastAsia="仿宋_GB2312"/>
          <w:sz w:val="24"/>
        </w:rPr>
      </w:pPr>
      <w:r>
        <w:rPr>
          <w:rFonts w:hint="eastAsia" w:ascii="仿宋_GB2312" w:hAnsi="宋体" w:eastAsia="仿宋_GB2312"/>
          <w:sz w:val="24"/>
        </w:rPr>
        <w:t>投标人名称(公章)：</w:t>
      </w:r>
    </w:p>
    <w:p>
      <w:pPr>
        <w:pStyle w:val="2"/>
        <w:spacing w:line="500" w:lineRule="exact"/>
        <w:ind w:firstLine="5400" w:firstLineChars="2250"/>
        <w:rPr>
          <w:rFonts w:ascii="仿宋_GB2312" w:hAnsi="宋体" w:eastAsia="仿宋_GB2312"/>
          <w:sz w:val="24"/>
        </w:rPr>
        <w:sectPr>
          <w:pgSz w:w="11906" w:h="16838"/>
          <w:pgMar w:top="2098" w:right="1474" w:bottom="1701" w:left="1588" w:header="851" w:footer="992" w:gutter="0"/>
          <w:cols w:space="720" w:num="1"/>
          <w:docGrid w:linePitch="312" w:charSpace="0"/>
        </w:sectPr>
      </w:pPr>
      <w:r>
        <w:rPr>
          <w:rFonts w:hint="eastAsia" w:ascii="仿宋_GB2312" w:hAnsi="宋体" w:eastAsia="仿宋_GB2312"/>
          <w:sz w:val="24"/>
        </w:rPr>
        <w:t>日期：</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ind w:firstLine="0" w:firstLineChars="0"/>
        <w:rPr>
          <w:rFonts w:ascii="仿宋_GB2312" w:hAnsi="宋体" w:eastAsia="仿宋_GB2312" w:cs="宋体"/>
        </w:rPr>
      </w:pPr>
      <w:r>
        <w:rPr>
          <w:rFonts w:hint="eastAsia" w:ascii="仿宋_GB2312" w:hAnsi="宋体" w:eastAsia="仿宋_GB2312" w:cs="宋体"/>
        </w:rPr>
        <w:t>格式文件1.13</w:t>
      </w:r>
    </w:p>
    <w:p>
      <w:pPr>
        <w:autoSpaceDE w:val="0"/>
        <w:autoSpaceDN w:val="0"/>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bidi="ar"/>
        </w:rPr>
        <w:t>政府采购供应商廉洁自律承诺书</w:t>
      </w:r>
    </w:p>
    <w:p>
      <w:pPr>
        <w:adjustRightInd w:val="0"/>
        <w:snapToGrid w:val="0"/>
        <w:spacing w:line="500" w:lineRule="exact"/>
        <w:jc w:val="left"/>
        <w:rPr>
          <w:rFonts w:ascii="仿宋_GB2312" w:hAnsi="宋体" w:eastAsia="仿宋_GB2312"/>
          <w:sz w:val="24"/>
        </w:rPr>
      </w:pPr>
      <w:r>
        <w:rPr>
          <w:rFonts w:hint="eastAsia" w:ascii="仿宋_GB2312" w:hAnsi="仿宋" w:eastAsia="仿宋_GB2312" w:cs="仿宋_GB2312"/>
          <w:kern w:val="0"/>
          <w:sz w:val="24"/>
          <w:szCs w:val="20"/>
        </w:rPr>
        <w:t>杭州东站枢纽管理委员会</w:t>
      </w:r>
      <w:r>
        <w:rPr>
          <w:rFonts w:hint="eastAsia" w:ascii="仿宋_GB2312" w:hAnsi="宋体" w:eastAsia="仿宋_GB2312"/>
          <w:sz w:val="24"/>
        </w:rPr>
        <w:t xml:space="preserve">、杭州市公共资源交易中心上城分中心：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bidi="ar"/>
        </w:rPr>
        <w:t>本单位合法参加</w:t>
      </w:r>
      <w:r>
        <w:rPr>
          <w:rFonts w:hint="eastAsia" w:ascii="仿宋_GB2312" w:hAnsi="宋体" w:eastAsia="仿宋_GB2312" w:cs="仿宋_GB2312"/>
          <w:sz w:val="24"/>
          <w:u w:val="single"/>
          <w:lang w:bidi="ar"/>
        </w:rPr>
        <w:t xml:space="preserve">               </w:t>
      </w:r>
      <w:r>
        <w:rPr>
          <w:rFonts w:hint="eastAsia" w:ascii="仿宋_GB2312" w:hAnsi="宋体" w:eastAsia="仿宋_GB2312" w:cs="仿宋_GB2312"/>
          <w:sz w:val="24"/>
          <w:lang w:bidi="ar"/>
        </w:rPr>
        <w:t>项目（招标编号</w:t>
      </w:r>
      <w:r>
        <w:rPr>
          <w:rFonts w:hint="eastAsia" w:ascii="仿宋_GB2312" w:hAnsi="宋体" w:eastAsia="仿宋_GB2312" w:cs="仿宋_GB2312"/>
          <w:sz w:val="24"/>
          <w:u w:val="single"/>
          <w:lang w:bidi="ar"/>
        </w:rPr>
        <w:t xml:space="preserve">：      </w:t>
      </w:r>
      <w:r>
        <w:rPr>
          <w:rFonts w:hint="eastAsia" w:ascii="仿宋_GB2312" w:hAnsi="宋体" w:eastAsia="仿宋_GB2312" w:cs="仿宋_GB2312"/>
          <w:sz w:val="24"/>
          <w:lang w:bidi="ar"/>
        </w:rPr>
        <w:t>)</w:t>
      </w:r>
      <w:r>
        <w:rPr>
          <w:rFonts w:hint="eastAsia" w:ascii="仿宋_GB2312" w:hAnsi="仿宋_GB2312" w:eastAsia="仿宋_GB2312" w:cs="仿宋_GB2312"/>
          <w:kern w:val="0"/>
          <w:sz w:val="24"/>
          <w:lang w:val="zh-CN" w:bidi="ar"/>
        </w:rPr>
        <w:t>政府采购活动，就有关廉洁自律和公平竞争事项郑重声明如下：</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bidi="ar"/>
        </w:rPr>
        <w:t>一、本单位与采购人之间不存在利害关系，不存在行贿、串通等违法行为。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bidi="ar"/>
        </w:rPr>
        <w:t>二、本单位与其他当事人之间不存在直接控股、管理关系等情况，不存在法定的不允许投标情形，不存在行贿、串通等违法行为。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bidi="ar"/>
        </w:rPr>
        <w:t>三、本单位清楚知道并严格遵守政府采购法律法规、政策文件和相关纪律。</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bidi="ar"/>
        </w:rPr>
        <w:t>投标人名称(公章)：</w:t>
      </w:r>
    </w:p>
    <w:p>
      <w:pPr>
        <w:autoSpaceDE w:val="0"/>
        <w:autoSpaceDN w:val="0"/>
        <w:spacing w:line="360" w:lineRule="auto"/>
        <w:ind w:left="2" w:leftChars="1" w:firstLine="480" w:firstLineChars="200"/>
        <w:jc w:val="right"/>
        <w:rPr>
          <w:rFonts w:ascii="仿宋_GB2312" w:hAnsi="仿宋_GB2312" w:eastAsia="仿宋_GB2312" w:cs="仿宋_GB2312"/>
          <w:kern w:val="0"/>
          <w:sz w:val="24"/>
          <w:lang w:val="zh-CN" w:bidi="ar"/>
        </w:rPr>
      </w:pPr>
      <w:r>
        <w:rPr>
          <w:rFonts w:hint="eastAsia" w:ascii="仿宋_GB2312" w:hAnsi="仿宋_GB2312" w:eastAsia="仿宋_GB2312" w:cs="仿宋_GB2312"/>
          <w:kern w:val="0"/>
          <w:sz w:val="24"/>
          <w:lang w:val="zh-CN" w:bidi="ar"/>
        </w:rPr>
        <w:t>日期：    年  月  日</w:t>
      </w: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480"/>
        <w:rPr>
          <w:rFonts w:ascii="仿宋_GB2312" w:hAnsi="仿宋_GB2312" w:eastAsia="仿宋_GB2312" w:cs="仿宋_GB2312"/>
          <w:color w:val="00B050"/>
          <w:kern w:val="0"/>
          <w:sz w:val="24"/>
          <w:lang w:val="zh-CN" w:bidi="ar"/>
        </w:rPr>
      </w:pPr>
    </w:p>
    <w:p>
      <w:pPr>
        <w:pStyle w:val="2"/>
        <w:ind w:firstLine="0" w:firstLineChars="0"/>
        <w:rPr>
          <w:lang w:val="zh-CN"/>
        </w:rPr>
      </w:pPr>
    </w:p>
    <w:p>
      <w:pPr>
        <w:pStyle w:val="2"/>
        <w:ind w:firstLine="0" w:firstLineChars="0"/>
        <w:rPr>
          <w:rFonts w:ascii="仿宋_GB2312" w:hAnsi="宋体" w:eastAsia="仿宋_GB2312" w:cs="宋体"/>
        </w:rPr>
      </w:pPr>
      <w:r>
        <w:rPr>
          <w:rFonts w:hint="eastAsia" w:ascii="仿宋_GB2312" w:hAnsi="宋体" w:eastAsia="仿宋_GB2312" w:cs="宋体"/>
        </w:rPr>
        <w:t>格式文件1.14</w:t>
      </w: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廉政承诺书</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 w:eastAsia="仿宋_GB2312" w:cs="仿宋_GB2312"/>
          <w:kern w:val="0"/>
          <w:sz w:val="24"/>
          <w:szCs w:val="20"/>
        </w:rPr>
        <w:t>杭州东站枢纽管理委员会</w:t>
      </w:r>
      <w:r>
        <w:rPr>
          <w:rFonts w:hint="eastAsia" w:ascii="仿宋_GB2312" w:hAnsi="仿宋_GB2312" w:eastAsia="仿宋_GB2312" w:cs="仿宋_GB2312"/>
          <w:kern w:val="0"/>
          <w:sz w:val="24"/>
          <w:lang w:val="zh-CN"/>
        </w:rPr>
        <w:t xml:space="preserve">、杭州市公共资源交易中心上城分中心：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djustRightInd w:val="0"/>
        <w:snapToGrid w:val="0"/>
        <w:spacing w:line="500" w:lineRule="exact"/>
        <w:ind w:firstLine="5400" w:firstLineChars="2250"/>
        <w:rPr>
          <w:rFonts w:ascii="仿宋_GB2312" w:hAnsi="宋体" w:eastAsia="仿宋_GB2312"/>
          <w:sz w:val="24"/>
        </w:rPr>
      </w:pPr>
      <w:r>
        <w:rPr>
          <w:rFonts w:hint="eastAsia" w:ascii="仿宋_GB2312" w:hAnsi="宋体" w:eastAsia="仿宋_GB2312"/>
          <w:sz w:val="24"/>
        </w:rPr>
        <w:t>投标人名称(公章)：</w:t>
      </w:r>
    </w:p>
    <w:p>
      <w:pPr>
        <w:pStyle w:val="2"/>
        <w:spacing w:line="500" w:lineRule="exact"/>
        <w:ind w:firstLine="5400" w:firstLineChars="2250"/>
        <w:rPr>
          <w:rFonts w:ascii="仿宋_GB2312" w:hAnsi="宋体" w:eastAsia="仿宋_GB2312"/>
          <w:sz w:val="24"/>
        </w:rPr>
        <w:sectPr>
          <w:pgSz w:w="11906" w:h="16838"/>
          <w:pgMar w:top="2098" w:right="1474" w:bottom="1984" w:left="1587" w:header="851" w:footer="992" w:gutter="0"/>
          <w:cols w:space="720" w:num="1"/>
          <w:docGrid w:type="lines" w:linePitch="312" w:charSpace="0"/>
        </w:sectPr>
      </w:pPr>
      <w:r>
        <w:rPr>
          <w:rFonts w:hint="eastAsia" w:ascii="仿宋_GB2312" w:hAnsi="宋体" w:eastAsia="仿宋_GB2312"/>
          <w:sz w:val="24"/>
        </w:rPr>
        <w:t>日期：</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ind w:left="0" w:leftChars="0" w:firstLine="0" w:firstLineChars="0"/>
        <w:rPr>
          <w:rFonts w:ascii="仿宋_GB2312" w:hAnsi="仿宋_GB2312" w:eastAsia="仿宋_GB2312" w:cs="仿宋_GB2312"/>
          <w:color w:val="00B050"/>
          <w:kern w:val="0"/>
          <w:sz w:val="24"/>
          <w:lang w:bidi="ar"/>
        </w:rPr>
      </w:pPr>
    </w:p>
    <w:p>
      <w:pPr>
        <w:pStyle w:val="2"/>
        <w:ind w:firstLine="0" w:firstLineChars="0"/>
        <w:rPr>
          <w:rFonts w:ascii="仿宋_GB2312" w:hAnsi="宋体" w:eastAsia="仿宋_GB2312" w:cs="宋体"/>
        </w:rPr>
      </w:pPr>
    </w:p>
    <w:p>
      <w:pPr>
        <w:pStyle w:val="2"/>
        <w:ind w:firstLine="0" w:firstLineChars="0"/>
        <w:rPr>
          <w:rFonts w:ascii="仿宋_GB2312" w:hAnsi="宋体" w:eastAsia="仿宋_GB2312" w:cs="宋体"/>
        </w:rPr>
      </w:pPr>
      <w:r>
        <w:rPr>
          <w:rFonts w:hint="eastAsia" w:ascii="仿宋_GB2312" w:hAnsi="宋体" w:eastAsia="仿宋_GB2312" w:cs="宋体"/>
        </w:rPr>
        <w:t>格式文件1.15</w:t>
      </w:r>
    </w:p>
    <w:p>
      <w:pPr>
        <w:adjustRightInd w:val="0"/>
        <w:snapToGrid w:val="0"/>
        <w:spacing w:after="120" w:afterLines="50"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业绩一览表</w:t>
      </w:r>
    </w:p>
    <w:tbl>
      <w:tblPr>
        <w:tblStyle w:val="41"/>
        <w:tblW w:w="7780" w:type="dxa"/>
        <w:jc w:val="center"/>
        <w:tblLayout w:type="fixed"/>
        <w:tblCellMar>
          <w:top w:w="0" w:type="dxa"/>
          <w:left w:w="108" w:type="dxa"/>
          <w:bottom w:w="0" w:type="dxa"/>
          <w:right w:w="108" w:type="dxa"/>
        </w:tblCellMar>
      </w:tblPr>
      <w:tblGrid>
        <w:gridCol w:w="1182"/>
        <w:gridCol w:w="1280"/>
        <w:gridCol w:w="1272"/>
        <w:gridCol w:w="1453"/>
        <w:gridCol w:w="1339"/>
        <w:gridCol w:w="1254"/>
      </w:tblGrid>
      <w:tr>
        <w:tblPrEx>
          <w:tblCellMar>
            <w:top w:w="0" w:type="dxa"/>
            <w:left w:w="108" w:type="dxa"/>
            <w:bottom w:w="0" w:type="dxa"/>
            <w:right w:w="108" w:type="dxa"/>
          </w:tblCellMar>
        </w:tblPrEx>
        <w:trPr>
          <w:trHeight w:val="935" w:hRule="atLeast"/>
          <w:jc w:val="center"/>
        </w:trPr>
        <w:tc>
          <w:tcPr>
            <w:tcW w:w="11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项目名称</w:t>
            </w:r>
          </w:p>
        </w:tc>
        <w:tc>
          <w:tcPr>
            <w:tcW w:w="12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项目类型</w:t>
            </w:r>
          </w:p>
        </w:tc>
        <w:tc>
          <w:tcPr>
            <w:tcW w:w="1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简要描述</w:t>
            </w:r>
          </w:p>
        </w:tc>
        <w:tc>
          <w:tcPr>
            <w:tcW w:w="14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项目金额（万元）</w:t>
            </w:r>
          </w:p>
        </w:tc>
        <w:tc>
          <w:tcPr>
            <w:tcW w:w="133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服务单位联系电话</w:t>
            </w:r>
          </w:p>
        </w:tc>
        <w:tc>
          <w:tcPr>
            <w:tcW w:w="12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所在页码</w:t>
            </w:r>
          </w:p>
        </w:tc>
      </w:tr>
      <w:tr>
        <w:tblPrEx>
          <w:tblCellMar>
            <w:top w:w="0" w:type="dxa"/>
            <w:left w:w="108" w:type="dxa"/>
            <w:bottom w:w="0" w:type="dxa"/>
            <w:right w:w="108" w:type="dxa"/>
          </w:tblCellMar>
        </w:tblPrEx>
        <w:trPr>
          <w:trHeight w:val="680" w:hRule="atLeast"/>
          <w:jc w:val="center"/>
        </w:trPr>
        <w:tc>
          <w:tcPr>
            <w:tcW w:w="11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4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33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trHeight w:val="680" w:hRule="atLeast"/>
          <w:jc w:val="center"/>
        </w:trPr>
        <w:tc>
          <w:tcPr>
            <w:tcW w:w="11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4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33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trHeight w:val="680" w:hRule="atLeast"/>
          <w:jc w:val="center"/>
        </w:trPr>
        <w:tc>
          <w:tcPr>
            <w:tcW w:w="11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4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33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c>
          <w:tcPr>
            <w:tcW w:w="125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宋体" w:eastAsia="仿宋_GB2312"/>
                <w:sz w:val="24"/>
              </w:rPr>
            </w:pPr>
          </w:p>
        </w:tc>
      </w:tr>
    </w:tbl>
    <w:p>
      <w:pPr>
        <w:autoSpaceDE w:val="0"/>
        <w:autoSpaceDN w:val="0"/>
        <w:adjustRightInd w:val="0"/>
        <w:spacing w:line="500" w:lineRule="exact"/>
        <w:ind w:left="1" w:right="168" w:rightChars="80"/>
        <w:rPr>
          <w:rFonts w:ascii="仿宋_GB2312" w:eastAsia="仿宋_GB2312" w:cs="仿宋_GB2312"/>
          <w:b/>
          <w:bCs/>
          <w:color w:val="000000"/>
          <w:sz w:val="24"/>
        </w:rPr>
      </w:pPr>
      <w:r>
        <w:rPr>
          <w:rFonts w:hint="eastAsia" w:ascii="仿宋_GB2312" w:eastAsia="仿宋_GB2312" w:cs="仿宋_GB2312"/>
          <w:b/>
          <w:bCs/>
          <w:color w:val="000000"/>
          <w:sz w:val="24"/>
        </w:rPr>
        <w:t>注：投标人可按上述的格式自行编制，须随表提交相应的合同复印件和项目案例证明材料并注明所在页码。</w:t>
      </w:r>
    </w:p>
    <w:p>
      <w:pPr>
        <w:wordWrap w:val="0"/>
        <w:adjustRightInd w:val="0"/>
        <w:snapToGrid w:val="0"/>
        <w:spacing w:line="500" w:lineRule="exact"/>
        <w:ind w:firstLine="420" w:firstLineChars="200"/>
        <w:jc w:val="right"/>
        <w:rPr>
          <w:rFonts w:ascii="仿宋_GB2312" w:hAnsi="宋体" w:eastAsia="仿宋_GB2312"/>
        </w:rPr>
      </w:pPr>
    </w:p>
    <w:p>
      <w:pPr>
        <w:adjustRightInd w:val="0"/>
        <w:snapToGrid w:val="0"/>
        <w:spacing w:line="500" w:lineRule="exact"/>
        <w:ind w:firstLine="5160" w:firstLineChars="2150"/>
        <w:jc w:val="left"/>
        <w:rPr>
          <w:rFonts w:ascii="仿宋_GB2312" w:hAnsi="宋体" w:eastAsia="仿宋_GB2312"/>
          <w:sz w:val="24"/>
        </w:rPr>
      </w:pPr>
      <w:r>
        <w:rPr>
          <w:rFonts w:hint="eastAsia" w:ascii="仿宋_GB2312" w:hAnsi="宋体" w:eastAsia="仿宋_GB2312"/>
          <w:sz w:val="24"/>
        </w:rPr>
        <w:t xml:space="preserve">投标人名称（公章）： </w:t>
      </w:r>
    </w:p>
    <w:p>
      <w:pPr>
        <w:adjustRightInd w:val="0"/>
        <w:snapToGrid w:val="0"/>
        <w:spacing w:line="500" w:lineRule="exact"/>
        <w:ind w:firstLine="5160" w:firstLineChars="2150"/>
        <w:jc w:val="left"/>
        <w:rPr>
          <w:rFonts w:ascii="仿宋_GB2312" w:hAnsi="宋体" w:eastAsia="仿宋_GB2312" w:cs="宋体"/>
        </w:rPr>
        <w:sectPr>
          <w:pgSz w:w="11906" w:h="16838"/>
          <w:pgMar w:top="2098" w:right="1474" w:bottom="1701" w:left="1588" w:header="851" w:footer="992" w:gutter="0"/>
          <w:cols w:space="720" w:num="1"/>
          <w:docGrid w:linePitch="312" w:charSpace="0"/>
        </w:sectPr>
      </w:pPr>
      <w:r>
        <w:rPr>
          <w:rFonts w:hint="eastAsia" w:ascii="仿宋_GB2312" w:hAnsi="宋体" w:eastAsia="仿宋_GB2312"/>
          <w:sz w:val="24"/>
        </w:rPr>
        <w:t>日期：</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rPr>
          <w:rFonts w:ascii="仿宋_GB2312" w:hAnsi="宋体" w:eastAsia="仿宋_GB2312" w:cs="宋体"/>
        </w:rPr>
      </w:pPr>
    </w:p>
    <w:p>
      <w:pPr>
        <w:rPr>
          <w:rFonts w:ascii="仿宋_GB2312" w:hAnsi="宋体" w:eastAsia="仿宋_GB2312" w:cs="宋体"/>
        </w:rPr>
      </w:pPr>
      <w:r>
        <w:rPr>
          <w:rFonts w:hint="eastAsia" w:ascii="仿宋_GB2312" w:hAnsi="宋体" w:eastAsia="仿宋_GB2312" w:cs="宋体"/>
        </w:rPr>
        <w:t>格式文件1.16</w:t>
      </w:r>
    </w:p>
    <w:p>
      <w:pPr>
        <w:adjustRightInd w:val="0"/>
        <w:snapToGrid w:val="0"/>
        <w:spacing w:after="120" w:afterLines="50"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参数偏离说明表</w:t>
      </w:r>
    </w:p>
    <w:tbl>
      <w:tblPr>
        <w:tblStyle w:val="41"/>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1"/>
        <w:gridCol w:w="1686"/>
        <w:gridCol w:w="2126"/>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91" w:type="dxa"/>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序号</w:t>
            </w:r>
          </w:p>
        </w:tc>
        <w:tc>
          <w:tcPr>
            <w:tcW w:w="791" w:type="dxa"/>
            <w:vAlign w:val="center"/>
          </w:tcPr>
          <w:p>
            <w:pPr>
              <w:jc w:val="center"/>
              <w:rPr>
                <w:rFonts w:ascii="仿宋" w:hAnsi="仿宋" w:eastAsia="仿宋" w:cs="仿宋_GB2312"/>
                <w:bCs/>
                <w:sz w:val="24"/>
              </w:rPr>
            </w:pPr>
            <w:r>
              <w:rPr>
                <w:rFonts w:hint="eastAsia" w:ascii="仿宋" w:hAnsi="仿宋" w:eastAsia="仿宋" w:cs="仿宋_GB2312"/>
                <w:color w:val="000000"/>
                <w:sz w:val="24"/>
              </w:rPr>
              <w:t>名称</w:t>
            </w:r>
          </w:p>
        </w:tc>
        <w:tc>
          <w:tcPr>
            <w:tcW w:w="1686" w:type="dxa"/>
            <w:vAlign w:val="center"/>
          </w:tcPr>
          <w:p>
            <w:pPr>
              <w:jc w:val="center"/>
              <w:rPr>
                <w:rFonts w:ascii="仿宋" w:hAnsi="仿宋" w:eastAsia="仿宋" w:cs="仿宋_GB2312"/>
                <w:bCs/>
                <w:sz w:val="24"/>
              </w:rPr>
            </w:pPr>
            <w:r>
              <w:rPr>
                <w:rFonts w:hint="eastAsia" w:ascii="仿宋" w:hAnsi="仿宋" w:eastAsia="仿宋" w:cs="仿宋_GB2312"/>
                <w:color w:val="000000"/>
                <w:sz w:val="24"/>
              </w:rPr>
              <w:t>采购要求</w:t>
            </w:r>
          </w:p>
        </w:tc>
        <w:tc>
          <w:tcPr>
            <w:tcW w:w="2126" w:type="dxa"/>
            <w:vAlign w:val="center"/>
          </w:tcPr>
          <w:p>
            <w:pPr>
              <w:jc w:val="center"/>
              <w:rPr>
                <w:rFonts w:ascii="仿宋" w:hAnsi="仿宋" w:eastAsia="仿宋" w:cs="仿宋_GB2312"/>
                <w:bCs/>
                <w:sz w:val="24"/>
              </w:rPr>
            </w:pPr>
            <w:r>
              <w:rPr>
                <w:rFonts w:hint="eastAsia" w:ascii="仿宋" w:hAnsi="仿宋" w:eastAsia="仿宋" w:cs="仿宋_GB2312"/>
                <w:color w:val="000000"/>
                <w:sz w:val="24"/>
              </w:rPr>
              <w:t>投标响应</w:t>
            </w:r>
          </w:p>
        </w:tc>
        <w:tc>
          <w:tcPr>
            <w:tcW w:w="1134" w:type="dxa"/>
            <w:vAlign w:val="center"/>
          </w:tcPr>
          <w:p>
            <w:pPr>
              <w:jc w:val="center"/>
              <w:rPr>
                <w:rFonts w:ascii="仿宋" w:hAnsi="仿宋" w:eastAsia="仿宋" w:cs="仿宋_GB2312"/>
                <w:bCs/>
                <w:sz w:val="24"/>
              </w:rPr>
            </w:pPr>
            <w:r>
              <w:rPr>
                <w:rFonts w:hint="eastAsia" w:ascii="仿宋" w:hAnsi="仿宋" w:eastAsia="仿宋" w:cs="仿宋_GB2312"/>
                <w:color w:val="000000"/>
                <w:sz w:val="24"/>
              </w:rPr>
              <w:t>偏离</w:t>
            </w:r>
          </w:p>
        </w:tc>
        <w:tc>
          <w:tcPr>
            <w:tcW w:w="1418" w:type="dxa"/>
            <w:vAlign w:val="center"/>
          </w:tcPr>
          <w:p>
            <w:pPr>
              <w:jc w:val="center"/>
              <w:rPr>
                <w:rFonts w:ascii="仿宋" w:hAnsi="仿宋" w:eastAsia="仿宋" w:cs="仿宋_GB2312"/>
                <w:bCs/>
                <w:sz w:val="24"/>
              </w:rPr>
            </w:pPr>
            <w:r>
              <w:rPr>
                <w:rFonts w:hint="eastAsia" w:ascii="仿宋" w:hAnsi="仿宋" w:eastAsia="仿宋"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1" w:type="dxa"/>
            <w:vAlign w:val="center"/>
          </w:tcPr>
          <w:p>
            <w:pPr>
              <w:jc w:val="center"/>
              <w:rPr>
                <w:rFonts w:ascii="仿宋" w:hAnsi="仿宋" w:eastAsia="仿宋" w:cs="仿宋_GB2312"/>
                <w:bCs/>
                <w:sz w:val="24"/>
              </w:rPr>
            </w:pPr>
            <w:r>
              <w:rPr>
                <w:rFonts w:hint="eastAsia" w:ascii="仿宋" w:hAnsi="仿宋" w:eastAsia="仿宋" w:cs="仿宋_GB2312"/>
                <w:bCs/>
                <w:sz w:val="24"/>
              </w:rPr>
              <w:t>1</w:t>
            </w:r>
          </w:p>
        </w:tc>
        <w:tc>
          <w:tcPr>
            <w:tcW w:w="791" w:type="dxa"/>
            <w:vAlign w:val="center"/>
          </w:tcPr>
          <w:p>
            <w:pPr>
              <w:jc w:val="center"/>
              <w:rPr>
                <w:rFonts w:ascii="仿宋" w:hAnsi="仿宋" w:eastAsia="仿宋" w:cs="仿宋_GB2312"/>
                <w:bCs/>
                <w:sz w:val="24"/>
              </w:rPr>
            </w:pPr>
            <w:r>
              <w:rPr>
                <w:rFonts w:ascii="仿宋" w:hAnsi="仿宋" w:eastAsia="仿宋" w:cs="仿宋_GB2312"/>
                <w:bCs/>
                <w:sz w:val="24"/>
              </w:rPr>
              <w:t>…</w:t>
            </w:r>
          </w:p>
        </w:tc>
        <w:tc>
          <w:tcPr>
            <w:tcW w:w="1686" w:type="dxa"/>
            <w:vAlign w:val="center"/>
          </w:tcPr>
          <w:p>
            <w:pPr>
              <w:jc w:val="center"/>
              <w:rPr>
                <w:rFonts w:ascii="仿宋" w:hAnsi="仿宋" w:eastAsia="仿宋" w:cs="仿宋_GB2312"/>
                <w:bCs/>
                <w:sz w:val="24"/>
              </w:rPr>
            </w:pPr>
            <w:r>
              <w:rPr>
                <w:rFonts w:ascii="仿宋" w:hAnsi="仿宋" w:eastAsia="仿宋" w:cs="仿宋_GB2312"/>
                <w:bCs/>
                <w:sz w:val="24"/>
              </w:rPr>
              <w:t>…</w:t>
            </w:r>
          </w:p>
        </w:tc>
        <w:tc>
          <w:tcPr>
            <w:tcW w:w="2126" w:type="dxa"/>
            <w:vAlign w:val="center"/>
          </w:tcPr>
          <w:p>
            <w:pPr>
              <w:jc w:val="center"/>
              <w:rPr>
                <w:rFonts w:ascii="仿宋" w:hAnsi="仿宋" w:eastAsia="仿宋" w:cs="仿宋_GB2312"/>
                <w:bCs/>
                <w:sz w:val="24"/>
              </w:rPr>
            </w:pPr>
          </w:p>
        </w:tc>
        <w:tc>
          <w:tcPr>
            <w:tcW w:w="1134" w:type="dxa"/>
            <w:vAlign w:val="center"/>
          </w:tcPr>
          <w:p>
            <w:pPr>
              <w:jc w:val="center"/>
              <w:rPr>
                <w:rFonts w:ascii="仿宋" w:hAnsi="仿宋" w:eastAsia="仿宋" w:cs="仿宋_GB2312"/>
                <w:bCs/>
                <w:sz w:val="24"/>
              </w:rPr>
            </w:pPr>
          </w:p>
        </w:tc>
        <w:tc>
          <w:tcPr>
            <w:tcW w:w="1418"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1" w:type="dxa"/>
          </w:tcPr>
          <w:p>
            <w:pPr>
              <w:jc w:val="center"/>
              <w:rPr>
                <w:rFonts w:ascii="仿宋" w:hAnsi="仿宋" w:eastAsia="仿宋" w:cs="仿宋_GB2312"/>
                <w:bCs/>
                <w:sz w:val="24"/>
              </w:rPr>
            </w:pPr>
            <w:r>
              <w:rPr>
                <w:rFonts w:hint="eastAsia" w:ascii="仿宋" w:hAnsi="仿宋" w:eastAsia="仿宋" w:cs="仿宋_GB2312"/>
                <w:bCs/>
                <w:sz w:val="24"/>
              </w:rPr>
              <w:t>2</w:t>
            </w:r>
          </w:p>
        </w:tc>
        <w:tc>
          <w:tcPr>
            <w:tcW w:w="791" w:type="dxa"/>
            <w:vAlign w:val="center"/>
          </w:tcPr>
          <w:p>
            <w:pPr>
              <w:jc w:val="center"/>
              <w:rPr>
                <w:rFonts w:ascii="仿宋" w:hAnsi="仿宋" w:eastAsia="仿宋" w:cs="仿宋_GB2312"/>
                <w:bCs/>
                <w:sz w:val="24"/>
              </w:rPr>
            </w:pPr>
            <w:r>
              <w:rPr>
                <w:rFonts w:ascii="仿宋" w:hAnsi="仿宋" w:eastAsia="仿宋" w:cs="仿宋_GB2312"/>
                <w:bCs/>
                <w:sz w:val="24"/>
              </w:rPr>
              <w:t>…</w:t>
            </w:r>
          </w:p>
        </w:tc>
        <w:tc>
          <w:tcPr>
            <w:tcW w:w="1686" w:type="dxa"/>
            <w:vAlign w:val="center"/>
          </w:tcPr>
          <w:p>
            <w:pPr>
              <w:jc w:val="center"/>
              <w:rPr>
                <w:rFonts w:ascii="仿宋" w:hAnsi="仿宋" w:eastAsia="仿宋" w:cs="仿宋_GB2312"/>
                <w:bCs/>
                <w:sz w:val="24"/>
              </w:rPr>
            </w:pPr>
            <w:r>
              <w:rPr>
                <w:rFonts w:ascii="仿宋" w:hAnsi="仿宋" w:eastAsia="仿宋" w:cs="仿宋_GB2312"/>
                <w:bCs/>
                <w:sz w:val="24"/>
              </w:rPr>
              <w:t>…</w:t>
            </w:r>
          </w:p>
        </w:tc>
        <w:tc>
          <w:tcPr>
            <w:tcW w:w="2126" w:type="dxa"/>
            <w:vAlign w:val="center"/>
          </w:tcPr>
          <w:p>
            <w:pPr>
              <w:jc w:val="center"/>
              <w:rPr>
                <w:rFonts w:ascii="仿宋" w:hAnsi="仿宋" w:eastAsia="仿宋" w:cs="仿宋_GB2312"/>
                <w:bCs/>
                <w:sz w:val="24"/>
              </w:rPr>
            </w:pPr>
          </w:p>
        </w:tc>
        <w:tc>
          <w:tcPr>
            <w:tcW w:w="1134" w:type="dxa"/>
            <w:vAlign w:val="center"/>
          </w:tcPr>
          <w:p>
            <w:pPr>
              <w:jc w:val="center"/>
              <w:rPr>
                <w:rFonts w:ascii="仿宋" w:hAnsi="仿宋" w:eastAsia="仿宋" w:cs="仿宋_GB2312"/>
                <w:bCs/>
                <w:sz w:val="24"/>
              </w:rPr>
            </w:pPr>
          </w:p>
        </w:tc>
        <w:tc>
          <w:tcPr>
            <w:tcW w:w="1418"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1" w:type="dxa"/>
          </w:tcPr>
          <w:p>
            <w:pPr>
              <w:jc w:val="center"/>
              <w:rPr>
                <w:rFonts w:ascii="仿宋" w:hAnsi="仿宋" w:eastAsia="仿宋" w:cs="仿宋_GB2312"/>
                <w:bCs/>
                <w:sz w:val="24"/>
              </w:rPr>
            </w:pPr>
            <w:r>
              <w:rPr>
                <w:rFonts w:hint="eastAsia" w:ascii="仿宋" w:hAnsi="仿宋" w:eastAsia="仿宋" w:cs="仿宋_GB2312"/>
                <w:bCs/>
                <w:sz w:val="24"/>
              </w:rPr>
              <w:t>3</w:t>
            </w:r>
          </w:p>
        </w:tc>
        <w:tc>
          <w:tcPr>
            <w:tcW w:w="791" w:type="dxa"/>
            <w:vAlign w:val="center"/>
          </w:tcPr>
          <w:p>
            <w:pPr>
              <w:jc w:val="center"/>
              <w:rPr>
                <w:rFonts w:ascii="仿宋" w:hAnsi="仿宋" w:eastAsia="仿宋" w:cs="仿宋_GB2312"/>
                <w:bCs/>
                <w:sz w:val="24"/>
              </w:rPr>
            </w:pPr>
            <w:r>
              <w:rPr>
                <w:rFonts w:ascii="仿宋" w:hAnsi="仿宋" w:eastAsia="仿宋" w:cs="仿宋_GB2312"/>
                <w:bCs/>
                <w:sz w:val="24"/>
              </w:rPr>
              <w:t>…</w:t>
            </w:r>
          </w:p>
        </w:tc>
        <w:tc>
          <w:tcPr>
            <w:tcW w:w="1686" w:type="dxa"/>
            <w:vAlign w:val="center"/>
          </w:tcPr>
          <w:p>
            <w:pPr>
              <w:jc w:val="center"/>
              <w:rPr>
                <w:rFonts w:ascii="仿宋" w:hAnsi="仿宋" w:eastAsia="仿宋" w:cs="仿宋_GB2312"/>
                <w:bCs/>
                <w:sz w:val="24"/>
              </w:rPr>
            </w:pPr>
            <w:r>
              <w:rPr>
                <w:rFonts w:ascii="仿宋" w:hAnsi="仿宋" w:eastAsia="仿宋" w:cs="仿宋_GB2312"/>
                <w:bCs/>
                <w:sz w:val="24"/>
              </w:rPr>
              <w:t>…</w:t>
            </w:r>
          </w:p>
        </w:tc>
        <w:tc>
          <w:tcPr>
            <w:tcW w:w="2126" w:type="dxa"/>
            <w:vAlign w:val="center"/>
          </w:tcPr>
          <w:p>
            <w:pPr>
              <w:jc w:val="center"/>
              <w:rPr>
                <w:rFonts w:ascii="仿宋" w:hAnsi="仿宋" w:eastAsia="仿宋" w:cs="仿宋_GB2312"/>
                <w:bCs/>
                <w:sz w:val="24"/>
              </w:rPr>
            </w:pPr>
          </w:p>
        </w:tc>
        <w:tc>
          <w:tcPr>
            <w:tcW w:w="1134" w:type="dxa"/>
            <w:vAlign w:val="center"/>
          </w:tcPr>
          <w:p>
            <w:pPr>
              <w:jc w:val="center"/>
              <w:rPr>
                <w:rFonts w:ascii="仿宋" w:hAnsi="仿宋" w:eastAsia="仿宋" w:cs="仿宋_GB2312"/>
                <w:bCs/>
                <w:sz w:val="24"/>
              </w:rPr>
            </w:pPr>
          </w:p>
        </w:tc>
        <w:tc>
          <w:tcPr>
            <w:tcW w:w="1418" w:type="dxa"/>
            <w:vAlign w:val="center"/>
          </w:tcPr>
          <w:p>
            <w:pPr>
              <w:jc w:val="center"/>
              <w:rPr>
                <w:rFonts w:ascii="仿宋" w:hAnsi="仿宋" w:eastAsia="仿宋" w:cs="仿宋_GB2312"/>
                <w:bCs/>
                <w:sz w:val="24"/>
              </w:rPr>
            </w:pPr>
          </w:p>
        </w:tc>
      </w:tr>
    </w:tbl>
    <w:p>
      <w:pPr>
        <w:widowControl/>
        <w:snapToGrid w:val="0"/>
        <w:spacing w:line="500" w:lineRule="exact"/>
        <w:ind w:firstLine="5160" w:firstLineChars="215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widowControl/>
        <w:jc w:val="left"/>
        <w:rPr>
          <w:rFonts w:ascii="仿宋_GB2312" w:hAnsi="宋体" w:eastAsia="仿宋_GB2312" w:cs="宋体"/>
          <w:lang w:val="zh-CN"/>
        </w:rPr>
      </w:pPr>
      <w:r>
        <w:rPr>
          <w:rFonts w:ascii="仿宋_GB2312" w:hAnsi="宋体" w:eastAsia="仿宋_GB2312" w:cs="宋体"/>
        </w:rPr>
        <w:br w:type="page"/>
      </w:r>
      <w:r>
        <w:rPr>
          <w:rFonts w:hint="eastAsia" w:ascii="仿宋_GB2312" w:hAnsi="宋体" w:eastAsia="仿宋_GB2312" w:cs="宋体"/>
        </w:rPr>
        <w:t>格式文件1.17</w:t>
      </w:r>
    </w:p>
    <w:p>
      <w:pPr>
        <w:widowControl/>
        <w:adjustRightInd w:val="0"/>
        <w:snapToGrid w:val="0"/>
        <w:spacing w:after="120" w:afterLines="50"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拟派项目总负责人/专职安全员情况表</w:t>
      </w:r>
    </w:p>
    <w:tbl>
      <w:tblPr>
        <w:tblStyle w:val="41"/>
        <w:tblW w:w="7811" w:type="dxa"/>
        <w:jc w:val="center"/>
        <w:tblLayout w:type="fixed"/>
        <w:tblCellMar>
          <w:top w:w="0" w:type="dxa"/>
          <w:left w:w="108" w:type="dxa"/>
          <w:bottom w:w="0" w:type="dxa"/>
          <w:right w:w="108" w:type="dxa"/>
        </w:tblCellMar>
      </w:tblPr>
      <w:tblGrid>
        <w:gridCol w:w="2105"/>
        <w:gridCol w:w="1315"/>
        <w:gridCol w:w="1287"/>
        <w:gridCol w:w="3104"/>
      </w:tblGrid>
      <w:tr>
        <w:tblPrEx>
          <w:tblCellMar>
            <w:top w:w="0" w:type="dxa"/>
            <w:left w:w="108" w:type="dxa"/>
            <w:bottom w:w="0" w:type="dxa"/>
            <w:right w:w="108" w:type="dxa"/>
          </w:tblCellMar>
        </w:tblPrEx>
        <w:trPr>
          <w:trHeight w:val="1062"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姓名</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页码</w:t>
            </w:r>
          </w:p>
        </w:tc>
        <w:tc>
          <w:tcPr>
            <w:tcW w:w="310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工作业绩及承担的主要工作情况，曾担任项目负责人的项目应列明细。</w:t>
            </w: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性别</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年龄</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职称</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毕业时间</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所学专业</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学历</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资质证书编号</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其他资质情况</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联系电话</w:t>
            </w:r>
          </w:p>
        </w:tc>
        <w:tc>
          <w:tcPr>
            <w:tcW w:w="131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c>
          <w:tcPr>
            <w:tcW w:w="3104" w:type="dxa"/>
            <w:vMerge w:val="continue"/>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480" w:firstLineChars="200"/>
              <w:jc w:val="left"/>
              <w:rPr>
                <w:rFonts w:ascii="仿宋_GB2312" w:hAnsi="宋体" w:eastAsia="仿宋_GB2312"/>
                <w:sz w:val="24"/>
              </w:rPr>
            </w:pPr>
          </w:p>
        </w:tc>
      </w:tr>
    </w:tbl>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注：须随表提交相应的证书复印件和社保缴纳证明并注明所在商务技术文件页码。</w:t>
      </w:r>
    </w:p>
    <w:p>
      <w:pPr>
        <w:adjustRightInd w:val="0"/>
        <w:snapToGrid w:val="0"/>
        <w:spacing w:line="500" w:lineRule="exact"/>
        <w:ind w:firstLine="480" w:firstLineChars="200"/>
        <w:jc w:val="right"/>
        <w:rPr>
          <w:rFonts w:ascii="仿宋_GB2312" w:hAnsi="宋体" w:eastAsia="仿宋_GB2312"/>
          <w:sz w:val="24"/>
        </w:rPr>
      </w:pPr>
    </w:p>
    <w:p>
      <w:pPr>
        <w:widowControl/>
        <w:snapToGrid w:val="0"/>
        <w:spacing w:line="500" w:lineRule="exact"/>
        <w:ind w:firstLine="5160" w:firstLineChars="215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adjustRightInd w:val="0"/>
        <w:snapToGrid w:val="0"/>
        <w:spacing w:line="500" w:lineRule="exact"/>
        <w:ind w:firstLine="480" w:firstLineChars="200"/>
        <w:jc w:val="right"/>
        <w:rPr>
          <w:rFonts w:ascii="仿宋_GB2312" w:hAnsi="宋体" w:eastAsia="仿宋_GB2312"/>
          <w:sz w:val="24"/>
        </w:rPr>
      </w:pPr>
    </w:p>
    <w:p>
      <w:pPr>
        <w:rPr>
          <w:rFonts w:ascii="仿宋_GB2312" w:hAnsi="宋体" w:eastAsia="仿宋_GB2312" w:cs="宋体"/>
          <w:kern w:val="0"/>
          <w:sz w:val="24"/>
          <w:lang w:val="zh-CN"/>
        </w:rPr>
      </w:pPr>
      <w:r>
        <w:rPr>
          <w:rFonts w:hint="eastAsia" w:ascii="仿宋_GB2312" w:hAnsi="宋体" w:eastAsia="仿宋_GB2312" w:cs="宋体"/>
          <w:kern w:val="0"/>
          <w:sz w:val="24"/>
        </w:rPr>
        <w:br w:type="page"/>
      </w:r>
      <w:r>
        <w:rPr>
          <w:rFonts w:hint="eastAsia" w:ascii="仿宋_GB2312" w:hAnsi="宋体" w:eastAsia="仿宋_GB2312" w:cs="宋体"/>
          <w:kern w:val="0"/>
          <w:sz w:val="24"/>
        </w:rPr>
        <w:t>格式文件1.18</w:t>
      </w:r>
    </w:p>
    <w:p>
      <w:pPr>
        <w:widowControl/>
        <w:adjustRightInd w:val="0"/>
        <w:snapToGrid w:val="0"/>
        <w:spacing w:after="120" w:afterLines="50"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拟派其他人员/应急队伍人员情况表</w:t>
      </w:r>
    </w:p>
    <w:tbl>
      <w:tblPr>
        <w:tblStyle w:val="41"/>
        <w:tblW w:w="8169" w:type="dxa"/>
        <w:jc w:val="center"/>
        <w:tblLayout w:type="fixed"/>
        <w:tblCellMar>
          <w:top w:w="0" w:type="dxa"/>
          <w:left w:w="108" w:type="dxa"/>
          <w:bottom w:w="0" w:type="dxa"/>
          <w:right w:w="108" w:type="dxa"/>
        </w:tblCellMar>
      </w:tblPr>
      <w:tblGrid>
        <w:gridCol w:w="531"/>
        <w:gridCol w:w="784"/>
        <w:gridCol w:w="735"/>
        <w:gridCol w:w="720"/>
        <w:gridCol w:w="1005"/>
        <w:gridCol w:w="992"/>
        <w:gridCol w:w="993"/>
        <w:gridCol w:w="850"/>
        <w:gridCol w:w="1559"/>
      </w:tblGrid>
      <w:tr>
        <w:tblPrEx>
          <w:tblCellMar>
            <w:top w:w="0" w:type="dxa"/>
            <w:left w:w="108" w:type="dxa"/>
            <w:bottom w:w="0" w:type="dxa"/>
            <w:right w:w="108" w:type="dxa"/>
          </w:tblCellMar>
        </w:tblPrEx>
        <w:trPr>
          <w:jc w:val="center"/>
        </w:trPr>
        <w:tc>
          <w:tcPr>
            <w:tcW w:w="5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序号</w:t>
            </w:r>
          </w:p>
        </w:tc>
        <w:tc>
          <w:tcPr>
            <w:tcW w:w="78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姓名</w:t>
            </w:r>
          </w:p>
        </w:tc>
        <w:tc>
          <w:tcPr>
            <w:tcW w:w="7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性别</w:t>
            </w: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年龄</w:t>
            </w:r>
          </w:p>
        </w:tc>
        <w:tc>
          <w:tcPr>
            <w:tcW w:w="10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学历 (页码)</w:t>
            </w:r>
          </w:p>
        </w:tc>
        <w:tc>
          <w:tcPr>
            <w:tcW w:w="9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专业 (页码)</w:t>
            </w:r>
          </w:p>
        </w:tc>
        <w:tc>
          <w:tcPr>
            <w:tcW w:w="99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职称(页码)</w:t>
            </w:r>
          </w:p>
        </w:tc>
        <w:tc>
          <w:tcPr>
            <w:tcW w:w="8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项目经历</w:t>
            </w: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参与本项目的到位情况</w:t>
            </w:r>
          </w:p>
        </w:tc>
      </w:tr>
      <w:tr>
        <w:tblPrEx>
          <w:tblCellMar>
            <w:top w:w="0" w:type="dxa"/>
            <w:left w:w="108" w:type="dxa"/>
            <w:bottom w:w="0" w:type="dxa"/>
            <w:right w:w="108" w:type="dxa"/>
          </w:tblCellMar>
        </w:tblPrEx>
        <w:trPr>
          <w:trHeight w:val="479" w:hRule="atLeast"/>
          <w:jc w:val="center"/>
        </w:trPr>
        <w:tc>
          <w:tcPr>
            <w:tcW w:w="5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64" w:firstLineChars="27"/>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38" w:firstLineChars="16"/>
              <w:jc w:val="center"/>
              <w:rPr>
                <w:rFonts w:ascii="仿宋_GB2312" w:hAnsi="宋体" w:eastAsia="仿宋_GB2312"/>
                <w:sz w:val="24"/>
              </w:rPr>
            </w:pPr>
          </w:p>
        </w:tc>
        <w:tc>
          <w:tcPr>
            <w:tcW w:w="10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8" w:firstLineChars="12"/>
              <w:jc w:val="center"/>
              <w:rPr>
                <w:rFonts w:ascii="仿宋_GB2312" w:hAnsi="宋体" w:eastAsia="仿宋_GB2312"/>
                <w:sz w:val="24"/>
              </w:rPr>
            </w:pPr>
          </w:p>
        </w:tc>
        <w:tc>
          <w:tcPr>
            <w:tcW w:w="9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left="-4" w:leftChars="-36" w:hanging="72" w:hangingChars="30"/>
              <w:jc w:val="center"/>
              <w:rPr>
                <w:rFonts w:ascii="仿宋_GB2312" w:hAnsi="宋体" w:eastAsia="仿宋_GB2312"/>
                <w:sz w:val="24"/>
              </w:rPr>
            </w:pPr>
          </w:p>
        </w:tc>
        <w:tc>
          <w:tcPr>
            <w:tcW w:w="99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12" w:firstLineChars="5"/>
              <w:jc w:val="center"/>
              <w:rPr>
                <w:rFonts w:ascii="仿宋_GB2312" w:hAnsi="宋体" w:eastAsia="仿宋_GB2312"/>
                <w:b/>
                <w:sz w:val="24"/>
              </w:rPr>
            </w:pP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5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10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8" w:firstLineChars="12"/>
              <w:jc w:val="center"/>
              <w:rPr>
                <w:rFonts w:ascii="仿宋_GB2312" w:hAnsi="宋体" w:eastAsia="仿宋_GB2312"/>
                <w:sz w:val="24"/>
              </w:rPr>
            </w:pPr>
          </w:p>
        </w:tc>
        <w:tc>
          <w:tcPr>
            <w:tcW w:w="9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left="-4" w:leftChars="-36" w:hanging="72" w:hangingChars="30"/>
              <w:jc w:val="center"/>
              <w:rPr>
                <w:rFonts w:ascii="仿宋_GB2312" w:hAnsi="宋体" w:eastAsia="仿宋_GB2312"/>
                <w:sz w:val="24"/>
              </w:rPr>
            </w:pPr>
          </w:p>
        </w:tc>
        <w:tc>
          <w:tcPr>
            <w:tcW w:w="99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12" w:firstLineChars="5"/>
              <w:jc w:val="center"/>
              <w:rPr>
                <w:rFonts w:ascii="仿宋_GB2312" w:hAnsi="宋体" w:eastAsia="仿宋_GB2312"/>
                <w:b/>
                <w:sz w:val="24"/>
              </w:rPr>
            </w:pP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5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10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8" w:firstLineChars="12"/>
              <w:jc w:val="center"/>
              <w:rPr>
                <w:rFonts w:ascii="仿宋_GB2312" w:hAnsi="宋体" w:eastAsia="仿宋_GB2312"/>
                <w:sz w:val="24"/>
              </w:rPr>
            </w:pPr>
          </w:p>
        </w:tc>
        <w:tc>
          <w:tcPr>
            <w:tcW w:w="9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left="-4" w:leftChars="-36" w:hanging="72" w:hangingChars="30"/>
              <w:jc w:val="center"/>
              <w:rPr>
                <w:rFonts w:ascii="仿宋_GB2312" w:hAnsi="宋体" w:eastAsia="仿宋_GB2312"/>
                <w:sz w:val="24"/>
              </w:rPr>
            </w:pPr>
          </w:p>
        </w:tc>
        <w:tc>
          <w:tcPr>
            <w:tcW w:w="99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12" w:firstLineChars="5"/>
              <w:jc w:val="center"/>
              <w:rPr>
                <w:rFonts w:ascii="仿宋_GB2312" w:hAnsi="宋体" w:eastAsia="仿宋_GB2312"/>
                <w:b/>
                <w:sz w:val="24"/>
              </w:rPr>
            </w:pP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5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10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8" w:firstLineChars="12"/>
              <w:jc w:val="center"/>
              <w:rPr>
                <w:rFonts w:ascii="仿宋_GB2312" w:hAnsi="宋体" w:eastAsia="仿宋_GB2312"/>
                <w:sz w:val="24"/>
              </w:rPr>
            </w:pPr>
          </w:p>
        </w:tc>
        <w:tc>
          <w:tcPr>
            <w:tcW w:w="9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left="-4" w:leftChars="-36" w:hanging="72" w:hangingChars="30"/>
              <w:jc w:val="center"/>
              <w:rPr>
                <w:rFonts w:ascii="仿宋_GB2312" w:hAnsi="宋体" w:eastAsia="仿宋_GB2312"/>
                <w:sz w:val="24"/>
              </w:rPr>
            </w:pPr>
          </w:p>
        </w:tc>
        <w:tc>
          <w:tcPr>
            <w:tcW w:w="99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12" w:firstLineChars="5"/>
              <w:jc w:val="center"/>
              <w:rPr>
                <w:rFonts w:ascii="仿宋_GB2312" w:hAnsi="宋体" w:eastAsia="仿宋_GB2312"/>
                <w:b/>
                <w:sz w:val="24"/>
              </w:rPr>
            </w:pP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5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100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8" w:firstLineChars="12"/>
              <w:jc w:val="center"/>
              <w:rPr>
                <w:rFonts w:ascii="仿宋_GB2312" w:hAnsi="宋体" w:eastAsia="仿宋_GB2312"/>
                <w:sz w:val="24"/>
              </w:rPr>
            </w:pPr>
          </w:p>
        </w:tc>
        <w:tc>
          <w:tcPr>
            <w:tcW w:w="9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left="-4" w:leftChars="-36" w:hanging="72" w:hangingChars="30"/>
              <w:jc w:val="center"/>
              <w:rPr>
                <w:rFonts w:ascii="仿宋_GB2312" w:hAnsi="宋体" w:eastAsia="仿宋_GB2312"/>
                <w:sz w:val="24"/>
              </w:rPr>
            </w:pPr>
          </w:p>
        </w:tc>
        <w:tc>
          <w:tcPr>
            <w:tcW w:w="99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仿宋_GB2312" w:hAnsi="宋体" w:eastAsia="仿宋_GB2312"/>
                <w:sz w:val="24"/>
              </w:rPr>
            </w:pPr>
          </w:p>
        </w:tc>
        <w:tc>
          <w:tcPr>
            <w:tcW w:w="8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12" w:firstLineChars="5"/>
              <w:jc w:val="center"/>
              <w:rPr>
                <w:rFonts w:ascii="仿宋_GB2312" w:hAnsi="宋体" w:eastAsia="仿宋_GB2312"/>
                <w:b/>
                <w:sz w:val="24"/>
              </w:rPr>
            </w:pPr>
          </w:p>
        </w:tc>
        <w:tc>
          <w:tcPr>
            <w:tcW w:w="155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ind w:firstLine="21" w:firstLineChars="9"/>
              <w:jc w:val="center"/>
              <w:rPr>
                <w:rFonts w:ascii="仿宋_GB2312" w:hAnsi="宋体" w:eastAsia="仿宋_GB2312"/>
                <w:sz w:val="24"/>
              </w:rPr>
            </w:pPr>
          </w:p>
        </w:tc>
      </w:tr>
    </w:tbl>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注：投标人可按上述的格式自行编制，须随表提交相应的证书复印件和社保缴纳证明并注明所在商务技术文件页码。</w:t>
      </w:r>
    </w:p>
    <w:p>
      <w:pPr>
        <w:pStyle w:val="2"/>
      </w:pPr>
    </w:p>
    <w:p>
      <w:pPr>
        <w:widowControl/>
        <w:snapToGrid w:val="0"/>
        <w:spacing w:line="500" w:lineRule="exact"/>
        <w:ind w:firstLine="5160" w:firstLineChars="215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autoSpaceDE w:val="0"/>
        <w:autoSpaceDN w:val="0"/>
        <w:adjustRightInd w:val="0"/>
        <w:spacing w:line="440" w:lineRule="exact"/>
        <w:jc w:val="left"/>
        <w:rPr>
          <w:rFonts w:ascii="仿宋_GB2312" w:hAnsi="仿宋" w:eastAsia="仿宋_GB2312" w:cs="仿宋_GB2312"/>
          <w:kern w:val="0"/>
          <w:sz w:val="24"/>
          <w:szCs w:val="20"/>
          <w:lang w:val="zh-CN"/>
        </w:rPr>
      </w:pPr>
    </w:p>
    <w:p>
      <w:pPr>
        <w:pStyle w:val="2"/>
        <w:ind w:firstLine="0" w:firstLineChars="0"/>
        <w:rPr>
          <w:rFonts w:ascii="仿宋_GB2312" w:hAnsi="宋体" w:eastAsia="仿宋_GB2312" w:cs="宋体"/>
        </w:rPr>
      </w:pPr>
      <w:r>
        <w:rPr>
          <w:rFonts w:ascii="仿宋_GB2312" w:hAnsi="宋体" w:eastAsia="仿宋_GB2312" w:cs="宋体"/>
        </w:rPr>
        <w:br w:type="page"/>
      </w:r>
      <w:r>
        <w:rPr>
          <w:rFonts w:hint="eastAsia" w:ascii="仿宋_GB2312" w:hAnsi="宋体" w:eastAsia="仿宋_GB2312" w:cs="宋体"/>
        </w:rPr>
        <w:t>格式文件1.19</w:t>
      </w:r>
    </w:p>
    <w:p>
      <w:pPr>
        <w:adjustRightInd w:val="0"/>
        <w:snapToGrid w:val="0"/>
        <w:spacing w:after="120" w:afterLines="50"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设备情况表</w:t>
      </w:r>
    </w:p>
    <w:tbl>
      <w:tblPr>
        <w:tblStyle w:val="41"/>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30"/>
        <w:gridCol w:w="1625"/>
        <w:gridCol w:w="1791"/>
        <w:gridCol w:w="1043"/>
        <w:gridCol w:w="992"/>
        <w:gridCol w:w="1134"/>
        <w:gridCol w:w="108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序号</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设备名称</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品牌及型号</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规格配置</w:t>
            </w:r>
          </w:p>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详细说明</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单价（元）</w:t>
            </w: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小计（元）</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1</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z w:val="24"/>
              </w:rPr>
            </w:pPr>
            <w:r>
              <w:rPr>
                <w:rFonts w:hint="eastAsia" w:ascii="仿宋_GB2312" w:hAnsi="Arial" w:eastAsia="仿宋_GB2312" w:cs="Arial"/>
                <w:color w:val="000000"/>
                <w:sz w:val="24"/>
              </w:rPr>
              <w:t>…</w:t>
            </w: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2</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z w:val="24"/>
              </w:rPr>
            </w:pPr>
            <w:r>
              <w:rPr>
                <w:rFonts w:hint="eastAsia" w:ascii="仿宋_GB2312" w:hAnsi="Arial" w:eastAsia="仿宋_GB2312" w:cs="Arial"/>
                <w:color w:val="000000"/>
                <w:sz w:val="24"/>
              </w:rPr>
              <w:t>…</w:t>
            </w: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z w:val="24"/>
              </w:rPr>
            </w:pPr>
            <w:r>
              <w:rPr>
                <w:rFonts w:hint="eastAsia" w:ascii="仿宋_GB2312" w:hAnsi="Arial" w:eastAsia="仿宋_GB2312" w:cs="Arial"/>
                <w:color w:val="000000"/>
                <w:sz w:val="24"/>
              </w:rPr>
              <w:t>…</w:t>
            </w: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color w:val="00000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_GB2312" w:hAnsi="仿宋" w:eastAsia="仿宋_GB2312" w:cs="仿宋_GB2312"/>
                <w:color w:val="000000"/>
                <w:sz w:val="24"/>
              </w:rPr>
            </w:pPr>
          </w:p>
        </w:tc>
      </w:tr>
    </w:tbl>
    <w:p>
      <w:pPr>
        <w:widowControl/>
        <w:snapToGrid w:val="0"/>
        <w:spacing w:line="500" w:lineRule="exact"/>
        <w:jc w:val="left"/>
        <w:rPr>
          <w:rFonts w:ascii="仿宋_GB2312" w:hAnsi="宋体" w:eastAsia="仿宋_GB2312"/>
          <w:sz w:val="24"/>
        </w:rPr>
      </w:pPr>
      <w:r>
        <w:rPr>
          <w:rFonts w:hint="eastAsia" w:ascii="仿宋_GB2312" w:hAnsi="仿宋" w:eastAsia="仿宋_GB2312" w:cs="仿宋_GB2312"/>
          <w:kern w:val="0"/>
          <w:sz w:val="24"/>
          <w:szCs w:val="20"/>
          <w:lang w:val="zh-CN"/>
        </w:rPr>
        <w:t xml:space="preserve">  </w:t>
      </w:r>
      <w:r>
        <w:rPr>
          <w:rFonts w:hint="eastAsia" w:ascii="仿宋_GB2312" w:hAnsi="宋体" w:eastAsia="仿宋_GB2312"/>
          <w:sz w:val="24"/>
        </w:rPr>
        <w:t>注：1.投标人可按上述的格式自行编制。</w:t>
      </w:r>
    </w:p>
    <w:p>
      <w:pPr>
        <w:widowControl/>
        <w:snapToGrid w:val="0"/>
        <w:spacing w:line="500" w:lineRule="exact"/>
        <w:ind w:firstLine="720" w:firstLineChars="300"/>
        <w:jc w:val="left"/>
        <w:rPr>
          <w:rFonts w:ascii="仿宋_GB2312" w:hAnsi="仿宋" w:eastAsia="仿宋_GB2312" w:cs="仿宋_GB2312"/>
          <w:kern w:val="0"/>
          <w:sz w:val="24"/>
          <w:szCs w:val="20"/>
          <w:lang w:val="zh-CN"/>
        </w:rPr>
      </w:pPr>
      <w:r>
        <w:rPr>
          <w:rFonts w:hint="eastAsia" w:ascii="仿宋_GB2312" w:hAnsi="宋体" w:eastAsia="仿宋_GB2312"/>
          <w:sz w:val="24"/>
        </w:rPr>
        <w:t>2.本表应包含</w:t>
      </w:r>
      <w:r>
        <w:rPr>
          <w:rFonts w:hint="eastAsia" w:ascii="仿宋_GB2312" w:hAnsi="仿宋" w:eastAsia="仿宋_GB2312" w:cs="仿宋_GB2312"/>
          <w:color w:val="000000"/>
          <w:kern w:val="0"/>
          <w:sz w:val="24"/>
          <w:lang w:val="zh-CN"/>
        </w:rPr>
        <w:t>本项目所涉及的一切零配件及耗品耗材。</w:t>
      </w:r>
    </w:p>
    <w:p>
      <w:pPr>
        <w:widowControl/>
        <w:snapToGrid w:val="0"/>
        <w:spacing w:line="500" w:lineRule="exact"/>
        <w:ind w:right="480"/>
        <w:jc w:val="center"/>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 xml:space="preserve">                                           投标人名称(公章)：</w:t>
      </w:r>
    </w:p>
    <w:p>
      <w:pPr>
        <w:widowControl/>
        <w:snapToGrid w:val="0"/>
        <w:spacing w:line="500" w:lineRule="exact"/>
        <w:jc w:val="left"/>
        <w:rPr>
          <w:rFonts w:ascii="仿宋" w:hAnsi="仿宋" w:eastAsia="仿宋" w:cs="宋体"/>
          <w:color w:val="000000"/>
          <w:sz w:val="24"/>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widowControl/>
        <w:jc w:val="left"/>
      </w:pPr>
      <w:r>
        <w:rPr>
          <w:rFonts w:hint="eastAsia" w:ascii="仿宋_GB2312" w:hAnsi="宋体" w:eastAsia="仿宋_GB2312" w:cs="宋体"/>
        </w:rPr>
        <w:br w:type="page"/>
      </w: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sectPr>
          <w:footerReference r:id="rId5" w:type="default"/>
          <w:pgSz w:w="11906" w:h="16838"/>
          <w:pgMar w:top="2098" w:right="1474" w:bottom="1701" w:left="1588" w:header="851" w:footer="992" w:gutter="0"/>
          <w:cols w:space="720" w:num="1"/>
          <w:docGrid w:linePitch="312" w:charSpace="0"/>
        </w:sectPr>
      </w:pPr>
      <w:r>
        <w:rPr>
          <w:rFonts w:hint="eastAsia" w:ascii="华文中宋" w:hAnsi="华文中宋" w:eastAsia="华文中宋" w:cs="宋体"/>
          <w:b/>
          <w:sz w:val="72"/>
          <w:szCs w:val="36"/>
        </w:rPr>
        <w:t>第二册 通用条款</w:t>
      </w:r>
    </w:p>
    <w:bookmarkEnd w:id="0"/>
    <w:p>
      <w:pPr>
        <w:pStyle w:val="39"/>
        <w:spacing w:before="0" w:after="0" w:line="520" w:lineRule="exact"/>
        <w:rPr>
          <w:rFonts w:ascii="仿宋_GB2312" w:hAnsi="宋体" w:eastAsia="仿宋_GB2312" w:cs="宋体"/>
          <w:bCs w:val="0"/>
          <w:sz w:val="30"/>
          <w:szCs w:val="30"/>
        </w:rPr>
      </w:pPr>
      <w:bookmarkStart w:id="41" w:name="_Toc14830"/>
      <w:bookmarkStart w:id="42" w:name="_Toc17255_WPSOffice_Level3"/>
      <w:bookmarkStart w:id="43" w:name="_Toc30073"/>
      <w:bookmarkStart w:id="44" w:name="_Toc30144619"/>
      <w:r>
        <w:rPr>
          <w:rFonts w:hint="eastAsia" w:ascii="仿宋_GB2312" w:hAnsi="宋体" w:eastAsia="仿宋_GB2312" w:cs="宋体"/>
          <w:bCs w:val="0"/>
          <w:sz w:val="30"/>
          <w:szCs w:val="30"/>
        </w:rPr>
        <w:t>第一部分 总则</w:t>
      </w:r>
      <w:bookmarkEnd w:id="41"/>
      <w:bookmarkEnd w:id="42"/>
      <w:bookmarkEnd w:id="43"/>
      <w:bookmarkEnd w:id="44"/>
    </w:p>
    <w:p>
      <w:pPr>
        <w:numPr>
          <w:ilvl w:val="0"/>
          <w:numId w:val="6"/>
        </w:numPr>
        <w:tabs>
          <w:tab w:val="left" w:pos="284"/>
        </w:tabs>
        <w:adjustRightInd w:val="0"/>
        <w:spacing w:line="520" w:lineRule="exact"/>
        <w:outlineLvl w:val="2"/>
        <w:rPr>
          <w:rFonts w:ascii="仿宋_GB2312" w:hAnsi="宋体" w:eastAsia="仿宋_GB2312" w:cs="宋体"/>
          <w:b/>
          <w:bCs/>
          <w:sz w:val="24"/>
        </w:rPr>
      </w:pPr>
      <w:bookmarkStart w:id="45" w:name="_Toc30144621"/>
      <w:bookmarkStart w:id="46" w:name="_Toc30144191"/>
      <w:r>
        <w:rPr>
          <w:rFonts w:hint="eastAsia" w:ascii="仿宋_GB2312" w:hAnsi="宋体" w:eastAsia="仿宋_GB2312" w:cs="宋体"/>
          <w:b/>
          <w:bCs/>
          <w:sz w:val="24"/>
        </w:rPr>
        <w:t>合格的投标人</w:t>
      </w:r>
      <w:bookmarkEnd w:id="45"/>
      <w:bookmarkEnd w:id="46"/>
    </w:p>
    <w:p>
      <w:pPr>
        <w:numPr>
          <w:ilvl w:val="0"/>
          <w:numId w:val="7"/>
        </w:numPr>
        <w:tabs>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投标人须根据投标邀请书中规定的方式获取招标文件。</w:t>
      </w:r>
    </w:p>
    <w:p>
      <w:pPr>
        <w:numPr>
          <w:ilvl w:val="0"/>
          <w:numId w:val="7"/>
        </w:numPr>
        <w:tabs>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投标人应当符合《前附表》要求及有关法律、行政法规规定的其他资格条件。</w:t>
      </w:r>
    </w:p>
    <w:p>
      <w:pPr>
        <w:numPr>
          <w:ilvl w:val="0"/>
          <w:numId w:val="7"/>
        </w:numPr>
        <w:tabs>
          <w:tab w:val="left" w:pos="709"/>
        </w:tabs>
        <w:adjustRightInd w:val="0"/>
        <w:spacing w:line="520" w:lineRule="exact"/>
        <w:ind w:left="857" w:hanging="857"/>
        <w:rPr>
          <w:rFonts w:ascii="仿宋_GB2312" w:hAnsi="宋体" w:eastAsia="仿宋_GB2312" w:cs="宋体"/>
          <w:bCs/>
          <w:sz w:val="24"/>
        </w:rPr>
      </w:pPr>
      <w:r>
        <w:rPr>
          <w:rFonts w:hint="eastAsia" w:ascii="仿宋_GB2312" w:hAnsi="宋体" w:eastAsia="仿宋_GB2312" w:cs="宋体"/>
          <w:bCs/>
          <w:sz w:val="24"/>
        </w:rPr>
        <w:t>联合体投标</w:t>
      </w:r>
    </w:p>
    <w:p>
      <w:pPr>
        <w:numPr>
          <w:ilvl w:val="0"/>
          <w:numId w:val="8"/>
        </w:numPr>
        <w:tabs>
          <w:tab w:val="left" w:pos="709"/>
          <w:tab w:val="clear" w:pos="42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两个或两个以上的自然人、法人或者其他组织可以组成一个联合体，以一个供应商的身份共同投标。</w:t>
      </w:r>
    </w:p>
    <w:p>
      <w:pPr>
        <w:numPr>
          <w:ilvl w:val="0"/>
          <w:numId w:val="8"/>
        </w:numPr>
        <w:tabs>
          <w:tab w:val="left" w:pos="0"/>
          <w:tab w:val="clear" w:pos="42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以下有关联合体投标的条款仅适用于允许投标人组成联合体投标的项目。</w:t>
      </w:r>
    </w:p>
    <w:p>
      <w:pPr>
        <w:tabs>
          <w:tab w:val="left" w:pos="1260"/>
        </w:tabs>
        <w:adjustRightInd w:val="0"/>
        <w:spacing w:line="520" w:lineRule="exact"/>
        <w:rPr>
          <w:rFonts w:ascii="仿宋_GB2312" w:hAnsi="宋体" w:eastAsia="仿宋_GB2312" w:cs="宋体"/>
          <w:sz w:val="24"/>
        </w:rPr>
      </w:pPr>
      <w:r>
        <w:rPr>
          <w:rFonts w:hint="eastAsia" w:ascii="仿宋_GB2312" w:hAnsi="宋体" w:eastAsia="仿宋_GB2312" w:cs="宋体"/>
          <w:sz w:val="24"/>
        </w:rPr>
        <w:t>1.3.2.1. 参加政府采购的联合体各方应当具备下列条件：</w:t>
      </w:r>
    </w:p>
    <w:p>
      <w:pPr>
        <w:adjustRightInd w:val="0"/>
        <w:spacing w:line="520" w:lineRule="exact"/>
        <w:ind w:left="719" w:leftChars="1" w:hanging="717" w:hangingChars="299"/>
        <w:rPr>
          <w:rFonts w:ascii="仿宋_GB2312" w:hAnsi="宋体" w:eastAsia="仿宋_GB2312" w:cs="宋体"/>
          <w:sz w:val="24"/>
        </w:rPr>
      </w:pPr>
      <w:r>
        <w:rPr>
          <w:rFonts w:hint="eastAsia" w:ascii="仿宋_GB2312" w:hAnsi="宋体" w:eastAsia="仿宋_GB2312" w:cs="Arial"/>
          <w:sz w:val="24"/>
        </w:rPr>
        <w:t>（1）</w:t>
      </w:r>
      <w:r>
        <w:rPr>
          <w:rFonts w:hint="eastAsia" w:ascii="仿宋_GB2312" w:hAnsi="宋体" w:eastAsia="仿宋_GB2312" w:cs="宋体"/>
          <w:sz w:val="24"/>
        </w:rPr>
        <w:t>具有独立承担民事责任的能力；</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（2）</w:t>
      </w:r>
      <w:r>
        <w:rPr>
          <w:rFonts w:hint="eastAsia" w:ascii="仿宋_GB2312" w:hAnsi="宋体" w:eastAsia="仿宋_GB2312" w:cs="宋体"/>
          <w:sz w:val="24"/>
        </w:rPr>
        <w:t>有良好的商业信誉和健全的财务会计制度；</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（3）</w:t>
      </w:r>
      <w:r>
        <w:rPr>
          <w:rFonts w:hint="eastAsia" w:ascii="仿宋_GB2312" w:hAnsi="宋体" w:eastAsia="仿宋_GB2312" w:cs="宋体"/>
          <w:sz w:val="24"/>
        </w:rPr>
        <w:t>具有履行合同所必需的设备和专业技术能力；</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（4）</w:t>
      </w:r>
      <w:r>
        <w:rPr>
          <w:rFonts w:hint="eastAsia" w:ascii="仿宋_GB2312" w:hAnsi="宋体" w:eastAsia="仿宋_GB2312" w:cs="宋体"/>
          <w:sz w:val="24"/>
        </w:rPr>
        <w:t>有依法缴纳税收和社会保障资金的良好记录；</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（5）</w:t>
      </w:r>
      <w:r>
        <w:rPr>
          <w:rFonts w:hint="eastAsia" w:ascii="仿宋_GB2312" w:hAnsi="宋体" w:eastAsia="仿宋_GB2312" w:cs="宋体"/>
          <w:sz w:val="24"/>
        </w:rPr>
        <w:t>参加政府采购活动前三年内，在经营活动中没有重大违法记录；</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（6）</w:t>
      </w:r>
      <w:r>
        <w:rPr>
          <w:rFonts w:hint="eastAsia" w:ascii="仿宋_GB2312" w:hAnsi="宋体" w:eastAsia="仿宋_GB2312" w:cs="宋体"/>
          <w:sz w:val="24"/>
        </w:rPr>
        <w:t>法律、行政法规规定的其他条件。</w:t>
      </w:r>
    </w:p>
    <w:p>
      <w:pPr>
        <w:tabs>
          <w:tab w:val="left" w:pos="993"/>
        </w:tabs>
        <w:adjustRightInd w:val="0"/>
        <w:spacing w:line="520" w:lineRule="exact"/>
        <w:rPr>
          <w:rFonts w:ascii="仿宋_GB2312" w:hAnsi="宋体" w:eastAsia="仿宋_GB2312" w:cs="宋体"/>
          <w:sz w:val="24"/>
        </w:rPr>
      </w:pPr>
      <w:r>
        <w:rPr>
          <w:rFonts w:hint="eastAsia" w:ascii="仿宋_GB2312" w:hAnsi="宋体" w:eastAsia="仿宋_GB2312" w:cs="宋体"/>
          <w:sz w:val="24"/>
        </w:rPr>
        <w:t>1.3.2.2. 对于采购人根据采购项目的特殊要求规定投标人特定资格条件，联合体各方中至少应当有一方符合。联合体中有同类资质的供应商按照联合体分工承担相同工作的，应当按照资质等级较低的一方确定资质等级。</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1.3.2.3. 联合体各方应签订共同投标协议，明确约定各方拟承担的工作和责任，并将该共同投标协议随投标文件一并递交给采购人和采购代理机构。</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1.3.2.4. 联合体各方应共同推荐一联合体投标授权代表，由联合体各方分别提交一份授权书，证明其有资格代表联合体各方签署投标文件，并该授权书作为投标文件的组成部分一并递交给采购人和采购代理机构。</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1.3.2.5. 联合体中标后，联合体各方应共同与采购人签订合同，就采购合同约定的事项向采购人承担连带责任。</w:t>
      </w:r>
    </w:p>
    <w:p>
      <w:pPr>
        <w:adjustRightInd w:val="0"/>
        <w:spacing w:line="520" w:lineRule="exact"/>
        <w:rPr>
          <w:rFonts w:ascii="仿宋_GB2312" w:hAnsi="宋体" w:eastAsia="仿宋_GB2312" w:cs="宋体"/>
          <w:sz w:val="24"/>
        </w:rPr>
      </w:pPr>
      <w:r>
        <w:rPr>
          <w:rFonts w:hint="eastAsia" w:ascii="仿宋_GB2312" w:hAnsi="宋体" w:eastAsia="仿宋_GB2312" w:cs="宋体"/>
          <w:sz w:val="24"/>
        </w:rPr>
        <w:t>1.3.2.6. 投标人的投标文件及中标后签署的合同协议对联合体各方均具法律约束力。</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1.3.2.7. 以联合体形式参加政府采购活动的，联合体各方不得再单独参加或者与其他供应商另外组成联合体参加同一合同项下的政府采购活动，如出现上述情况者，其投标和与此联合体、总包单位有关的投标将被拒绝。</w:t>
      </w:r>
    </w:p>
    <w:p>
      <w:pPr>
        <w:tabs>
          <w:tab w:val="left" w:pos="850"/>
        </w:tabs>
        <w:adjustRightInd w:val="0"/>
        <w:spacing w:line="520" w:lineRule="exact"/>
        <w:rPr>
          <w:rFonts w:ascii="仿宋_GB2312" w:hAnsi="宋体" w:eastAsia="仿宋_GB2312" w:cs="宋体"/>
          <w:sz w:val="24"/>
        </w:rPr>
      </w:pPr>
      <w:r>
        <w:rPr>
          <w:rFonts w:hint="eastAsia" w:ascii="仿宋_GB2312" w:hAnsi="宋体" w:eastAsia="仿宋_GB2312" w:cs="宋体"/>
          <w:sz w:val="24"/>
        </w:rPr>
        <w:t>1.3.2.8. 不符合上述要求的联合体投标，将被视为无效投标被拒绝。</w:t>
      </w:r>
    </w:p>
    <w:p>
      <w:pPr>
        <w:numPr>
          <w:ilvl w:val="0"/>
          <w:numId w:val="8"/>
        </w:numPr>
        <w:tabs>
          <w:tab w:val="left" w:pos="840"/>
          <w:tab w:val="clear" w:pos="420"/>
        </w:tabs>
        <w:adjustRightInd w:val="0"/>
        <w:spacing w:line="520" w:lineRule="exact"/>
        <w:ind w:left="5" w:hanging="5"/>
        <w:rPr>
          <w:rFonts w:ascii="仿宋_GB2312" w:hAnsi="宋体" w:eastAsia="仿宋_GB2312" w:cs="宋体"/>
          <w:sz w:val="24"/>
        </w:rPr>
      </w:pPr>
      <w:r>
        <w:rPr>
          <w:rFonts w:hint="eastAsia" w:ascii="仿宋_GB2312" w:hAnsi="宋体" w:eastAsia="仿宋_GB2312" w:cs="宋体"/>
          <w:sz w:val="24"/>
        </w:rPr>
        <w:t>本通用条款中“投标人”一词亦指联合体各方，专用条款另有规定或说明的除外。</w:t>
      </w:r>
    </w:p>
    <w:p>
      <w:pPr>
        <w:adjustRightInd w:val="0"/>
        <w:spacing w:line="520" w:lineRule="exact"/>
        <w:rPr>
          <w:rFonts w:ascii="仿宋_GB2312" w:hAnsi="宋体" w:eastAsia="仿宋_GB2312" w:cs="宋体"/>
          <w:sz w:val="24"/>
        </w:rPr>
      </w:pPr>
    </w:p>
    <w:p>
      <w:pPr>
        <w:numPr>
          <w:ilvl w:val="0"/>
          <w:numId w:val="6"/>
        </w:numPr>
        <w:tabs>
          <w:tab w:val="left" w:pos="284"/>
        </w:tabs>
        <w:adjustRightInd w:val="0"/>
        <w:spacing w:line="520" w:lineRule="exact"/>
        <w:outlineLvl w:val="2"/>
        <w:rPr>
          <w:rFonts w:ascii="仿宋_GB2312" w:hAnsi="宋体" w:eastAsia="仿宋_GB2312" w:cs="宋体"/>
          <w:b/>
          <w:bCs/>
          <w:sz w:val="24"/>
        </w:rPr>
      </w:pPr>
      <w:bookmarkStart w:id="47" w:name="_Toc30144192"/>
      <w:bookmarkStart w:id="48" w:name="_Toc30144622"/>
      <w:r>
        <w:rPr>
          <w:rFonts w:hint="eastAsia" w:ascii="仿宋_GB2312" w:hAnsi="宋体" w:eastAsia="仿宋_GB2312" w:cs="宋体"/>
          <w:b/>
          <w:bCs/>
          <w:sz w:val="24"/>
        </w:rPr>
        <w:t>合格的货物、工程和服务</w:t>
      </w:r>
      <w:bookmarkEnd w:id="47"/>
      <w:bookmarkEnd w:id="48"/>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所称货物是指各种形态和种类的物品，包括原材料、燃料、设备、产品等。所称工程，是指符合《中华人民共和国政府采购法》及相关规定的工程项目。所称服务，是指除货物和工程以外的其他政府采购对象。</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合格的货物、工程和服务是指投标人提供的，符合中华人民共和国的设计和制造生产或行业标准及招标要求的</w:t>
      </w:r>
      <w:r>
        <w:rPr>
          <w:rFonts w:hint="eastAsia" w:ascii="仿宋_GB2312" w:hAnsi="宋体" w:eastAsia="仿宋_GB2312" w:cs="宋体"/>
          <w:bCs/>
          <w:sz w:val="24"/>
        </w:rPr>
        <w:t>货物、工程和服务</w:t>
      </w:r>
      <w:r>
        <w:rPr>
          <w:rFonts w:hint="eastAsia" w:ascii="仿宋_GB2312" w:hAnsi="宋体" w:eastAsia="仿宋_GB2312" w:cs="宋体"/>
          <w:sz w:val="24"/>
        </w:rPr>
        <w:t>。</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 xml:space="preserve">投标及合同规定的货物、工程和服务指其来源符合《前附表》所规定的货物、工程和服务。本合同的支付也仅限于这些货物、工程和服务。不符合这些来源要求的货物、工程和服务将被视为无效投标被拒绝。 </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招标文件中没有提及招标货物、工程和服务来源地的，根据《中华人民共和国政府采购法》的相关规定均应是本国的货物、工程和服务。进口的货物应经合法手续和途径进口，并通过了中华人民共和国商检部门检验。</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货物（如有）和服务的原产地有别于投标人的国籍。其中“原产地”指货物开采、生产或提供辅助服务的地方。</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投标货物（如有）必须是全新的，如安装或配置了软件的，须为正版软件。</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投标人应当保证，采购人在中华人民共和国使用该产品的任何一部分时，免受第三方提出的包括但不限于侵犯其专利权、商标权或工业设计权等知识产权和抵押权在内的担保物权的起诉。</w:t>
      </w:r>
    </w:p>
    <w:p>
      <w:pPr>
        <w:numPr>
          <w:ilvl w:val="0"/>
          <w:numId w:val="9"/>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人应当保证，其所提供的货物（如有）应具有行政主管部门颁发的资质证书或国家质量监督部门的产品《检验报告》。设备（如有）到货验收时，还须提供设备的产品合格证、质量保证文件。若中标后，除非另有约定，必须按合同规定完成设备的安装，并达到验收标准。</w:t>
      </w:r>
    </w:p>
    <w:p>
      <w:pPr>
        <w:pStyle w:val="2"/>
      </w:pPr>
    </w:p>
    <w:p>
      <w:pPr>
        <w:numPr>
          <w:ilvl w:val="0"/>
          <w:numId w:val="6"/>
        </w:numPr>
        <w:tabs>
          <w:tab w:val="left" w:pos="284"/>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放弃投标须知</w:t>
      </w:r>
    </w:p>
    <w:p>
      <w:pPr>
        <w:numPr>
          <w:ilvl w:val="0"/>
          <w:numId w:val="10"/>
        </w:numPr>
        <w:tabs>
          <w:tab w:val="left" w:pos="0"/>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如因各种原因，</w:t>
      </w:r>
      <w:r>
        <w:rPr>
          <w:rFonts w:hint="eastAsia" w:ascii="仿宋_GB2312" w:hAnsi="仿宋_GB2312" w:eastAsia="仿宋_GB2312" w:cs="仿宋_GB2312"/>
          <w:bCs/>
          <w:sz w:val="24"/>
        </w:rPr>
        <w:t>投标人通过政采云平台</w:t>
      </w:r>
      <w:r>
        <w:rPr>
          <w:rFonts w:hint="eastAsia" w:ascii="仿宋_GB2312" w:hAnsi="宋体" w:eastAsia="仿宋_GB2312" w:cs="宋体"/>
          <w:sz w:val="24"/>
        </w:rPr>
        <w:t>获取招标文件无法正常参加投标的，需在开标前两个工作日，以书面形式出具弃标函，并通知杭州市公共资源交易中心上城分中心的项目负责人。</w:t>
      </w:r>
    </w:p>
    <w:p>
      <w:pPr>
        <w:numPr>
          <w:ilvl w:val="0"/>
          <w:numId w:val="10"/>
        </w:numPr>
        <w:tabs>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弃标函需加盖公章，原件或传真发至杭州市公共资源交易中心上城分中心。传真号码：0571—87654242。</w:t>
      </w:r>
    </w:p>
    <w:p>
      <w:pPr>
        <w:numPr>
          <w:ilvl w:val="0"/>
          <w:numId w:val="10"/>
        </w:numPr>
        <w:tabs>
          <w:tab w:val="left" w:pos="567"/>
        </w:tabs>
        <w:adjustRightInd w:val="0"/>
        <w:spacing w:line="520" w:lineRule="exact"/>
        <w:ind w:left="0" w:firstLine="0"/>
        <w:rPr>
          <w:rFonts w:ascii="仿宋_GB2312" w:hAnsi="宋体" w:eastAsia="仿宋_GB2312" w:cs="宋体"/>
          <w:sz w:val="24"/>
        </w:rPr>
      </w:pPr>
      <w:r>
        <w:rPr>
          <w:rFonts w:hint="eastAsia" w:ascii="仿宋_GB2312" w:hAnsi="仿宋_GB2312" w:eastAsia="仿宋_GB2312" w:cs="仿宋_GB2312"/>
          <w:bCs/>
          <w:sz w:val="24"/>
        </w:rPr>
        <w:t>投标人通过政采云平台</w:t>
      </w:r>
      <w:r>
        <w:rPr>
          <w:rFonts w:hint="eastAsia" w:ascii="仿宋_GB2312" w:hAnsi="宋体" w:eastAsia="仿宋_GB2312" w:cs="宋体"/>
          <w:sz w:val="24"/>
        </w:rPr>
        <w:t>获取招标文件后，无故不参加投标或通知不及时的，将记录在案。</w:t>
      </w:r>
    </w:p>
    <w:p>
      <w:pPr>
        <w:pStyle w:val="2"/>
        <w:spacing w:line="520" w:lineRule="exact"/>
      </w:pPr>
    </w:p>
    <w:p>
      <w:pPr>
        <w:numPr>
          <w:ilvl w:val="0"/>
          <w:numId w:val="6"/>
        </w:numPr>
        <w:tabs>
          <w:tab w:val="left" w:pos="284"/>
        </w:tabs>
        <w:adjustRightInd w:val="0"/>
        <w:spacing w:line="520" w:lineRule="exact"/>
        <w:outlineLvl w:val="2"/>
        <w:rPr>
          <w:rFonts w:ascii="仿宋_GB2312" w:hAnsi="宋体" w:eastAsia="仿宋_GB2312" w:cs="宋体"/>
          <w:b/>
          <w:bCs/>
          <w:sz w:val="24"/>
        </w:rPr>
      </w:pPr>
      <w:bookmarkStart w:id="49" w:name="_Toc30144623"/>
      <w:bookmarkStart w:id="50" w:name="_Toc30144193"/>
      <w:r>
        <w:rPr>
          <w:rFonts w:hint="eastAsia" w:ascii="仿宋_GB2312" w:hAnsi="宋体" w:eastAsia="仿宋_GB2312" w:cs="宋体"/>
          <w:b/>
          <w:bCs/>
          <w:sz w:val="24"/>
        </w:rPr>
        <w:t>投标费用</w:t>
      </w:r>
      <w:bookmarkEnd w:id="49"/>
      <w:bookmarkEnd w:id="50"/>
    </w:p>
    <w:p>
      <w:pPr>
        <w:widowControl/>
        <w:numPr>
          <w:ilvl w:val="0"/>
          <w:numId w:val="11"/>
        </w:numPr>
        <w:tabs>
          <w:tab w:val="left" w:pos="567"/>
          <w:tab w:val="clear" w:pos="850"/>
        </w:tabs>
        <w:autoSpaceDE w:val="0"/>
        <w:autoSpaceDN w:val="0"/>
        <w:spacing w:line="520" w:lineRule="exact"/>
        <w:ind w:left="0" w:right="26" w:firstLine="0"/>
        <w:jc w:val="left"/>
        <w:textAlignment w:val="bottom"/>
        <w:rPr>
          <w:rFonts w:ascii="仿宋_GB2312" w:hAnsi="宋体" w:eastAsia="仿宋_GB2312" w:cs="宋体"/>
          <w:sz w:val="24"/>
        </w:rPr>
      </w:pPr>
      <w:r>
        <w:rPr>
          <w:rFonts w:hint="eastAsia" w:ascii="仿宋_GB2312" w:hAnsi="宋体" w:eastAsia="仿宋_GB2312" w:cs="宋体"/>
          <w:sz w:val="24"/>
        </w:rPr>
        <w:t>投标人应承担所有与准备和参加投标有关的费用，无论投标过程中的作法和结果如何，采购人和采购代理机构在任何情况下均无义务和责任承担这些费用。</w:t>
      </w:r>
    </w:p>
    <w:p>
      <w:pPr>
        <w:pStyle w:val="2"/>
        <w:spacing w:line="520" w:lineRule="exact"/>
      </w:pPr>
    </w:p>
    <w:p>
      <w:pPr>
        <w:numPr>
          <w:ilvl w:val="0"/>
          <w:numId w:val="6"/>
        </w:numPr>
        <w:tabs>
          <w:tab w:val="left" w:pos="284"/>
        </w:tabs>
        <w:adjustRightInd w:val="0"/>
        <w:spacing w:line="520" w:lineRule="exact"/>
        <w:ind w:left="284" w:hanging="284"/>
        <w:outlineLvl w:val="2"/>
        <w:rPr>
          <w:rFonts w:ascii="仿宋_GB2312" w:hAnsi="宋体" w:eastAsia="仿宋_GB2312" w:cs="宋体"/>
          <w:b/>
          <w:bCs/>
          <w:sz w:val="24"/>
        </w:rPr>
      </w:pPr>
      <w:r>
        <w:rPr>
          <w:rFonts w:hint="eastAsia" w:ascii="仿宋_GB2312" w:hAnsi="宋体" w:eastAsia="仿宋_GB2312" w:cs="宋体"/>
          <w:b/>
          <w:bCs/>
          <w:sz w:val="24"/>
        </w:rPr>
        <w:t>开标前答疑会</w:t>
      </w:r>
    </w:p>
    <w:p>
      <w:pPr>
        <w:pStyle w:val="2"/>
        <w:numPr>
          <w:ilvl w:val="0"/>
          <w:numId w:val="12"/>
        </w:numPr>
        <w:tabs>
          <w:tab w:val="left" w:pos="567"/>
        </w:tabs>
        <w:adjustRightInd w:val="0"/>
        <w:spacing w:line="520" w:lineRule="exact"/>
        <w:ind w:left="1" w:firstLine="0" w:firstLineChars="0"/>
        <w:jc w:val="left"/>
        <w:textAlignment w:val="baseline"/>
        <w:rPr>
          <w:rFonts w:ascii="仿宋_GB2312" w:hAnsi="宋体" w:eastAsia="仿宋_GB2312" w:cs="宋体"/>
          <w:sz w:val="24"/>
        </w:rPr>
      </w:pPr>
      <w:r>
        <w:rPr>
          <w:rFonts w:hint="eastAsia" w:ascii="仿宋_GB2312" w:hAnsi="宋体" w:eastAsia="仿宋_GB2312" w:cs="宋体"/>
          <w:sz w:val="24"/>
        </w:rPr>
        <w:t>如有需要，采购人或采购代理机构将通知所有潜在投标人，组织开标前答疑会。开标前答疑会的所有内容作为采购文件的组成部分，与招标文件具有同等效力。如与招标文件存在矛盾，将以答疑会内容为准。答疑会所有内容最终将以书面形式告知所有潜在投标人。</w:t>
      </w:r>
    </w:p>
    <w:p>
      <w:pPr>
        <w:pStyle w:val="2"/>
        <w:spacing w:line="520" w:lineRule="exact"/>
        <w:ind w:firstLine="0" w:firstLineChars="0"/>
        <w:rPr>
          <w:rFonts w:ascii="仿宋_GB2312" w:hAnsi="宋体" w:eastAsia="仿宋_GB2312" w:cs="宋体"/>
        </w:rPr>
      </w:pPr>
    </w:p>
    <w:p>
      <w:pPr>
        <w:numPr>
          <w:ilvl w:val="0"/>
          <w:numId w:val="6"/>
        </w:numPr>
        <w:tabs>
          <w:tab w:val="left" w:pos="284"/>
        </w:tabs>
        <w:adjustRightInd w:val="0"/>
        <w:spacing w:line="520" w:lineRule="exact"/>
        <w:ind w:left="0" w:firstLine="0"/>
        <w:outlineLvl w:val="2"/>
        <w:rPr>
          <w:rFonts w:ascii="仿宋_GB2312" w:hAnsi="宋体" w:eastAsia="仿宋_GB2312" w:cs="宋体"/>
          <w:b/>
          <w:bCs/>
          <w:sz w:val="24"/>
        </w:rPr>
      </w:pPr>
      <w:bookmarkStart w:id="51" w:name="_Toc30144624"/>
      <w:bookmarkStart w:id="52" w:name="_Toc30144194"/>
      <w:r>
        <w:rPr>
          <w:rFonts w:hint="eastAsia" w:ascii="仿宋_GB2312" w:hAnsi="宋体" w:eastAsia="仿宋_GB2312" w:cs="宋体"/>
          <w:b/>
          <w:bCs/>
          <w:sz w:val="24"/>
        </w:rPr>
        <w:t>踏勘现场</w:t>
      </w:r>
      <w:bookmarkEnd w:id="51"/>
      <w:bookmarkEnd w:id="52"/>
    </w:p>
    <w:p>
      <w:pPr>
        <w:pStyle w:val="195"/>
        <w:widowControl/>
        <w:numPr>
          <w:ilvl w:val="2"/>
          <w:numId w:val="13"/>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如有需要，投标人可对项目现场及周围环境进行踏勘，获取有关编制投标文件和签署合同所需的所有资料。踏勘现场所发生的费用由投标人自己承担。</w:t>
      </w:r>
    </w:p>
    <w:p>
      <w:pPr>
        <w:pStyle w:val="195"/>
        <w:widowControl/>
        <w:numPr>
          <w:ilvl w:val="2"/>
          <w:numId w:val="13"/>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踏勘现场分统一踏勘和自行踏勘两种形式。投标人应按《前附表》所约定的时间、地点踏勘现场。</w:t>
      </w:r>
    </w:p>
    <w:p>
      <w:pPr>
        <w:pStyle w:val="195"/>
        <w:widowControl/>
        <w:numPr>
          <w:ilvl w:val="2"/>
          <w:numId w:val="13"/>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投标人及其人员经过采购人的允许（自行踏勘），可以进入招标人的项目现场踏勘，但投标人及其人员不得因此使招标人及其人员承担有关的责任和蒙受损失。投标人并应对由此次踏勘现场而造成的死亡、人身伤害、财产损失、损害以及任何其它损失、损害和引起的费用和开支承担责任。</w:t>
      </w:r>
    </w:p>
    <w:p>
      <w:pPr>
        <w:pStyle w:val="195"/>
        <w:widowControl/>
        <w:numPr>
          <w:ilvl w:val="2"/>
          <w:numId w:val="13"/>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sectPr>
          <w:pgSz w:w="11906" w:h="16838"/>
          <w:pgMar w:top="2098" w:right="1474" w:bottom="1701" w:left="1588" w:header="851" w:footer="992" w:gutter="0"/>
          <w:cols w:space="720" w:num="1"/>
          <w:docGrid w:linePitch="312" w:charSpace="0"/>
        </w:sectPr>
      </w:pPr>
      <w:r>
        <w:rPr>
          <w:rFonts w:hint="eastAsia" w:ascii="仿宋_GB2312" w:hAnsi="宋体" w:eastAsia="仿宋_GB2312" w:cs="宋体"/>
          <w:sz w:val="24"/>
        </w:rPr>
        <w:t>如果投标人认为需要再次进行现场踏勘，采购人和采购代理机构将予以支持，费用自理。未参与现场踏勘不作为否定投标人资格的理由。</w:t>
      </w:r>
    </w:p>
    <w:p>
      <w:pPr>
        <w:pStyle w:val="39"/>
        <w:spacing w:before="0" w:after="0" w:line="520" w:lineRule="exact"/>
        <w:rPr>
          <w:rFonts w:ascii="仿宋_GB2312" w:hAnsi="宋体" w:eastAsia="仿宋_GB2312" w:cs="宋体"/>
          <w:bCs w:val="0"/>
          <w:sz w:val="30"/>
          <w:szCs w:val="30"/>
        </w:rPr>
      </w:pPr>
      <w:bookmarkStart w:id="53" w:name="_Toc30144625"/>
      <w:bookmarkStart w:id="54" w:name="_Toc5274"/>
      <w:bookmarkStart w:id="55" w:name="_Toc1814_WPSOffice_Level3"/>
      <w:bookmarkStart w:id="56" w:name="_Toc12634"/>
      <w:r>
        <w:rPr>
          <w:rFonts w:hint="eastAsia" w:ascii="仿宋_GB2312" w:hAnsi="宋体" w:eastAsia="仿宋_GB2312" w:cs="宋体"/>
          <w:bCs w:val="0"/>
          <w:sz w:val="30"/>
          <w:szCs w:val="30"/>
        </w:rPr>
        <w:t>第二部分 招标文件的澄清</w:t>
      </w:r>
      <w:bookmarkEnd w:id="53"/>
      <w:bookmarkEnd w:id="54"/>
      <w:bookmarkEnd w:id="55"/>
      <w:r>
        <w:rPr>
          <w:rFonts w:hint="eastAsia" w:ascii="仿宋_GB2312" w:hAnsi="宋体" w:eastAsia="仿宋_GB2312" w:cs="宋体"/>
          <w:bCs w:val="0"/>
          <w:sz w:val="30"/>
          <w:szCs w:val="30"/>
        </w:rPr>
        <w:t>或修改</w:t>
      </w:r>
      <w:bookmarkEnd w:id="56"/>
    </w:p>
    <w:p>
      <w:pPr>
        <w:numPr>
          <w:ilvl w:val="0"/>
          <w:numId w:val="6"/>
        </w:numPr>
        <w:tabs>
          <w:tab w:val="left" w:pos="284"/>
        </w:tabs>
        <w:adjustRightInd w:val="0"/>
        <w:spacing w:line="520" w:lineRule="exact"/>
        <w:ind w:left="567" w:hanging="567"/>
        <w:outlineLvl w:val="2"/>
        <w:rPr>
          <w:rFonts w:ascii="仿宋_GB2312" w:hAnsi="宋体" w:eastAsia="仿宋_GB2312" w:cs="宋体"/>
          <w:b/>
          <w:bCs/>
          <w:sz w:val="24"/>
        </w:rPr>
      </w:pPr>
      <w:bookmarkStart w:id="57" w:name="_Toc30144626"/>
      <w:bookmarkStart w:id="58" w:name="_Toc30144196"/>
      <w:r>
        <w:rPr>
          <w:rFonts w:hint="eastAsia" w:ascii="仿宋_GB2312" w:hAnsi="宋体" w:eastAsia="仿宋_GB2312" w:cs="宋体"/>
          <w:b/>
          <w:bCs/>
          <w:sz w:val="24"/>
        </w:rPr>
        <w:t>招标文件的澄清</w:t>
      </w:r>
      <w:bookmarkEnd w:id="57"/>
      <w:bookmarkEnd w:id="58"/>
      <w:r>
        <w:rPr>
          <w:rFonts w:hint="eastAsia" w:ascii="仿宋_GB2312" w:hAnsi="宋体" w:eastAsia="仿宋_GB2312" w:cs="宋体"/>
          <w:b/>
          <w:bCs/>
          <w:sz w:val="24"/>
        </w:rPr>
        <w:t>或修改</w:t>
      </w:r>
    </w:p>
    <w:p>
      <w:pPr>
        <w:pStyle w:val="195"/>
        <w:widowControl/>
        <w:numPr>
          <w:ilvl w:val="2"/>
          <w:numId w:val="14"/>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 xml:space="preserve">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195"/>
        <w:widowControl/>
        <w:numPr>
          <w:ilvl w:val="2"/>
          <w:numId w:val="14"/>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95"/>
        <w:widowControl/>
        <w:numPr>
          <w:ilvl w:val="2"/>
          <w:numId w:val="14"/>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195"/>
        <w:widowControl/>
        <w:numPr>
          <w:ilvl w:val="2"/>
          <w:numId w:val="14"/>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 xml:space="preserve"> 对于没有提出澄清又参与了该项目投标的投标人将被视为完全认同该招标文件（含澄清纪要），投标截止期后不再受理针对招标文件的相关质疑或投诉。</w:t>
      </w:r>
    </w:p>
    <w:p>
      <w:pPr>
        <w:pStyle w:val="195"/>
        <w:widowControl/>
        <w:numPr>
          <w:ilvl w:val="2"/>
          <w:numId w:val="14"/>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 xml:space="preserve"> 对招标文件中描述有歧义或前后不一致的地方，评标委员会有权按法律法规的规定进行评标,但对同一条款的评标应适用于每个投标人。</w:t>
      </w:r>
      <w:bookmarkStart w:id="59" w:name="_Toc30144639"/>
      <w:bookmarkStart w:id="60" w:name="_Toc30144209"/>
    </w:p>
    <w:p>
      <w:pPr>
        <w:pStyle w:val="39"/>
        <w:spacing w:before="0" w:after="0" w:line="520" w:lineRule="exact"/>
        <w:outlineLvl w:val="9"/>
        <w:rPr>
          <w:rFonts w:ascii="仿宋_GB2312" w:hAnsi="宋体" w:eastAsia="仿宋_GB2312" w:cs="宋体"/>
          <w:bCs w:val="0"/>
          <w:sz w:val="30"/>
          <w:szCs w:val="30"/>
        </w:rPr>
      </w:pPr>
    </w:p>
    <w:p>
      <w:pPr>
        <w:pStyle w:val="39"/>
        <w:spacing w:before="0" w:after="0" w:line="520" w:lineRule="exact"/>
        <w:rPr>
          <w:rFonts w:ascii="仿宋_GB2312" w:hAnsi="宋体" w:eastAsia="仿宋_GB2312" w:cs="宋体"/>
          <w:bCs w:val="0"/>
          <w:sz w:val="30"/>
          <w:szCs w:val="30"/>
        </w:rPr>
      </w:pPr>
      <w:bookmarkStart w:id="61" w:name="_Toc32047"/>
      <w:r>
        <w:rPr>
          <w:rFonts w:hint="eastAsia" w:ascii="仿宋_GB2312" w:hAnsi="宋体" w:eastAsia="仿宋_GB2312" w:cs="宋体"/>
          <w:bCs w:val="0"/>
          <w:sz w:val="30"/>
          <w:szCs w:val="30"/>
        </w:rPr>
        <w:t>第三部分 投标文件的补充、修改和撤回</w:t>
      </w:r>
      <w:bookmarkEnd w:id="59"/>
      <w:bookmarkEnd w:id="60"/>
      <w:bookmarkEnd w:id="61"/>
    </w:p>
    <w:p>
      <w:pPr>
        <w:numPr>
          <w:ilvl w:val="0"/>
          <w:numId w:val="6"/>
        </w:numPr>
        <w:tabs>
          <w:tab w:val="left" w:pos="284"/>
        </w:tabs>
        <w:adjustRightInd w:val="0"/>
        <w:spacing w:line="520" w:lineRule="exact"/>
        <w:ind w:left="426" w:hanging="426"/>
        <w:outlineLvl w:val="2"/>
        <w:rPr>
          <w:rFonts w:ascii="仿宋_GB2312" w:hAnsi="宋体" w:eastAsia="仿宋_GB2312" w:cs="宋体"/>
          <w:b/>
          <w:bCs/>
          <w:sz w:val="24"/>
        </w:rPr>
      </w:pPr>
      <w:r>
        <w:rPr>
          <w:rFonts w:hint="eastAsia" w:ascii="仿宋_GB2312" w:hAnsi="宋体" w:eastAsia="仿宋_GB2312" w:cs="宋体"/>
          <w:b/>
          <w:bCs/>
          <w:sz w:val="24"/>
        </w:rPr>
        <w:t>投标文件的补充、修改和撤回</w:t>
      </w:r>
    </w:p>
    <w:p>
      <w:pPr>
        <w:pStyle w:val="195"/>
        <w:numPr>
          <w:ilvl w:val="1"/>
          <w:numId w:val="6"/>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 xml:space="preserve"> 投标人在投标截止时间之前，可以以书面形式对所递交的投标文件进行补充、修改或撤回，但采购代理机构须在提交投标文件截止日期前收到该补充、修改或撤回的书面通知，该通知应加盖公章或者由法定代表人或其授权代表签字。</w:t>
      </w:r>
    </w:p>
    <w:p>
      <w:pPr>
        <w:pStyle w:val="195"/>
        <w:numPr>
          <w:ilvl w:val="1"/>
          <w:numId w:val="6"/>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 xml:space="preserve"> 投标人对投标文件的补充、修改，应按专用条款第五部分第2款规定密封、标记和递交，并在投标文件密封袋上清楚标明“补充”、“修改”字样，该部分内容为投标文件的组成部分。</w:t>
      </w:r>
    </w:p>
    <w:p>
      <w:pPr>
        <w:pStyle w:val="195"/>
        <w:numPr>
          <w:ilvl w:val="1"/>
          <w:numId w:val="6"/>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 xml:space="preserve"> 在投标截止时间之后，投标人不得补充、修改投标文件。</w:t>
      </w:r>
    </w:p>
    <w:p>
      <w:pPr>
        <w:pStyle w:val="195"/>
        <w:numPr>
          <w:ilvl w:val="1"/>
          <w:numId w:val="6"/>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 xml:space="preserve"> 提交“撤回”书面通知的投标文件将不予开封，并退回给投标人。</w:t>
      </w:r>
    </w:p>
    <w:p>
      <w:pPr>
        <w:pStyle w:val="195"/>
        <w:numPr>
          <w:ilvl w:val="1"/>
          <w:numId w:val="6"/>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 xml:space="preserve"> 投标人不得在投标截止日起至规定的投标文件有效期期满前撤销投标文件。</w:t>
      </w:r>
    </w:p>
    <w:p>
      <w:pPr>
        <w:pStyle w:val="195"/>
        <w:numPr>
          <w:ilvl w:val="1"/>
          <w:numId w:val="6"/>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color w:val="000000"/>
          <w:sz w:val="24"/>
        </w:rPr>
        <w:t>投标人应当在投标截止时间前完成电子投标文件的传输递交，并可以补充、修改或者撤回电子投标文件。补充或者修改电子投标文件的，应当先行撤回原文件，补充、修改后重新传输递交。</w:t>
      </w:r>
      <w:r>
        <w:rPr>
          <w:rFonts w:hint="eastAsia" w:ascii="仿宋_GB2312" w:hAnsi="宋体" w:eastAsia="仿宋_GB2312" w:cs="宋体"/>
          <w:b/>
          <w:color w:val="FF0000"/>
          <w:sz w:val="24"/>
        </w:rPr>
        <w:t>投标截止时间前未完成传输的，视为撤回电子投标文件。投标截止时间后传输递交的电子文件，将被政采云平台拒收。</w:t>
      </w:r>
    </w:p>
    <w:p>
      <w:pPr>
        <w:spacing w:line="520" w:lineRule="exact"/>
      </w:pPr>
    </w:p>
    <w:p>
      <w:pPr>
        <w:pStyle w:val="39"/>
        <w:spacing w:before="0" w:after="0" w:line="520" w:lineRule="exact"/>
        <w:rPr>
          <w:rFonts w:ascii="仿宋_GB2312" w:hAnsi="宋体" w:eastAsia="仿宋_GB2312" w:cs="宋体"/>
          <w:bCs w:val="0"/>
          <w:sz w:val="30"/>
          <w:szCs w:val="30"/>
        </w:rPr>
      </w:pPr>
      <w:bookmarkStart w:id="62" w:name="_Toc4965"/>
      <w:bookmarkStart w:id="63" w:name="_Toc6096_WPSOffice_Level3"/>
      <w:bookmarkStart w:id="64" w:name="_Toc30144629"/>
      <w:bookmarkStart w:id="65" w:name="_Toc423902167"/>
      <w:bookmarkStart w:id="66" w:name="_Toc423897870"/>
      <w:bookmarkStart w:id="67" w:name="_Toc12058"/>
      <w:r>
        <w:rPr>
          <w:rFonts w:hint="eastAsia" w:ascii="仿宋_GB2312" w:hAnsi="宋体" w:eastAsia="仿宋_GB2312" w:cs="宋体"/>
          <w:bCs w:val="0"/>
          <w:sz w:val="30"/>
          <w:szCs w:val="30"/>
        </w:rPr>
        <w:t>第四部分 政策法规的特殊规定</w:t>
      </w:r>
      <w:bookmarkEnd w:id="62"/>
      <w:bookmarkEnd w:id="63"/>
      <w:bookmarkEnd w:id="64"/>
      <w:bookmarkEnd w:id="65"/>
      <w:bookmarkEnd w:id="66"/>
      <w:bookmarkEnd w:id="67"/>
    </w:p>
    <w:p>
      <w:pPr>
        <w:numPr>
          <w:ilvl w:val="0"/>
          <w:numId w:val="6"/>
        </w:numPr>
        <w:tabs>
          <w:tab w:val="left" w:pos="284"/>
        </w:tabs>
        <w:adjustRightInd w:val="0"/>
        <w:spacing w:line="520" w:lineRule="exact"/>
        <w:ind w:left="567" w:hanging="567"/>
        <w:outlineLvl w:val="2"/>
        <w:rPr>
          <w:rFonts w:ascii="仿宋_GB2312" w:hAnsi="宋体" w:eastAsia="仿宋_GB2312" w:cs="宋体"/>
          <w:b/>
          <w:bCs/>
          <w:sz w:val="24"/>
        </w:rPr>
      </w:pPr>
      <w:bookmarkStart w:id="68" w:name="_Toc420401613"/>
      <w:bookmarkStart w:id="69" w:name="_Toc420324985"/>
      <w:bookmarkStart w:id="70" w:name="_Toc423897872"/>
      <w:bookmarkStart w:id="71" w:name="_Toc30144630"/>
      <w:bookmarkStart w:id="72" w:name="_Toc421887591"/>
      <w:bookmarkStart w:id="73" w:name="_Toc349848275"/>
      <w:bookmarkStart w:id="74" w:name="_Toc421801783"/>
      <w:bookmarkStart w:id="75" w:name="_Toc420325081"/>
      <w:bookmarkStart w:id="76" w:name="_Toc420323183"/>
      <w:bookmarkStart w:id="77" w:name="_Toc30144200"/>
      <w:r>
        <w:rPr>
          <w:rFonts w:hint="eastAsia" w:ascii="仿宋_GB2312" w:hAnsi="宋体" w:eastAsia="仿宋_GB2312" w:cs="宋体"/>
          <w:b/>
          <w:bCs/>
          <w:sz w:val="24"/>
        </w:rPr>
        <w:t>特殊规定的依据</w:t>
      </w:r>
      <w:bookmarkEnd w:id="68"/>
      <w:bookmarkEnd w:id="69"/>
      <w:bookmarkEnd w:id="70"/>
      <w:bookmarkEnd w:id="71"/>
      <w:bookmarkEnd w:id="72"/>
      <w:bookmarkEnd w:id="73"/>
      <w:bookmarkEnd w:id="74"/>
      <w:bookmarkEnd w:id="75"/>
      <w:bookmarkEnd w:id="76"/>
      <w:bookmarkEnd w:id="77"/>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关于印发中小企业划型标准规定的通知（工信部联企业〔2011〕300号）。</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w:t>
      </w:r>
      <w:r>
        <w:rPr>
          <w:rFonts w:hint="eastAsia" w:ascii="仿宋_GB2312" w:hAnsi="宋体" w:eastAsia="仿宋_GB2312" w:cs="Arial"/>
          <w:bCs/>
          <w:sz w:val="24"/>
        </w:rPr>
        <w:t>印发《政府采购促进中小企业发展管理办法》财库〔2020〕46号文件。</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财政部、民政部、中国残疾人联合会关于促进残疾人就业政府采购政策的通知（财库〔2017〕141号）。</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关于政府采购支持监狱企业发展有关问题的通知（财库〔2014〕68号）。</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关于调整优化节能产品、环境标志产品政府采购执行机制的通知（财库〔2019〕9号)。</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关于印发环境标志产品政府采购品目清单的通知（财库〔2019〕18号）。</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关于印发节能产品政府采购品目清单的通知（财库〔2019〕19号）。</w:t>
      </w:r>
    </w:p>
    <w:p>
      <w:pPr>
        <w:pStyle w:val="195"/>
        <w:numPr>
          <w:ilvl w:val="1"/>
          <w:numId w:val="15"/>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关于建立政府强制采购节能产品制度的通知（国办发〔2007〕51号）。</w:t>
      </w:r>
    </w:p>
    <w:p>
      <w:pPr>
        <w:pStyle w:val="195"/>
        <w:tabs>
          <w:tab w:val="left" w:pos="850"/>
        </w:tabs>
        <w:adjustRightInd w:val="0"/>
        <w:spacing w:line="520" w:lineRule="exact"/>
        <w:ind w:firstLine="0" w:firstLineChars="0"/>
        <w:rPr>
          <w:rFonts w:ascii="仿宋_GB2312" w:hAnsi="宋体" w:eastAsia="仿宋_GB2312" w:cs="宋体"/>
          <w:sz w:val="24"/>
        </w:rPr>
      </w:pPr>
    </w:p>
    <w:p>
      <w:pPr>
        <w:pStyle w:val="195"/>
        <w:numPr>
          <w:ilvl w:val="0"/>
          <w:numId w:val="6"/>
        </w:numPr>
        <w:tabs>
          <w:tab w:val="left" w:pos="567"/>
          <w:tab w:val="left" w:pos="709"/>
        </w:tabs>
        <w:adjustRightInd w:val="0"/>
        <w:spacing w:line="520" w:lineRule="exact"/>
        <w:ind w:left="567" w:hanging="567" w:firstLineChars="0"/>
        <w:rPr>
          <w:rFonts w:ascii="仿宋_GB2312" w:hAnsi="宋体" w:eastAsia="仿宋_GB2312" w:cs="Arial"/>
          <w:sz w:val="24"/>
        </w:rPr>
      </w:pPr>
      <w:r>
        <w:rPr>
          <w:rFonts w:hint="eastAsia" w:ascii="仿宋_GB2312" w:hAnsi="宋体" w:eastAsia="仿宋_GB2312" w:cs="宋体"/>
          <w:sz w:val="24"/>
        </w:rPr>
        <w:t>关于中小企业扶持政策的</w:t>
      </w:r>
      <w:r>
        <w:rPr>
          <w:rFonts w:hint="eastAsia" w:ascii="仿宋_GB2312" w:hAnsi="宋体" w:eastAsia="仿宋_GB2312" w:cs="Arial"/>
          <w:sz w:val="24"/>
        </w:rPr>
        <w:t>适用条件</w:t>
      </w:r>
    </w:p>
    <w:p>
      <w:pPr>
        <w:pStyle w:val="195"/>
        <w:numPr>
          <w:ilvl w:val="1"/>
          <w:numId w:val="16"/>
        </w:numPr>
        <w:tabs>
          <w:tab w:val="left" w:pos="709"/>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适用条件</w:t>
      </w:r>
    </w:p>
    <w:p>
      <w:pPr>
        <w:pStyle w:val="195"/>
        <w:numPr>
          <w:ilvl w:val="0"/>
          <w:numId w:val="17"/>
        </w:numPr>
        <w:tabs>
          <w:tab w:val="left" w:pos="709"/>
          <w:tab w:val="left" w:pos="851"/>
          <w:tab w:val="left" w:pos="1418"/>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95"/>
        <w:tabs>
          <w:tab w:val="left" w:pos="709"/>
          <w:tab w:val="left" w:pos="851"/>
          <w:tab w:val="left" w:pos="1418"/>
        </w:tabs>
        <w:adjustRightInd w:val="0"/>
        <w:spacing w:line="520" w:lineRule="exact"/>
        <w:ind w:firstLine="0" w:firstLineChars="0"/>
        <w:rPr>
          <w:rFonts w:ascii="仿宋_GB2312" w:hAnsi="宋体" w:eastAsia="仿宋_GB2312" w:cs="宋体"/>
          <w:sz w:val="24"/>
        </w:rPr>
      </w:pPr>
      <w:r>
        <w:rPr>
          <w:rFonts w:hint="eastAsia" w:ascii="仿宋_GB2312" w:hAnsi="宋体" w:eastAsia="仿宋_GB2312" w:cs="宋体"/>
          <w:sz w:val="24"/>
        </w:rPr>
        <w:t xml:space="preserve">    符合中小企业划分标准的个体工商户，在政府采购活动中视同中小企业。</w:t>
      </w:r>
    </w:p>
    <w:p>
      <w:pPr>
        <w:pStyle w:val="195"/>
        <w:numPr>
          <w:ilvl w:val="0"/>
          <w:numId w:val="17"/>
        </w:numPr>
        <w:tabs>
          <w:tab w:val="left" w:pos="709"/>
          <w:tab w:val="left" w:pos="993"/>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在货物采购项目中，投标人提供的货物既有中小企业制造货物，也有大型企业制造货物的，不享受中小企业扶持政策。</w:t>
      </w:r>
    </w:p>
    <w:p>
      <w:pPr>
        <w:pStyle w:val="195"/>
        <w:numPr>
          <w:ilvl w:val="0"/>
          <w:numId w:val="17"/>
        </w:numPr>
        <w:tabs>
          <w:tab w:val="left" w:pos="709"/>
          <w:tab w:val="left" w:pos="993"/>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对于未预留份额专门面向中小企业的政府采购货物或服务项目，以及预留份额政府采购货物或服务项目中的非预留部分标项，对小型和微型企业的投标报价给予6%-10 %的扣除，用扣除后的价格参与评审。</w:t>
      </w:r>
    </w:p>
    <w:p>
      <w:pPr>
        <w:pStyle w:val="195"/>
        <w:numPr>
          <w:ilvl w:val="0"/>
          <w:numId w:val="17"/>
        </w:numPr>
        <w:tabs>
          <w:tab w:val="left" w:pos="709"/>
          <w:tab w:val="left" w:pos="993"/>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pPr>
        <w:pStyle w:val="195"/>
        <w:numPr>
          <w:ilvl w:val="0"/>
          <w:numId w:val="17"/>
        </w:numPr>
        <w:tabs>
          <w:tab w:val="left" w:pos="709"/>
          <w:tab w:val="left" w:pos="851"/>
          <w:tab w:val="left" w:pos="1418"/>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95"/>
        <w:numPr>
          <w:ilvl w:val="0"/>
          <w:numId w:val="17"/>
        </w:numPr>
        <w:tabs>
          <w:tab w:val="left" w:pos="709"/>
          <w:tab w:val="left" w:pos="851"/>
          <w:tab w:val="left" w:pos="1418"/>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中小企业参加政府采购活动，应当出具本办法规定的《中小企业声明函》（附 1），否则不得享受相关中小企业扶持政策。</w:t>
      </w:r>
    </w:p>
    <w:p>
      <w:pPr>
        <w:pStyle w:val="195"/>
        <w:numPr>
          <w:ilvl w:val="0"/>
          <w:numId w:val="17"/>
        </w:numPr>
        <w:tabs>
          <w:tab w:val="left" w:pos="709"/>
          <w:tab w:val="left" w:pos="851"/>
          <w:tab w:val="left" w:pos="1418"/>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规定依据本办法规定享受扶持政策获得政府采购合同的，小微企业不得将合同分包给大中型企业，中型企业不得将合同分包给大型企业；</w:t>
      </w:r>
    </w:p>
    <w:p>
      <w:pPr>
        <w:pStyle w:val="195"/>
        <w:numPr>
          <w:ilvl w:val="0"/>
          <w:numId w:val="17"/>
        </w:numPr>
        <w:tabs>
          <w:tab w:val="left" w:pos="709"/>
          <w:tab w:val="left" w:pos="851"/>
          <w:tab w:val="left" w:pos="1418"/>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组成联合体或者接受分包合同的中小企业与联合体内其他企业、分包企业之间不得存在直接控股、管理关系。</w:t>
      </w:r>
    </w:p>
    <w:p>
      <w:pPr>
        <w:pStyle w:val="195"/>
        <w:numPr>
          <w:ilvl w:val="0"/>
          <w:numId w:val="17"/>
        </w:numPr>
        <w:tabs>
          <w:tab w:val="left" w:pos="709"/>
          <w:tab w:val="left" w:pos="851"/>
          <w:tab w:val="left" w:pos="1418"/>
        </w:tabs>
        <w:adjustRightInd w:val="0"/>
        <w:spacing w:line="520" w:lineRule="exact"/>
        <w:ind w:firstLineChars="0"/>
        <w:rPr>
          <w:rFonts w:ascii="仿宋_GB2312" w:hAnsi="宋体" w:eastAsia="仿宋_GB2312" w:cs="宋体"/>
          <w:sz w:val="24"/>
        </w:rPr>
      </w:pPr>
      <w:r>
        <w:rPr>
          <w:rFonts w:hint="eastAsia" w:ascii="仿宋_GB2312" w:hAnsi="宋体" w:eastAsia="仿宋_GB2312" w:cs="宋体"/>
          <w:sz w:val="24"/>
        </w:rPr>
        <w:t>在政府采购活动中，残疾人福利性单位视同小型、微型企业，享受评标中价</w:t>
      </w:r>
    </w:p>
    <w:p>
      <w:pPr>
        <w:pStyle w:val="195"/>
        <w:tabs>
          <w:tab w:val="left" w:pos="709"/>
          <w:tab w:val="left" w:pos="851"/>
          <w:tab w:val="left" w:pos="1418"/>
        </w:tabs>
        <w:adjustRightInd w:val="0"/>
        <w:spacing w:line="520" w:lineRule="exact"/>
        <w:ind w:firstLine="0" w:firstLineChars="0"/>
        <w:rPr>
          <w:rFonts w:ascii="仿宋_GB2312" w:hAnsi="宋体" w:eastAsia="仿宋_GB2312" w:cs="宋体"/>
          <w:sz w:val="24"/>
        </w:rPr>
      </w:pPr>
      <w:r>
        <w:rPr>
          <w:rFonts w:hint="eastAsia" w:ascii="仿宋_GB2312" w:hAnsi="宋体" w:eastAsia="仿宋_GB2312" w:cs="宋体"/>
          <w:sz w:val="24"/>
        </w:rPr>
        <w:t>格扣除等促进中小企业发展的政府采购政策。向残疾人福利性单位采购的金额，计入面向中小企业采购的统计数据。残疾人福利性单位属于小型、微型企业的，不重复享受政策。</w:t>
      </w:r>
    </w:p>
    <w:p>
      <w:pPr>
        <w:pStyle w:val="195"/>
        <w:tabs>
          <w:tab w:val="left" w:pos="709"/>
          <w:tab w:val="left" w:pos="851"/>
          <w:tab w:val="left" w:pos="1418"/>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宋体"/>
          <w:sz w:val="24"/>
        </w:rPr>
        <w:t>10.1.10.在政府采购活动中，监狱企业视同小型、微型企业，享受评标中价格扣除等促进中小企业发展的政府采购政策。向监狱企业采购的金额，计入面向中小企业采购的统计数据。</w:t>
      </w:r>
      <w:r>
        <w:rPr>
          <w:rFonts w:hint="eastAsia" w:ascii="仿宋_GB2312" w:hAnsi="宋体" w:eastAsia="仿宋_GB2312" w:cs="宋体"/>
          <w:b/>
          <w:bCs/>
          <w:sz w:val="24"/>
        </w:rPr>
        <w:t xml:space="preserve"> </w:t>
      </w:r>
    </w:p>
    <w:p>
      <w:pPr>
        <w:pStyle w:val="195"/>
        <w:tabs>
          <w:tab w:val="left" w:pos="709"/>
          <w:tab w:val="left" w:pos="851"/>
          <w:tab w:val="left" w:pos="1418"/>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宋体"/>
          <w:sz w:val="24"/>
        </w:rPr>
        <w:t>10.2.</w:t>
      </w:r>
      <w:r>
        <w:rPr>
          <w:rFonts w:hint="eastAsia" w:ascii="仿宋_GB2312" w:hAnsi="宋体" w:eastAsia="仿宋_GB2312" w:cs="Arial"/>
          <w:sz w:val="24"/>
        </w:rPr>
        <w:t>享受</w:t>
      </w:r>
      <w:r>
        <w:rPr>
          <w:rFonts w:hint="eastAsia" w:ascii="仿宋_GB2312" w:hAnsi="宋体" w:eastAsia="仿宋_GB2312" w:cs="Arial"/>
          <w:bCs/>
          <w:sz w:val="24"/>
        </w:rPr>
        <w:t>政府采购支持政策的残疾人福利性单位应当同时符合以下条件：</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（1）安置的残疾人占本单位在职职工人数的比例不低于25%（含25%），并且安置的残疾人人数不少于10人（含10人）；</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（2）依法与安置的每位残疾人签订了一年以上（含一年）的劳动合同或服务协议；</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（3）为安置的每位残疾人按月足额缴纳了基本养老保险、基本医疗保险、失业保险、工伤保险和生育保险等社会保险费；</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（4）通过银行等金融机构向安置的每位残疾人，按月支付了不低于单位所在区县适用的经省级人民政府批准的月最低工资标准的工资；</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（5）提供本单位制造的货物、承担的工程或者服务（以下简称产品），或者提供其他残疾人福利性单位制造的货物（不包括使用非残疾人福利性单位注册商标的货物）。</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5"/>
        <w:tabs>
          <w:tab w:val="left" w:pos="567"/>
          <w:tab w:val="left" w:pos="709"/>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bCs/>
          <w:sz w:val="24"/>
        </w:rPr>
        <w:t>10.3.享受政府采购支持政策的监狱企业应当符合的条件：</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1）由司法部认定，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w:t>
      </w:r>
    </w:p>
    <w:p>
      <w:pPr>
        <w:pStyle w:val="195"/>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 xml:space="preserve">（2）监狱企业参加政府采购活动时，应当提供由省级以上监狱管理局、戒毒管理局（含新疆生产建设兵团）出具的属于监狱企业的证明文件。 </w:t>
      </w:r>
    </w:p>
    <w:p>
      <w:pPr>
        <w:pStyle w:val="195"/>
        <w:tabs>
          <w:tab w:val="left" w:pos="567"/>
          <w:tab w:val="left" w:pos="709"/>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bCs/>
          <w:sz w:val="24"/>
        </w:rPr>
        <w:t>10.4.信用融资</w:t>
      </w:r>
      <w:r>
        <w:rPr>
          <w:rFonts w:hint="eastAsia" w:ascii="仿宋_GB2312" w:hAnsi="宋体" w:eastAsia="仿宋_GB2312" w:cs="Arial"/>
          <w:b/>
          <w:bCs/>
          <w:sz w:val="24"/>
        </w:rPr>
        <w:t>：</w:t>
      </w:r>
      <w:r>
        <w:rPr>
          <w:rFonts w:hint="eastAsia" w:ascii="仿宋_GB2312" w:hAnsi="宋体" w:eastAsia="仿宋_GB2312" w:cs="Arial"/>
          <w:bCs/>
          <w:sz w:val="24"/>
        </w:rPr>
        <w:t>为支持和促进中小企业发展，进一步发挥政府采购政策功能，依据《杭州市政府采购支持中小企业信用融资管理办法》等有关规定，若有融资意向的中标人可与相关合作银行对接，了解信用融资政策文件及各相关银行服务方案，助力企业解决融资难题。</w:t>
      </w:r>
    </w:p>
    <w:p>
      <w:pPr>
        <w:pStyle w:val="39"/>
        <w:spacing w:before="0" w:after="0" w:line="520" w:lineRule="exact"/>
        <w:rPr>
          <w:rFonts w:ascii="仿宋_GB2312" w:hAnsi="宋体" w:eastAsia="仿宋_GB2312" w:cs="宋体"/>
          <w:bCs w:val="0"/>
          <w:sz w:val="30"/>
          <w:szCs w:val="30"/>
        </w:rPr>
      </w:pPr>
      <w:bookmarkStart w:id="78" w:name="_Toc5640"/>
      <w:bookmarkStart w:id="79" w:name="_Toc30144638"/>
      <w:bookmarkStart w:id="80" w:name="_Toc7453_WPSOffice_Level3"/>
      <w:bookmarkStart w:id="81" w:name="_Toc7698"/>
    </w:p>
    <w:p>
      <w:pPr>
        <w:pStyle w:val="39"/>
        <w:spacing w:before="0" w:after="0" w:line="520" w:lineRule="exact"/>
        <w:rPr>
          <w:rFonts w:ascii="仿宋_GB2312" w:hAnsi="宋体" w:eastAsia="仿宋_GB2312" w:cs="宋体"/>
          <w:bCs w:val="0"/>
          <w:sz w:val="30"/>
          <w:szCs w:val="30"/>
        </w:rPr>
      </w:pPr>
      <w:r>
        <w:rPr>
          <w:rFonts w:hint="eastAsia" w:ascii="仿宋_GB2312" w:hAnsi="宋体" w:eastAsia="仿宋_GB2312" w:cs="宋体"/>
          <w:bCs w:val="0"/>
          <w:sz w:val="30"/>
          <w:szCs w:val="30"/>
        </w:rPr>
        <w:t>第五部分 开标与评标</w:t>
      </w:r>
      <w:bookmarkEnd w:id="78"/>
      <w:bookmarkEnd w:id="79"/>
      <w:bookmarkEnd w:id="80"/>
      <w:bookmarkEnd w:id="81"/>
    </w:p>
    <w:p/>
    <w:p>
      <w:pPr>
        <w:tabs>
          <w:tab w:val="left" w:pos="426"/>
        </w:tabs>
        <w:adjustRightInd w:val="0"/>
        <w:spacing w:line="520" w:lineRule="exact"/>
        <w:outlineLvl w:val="2"/>
        <w:rPr>
          <w:rFonts w:ascii="仿宋_GB2312" w:hAnsi="宋体" w:eastAsia="仿宋_GB2312" w:cs="宋体"/>
          <w:b/>
          <w:bCs/>
          <w:sz w:val="24"/>
        </w:rPr>
      </w:pPr>
      <w:bookmarkStart w:id="82" w:name="_Toc30144640"/>
      <w:bookmarkStart w:id="83" w:name="_Toc30144210"/>
      <w:r>
        <w:rPr>
          <w:rFonts w:hint="eastAsia" w:ascii="仿宋_GB2312" w:hAnsi="宋体" w:eastAsia="仿宋_GB2312" w:cs="宋体"/>
          <w:b/>
          <w:bCs/>
          <w:sz w:val="24"/>
        </w:rPr>
        <w:t>11.开标</w:t>
      </w:r>
      <w:bookmarkEnd w:id="82"/>
      <w:bookmarkEnd w:id="83"/>
    </w:p>
    <w:p>
      <w:pPr>
        <w:widowControl/>
        <w:numPr>
          <w:ilvl w:val="0"/>
          <w:numId w:val="18"/>
        </w:numPr>
        <w:tabs>
          <w:tab w:val="left" w:pos="142"/>
        </w:tabs>
        <w:autoSpaceDE w:val="0"/>
        <w:autoSpaceDN w:val="0"/>
        <w:spacing w:line="520" w:lineRule="exact"/>
        <w:ind w:left="709" w:right="26" w:hanging="709"/>
        <w:jc w:val="left"/>
        <w:textAlignment w:val="bottom"/>
        <w:rPr>
          <w:rFonts w:ascii="仿宋_GB2312" w:hAnsi="宋体" w:eastAsia="仿宋_GB2312" w:cs="宋体"/>
          <w:b/>
          <w:bCs/>
          <w:color w:val="FF0000"/>
          <w:sz w:val="24"/>
        </w:rPr>
      </w:pPr>
      <w:r>
        <w:rPr>
          <w:rFonts w:hint="eastAsia" w:ascii="仿宋_GB2312" w:hAnsi="宋体" w:eastAsia="仿宋_GB2312" w:cs="宋体"/>
          <w:b/>
          <w:bCs/>
          <w:color w:val="FF0000"/>
          <w:sz w:val="24"/>
        </w:rPr>
        <w:t>开标程序（适用于非全流程电子化交易项目）</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采购代理机构在《前附表》规定的时间和地点组织公开开标。</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b/>
          <w:sz w:val="24"/>
        </w:rPr>
      </w:pPr>
      <w:r>
        <w:rPr>
          <w:rFonts w:hint="eastAsia" w:ascii="仿宋_GB2312" w:hAnsi="宋体" w:eastAsia="仿宋_GB2312" w:cs="宋体"/>
          <w:b/>
          <w:sz w:val="24"/>
        </w:rPr>
        <w:t>投标人应按《前附表》规定的地点，于截止时间前提交投标文件，在投标截止时间以后送达的投标文件将被拒绝接受。</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各投标人授权代表及单位相关人员应凭授权委托书（详见专用条款第五章）和身份证明材料（原件）登记、签到，无关人员将被拒绝进入现场。如法定代表人直接参加投标的，需提供法人资格证明（详见专用条款第五部分）及身份证明材料（原件）登记、签到。投标人未参加开标的，视同认可开标结果。</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采购代理机构接收投标文件，投标人对投标文件的递交情况进行确认，签署《投标（响应）文件签收登记表》。</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投标截止时间后，采购代理机构宣布开标，介绍开标现场的人员情况，宣读递交投标文件的投标人名单、开标纪律、应当回避的情形等注意事项，组织投标人检查投标文件的密封情况，签署《政府采购活动现场确认声明书》。</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人通过“信用中国”网站(www.creditchina.gov.cn)、中国政府采购网(www.ccgp.gov.cn)渠道查询投标人于投标截止时间前的信用记录。现场查询的投标人的信用记录查询结果将进行存档。经查询列入失信被执行人名单、重大税收违法案件当事人名单、政府采购严重违法失信行为记录名单的投标人将被拒绝参与政府采购活动。对由两个以上的自然人、法人或者其他组织组成一个联合体，以一个供应商的身份共同参加政府采购活动的，将对所有联合体成员进行信用记录查询，联合体成员存在不良信用记录的，视同联合体存在不良信用记录。</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代理机构当众拆封资格文件和商务技术文件，并清点投标文件（包括正本、副本）数量。当场制作并打印《资格、技术商务开标记录表》。投标人对唱标内容当场校核并签字确认（不予确认的应说明理由，否则视为无异议），采购代理机构将拆封后的投标文件送评标室。</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商务技术文件评审完毕后，采购代理机构宣布无效投标人和无效理由，同时公布有效投标人及得分。如通过商务技术评标的有效投标人不足三家的，采购人将依法进行重新招标或报财政部门批准采用其他采购方式。</w:t>
      </w:r>
    </w:p>
    <w:p>
      <w:pPr>
        <w:widowControl/>
        <w:numPr>
          <w:ilvl w:val="0"/>
          <w:numId w:val="19"/>
        </w:numPr>
        <w:tabs>
          <w:tab w:val="left" w:pos="0"/>
          <w:tab w:val="left" w:pos="142"/>
          <w:tab w:val="left" w:pos="851"/>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代理机构当众拆封报价文件，清点投标文件（包括正本、副本）数量，宣布投标价格，打印《报价文件开标记录表》。投标人对唱标内容当场校核并签字确认（不予确认的应说明理由，否则视为无异议），采购代理机构将拆封后的投标文件送评标室。</w:t>
      </w:r>
    </w:p>
    <w:p>
      <w:pPr>
        <w:widowControl/>
        <w:numPr>
          <w:ilvl w:val="0"/>
          <w:numId w:val="19"/>
        </w:numPr>
        <w:tabs>
          <w:tab w:val="left" w:pos="0"/>
          <w:tab w:val="left" w:pos="142"/>
          <w:tab w:val="left" w:pos="851"/>
          <w:tab w:val="left" w:pos="993"/>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评标结束后，采购代理机构公布评标委员会推荐的中标候选人名单。</w:t>
      </w:r>
    </w:p>
    <w:p>
      <w:pPr>
        <w:widowControl/>
        <w:numPr>
          <w:ilvl w:val="0"/>
          <w:numId w:val="19"/>
        </w:numPr>
        <w:tabs>
          <w:tab w:val="left" w:pos="0"/>
          <w:tab w:val="left" w:pos="142"/>
          <w:tab w:val="left" w:pos="851"/>
          <w:tab w:val="left" w:pos="993"/>
        </w:tabs>
        <w:autoSpaceDE w:val="0"/>
        <w:autoSpaceDN w:val="0"/>
        <w:spacing w:line="520" w:lineRule="exact"/>
        <w:ind w:left="1"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采购代理机构对开标过程进行记录，并存档备查。开标现场经开封的投标文件不退还给投标人；经评标后，出现的无效投标文件，也不退还给投标人。</w:t>
      </w:r>
    </w:p>
    <w:p>
      <w:pPr>
        <w:widowControl/>
        <w:numPr>
          <w:ilvl w:val="0"/>
          <w:numId w:val="18"/>
        </w:numPr>
        <w:tabs>
          <w:tab w:val="left" w:pos="142"/>
        </w:tabs>
        <w:autoSpaceDE w:val="0"/>
        <w:autoSpaceDN w:val="0"/>
        <w:spacing w:line="520" w:lineRule="exact"/>
        <w:ind w:left="709" w:right="26" w:hanging="709"/>
        <w:jc w:val="left"/>
        <w:textAlignment w:val="bottom"/>
        <w:rPr>
          <w:rFonts w:ascii="仿宋_GB2312" w:hAnsi="宋体" w:eastAsia="仿宋_GB2312" w:cs="宋体"/>
          <w:b/>
          <w:bCs/>
          <w:color w:val="FF0000"/>
          <w:sz w:val="24"/>
        </w:rPr>
      </w:pPr>
      <w:r>
        <w:rPr>
          <w:rFonts w:hint="eastAsia" w:ascii="仿宋_GB2312" w:hAnsi="宋体" w:eastAsia="仿宋_GB2312" w:cs="宋体"/>
          <w:b/>
          <w:bCs/>
          <w:color w:val="FF0000"/>
          <w:sz w:val="24"/>
        </w:rPr>
        <w:t>开标程序（适用于全流程电子化交易项目）</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采购代理机构在《前附表》规定的时间和地点组织公开开标。</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b/>
          <w:sz w:val="24"/>
        </w:rPr>
      </w:pPr>
      <w:r>
        <w:rPr>
          <w:rFonts w:hint="eastAsia" w:ascii="仿宋_GB2312" w:hAnsi="宋体" w:eastAsia="仿宋_GB2312" w:cs="宋体"/>
          <w:b/>
          <w:sz w:val="24"/>
        </w:rPr>
        <w:t>投标人应当在投标截止时间将以介质存储的数据电文形式的备份投标文件和纸质备份投标文件分别密封送交到《前附表》规定的投标地点。在投标截止时间以后送达的投标文件将被拒绝接受。</w:t>
      </w:r>
      <w:r>
        <w:rPr>
          <w:rFonts w:ascii="仿宋_GB2312" w:hAnsi="宋体" w:eastAsia="仿宋_GB2312" w:cs="宋体"/>
          <w:b/>
          <w:sz w:val="24"/>
        </w:rPr>
        <w:t xml:space="preserve"> </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各投标人授权代表及相关单位人员可凭授权委托书（详见专用条款第五部分）和身份证明材料（原件）登记、签到，无关人员将被拒绝进入现场。如法定代表人直接参加投标的，需提供法人资格证明及其身份证明材料（原件）进行登记、签到。投标人未参加开标的，视同认可开标结果。</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现场投标人（如有）签署《投标（响应）文件签收登记表》。</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投标截止时间后，采购代理机构宣布开标，介绍开标现场的人员情况，宣读递交备份投标文件和纸质备份投标文件的投标人名单、开标纪律、应当回避的情形等注意事项，组织现场投标人检查备份投标文件的密封情况，组织现场投标人签署《政府采购活动现场确认声明书》。</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投标人登录政采云平台，在“项目采购-开标评标”模块对电子投标文件进行在线解密。在线解密电子投标文件时间为开始解密起半个小时内。</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采购人通过“信用中国”网站(www.creditchina.gov.cn)、中国政府采购网(www.ccgp.gov.cn)渠道查询投标人于投标截止时间前的信用记录。现场查询的投标人的信用记录查询结果将进行存档。经查询列入失信被执行人名单、重大税收违法案件当事人名单、政府采购严重违法失信行为记录名单的投标人将被拒绝参与政府采购活动。对由两个以上的自然人、法人或者其他组织组成一个联合体，以一个供应商的身份共同参加政府采购活动的，将对所有联合体成员进行信用记录查询，联合体成员存在不良信用记录的，视同联合体存在不良信用记录。</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解密完成后，采购代理机构当场制作并打印《资格、技术商务开标记录表》。</w:t>
      </w:r>
    </w:p>
    <w:p>
      <w:pPr>
        <w:widowControl/>
        <w:numPr>
          <w:ilvl w:val="0"/>
          <w:numId w:val="20"/>
        </w:numPr>
        <w:tabs>
          <w:tab w:val="left" w:pos="0"/>
          <w:tab w:val="left" w:pos="851"/>
        </w:tabs>
        <w:autoSpaceDE w:val="0"/>
        <w:autoSpaceDN w:val="0"/>
        <w:spacing w:line="520" w:lineRule="exact"/>
        <w:ind w:left="0" w:right="26" w:firstLine="0"/>
        <w:jc w:val="left"/>
        <w:textAlignment w:val="bottom"/>
        <w:outlineLvl w:val="2"/>
        <w:rPr>
          <w:rFonts w:ascii="仿宋_GB2312" w:hAnsi="宋体" w:eastAsia="仿宋_GB2312" w:cs="宋体"/>
          <w:sz w:val="24"/>
        </w:rPr>
      </w:pPr>
      <w:r>
        <w:rPr>
          <w:rFonts w:hint="eastAsia" w:ascii="仿宋_GB2312" w:hAnsi="宋体" w:eastAsia="仿宋_GB2312" w:cs="宋体"/>
          <w:sz w:val="24"/>
        </w:rPr>
        <w:t>资格、商务技术文件评审完毕后，开启报价文件，并开启签字时段。结束签字时段后，采购代理机构当场制作并打印《报价文件开标记录表》，开启报价评审。</w:t>
      </w:r>
    </w:p>
    <w:p>
      <w:pPr>
        <w:widowControl/>
        <w:numPr>
          <w:ilvl w:val="0"/>
          <w:numId w:val="20"/>
        </w:numPr>
        <w:tabs>
          <w:tab w:val="left" w:pos="0"/>
          <w:tab w:val="left" w:pos="851"/>
          <w:tab w:val="left" w:pos="993"/>
        </w:tabs>
        <w:autoSpaceDE w:val="0"/>
        <w:autoSpaceDN w:val="0"/>
        <w:spacing w:line="520" w:lineRule="exact"/>
        <w:ind w:left="0" w:right="26" w:firstLine="0"/>
        <w:jc w:val="left"/>
        <w:textAlignment w:val="bottom"/>
        <w:outlineLvl w:val="2"/>
      </w:pPr>
      <w:r>
        <w:rPr>
          <w:rFonts w:hint="eastAsia" w:ascii="仿宋_GB2312" w:hAnsi="宋体" w:eastAsia="仿宋_GB2312" w:cs="宋体"/>
          <w:sz w:val="24"/>
        </w:rPr>
        <w:t>评标结束后，系统公布评标结果。</w:t>
      </w:r>
    </w:p>
    <w:p>
      <w:pPr>
        <w:widowControl/>
        <w:numPr>
          <w:ilvl w:val="0"/>
          <w:numId w:val="20"/>
        </w:numPr>
        <w:tabs>
          <w:tab w:val="left" w:pos="0"/>
          <w:tab w:val="left" w:pos="993"/>
        </w:tabs>
        <w:autoSpaceDE w:val="0"/>
        <w:autoSpaceDN w:val="0"/>
        <w:spacing w:line="520" w:lineRule="exact"/>
        <w:ind w:left="0" w:right="26" w:firstLine="0"/>
        <w:jc w:val="left"/>
        <w:textAlignment w:val="bottom"/>
        <w:outlineLvl w:val="2"/>
        <w:rPr>
          <w:rFonts w:ascii="仿宋_GB2312" w:hAnsi="宋体" w:eastAsia="仿宋_GB2312" w:cs="宋体"/>
          <w:b/>
          <w:color w:val="FF0000"/>
          <w:sz w:val="24"/>
        </w:rPr>
      </w:pPr>
      <w:r>
        <w:rPr>
          <w:rFonts w:hint="eastAsia" w:ascii="仿宋_GB2312" w:hAnsi="仿宋_GB2312" w:eastAsia="仿宋_GB2312" w:cs="仿宋_GB2312"/>
          <w:b/>
          <w:color w:val="FF0000"/>
          <w:sz w:val="24"/>
        </w:rPr>
        <w:t>全流程电子化交易项目原则上采用政采云电子招投标开标及评标程序，但有下情形之一的，按以下情况处理：</w:t>
      </w:r>
    </w:p>
    <w:p>
      <w:pPr>
        <w:numPr>
          <w:ilvl w:val="0"/>
          <w:numId w:val="21"/>
        </w:numPr>
        <w:adjustRightInd w:val="0"/>
        <w:snapToGrid w:val="0"/>
        <w:spacing w:line="520" w:lineRule="exact"/>
        <w:ind w:left="420" w:hanging="420"/>
        <w:jc w:val="left"/>
        <w:rPr>
          <w:rFonts w:ascii="仿宋_GB2312" w:hAnsi="仿宋_GB2312" w:eastAsia="仿宋_GB2312" w:cs="仿宋_GB2312"/>
          <w:sz w:val="24"/>
        </w:rPr>
      </w:pPr>
      <w:r>
        <w:rPr>
          <w:rFonts w:hint="eastAsia" w:ascii="仿宋_GB2312" w:hAnsi="仿宋_GB2312" w:eastAsia="仿宋_GB2312" w:cs="仿宋_GB2312"/>
          <w:sz w:val="24"/>
        </w:rPr>
        <w:t>若电子投标文件在规定时间内无法解密或解密失败，采购代理机构将开启投标人递交的以介质存储的数据电文形式的备份投标文件，上传至政采云平台项目采购模块，以完成开标，电子投标文件自动失效。</w:t>
      </w:r>
    </w:p>
    <w:p>
      <w:pPr>
        <w:numPr>
          <w:ilvl w:val="0"/>
          <w:numId w:val="21"/>
        </w:numPr>
        <w:adjustRightInd w:val="0"/>
        <w:snapToGrid w:val="0"/>
        <w:spacing w:line="520" w:lineRule="exact"/>
        <w:ind w:left="420" w:hanging="420"/>
        <w:jc w:val="left"/>
        <w:rPr>
          <w:rFonts w:ascii="仿宋_GB2312" w:hAnsi="仿宋_GB2312" w:eastAsia="仿宋_GB2312" w:cs="仿宋_GB2312"/>
          <w:sz w:val="24"/>
        </w:rPr>
      </w:pPr>
      <w:r>
        <w:rPr>
          <w:rFonts w:hint="eastAsia" w:ascii="仿宋_GB2312" w:hAnsi="仿宋_GB2312" w:eastAsia="仿宋_GB2312" w:cs="仿宋_GB2312"/>
          <w:sz w:val="24"/>
        </w:rPr>
        <w:t>若因政采云平台原因无法读取或电子开评标无法正常进行，采购代理机构将开启所有投标人递交的纸质备份投标文件，以完成开标，电子投标文件及以介质存储的数据电文形式的备份投标文件自动失效。</w:t>
      </w:r>
    </w:p>
    <w:p>
      <w:pPr>
        <w:numPr>
          <w:ilvl w:val="0"/>
          <w:numId w:val="21"/>
        </w:numPr>
        <w:adjustRightInd w:val="0"/>
        <w:snapToGrid w:val="0"/>
        <w:spacing w:line="520" w:lineRule="exact"/>
        <w:ind w:left="420" w:hanging="420"/>
        <w:jc w:val="left"/>
        <w:rPr>
          <w:rFonts w:ascii="仿宋_GB2312" w:hAnsi="仿宋_GB2312" w:eastAsia="仿宋_GB2312" w:cs="仿宋_GB2312"/>
          <w:sz w:val="24"/>
        </w:rPr>
      </w:pPr>
      <w:r>
        <w:rPr>
          <w:rFonts w:hint="eastAsia" w:ascii="仿宋_GB2312" w:hAnsi="仿宋_GB2312" w:eastAsia="仿宋_GB2312" w:cs="仿宋_GB2312"/>
          <w:sz w:val="24"/>
        </w:rPr>
        <w:t>纸质备份投标文件的开标程序参照</w:t>
      </w:r>
      <w:r>
        <w:rPr>
          <w:rFonts w:hint="eastAsia" w:ascii="仿宋_GB2312" w:hAnsi="仿宋_GB2312" w:eastAsia="仿宋_GB2312" w:cs="仿宋_GB2312"/>
          <w:b/>
          <w:bCs/>
          <w:sz w:val="24"/>
        </w:rPr>
        <w:t>第11.1款</w:t>
      </w:r>
      <w:r>
        <w:rPr>
          <w:rFonts w:hint="eastAsia" w:ascii="仿宋_GB2312" w:hAnsi="仿宋_GB2312" w:eastAsia="仿宋_GB2312" w:cs="仿宋_GB2312"/>
          <w:sz w:val="24"/>
        </w:rPr>
        <w:t>。</w:t>
      </w:r>
    </w:p>
    <w:p>
      <w:pPr>
        <w:widowControl/>
        <w:numPr>
          <w:ilvl w:val="0"/>
          <w:numId w:val="20"/>
        </w:numPr>
        <w:tabs>
          <w:tab w:val="left" w:pos="0"/>
          <w:tab w:val="left" w:pos="993"/>
        </w:tabs>
        <w:autoSpaceDE w:val="0"/>
        <w:autoSpaceDN w:val="0"/>
        <w:spacing w:line="520" w:lineRule="exact"/>
        <w:ind w:left="0" w:right="26" w:firstLine="0"/>
        <w:jc w:val="left"/>
        <w:textAlignment w:val="bottom"/>
        <w:outlineLvl w:val="2"/>
        <w:rPr>
          <w:rFonts w:ascii="仿宋_GB2312" w:hAnsi="仿宋_GB2312" w:eastAsia="仿宋_GB2312" w:cs="仿宋_GB2312"/>
          <w:b/>
          <w:color w:val="FF0000"/>
          <w:sz w:val="24"/>
        </w:rPr>
      </w:pPr>
      <w:r>
        <w:rPr>
          <w:rFonts w:hint="eastAsia" w:ascii="仿宋_GB2312" w:hAnsi="仿宋_GB2312" w:eastAsia="仿宋_GB2312" w:cs="仿宋_GB2312"/>
          <w:b/>
          <w:color w:val="FF0000"/>
          <w:sz w:val="24"/>
        </w:rPr>
        <w:t>特别说明：如政采云公司对全流程电子化交易项目开标及评标程序有调整的，按调整后的程序操作。</w:t>
      </w:r>
    </w:p>
    <w:p>
      <w:pPr>
        <w:pStyle w:val="2"/>
        <w:spacing w:line="520" w:lineRule="exact"/>
        <w:ind w:firstLine="0" w:firstLineChars="0"/>
      </w:pPr>
    </w:p>
    <w:p>
      <w:p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12.资格审查</w:t>
      </w:r>
    </w:p>
    <w:p>
      <w:pPr>
        <w:widowControl/>
        <w:numPr>
          <w:ilvl w:val="0"/>
          <w:numId w:val="22"/>
        </w:numPr>
        <w:tabs>
          <w:tab w:val="left" w:pos="0"/>
          <w:tab w:val="left" w:pos="709"/>
          <w:tab w:val="left" w:pos="851"/>
        </w:tabs>
        <w:autoSpaceDE w:val="0"/>
        <w:autoSpaceDN w:val="0"/>
        <w:spacing w:line="520" w:lineRule="exact"/>
        <w:ind w:left="0" w:right="26" w:firstLine="0"/>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开标结束后，采购人或采购代理机构依据法律法规和招标文件的规定，对投标人的资格进行审查。</w:t>
      </w:r>
    </w:p>
    <w:p>
      <w:pPr>
        <w:widowControl/>
        <w:numPr>
          <w:ilvl w:val="0"/>
          <w:numId w:val="22"/>
        </w:numPr>
        <w:tabs>
          <w:tab w:val="left" w:pos="0"/>
          <w:tab w:val="left" w:pos="709"/>
        </w:tabs>
        <w:autoSpaceDE w:val="0"/>
        <w:autoSpaceDN w:val="0"/>
        <w:spacing w:line="520" w:lineRule="exact"/>
        <w:ind w:left="0" w:right="26" w:firstLine="0"/>
        <w:jc w:val="left"/>
        <w:textAlignment w:val="bottom"/>
        <w:outlineLvl w:val="2"/>
        <w:rPr>
          <w:rFonts w:ascii="仿宋_GB2312" w:hAnsi="仿宋_GB2312" w:eastAsia="仿宋_GB2312" w:cs="仿宋_GB2312"/>
          <w:sz w:val="24"/>
        </w:rPr>
      </w:pPr>
      <w:r>
        <w:rPr>
          <w:rFonts w:hint="eastAsia" w:ascii="仿宋_GB2312" w:hAnsi="宋体" w:eastAsia="仿宋_GB2312" w:cs="宋体"/>
          <w:sz w:val="24"/>
        </w:rPr>
        <w:t>资格审查结束，采购代理机构向投标人宣布资格审查不通过的投标人名单和资格审查不通过原因。</w:t>
      </w:r>
    </w:p>
    <w:p>
      <w:pPr>
        <w:widowControl/>
        <w:numPr>
          <w:ilvl w:val="0"/>
          <w:numId w:val="22"/>
        </w:numPr>
        <w:tabs>
          <w:tab w:val="left" w:pos="0"/>
          <w:tab w:val="left" w:pos="709"/>
        </w:tabs>
        <w:autoSpaceDE w:val="0"/>
        <w:autoSpaceDN w:val="0"/>
        <w:spacing w:line="520" w:lineRule="exact"/>
        <w:ind w:left="0" w:right="26" w:firstLine="0"/>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如通过资格审查的有效投标人不足三家的，采购人将依法进行重新招标或报财政部门批准采用其他采购方式。</w:t>
      </w:r>
    </w:p>
    <w:p>
      <w:pPr>
        <w:pStyle w:val="2"/>
        <w:spacing w:line="520" w:lineRule="exact"/>
        <w:ind w:firstLine="0" w:firstLineChars="0"/>
      </w:pPr>
    </w:p>
    <w:p>
      <w:pPr>
        <w:tabs>
          <w:tab w:val="left" w:pos="420"/>
        </w:tabs>
        <w:adjustRightInd w:val="0"/>
        <w:spacing w:line="520" w:lineRule="exact"/>
        <w:outlineLvl w:val="2"/>
        <w:rPr>
          <w:rFonts w:ascii="仿宋_GB2312" w:hAnsi="宋体" w:eastAsia="仿宋_GB2312" w:cs="宋体"/>
          <w:b/>
          <w:bCs/>
          <w:sz w:val="24"/>
        </w:rPr>
      </w:pPr>
      <w:bookmarkStart w:id="84" w:name="_Toc30144644"/>
      <w:bookmarkStart w:id="85" w:name="_Toc30144214"/>
      <w:r>
        <w:rPr>
          <w:rFonts w:hint="eastAsia" w:ascii="仿宋_GB2312" w:hAnsi="宋体" w:eastAsia="仿宋_GB2312" w:cs="宋体"/>
          <w:b/>
          <w:bCs/>
          <w:sz w:val="24"/>
        </w:rPr>
        <w:t>13.</w:t>
      </w:r>
      <w:bookmarkEnd w:id="84"/>
      <w:bookmarkEnd w:id="85"/>
      <w:r>
        <w:rPr>
          <w:rFonts w:hint="eastAsia" w:ascii="仿宋_GB2312" w:hAnsi="宋体" w:eastAsia="仿宋_GB2312" w:cs="宋体"/>
          <w:b/>
          <w:bCs/>
          <w:sz w:val="24"/>
        </w:rPr>
        <w:t xml:space="preserve"> 评标</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评标委员会</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依照有关法律法规，由采购人委托的采购代理机构组建评标委员会，</w:t>
      </w:r>
      <w:r>
        <w:rPr>
          <w:rFonts w:hint="eastAsia" w:ascii="仿宋_GB2312" w:hAnsi="宋体" w:eastAsia="仿宋_GB2312" w:cs="宋体"/>
          <w:kern w:val="0"/>
          <w:sz w:val="24"/>
        </w:rPr>
        <w:t>评标委员会由五人以上单数评标专家组成。</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评标专家是通过随机方式从省级以上财政部门设立的政府采购评标专家库中抽取的（采购人可以派代表参加评标委员会，但采购人代表在评标委员会中所占比例不得超过三分之一）。</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委员会依照有关法律法规负责评标工作，并独立履行下列职责：审查投标文件是否符合招标文件的实质性要求，并做出比较和评价；要求投标人对投标文件有关事项做出澄清或说明；向采购人以评标报告方式推荐中标候选人名单；向采购人、采购代理机构或者有关部门报告评标中发现的违法行为。</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4"/>
        </w:numPr>
        <w:tabs>
          <w:tab w:val="left" w:pos="709"/>
          <w:tab w:val="left" w:pos="851"/>
        </w:tabs>
        <w:adjustRightInd w:val="0"/>
        <w:spacing w:line="520" w:lineRule="exact"/>
        <w:ind w:left="0" w:firstLine="0"/>
        <w:rPr>
          <w:rFonts w:ascii="仿宋_GB2312" w:hAnsi="宋体" w:eastAsia="仿宋_GB2312" w:cs="宋体"/>
          <w:b/>
          <w:color w:val="FF0000"/>
          <w:kern w:val="0"/>
          <w:sz w:val="24"/>
        </w:rPr>
      </w:pPr>
      <w:r>
        <w:rPr>
          <w:rFonts w:hint="eastAsia" w:ascii="仿宋_GB2312" w:hAnsi="宋体" w:eastAsia="仿宋_GB2312" w:cs="宋体"/>
          <w:b/>
          <w:color w:val="FF0000"/>
          <w:kern w:val="0"/>
          <w:sz w:val="24"/>
        </w:rPr>
        <w:t>全流程电子化交易项目的评审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符合性审查</w:t>
      </w:r>
    </w:p>
    <w:p>
      <w:pPr>
        <w:numPr>
          <w:ilvl w:val="0"/>
          <w:numId w:val="25"/>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在对投标文件进行详细评标之前，评标委员会从投标文件的有效性、完整性和对招标文件的响应程度进行符合性审查，审查投标文件是否实质上响应了招标文件的要求。</w:t>
      </w:r>
    </w:p>
    <w:p>
      <w:pPr>
        <w:numPr>
          <w:ilvl w:val="0"/>
          <w:numId w:val="25"/>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实质上响应的投标应该是与招标文件要求的全部条款、条件和规格相符，没有重大偏离的投标。评标委员会决定投标文件的响应性是基于投标文件的内容本身而不依靠外部的证据，但投标有不真实不正确的内容时除外。</w:t>
      </w:r>
    </w:p>
    <w:p>
      <w:pPr>
        <w:numPr>
          <w:ilvl w:val="0"/>
          <w:numId w:val="25"/>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针对多标项项目，如招标文件内明确标项不可兼中的，投标人仅能被评标委员会推荐一次，已被评标委员会推荐为排名第一的中标候选人，将不再进入后续标项的评审。</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评标程序</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采购代理机构宣布评标现场纪律，评标专家如与投标人或评标委员会其他成员存在利害关系的，应主动提出回避并自觉签订《政府采购评审人员廉洁自律承诺书》。</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评标委员会在开始评标前，推荐一位评标专家作为组长。</w:t>
      </w:r>
    </w:p>
    <w:p>
      <w:pPr>
        <w:numPr>
          <w:ilvl w:val="0"/>
          <w:numId w:val="27"/>
        </w:numPr>
        <w:tabs>
          <w:tab w:val="left" w:pos="0"/>
          <w:tab w:val="left" w:pos="567"/>
        </w:tabs>
        <w:adjustRightInd w:val="0"/>
        <w:snapToGrid w:val="0"/>
        <w:spacing w:line="520" w:lineRule="exact"/>
        <w:ind w:left="142"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组长应召集成员认真阅读招标文件以及相关补充、质疑、答复文件、项目书面说明等材料，熟悉采购项目的基本概况，采购项目的质量要求、数量、主要技术标准或服务需求，采购合同主要条款，采购响应文件无效情形，评标方法、评标依据、评标标准等；</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组织评标委员会成员独立评标；</w:t>
      </w:r>
    </w:p>
    <w:p>
      <w:pPr>
        <w:numPr>
          <w:ilvl w:val="0"/>
          <w:numId w:val="27"/>
        </w:numPr>
        <w:tabs>
          <w:tab w:val="left" w:pos="0"/>
          <w:tab w:val="left" w:pos="567"/>
        </w:tabs>
        <w:adjustRightInd w:val="0"/>
        <w:snapToGrid w:val="0"/>
        <w:spacing w:line="520" w:lineRule="exact"/>
        <w:ind w:left="142" w:firstLine="0"/>
        <w:jc w:val="left"/>
        <w:rPr>
          <w:rFonts w:ascii="仿宋_GB2312" w:hAnsi="仿宋_GB2312" w:eastAsia="仿宋_GB2312" w:cs="仿宋_GB2312"/>
          <w:sz w:val="24"/>
        </w:rPr>
      </w:pPr>
      <w:r>
        <w:rPr>
          <w:rFonts w:hint="eastAsia" w:ascii="仿宋_GB2312" w:hAnsi="仿宋_GB2312" w:eastAsia="仿宋_GB2312" w:cs="仿宋_GB2312"/>
          <w:sz w:val="24"/>
        </w:rPr>
        <w:t>针对成员对投标文件中非实质性内容提出的疑义或异议，或者审查发现明显的文字或计算错误等组织评标委员会进行商议；</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组织需要投标人的授权代表进行澄清或说明时的提问；</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对打分结果进行校对、核对；</w:t>
      </w:r>
    </w:p>
    <w:p>
      <w:pPr>
        <w:numPr>
          <w:ilvl w:val="0"/>
          <w:numId w:val="27"/>
        </w:numPr>
        <w:tabs>
          <w:tab w:val="left" w:pos="0"/>
          <w:tab w:val="left" w:pos="567"/>
        </w:tabs>
        <w:adjustRightInd w:val="0"/>
        <w:snapToGrid w:val="0"/>
        <w:spacing w:line="520" w:lineRule="exact"/>
        <w:ind w:left="142" w:firstLine="0"/>
        <w:jc w:val="left"/>
        <w:rPr>
          <w:rFonts w:ascii="仿宋_GB2312" w:hAnsi="仿宋_GB2312" w:eastAsia="仿宋_GB2312" w:cs="仿宋_GB2312"/>
          <w:sz w:val="24"/>
        </w:rPr>
      </w:pPr>
      <w:r>
        <w:rPr>
          <w:rFonts w:hint="eastAsia" w:ascii="仿宋_GB2312" w:hAnsi="仿宋_GB2312" w:eastAsia="仿宋_GB2312" w:cs="仿宋_GB2312"/>
          <w:sz w:val="24"/>
        </w:rPr>
        <w:t>提醒成员对明显畸高、畸低的评分（其总评分偏离平均分30%以上的）进行复核或书面说明理由；</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起草评标报告。</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评标委员会对资格部分审核通过的投标人继续进行符合性审查和商务技术、报价部分的评标。</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评标委员会根据评标汇总情况和招标文件规定确定中标候选人排序名单。</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起草评标报告，评标委员会所有成员签字确认。</w:t>
      </w:r>
    </w:p>
    <w:p>
      <w:pPr>
        <w:numPr>
          <w:ilvl w:val="0"/>
          <w:numId w:val="23"/>
        </w:numPr>
        <w:tabs>
          <w:tab w:val="left" w:pos="709"/>
        </w:tabs>
        <w:adjustRightInd w:val="0"/>
        <w:spacing w:line="520" w:lineRule="exact"/>
        <w:ind w:left="0" w:firstLine="0"/>
        <w:rPr>
          <w:rFonts w:ascii="仿宋_GB2312" w:hAnsi="宋体" w:eastAsia="仿宋_GB2312" w:cs="宋体"/>
          <w:sz w:val="24"/>
        </w:rPr>
      </w:pPr>
      <w:bookmarkStart w:id="86" w:name="_Toc30144220"/>
      <w:bookmarkStart w:id="87" w:name="_Toc30144650"/>
      <w:r>
        <w:rPr>
          <w:rFonts w:hint="eastAsia" w:ascii="仿宋_GB2312" w:hAnsi="宋体" w:eastAsia="仿宋_GB2312" w:cs="宋体"/>
          <w:sz w:val="24"/>
        </w:rPr>
        <w:t>评标报告</w:t>
      </w:r>
      <w:bookmarkEnd w:id="86"/>
      <w:bookmarkEnd w:id="87"/>
    </w:p>
    <w:p>
      <w:pPr>
        <w:numPr>
          <w:ilvl w:val="0"/>
          <w:numId w:val="28"/>
        </w:numPr>
        <w:tabs>
          <w:tab w:val="left" w:pos="709"/>
          <w:tab w:val="left" w:pos="851"/>
        </w:tabs>
        <w:spacing w:line="520" w:lineRule="exact"/>
        <w:ind w:left="0" w:firstLine="0"/>
        <w:rPr>
          <w:rFonts w:ascii="仿宋_GB2312" w:hAnsi="宋体" w:eastAsia="仿宋_GB2312" w:cs="宋体"/>
          <w:b/>
          <w:bCs/>
          <w:sz w:val="24"/>
        </w:rPr>
      </w:pPr>
      <w:r>
        <w:rPr>
          <w:rFonts w:hint="eastAsia" w:ascii="仿宋_GB2312" w:hAnsi="仿宋_GB2312" w:eastAsia="仿宋_GB2312" w:cs="仿宋_GB2312"/>
          <w:sz w:val="24"/>
        </w:rPr>
        <w:t>评标报告是评标委员会根据全体评标成员签字的原始评标记录和评标结果编写的报告，其主要内容包括：</w:t>
      </w:r>
      <w:r>
        <w:rPr>
          <w:rFonts w:hint="eastAsia" w:ascii="仿宋_GB2312" w:hAnsi="宋体" w:eastAsia="仿宋_GB2312" w:cs="宋体"/>
          <w:sz w:val="24"/>
        </w:rPr>
        <w:br w:type="textWrapping"/>
      </w:r>
      <w:r>
        <w:rPr>
          <w:rFonts w:hint="eastAsia" w:ascii="仿宋_GB2312" w:hAnsi="宋体" w:eastAsia="仿宋_GB2312" w:cs="宋体"/>
          <w:sz w:val="24"/>
        </w:rPr>
        <w:t>（1）招标公告刊登的媒体名称、开标日期和地点；</w:t>
      </w:r>
      <w:r>
        <w:rPr>
          <w:rFonts w:hint="eastAsia" w:ascii="仿宋_GB2312" w:hAnsi="宋体" w:eastAsia="仿宋_GB2312" w:cs="宋体"/>
          <w:sz w:val="24"/>
        </w:rPr>
        <w:br w:type="textWrapping"/>
      </w:r>
      <w:r>
        <w:rPr>
          <w:rFonts w:hint="eastAsia" w:ascii="仿宋_GB2312" w:hAnsi="宋体" w:eastAsia="仿宋_GB2312" w:cs="宋体"/>
          <w:sz w:val="24"/>
        </w:rPr>
        <w:t>（2）获取招标文件的投标人名单和评标委员会成员名单；</w:t>
      </w:r>
      <w:r>
        <w:rPr>
          <w:rFonts w:hint="eastAsia" w:ascii="仿宋_GB2312" w:hAnsi="宋体" w:eastAsia="仿宋_GB2312" w:cs="宋体"/>
          <w:sz w:val="24"/>
        </w:rPr>
        <w:br w:type="textWrapping"/>
      </w:r>
      <w:r>
        <w:rPr>
          <w:rFonts w:hint="eastAsia" w:ascii="仿宋_GB2312" w:hAnsi="宋体" w:eastAsia="仿宋_GB2312" w:cs="宋体"/>
          <w:sz w:val="24"/>
        </w:rPr>
        <w:t>（3）评标方法和标准；</w:t>
      </w:r>
      <w:r>
        <w:rPr>
          <w:rFonts w:hint="eastAsia" w:ascii="仿宋_GB2312" w:hAnsi="宋体" w:eastAsia="仿宋_GB2312" w:cs="宋体"/>
          <w:sz w:val="24"/>
        </w:rPr>
        <w:br w:type="textWrapping"/>
      </w:r>
      <w:r>
        <w:rPr>
          <w:rFonts w:hint="eastAsia" w:ascii="仿宋_GB2312" w:hAnsi="宋体" w:eastAsia="仿宋_GB2312" w:cs="宋体"/>
          <w:sz w:val="24"/>
        </w:rPr>
        <w:t>（4）开标记录和评标情况及说明，包括投标无效的投标人名单及原因；</w:t>
      </w:r>
      <w:r>
        <w:rPr>
          <w:rFonts w:hint="eastAsia" w:ascii="仿宋_GB2312" w:hAnsi="宋体" w:eastAsia="仿宋_GB2312" w:cs="宋体"/>
          <w:sz w:val="24"/>
        </w:rPr>
        <w:br w:type="textWrapping"/>
      </w:r>
      <w:r>
        <w:rPr>
          <w:rFonts w:hint="eastAsia" w:ascii="仿宋_GB2312" w:hAnsi="宋体" w:eastAsia="仿宋_GB2312" w:cs="宋体"/>
          <w:sz w:val="24"/>
        </w:rPr>
        <w:t>（5）评标结果和候选中标候选人排序表；</w:t>
      </w:r>
      <w:r>
        <w:rPr>
          <w:rFonts w:hint="eastAsia" w:ascii="仿宋_GB2312" w:hAnsi="宋体" w:eastAsia="仿宋_GB2312" w:cs="宋体"/>
          <w:sz w:val="24"/>
        </w:rPr>
        <w:br w:type="textWrapping"/>
      </w:r>
      <w:r>
        <w:rPr>
          <w:rFonts w:hint="eastAsia" w:ascii="仿宋_GB2312" w:hAnsi="宋体" w:eastAsia="仿宋_GB2312" w:cs="宋体"/>
          <w:sz w:val="24"/>
        </w:rPr>
        <w:t>（6） 其他需要说明的情况，包括评标过程中投标人根据评标委员会要求进行的澄清、说明或者补正，评标委员会成员的更换等</w:t>
      </w:r>
      <w:r>
        <w:rPr>
          <w:rFonts w:hint="eastAsia" w:ascii="仿宋_GB2312" w:hAnsi="宋体" w:eastAsia="仿宋_GB2312" w:cs="宋体"/>
          <w:b/>
          <w:bCs/>
          <w:sz w:val="24"/>
        </w:rPr>
        <w:t>。</w:t>
      </w:r>
    </w:p>
    <w:p>
      <w:pPr>
        <w:numPr>
          <w:ilvl w:val="0"/>
          <w:numId w:val="23"/>
        </w:numPr>
        <w:tabs>
          <w:tab w:val="left" w:pos="709"/>
        </w:tabs>
        <w:adjustRightInd w:val="0"/>
        <w:spacing w:line="520" w:lineRule="exact"/>
        <w:ind w:left="0" w:firstLine="0"/>
        <w:rPr>
          <w:rFonts w:ascii="仿宋_GB2312" w:hAnsi="宋体" w:eastAsia="仿宋_GB2312" w:cs="宋体"/>
          <w:b/>
          <w:color w:val="FF0000"/>
          <w:sz w:val="24"/>
        </w:rPr>
      </w:pPr>
      <w:r>
        <w:rPr>
          <w:rFonts w:hint="eastAsia" w:ascii="仿宋_GB2312" w:hAnsi="宋体" w:eastAsia="仿宋_GB2312" w:cs="宋体"/>
          <w:b/>
          <w:color w:val="FF0000"/>
          <w:sz w:val="24"/>
        </w:rPr>
        <w:t xml:space="preserve">采购人对评标报告充分评议研究后，确定排名第一的中标侯选人为预中标人，若排名第一的中标候选人放弃中标、或者因不可抗力提出不能履行合同，或者未能按招标文件规定期限内提交履约保证金，则视为其违约，并取消其中标资格。根据具体情况，可以推荐标项中总分排名第二的投标人为中标人或针对本项目重新组织招标。   </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澄清、说明或者补正</w:t>
      </w:r>
    </w:p>
    <w:p>
      <w:pPr>
        <w:numPr>
          <w:ilvl w:val="0"/>
          <w:numId w:val="29"/>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在评标期间，为有助于对投标文件的审查、评估和比较，评标委员会可以要求投标人对其投标文件进行澄清，但不得寻求、提供或允许对投标价格等实质性内容做任何变更。有关澄清的要求与答复均应以书面形式提交。</w:t>
      </w:r>
    </w:p>
    <w:p>
      <w:pPr>
        <w:numPr>
          <w:ilvl w:val="0"/>
          <w:numId w:val="29"/>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澄清文件将作为投标文件内容的一部分，投标人对投标文件的澄清或说明不得超出投标文件的范围或改变投标文件的实质性的内容。凡属于评标委员会在评标中发现的计算错误并进行核实的修改不在此列。</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投标文件报价出现前后不一致的，除招标文件另有规定外，按照下列规定修正：</w:t>
      </w:r>
      <w:r>
        <w:rPr>
          <w:rFonts w:hint="eastAsia" w:ascii="仿宋_GB2312" w:hAnsi="宋体" w:eastAsia="仿宋_GB2312" w:cs="宋体"/>
          <w:sz w:val="24"/>
        </w:rPr>
        <w:br w:type="textWrapping"/>
      </w:r>
      <w:r>
        <w:rPr>
          <w:rFonts w:hint="eastAsia" w:ascii="仿宋_GB2312" w:hAnsi="宋体" w:eastAsia="仿宋_GB2312" w:cs="宋体"/>
          <w:sz w:val="24"/>
        </w:rPr>
        <w:t>（1）投标文件中的开标一览表（报价表）内容与投标文件中相应内容不一致的，以开标一览表（报价表）为准；</w:t>
      </w:r>
      <w:r>
        <w:rPr>
          <w:rFonts w:hint="eastAsia" w:ascii="仿宋_GB2312" w:hAnsi="宋体" w:eastAsia="仿宋_GB2312" w:cs="宋体"/>
          <w:sz w:val="24"/>
        </w:rPr>
        <w:br w:type="textWrapping"/>
      </w:r>
      <w:r>
        <w:rPr>
          <w:rFonts w:hint="eastAsia" w:ascii="仿宋_GB2312" w:hAnsi="宋体" w:eastAsia="仿宋_GB2312" w:cs="宋体"/>
          <w:sz w:val="24"/>
        </w:rPr>
        <w:t>（2）大写金额和小写金额不一致，以大写的金额为准；</w:t>
      </w:r>
      <w:r>
        <w:rPr>
          <w:rFonts w:hint="eastAsia" w:ascii="仿宋_GB2312" w:hAnsi="宋体" w:eastAsia="仿宋_GB2312" w:cs="宋体"/>
          <w:sz w:val="24"/>
        </w:rPr>
        <w:br w:type="textWrapping"/>
      </w:r>
      <w:r>
        <w:rPr>
          <w:rFonts w:hint="eastAsia" w:ascii="仿宋_GB2312" w:hAnsi="宋体" w:eastAsia="仿宋_GB2312" w:cs="宋体"/>
          <w:sz w:val="24"/>
        </w:rPr>
        <w:t>（3）单价金额小数点或者百分比有明显错位的，应以开标一览表（报价表）的总价为准，并修改单价；</w:t>
      </w:r>
      <w:r>
        <w:rPr>
          <w:rFonts w:hint="eastAsia" w:ascii="仿宋_GB2312" w:hAnsi="宋体" w:eastAsia="仿宋_GB2312" w:cs="宋体"/>
          <w:sz w:val="24"/>
        </w:rPr>
        <w:br w:type="textWrapping"/>
      </w:r>
      <w:r>
        <w:rPr>
          <w:rFonts w:hint="eastAsia" w:ascii="仿宋_GB2312" w:hAnsi="宋体" w:eastAsia="仿宋_GB2312" w:cs="宋体"/>
          <w:sz w:val="24"/>
        </w:rPr>
        <w:t>（4）总价金额与按单价汇总金额不一致的，以单价金额计算结果为准；</w:t>
      </w:r>
      <w:r>
        <w:rPr>
          <w:rFonts w:hint="eastAsia" w:ascii="仿宋_GB2312" w:hAnsi="宋体" w:eastAsia="仿宋_GB2312" w:cs="宋体"/>
          <w:sz w:val="24"/>
        </w:rPr>
        <w:br w:type="textWrapping"/>
      </w:r>
      <w:r>
        <w:rPr>
          <w:rFonts w:hint="eastAsia" w:ascii="仿宋_GB2312" w:hAnsi="宋体" w:eastAsia="仿宋_GB2312" w:cs="宋体"/>
          <w:sz w:val="24"/>
        </w:rPr>
        <w:t xml:space="preserve">    同时出现两种以上不一致的，按前款规定的顺序修正。</w:t>
      </w:r>
      <w:r>
        <w:rPr>
          <w:rFonts w:hint="eastAsia" w:ascii="仿宋_GB2312" w:hAnsi="仿宋_GB2312" w:eastAsia="仿宋_GB2312" w:cs="仿宋_GB2312"/>
          <w:sz w:val="24"/>
        </w:rPr>
        <w:t>评标委员会将按上述修正错误的方法调整投标文件中的投标报价，调整后的价格应对投标人具有约束力。</w:t>
      </w:r>
    </w:p>
    <w:p>
      <w:pPr>
        <w:numPr>
          <w:ilvl w:val="0"/>
          <w:numId w:val="23"/>
        </w:numPr>
        <w:tabs>
          <w:tab w:val="left" w:pos="709"/>
        </w:tabs>
        <w:adjustRightInd w:val="0"/>
        <w:spacing w:line="520" w:lineRule="exact"/>
        <w:ind w:left="0" w:firstLine="0"/>
        <w:rPr>
          <w:rFonts w:ascii="仿宋_GB2312" w:hAnsi="宋体" w:eastAsia="仿宋_GB2312" w:cs="宋体"/>
          <w:b/>
          <w:color w:val="FF0000"/>
          <w:sz w:val="24"/>
        </w:rPr>
      </w:pPr>
      <w:r>
        <w:rPr>
          <w:rFonts w:hint="eastAsia" w:ascii="仿宋_GB2312" w:hAnsi="宋体" w:eastAsia="仿宋_GB2312" w:cs="宋体"/>
          <w:b/>
          <w:color w:val="FF0000"/>
          <w:sz w:val="24"/>
        </w:rPr>
        <w:t>评标委员会发现投标人的报价为异常低价，有可能影响合同履行的，应当要求投标人在合理期限内作澄清或者说明，并提供必要的证明材料。</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中标候选推荐</w:t>
      </w:r>
    </w:p>
    <w:p>
      <w:pPr>
        <w:numPr>
          <w:ilvl w:val="0"/>
          <w:numId w:val="30"/>
        </w:numPr>
        <w:tabs>
          <w:tab w:val="left" w:pos="630"/>
          <w:tab w:val="left" w:pos="851"/>
        </w:tabs>
        <w:adjustRightInd w:val="0"/>
        <w:spacing w:line="520" w:lineRule="exact"/>
        <w:ind w:left="0" w:hanging="3"/>
        <w:rPr>
          <w:rFonts w:ascii="仿宋_GB2312" w:hAnsi="宋体" w:eastAsia="仿宋_GB2312" w:cs="宋体"/>
          <w:sz w:val="24"/>
        </w:rPr>
      </w:pPr>
      <w:r>
        <w:rPr>
          <w:rFonts w:hint="eastAsia" w:ascii="仿宋_GB2312" w:hAnsi="宋体" w:eastAsia="仿宋_GB2312" w:cs="宋体"/>
          <w:sz w:val="24"/>
        </w:rPr>
        <w:t>中标候选人排序表</w:t>
      </w:r>
      <w:r>
        <w:rPr>
          <w:rFonts w:ascii="仿宋_GB2312" w:hAnsi="宋体" w:eastAsia="仿宋_GB2312" w:cs="宋体"/>
          <w:sz w:val="24"/>
        </w:rPr>
        <w:t>按评标后得分由高到低顺序排列。</w:t>
      </w:r>
      <w:r>
        <w:rPr>
          <w:rFonts w:ascii="仿宋_GB2312" w:hAnsi="仿宋_GB2312" w:eastAsia="仿宋_GB2312" w:cs="仿宋_GB2312"/>
          <w:sz w:val="24"/>
        </w:rPr>
        <w:t>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30"/>
        </w:numPr>
        <w:tabs>
          <w:tab w:val="left" w:pos="630"/>
          <w:tab w:val="left" w:pos="851"/>
        </w:tabs>
        <w:adjustRightInd w:val="0"/>
        <w:spacing w:line="520" w:lineRule="exact"/>
        <w:ind w:left="0" w:hanging="3"/>
        <w:rPr>
          <w:rFonts w:ascii="仿宋_GB2312" w:hAnsi="宋体" w:eastAsia="仿宋_GB2312" w:cs="宋体"/>
          <w:sz w:val="24"/>
        </w:rPr>
      </w:pPr>
      <w:r>
        <w:rPr>
          <w:rFonts w:hint="eastAsia" w:ascii="仿宋_GB2312" w:hAnsi="宋体" w:eastAsia="仿宋_GB2312" w:cs="宋体"/>
          <w:sz w:val="24"/>
        </w:rPr>
        <w:t>多家投标人提供相同品牌产品（单一产品采购项目中的该产品或者非单一产品采购项目的核心产品）且通过资格审查、符合性审查的不同投标人参加同一合同项下投标的，按一家投标人计算，评标后得分最高的同品牌投标人获得中标人推荐资格；评标得分相同的，采取随机抽取方式确定，其他同品牌投标人不作为中标候选人。</w:t>
      </w:r>
    </w:p>
    <w:p>
      <w:pPr>
        <w:numPr>
          <w:ilvl w:val="0"/>
          <w:numId w:val="23"/>
        </w:numPr>
        <w:tabs>
          <w:tab w:val="left" w:pos="709"/>
        </w:tabs>
        <w:adjustRightInd w:val="0"/>
        <w:spacing w:line="520" w:lineRule="exact"/>
        <w:ind w:left="0" w:firstLine="0"/>
        <w:rPr>
          <w:rFonts w:ascii="仿宋_GB2312" w:hAnsi="宋体" w:eastAsia="仿宋_GB2312" w:cs="宋体"/>
          <w:sz w:val="24"/>
        </w:rPr>
      </w:pPr>
      <w:bookmarkStart w:id="88" w:name="_Toc30144212"/>
      <w:bookmarkStart w:id="89" w:name="_Toc30144642"/>
      <w:r>
        <w:rPr>
          <w:rFonts w:hint="eastAsia" w:ascii="仿宋_GB2312" w:hAnsi="宋体" w:eastAsia="仿宋_GB2312" w:cs="宋体"/>
          <w:sz w:val="24"/>
        </w:rPr>
        <w:t>评标过程的保密性</w:t>
      </w:r>
      <w:bookmarkEnd w:id="88"/>
      <w:bookmarkEnd w:id="89"/>
    </w:p>
    <w:p>
      <w:pPr>
        <w:numPr>
          <w:ilvl w:val="0"/>
          <w:numId w:val="31"/>
        </w:numPr>
        <w:tabs>
          <w:tab w:val="left" w:pos="709"/>
          <w:tab w:val="left" w:pos="993"/>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凡与审查、质疑、评估和比较投标的有关资料以及授标意见等，均不得向投标人及与评标无关的其他人透露。</w:t>
      </w:r>
    </w:p>
    <w:p>
      <w:pPr>
        <w:numPr>
          <w:ilvl w:val="0"/>
          <w:numId w:val="31"/>
        </w:numPr>
        <w:tabs>
          <w:tab w:val="left" w:pos="709"/>
          <w:tab w:val="left" w:pos="993"/>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中标人确定后，采购代理机构不对未中标人就评标过程作出任何解释。未中标人不得向评标委员会成员或其他有关人员索问评标过程的情况和材料。</w:t>
      </w:r>
    </w:p>
    <w:p>
      <w:pPr>
        <w:numPr>
          <w:ilvl w:val="0"/>
          <w:numId w:val="23"/>
        </w:numPr>
        <w:tabs>
          <w:tab w:val="left" w:pos="709"/>
        </w:tabs>
        <w:adjustRightInd w:val="0"/>
        <w:spacing w:line="520" w:lineRule="exact"/>
        <w:ind w:left="0" w:firstLine="0"/>
        <w:rPr>
          <w:rFonts w:ascii="仿宋_GB2312" w:hAnsi="宋体" w:eastAsia="仿宋_GB2312" w:cs="宋体"/>
          <w:sz w:val="24"/>
        </w:rPr>
      </w:pPr>
      <w:bookmarkStart w:id="90" w:name="_Toc30144651"/>
      <w:bookmarkStart w:id="91" w:name="_Toc30144221"/>
      <w:r>
        <w:rPr>
          <w:rFonts w:hint="eastAsia" w:ascii="仿宋_GB2312" w:hAnsi="宋体" w:eastAsia="仿宋_GB2312" w:cs="宋体"/>
          <w:sz w:val="24"/>
        </w:rPr>
        <w:t>评标方法</w:t>
      </w:r>
      <w:bookmarkEnd w:id="90"/>
      <w:bookmarkEnd w:id="91"/>
    </w:p>
    <w:p>
      <w:pPr>
        <w:pStyle w:val="195"/>
        <w:numPr>
          <w:ilvl w:val="2"/>
          <w:numId w:val="32"/>
        </w:numPr>
        <w:tabs>
          <w:tab w:val="left" w:pos="1060"/>
        </w:tabs>
        <w:adjustRightInd w:val="0"/>
        <w:spacing w:line="520" w:lineRule="exact"/>
        <w:ind w:left="9" w:hanging="9" w:firstLineChars="0"/>
        <w:rPr>
          <w:rFonts w:ascii="仿宋_GB2312" w:hAnsi="仿宋_GB2312" w:eastAsia="仿宋_GB2312" w:cs="仿宋_GB2312"/>
          <w:bCs/>
          <w:sz w:val="24"/>
        </w:rPr>
      </w:pPr>
      <w:r>
        <w:rPr>
          <w:rFonts w:hint="eastAsia" w:ascii="仿宋_GB2312" w:hAnsi="宋体" w:eastAsia="仿宋_GB2312" w:cs="宋体"/>
          <w:sz w:val="24"/>
        </w:rPr>
        <w:t>综合评分法。是指投标文件满足招标文件全部实质性要求，且按照评标因素</w:t>
      </w:r>
      <w:r>
        <w:rPr>
          <w:rFonts w:hint="eastAsia" w:ascii="仿宋_GB2312" w:hAnsi="仿宋_GB2312" w:eastAsia="仿宋_GB2312" w:cs="仿宋_GB2312"/>
          <w:bCs/>
          <w:sz w:val="24"/>
        </w:rPr>
        <w:t>的量化指标评标得分最高的投标人为第一</w:t>
      </w:r>
      <w:r>
        <w:rPr>
          <w:rFonts w:hint="eastAsia" w:ascii="仿宋_GB2312" w:hAnsi="仿宋_GB2312" w:eastAsia="仿宋_GB2312" w:cs="仿宋_GB2312"/>
          <w:sz w:val="24"/>
        </w:rPr>
        <w:t>中标候选人、</w:t>
      </w:r>
      <w:r>
        <w:rPr>
          <w:rFonts w:hint="eastAsia" w:ascii="仿宋_GB2312" w:hAnsi="仿宋_GB2312" w:eastAsia="仿宋_GB2312" w:cs="仿宋_GB2312"/>
          <w:bCs/>
          <w:sz w:val="24"/>
        </w:rPr>
        <w:t>评标得分第二高的投标人为第二</w:t>
      </w:r>
      <w:r>
        <w:rPr>
          <w:rFonts w:hint="eastAsia" w:ascii="仿宋_GB2312" w:hAnsi="仿宋_GB2312" w:eastAsia="仿宋_GB2312" w:cs="仿宋_GB2312"/>
          <w:sz w:val="24"/>
        </w:rPr>
        <w:t>中标候选人</w:t>
      </w:r>
      <w:r>
        <w:rPr>
          <w:rFonts w:hint="eastAsia" w:ascii="仿宋_GB2312" w:hAnsi="仿宋_GB2312" w:eastAsia="仿宋_GB2312" w:cs="仿宋_GB2312"/>
          <w:bCs/>
          <w:sz w:val="24"/>
        </w:rPr>
        <w:t>的评标方法。</w:t>
      </w:r>
    </w:p>
    <w:p>
      <w:pPr>
        <w:spacing w:line="520" w:lineRule="exact"/>
      </w:pPr>
    </w:p>
    <w:p>
      <w:pPr>
        <w:tabs>
          <w:tab w:val="left" w:pos="426"/>
        </w:tabs>
        <w:adjustRightInd w:val="0"/>
        <w:spacing w:line="520" w:lineRule="exact"/>
        <w:outlineLvl w:val="2"/>
        <w:rPr>
          <w:rFonts w:ascii="仿宋_GB2312" w:hAnsi="仿宋_GB2312" w:eastAsia="仿宋_GB2312" w:cs="仿宋_GB2312"/>
          <w:bCs/>
          <w:sz w:val="24"/>
        </w:rPr>
      </w:pPr>
      <w:r>
        <w:rPr>
          <w:rFonts w:ascii="仿宋_GB2312" w:hAnsi="仿宋_GB2312" w:eastAsia="仿宋_GB2312" w:cs="仿宋_GB2312"/>
          <w:bCs/>
          <w:sz w:val="24"/>
        </w:rPr>
        <w:t xml:space="preserve"> </w:t>
      </w:r>
    </w:p>
    <w:p>
      <w:pPr>
        <w:pStyle w:val="39"/>
        <w:spacing w:before="0" w:after="0" w:line="520" w:lineRule="exact"/>
        <w:jc w:val="both"/>
        <w:rPr>
          <w:rFonts w:ascii="仿宋_GB2312" w:hAnsi="宋体" w:eastAsia="仿宋_GB2312" w:cs="宋体"/>
          <w:sz w:val="30"/>
          <w:szCs w:val="30"/>
        </w:rPr>
      </w:pPr>
      <w:bookmarkStart w:id="92" w:name="_Toc30144652"/>
      <w:bookmarkStart w:id="93" w:name="_Toc29788"/>
      <w:bookmarkStart w:id="94" w:name="_Toc22690_WPSOffice_Level3"/>
      <w:bookmarkStart w:id="95" w:name="_Toc28210"/>
      <w:bookmarkStart w:id="96" w:name="_Toc14348"/>
      <w:bookmarkStart w:id="97" w:name="_Toc30144661"/>
    </w:p>
    <w:p>
      <w:pPr>
        <w:pStyle w:val="39"/>
        <w:spacing w:before="0" w:after="0" w:line="520" w:lineRule="exact"/>
        <w:rPr>
          <w:rFonts w:ascii="仿宋_GB2312" w:hAnsi="宋体" w:eastAsia="仿宋_GB2312" w:cs="宋体"/>
          <w:sz w:val="30"/>
          <w:szCs w:val="30"/>
        </w:rPr>
      </w:pPr>
      <w:r>
        <w:rPr>
          <w:rFonts w:hint="eastAsia" w:ascii="仿宋_GB2312" w:hAnsi="宋体" w:eastAsia="仿宋_GB2312" w:cs="宋体"/>
          <w:sz w:val="30"/>
          <w:szCs w:val="30"/>
        </w:rPr>
        <w:t>第六部分 合同授予与合同格式</w:t>
      </w:r>
      <w:bookmarkEnd w:id="92"/>
      <w:bookmarkEnd w:id="93"/>
      <w:bookmarkEnd w:id="94"/>
      <w:bookmarkEnd w:id="95"/>
    </w:p>
    <w:p>
      <w:pPr>
        <w:pStyle w:val="39"/>
        <w:spacing w:before="0" w:after="0" w:line="520" w:lineRule="exact"/>
        <w:outlineLvl w:val="1"/>
        <w:rPr>
          <w:rFonts w:ascii="仿宋_GB2312" w:hAnsi="宋体" w:eastAsia="仿宋_GB2312" w:cs="宋体"/>
          <w:b w:val="0"/>
          <w:bCs w:val="0"/>
          <w:sz w:val="28"/>
          <w:szCs w:val="24"/>
        </w:rPr>
      </w:pPr>
      <w:bookmarkStart w:id="98" w:name="_Toc30144653"/>
      <w:bookmarkStart w:id="99" w:name="_Toc15561"/>
      <w:bookmarkStart w:id="100" w:name="_Toc17525"/>
      <w:r>
        <w:rPr>
          <w:rFonts w:hint="eastAsia" w:ascii="仿宋_GB2312" w:hAnsi="宋体" w:eastAsia="仿宋_GB2312" w:cs="宋体"/>
          <w:b w:val="0"/>
          <w:bCs w:val="0"/>
          <w:sz w:val="28"/>
          <w:szCs w:val="24"/>
        </w:rPr>
        <w:t>（一）合同授予</w:t>
      </w:r>
      <w:bookmarkEnd w:id="98"/>
      <w:bookmarkEnd w:id="99"/>
      <w:bookmarkEnd w:id="100"/>
    </w:p>
    <w:p>
      <w:pPr>
        <w:numPr>
          <w:ilvl w:val="0"/>
          <w:numId w:val="33"/>
        </w:numPr>
        <w:tabs>
          <w:tab w:val="left" w:pos="426"/>
        </w:tabs>
        <w:adjustRightInd w:val="0"/>
        <w:spacing w:line="520" w:lineRule="exact"/>
        <w:outlineLvl w:val="2"/>
        <w:rPr>
          <w:rFonts w:ascii="仿宋_GB2312" w:hAnsi="宋体" w:eastAsia="仿宋_GB2312" w:cs="宋体"/>
          <w:b/>
          <w:bCs/>
          <w:sz w:val="24"/>
        </w:rPr>
      </w:pPr>
      <w:bookmarkStart w:id="101" w:name="_Toc30144224"/>
      <w:bookmarkStart w:id="102" w:name="_Toc30144654"/>
      <w:r>
        <w:rPr>
          <w:rFonts w:hint="eastAsia" w:ascii="仿宋_GB2312" w:hAnsi="宋体" w:eastAsia="仿宋_GB2312" w:cs="宋体"/>
          <w:b/>
          <w:bCs/>
          <w:sz w:val="24"/>
        </w:rPr>
        <w:t>中标人确认</w:t>
      </w:r>
    </w:p>
    <w:p>
      <w:pPr>
        <w:numPr>
          <w:ilvl w:val="0"/>
          <w:numId w:val="34"/>
        </w:numPr>
        <w:tabs>
          <w:tab w:val="left" w:pos="0"/>
          <w:tab w:val="left" w:pos="640"/>
        </w:tabs>
        <w:adjustRightInd w:val="0"/>
        <w:spacing w:line="520" w:lineRule="exact"/>
        <w:rPr>
          <w:rFonts w:ascii="仿宋_GB2312" w:hAnsi="宋体" w:eastAsia="仿宋_GB2312" w:cs="宋体"/>
          <w:sz w:val="24"/>
        </w:rPr>
      </w:pPr>
      <w:r>
        <w:rPr>
          <w:rFonts w:hint="eastAsia" w:ascii="仿宋_GB2312" w:hAnsi="宋体" w:eastAsia="仿宋_GB2312" w:cs="宋体"/>
          <w:sz w:val="24"/>
        </w:rPr>
        <w:t>采购代理机构应当在评标结束后2个工作日内将评审报告送采购人。</w:t>
      </w:r>
    </w:p>
    <w:p>
      <w:pPr>
        <w:numPr>
          <w:ilvl w:val="0"/>
          <w:numId w:val="34"/>
        </w:numPr>
        <w:tabs>
          <w:tab w:val="left" w:pos="0"/>
          <w:tab w:val="left" w:pos="21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采购人应当自收到评审报告之日起５个工作日内，在评审报告确定的中标候选人名单中按顺序确定中标人。若排名第一的中标候选人放弃中标、或者因不可抗力提出不能履行合同，或者未能按招标文件规定期限内提交履约保证金，则视为其违约，并取消其中标资格。根据具体情况，可以推荐标项中总分排名第二的投标人为中标人或针对本项目重新组织招标；若中标候选人并列的，由采购人或者采购代理机构委托评标委员会按照招标文件规定的方式确定中标人；招标文件未规定的，采取随机抽取的方式确定。</w:t>
      </w:r>
    </w:p>
    <w:p>
      <w:pPr>
        <w:numPr>
          <w:ilvl w:val="0"/>
          <w:numId w:val="34"/>
        </w:numPr>
        <w:tabs>
          <w:tab w:val="left" w:pos="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采购人在收到评审报告5个工作日内未按评审报告推荐的中标候选人顺序确定中标人，又不能说明合法理由的，视同按评审报告推荐的顺序确定排名第一的中标候选人为中标人。</w:t>
      </w:r>
    </w:p>
    <w:p>
      <w:pPr>
        <w:pStyle w:val="2"/>
        <w:spacing w:line="520" w:lineRule="exact"/>
        <w:ind w:firstLine="0" w:firstLineChars="0"/>
      </w:pPr>
    </w:p>
    <w:p>
      <w:pPr>
        <w:numPr>
          <w:ilvl w:val="0"/>
          <w:numId w:val="33"/>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中标结果公告</w:t>
      </w:r>
    </w:p>
    <w:p>
      <w:pPr>
        <w:numPr>
          <w:ilvl w:val="0"/>
          <w:numId w:val="35"/>
        </w:numPr>
        <w:tabs>
          <w:tab w:val="left" w:pos="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采购人或者采购代理机构应当自中标人确定之日起2个工作日内，在省级以上财政部门指定的媒体上公告中标结果，招标文件应当随中标结果同时公告。</w:t>
      </w:r>
    </w:p>
    <w:p>
      <w:pPr>
        <w:numPr>
          <w:ilvl w:val="0"/>
          <w:numId w:val="35"/>
        </w:numPr>
        <w:tabs>
          <w:tab w:val="left" w:pos="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中标公告期限为1个工作日。</w:t>
      </w:r>
    </w:p>
    <w:p>
      <w:pPr>
        <w:pStyle w:val="2"/>
        <w:spacing w:line="520" w:lineRule="exact"/>
        <w:ind w:firstLine="0" w:firstLineChars="0"/>
      </w:pPr>
    </w:p>
    <w:p>
      <w:pPr>
        <w:numPr>
          <w:ilvl w:val="0"/>
          <w:numId w:val="33"/>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中标通知书发放</w:t>
      </w:r>
    </w:p>
    <w:p>
      <w:pPr>
        <w:numPr>
          <w:ilvl w:val="0"/>
          <w:numId w:val="36"/>
        </w:numPr>
        <w:tabs>
          <w:tab w:val="left" w:pos="0"/>
          <w:tab w:val="left" w:pos="142"/>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 xml:space="preserve"> 采购人或者采购代理机构应当在中标公告期满后向中标人发出中标通知书。</w:t>
      </w:r>
    </w:p>
    <w:p>
      <w:pPr>
        <w:numPr>
          <w:ilvl w:val="0"/>
          <w:numId w:val="36"/>
        </w:numPr>
        <w:tabs>
          <w:tab w:val="left" w:pos="0"/>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中标通知书发出后，采购人不得违法改变中标结果，中标人无正当理由不得放弃中标。</w:t>
      </w:r>
    </w:p>
    <w:p>
      <w:pPr>
        <w:pStyle w:val="2"/>
        <w:spacing w:line="520" w:lineRule="exact"/>
        <w:ind w:firstLine="0" w:firstLineChars="0"/>
      </w:pPr>
    </w:p>
    <w:p>
      <w:pPr>
        <w:numPr>
          <w:ilvl w:val="0"/>
          <w:numId w:val="33"/>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合同授予</w:t>
      </w:r>
      <w:bookmarkEnd w:id="101"/>
      <w:bookmarkEnd w:id="102"/>
    </w:p>
    <w:p>
      <w:pPr>
        <w:pStyle w:val="195"/>
        <w:numPr>
          <w:ilvl w:val="1"/>
          <w:numId w:val="37"/>
        </w:numPr>
        <w:tabs>
          <w:tab w:val="left" w:pos="0"/>
          <w:tab w:val="left" w:pos="640"/>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采购人应当自中标通知书发出之日起30日内，按照招标文件和中标人投标文件的规定，与中标人签订书面合同。</w:t>
      </w:r>
    </w:p>
    <w:p>
      <w:pPr>
        <w:pStyle w:val="2"/>
        <w:spacing w:line="520" w:lineRule="exact"/>
        <w:ind w:firstLine="0" w:firstLineChars="0"/>
      </w:pPr>
    </w:p>
    <w:p>
      <w:pPr>
        <w:numPr>
          <w:ilvl w:val="0"/>
          <w:numId w:val="33"/>
        </w:numPr>
        <w:tabs>
          <w:tab w:val="left" w:pos="426"/>
        </w:tabs>
        <w:adjustRightInd w:val="0"/>
        <w:spacing w:line="520" w:lineRule="exact"/>
        <w:outlineLvl w:val="2"/>
        <w:rPr>
          <w:rFonts w:ascii="仿宋_GB2312" w:hAnsi="宋体" w:eastAsia="仿宋_GB2312" w:cs="宋体"/>
          <w:b/>
          <w:bCs/>
          <w:sz w:val="24"/>
        </w:rPr>
      </w:pPr>
      <w:bookmarkStart w:id="103" w:name="_Toc30144660"/>
      <w:bookmarkStart w:id="104" w:name="_Toc30144230"/>
      <w:r>
        <w:rPr>
          <w:rFonts w:hint="eastAsia" w:ascii="仿宋_GB2312" w:hAnsi="宋体" w:eastAsia="仿宋_GB2312" w:cs="宋体"/>
          <w:b/>
          <w:bCs/>
          <w:sz w:val="24"/>
        </w:rPr>
        <w:t>履约保证金</w:t>
      </w:r>
      <w:bookmarkEnd w:id="103"/>
      <w:bookmarkEnd w:id="104"/>
    </w:p>
    <w:p>
      <w:pPr>
        <w:pStyle w:val="195"/>
        <w:numPr>
          <w:ilvl w:val="1"/>
          <w:numId w:val="38"/>
        </w:numPr>
        <w:tabs>
          <w:tab w:val="left" w:pos="0"/>
          <w:tab w:val="left" w:pos="709"/>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 xml:space="preserve"> 拟签订的合同文本要求中标人提交履约保证金的，应按照合同条款的规定，向采购人提交采购需求要求的非现金形式或采购人可接受的其他形式的履约保证金。</w:t>
      </w:r>
    </w:p>
    <w:p>
      <w:pPr>
        <w:pStyle w:val="195"/>
        <w:numPr>
          <w:ilvl w:val="1"/>
          <w:numId w:val="38"/>
        </w:numPr>
        <w:tabs>
          <w:tab w:val="left" w:pos="0"/>
          <w:tab w:val="left" w:pos="640"/>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 xml:space="preserve"> 如果中标人没有按照规定提交履约保证金的，采购人及采购代理机构将有充分理由取消该中标决定。</w:t>
      </w:r>
    </w:p>
    <w:p>
      <w:pPr>
        <w:pStyle w:val="195"/>
        <w:numPr>
          <w:ilvl w:val="1"/>
          <w:numId w:val="38"/>
        </w:numPr>
        <w:tabs>
          <w:tab w:val="left" w:pos="0"/>
          <w:tab w:val="left" w:pos="640"/>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 xml:space="preserve"> 依据《浙江省财政厅关于进一步做好新冠肺炎疫情防控期间政府采购管理工作的通知》（浙财采监〔2020〕2号）精神，鼓励采购人根据供应商诚信等情况免收履约保证金或降低缴纳比例，政府采购项目的履约保证金不得超过采购合同金额的5%，供应商可以银行、保险公司出具的保函形式提交。</w:t>
      </w:r>
    </w:p>
    <w:p>
      <w:pPr>
        <w:pStyle w:val="195"/>
        <w:widowControl/>
        <w:tabs>
          <w:tab w:val="left" w:pos="420"/>
          <w:tab w:val="left" w:pos="709"/>
        </w:tabs>
        <w:autoSpaceDE w:val="0"/>
        <w:autoSpaceDN w:val="0"/>
        <w:spacing w:line="520" w:lineRule="exact"/>
        <w:ind w:right="26" w:firstLine="0" w:firstLineChars="0"/>
        <w:jc w:val="left"/>
        <w:textAlignment w:val="bottom"/>
        <w:rPr>
          <w:rFonts w:ascii="仿宋_GB2312" w:hAnsi="宋体" w:eastAsia="仿宋_GB2312" w:cs="宋体"/>
          <w:sz w:val="24"/>
        </w:rPr>
      </w:pPr>
    </w:p>
    <w:p>
      <w:pPr>
        <w:numPr>
          <w:ilvl w:val="0"/>
          <w:numId w:val="33"/>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履约验收</w:t>
      </w:r>
    </w:p>
    <w:p>
      <w:pPr>
        <w:pStyle w:val="195"/>
        <w:widowControl/>
        <w:numPr>
          <w:ilvl w:val="1"/>
          <w:numId w:val="39"/>
        </w:numPr>
        <w:tabs>
          <w:tab w:val="left" w:pos="420"/>
          <w:tab w:val="left" w:pos="709"/>
        </w:tabs>
        <w:autoSpaceDE w:val="0"/>
        <w:autoSpaceDN w:val="0"/>
        <w:spacing w:line="520" w:lineRule="exact"/>
        <w:ind w:right="26" w:firstLineChars="0"/>
        <w:jc w:val="left"/>
        <w:textAlignment w:val="bottom"/>
        <w:rPr>
          <w:rFonts w:ascii="仿宋_GB2312" w:hAnsi="宋体" w:eastAsia="仿宋_GB2312" w:cs="宋体"/>
          <w:sz w:val="24"/>
        </w:rPr>
      </w:pPr>
      <w:r>
        <w:rPr>
          <w:rFonts w:hint="eastAsia" w:ascii="仿宋_GB2312" w:hAnsi="宋体" w:eastAsia="仿宋_GB2312" w:cs="宋体"/>
          <w:sz w:val="24"/>
        </w:rPr>
        <w:t xml:space="preserve"> 根据《杭州市政府采购履约验收暂行办法》（杭财采监〔2019〕10号）有关规定，供应商应按照合同约定履行义务完成项目，与采购人、采购代理机构做好项目验收，提供项目验收相关的生产、技术、服务、数量、质量、安全等资料，并配合甲方将项目信息录入杭州市上城区采购业务监管平台履约验收管理模块。</w:t>
      </w:r>
    </w:p>
    <w:p>
      <w:pPr>
        <w:pStyle w:val="39"/>
        <w:spacing w:before="0" w:after="0" w:line="520" w:lineRule="exact"/>
        <w:outlineLvl w:val="1"/>
        <w:rPr>
          <w:rFonts w:ascii="仿宋_GB2312" w:hAnsi="宋体" w:eastAsia="仿宋_GB2312" w:cs="宋体"/>
          <w:b w:val="0"/>
          <w:bCs w:val="0"/>
          <w:sz w:val="28"/>
          <w:szCs w:val="24"/>
        </w:rPr>
      </w:pPr>
    </w:p>
    <w:p>
      <w:pPr>
        <w:pStyle w:val="39"/>
        <w:spacing w:before="0" w:after="0" w:line="520" w:lineRule="exact"/>
        <w:outlineLvl w:val="1"/>
        <w:rPr>
          <w:rFonts w:ascii="仿宋_GB2312" w:hAnsi="宋体" w:eastAsia="仿宋_GB2312" w:cs="宋体"/>
          <w:b w:val="0"/>
          <w:bCs w:val="0"/>
          <w:sz w:val="28"/>
          <w:szCs w:val="24"/>
        </w:rPr>
      </w:pPr>
      <w:r>
        <w:rPr>
          <w:rFonts w:hint="eastAsia" w:ascii="仿宋_GB2312" w:hAnsi="宋体" w:eastAsia="仿宋_GB2312" w:cs="宋体"/>
          <w:b w:val="0"/>
          <w:bCs w:val="0"/>
          <w:sz w:val="28"/>
          <w:szCs w:val="24"/>
        </w:rPr>
        <w:t>（二）合同格式及条款</w:t>
      </w:r>
    </w:p>
    <w:p>
      <w:pPr>
        <w:pStyle w:val="195"/>
        <w:widowControl/>
        <w:tabs>
          <w:tab w:val="left" w:pos="420"/>
          <w:tab w:val="left" w:pos="709"/>
        </w:tabs>
        <w:autoSpaceDE w:val="0"/>
        <w:autoSpaceDN w:val="0"/>
        <w:spacing w:line="520" w:lineRule="exact"/>
        <w:ind w:right="26" w:firstLine="482"/>
        <w:jc w:val="center"/>
        <w:textAlignment w:val="bottom"/>
        <w:rPr>
          <w:rFonts w:ascii="仿宋_GB2312" w:hAnsi="宋体" w:eastAsia="仿宋_GB2312" w:cs="宋体"/>
          <w:b/>
          <w:bCs/>
          <w:sz w:val="24"/>
        </w:rPr>
      </w:pPr>
      <w:r>
        <w:rPr>
          <w:rFonts w:hint="eastAsia" w:ascii="仿宋_GB2312" w:hAnsi="宋体" w:eastAsia="仿宋_GB2312" w:cs="宋体"/>
          <w:b/>
          <w:bCs/>
          <w:sz w:val="24"/>
        </w:rPr>
        <w:t>杭州市上城区政府集中采购合同（货物类）</w:t>
      </w:r>
    </w:p>
    <w:p>
      <w:pPr>
        <w:adjustRightInd w:val="0"/>
        <w:snapToGrid w:val="0"/>
        <w:spacing w:line="360" w:lineRule="auto"/>
        <w:jc w:val="center"/>
        <w:outlineLvl w:val="0"/>
        <w:rPr>
          <w:rFonts w:ascii="华文中宋" w:hAnsi="华文中宋" w:eastAsia="华文中宋"/>
          <w:b/>
          <w:color w:val="FF0000"/>
          <w:sz w:val="36"/>
          <w:szCs w:val="36"/>
        </w:rPr>
      </w:pPr>
      <w:r>
        <w:rPr>
          <w:rFonts w:hint="eastAsia"/>
          <w:color w:val="FF0000"/>
        </w:rPr>
        <w:t>★此仅为合同书样本，中标单位需根据实际情况和采购人签订相应的合同！</w:t>
      </w:r>
    </w:p>
    <w:p>
      <w:pPr>
        <w:pStyle w:val="195"/>
        <w:widowControl/>
        <w:tabs>
          <w:tab w:val="left" w:pos="420"/>
          <w:tab w:val="left" w:pos="709"/>
        </w:tabs>
        <w:autoSpaceDE w:val="0"/>
        <w:autoSpaceDN w:val="0"/>
        <w:spacing w:line="520" w:lineRule="exact"/>
        <w:ind w:right="26" w:firstLine="480"/>
        <w:jc w:val="right"/>
        <w:textAlignment w:val="bottom"/>
        <w:rPr>
          <w:rFonts w:ascii="仿宋_GB2312" w:hAnsi="宋体" w:eastAsia="仿宋_GB2312" w:cs="宋体"/>
          <w:b/>
          <w:bCs/>
          <w:sz w:val="24"/>
        </w:rPr>
      </w:pPr>
      <w:r>
        <w:rPr>
          <w:rFonts w:hint="eastAsia" w:ascii="仿宋_GB2312" w:hAnsi="宋体" w:eastAsia="仿宋_GB2312"/>
          <w:color w:val="000000"/>
          <w:sz w:val="24"/>
        </w:rPr>
        <w:t xml:space="preserve">   合同编号：</w:t>
      </w:r>
    </w:p>
    <w:p>
      <w:pPr>
        <w:widowControl/>
        <w:snapToGrid w:val="0"/>
        <w:spacing w:line="520" w:lineRule="exact"/>
        <w:jc w:val="left"/>
        <w:rPr>
          <w:rFonts w:ascii="仿宋_GB2312" w:hAnsi="宋体" w:eastAsia="仿宋_GB2312" w:cs="宋体"/>
          <w:b/>
          <w:color w:val="222222"/>
          <w:kern w:val="0"/>
          <w:sz w:val="24"/>
        </w:rPr>
      </w:pPr>
      <w:r>
        <w:rPr>
          <w:rFonts w:hint="eastAsia" w:ascii="仿宋_GB2312" w:hAnsi="宋体" w:eastAsia="仿宋_GB2312" w:cs="宋体"/>
          <w:b/>
          <w:color w:val="222222"/>
          <w:kern w:val="0"/>
          <w:sz w:val="24"/>
        </w:rPr>
        <w:t xml:space="preserve">采购单位（甲方）： </w:t>
      </w:r>
    </w:p>
    <w:p>
      <w:pPr>
        <w:widowControl/>
        <w:snapToGrid w:val="0"/>
        <w:spacing w:line="520" w:lineRule="exact"/>
        <w:jc w:val="left"/>
        <w:rPr>
          <w:rFonts w:ascii="仿宋_GB2312" w:hAnsi="宋体" w:eastAsia="仿宋_GB2312" w:cs="宋体"/>
          <w:b/>
          <w:color w:val="222222"/>
          <w:kern w:val="0"/>
          <w:sz w:val="24"/>
        </w:rPr>
      </w:pPr>
      <w:r>
        <w:rPr>
          <w:rFonts w:hint="eastAsia" w:ascii="仿宋_GB2312" w:hAnsi="宋体" w:eastAsia="仿宋_GB2312" w:cs="宋体"/>
          <w:b/>
          <w:color w:val="222222"/>
          <w:kern w:val="0"/>
          <w:sz w:val="24"/>
        </w:rPr>
        <w:t xml:space="preserve">供应商（乙方）： </w:t>
      </w:r>
    </w:p>
    <w:p>
      <w:pPr>
        <w:widowControl/>
        <w:snapToGrid w:val="0"/>
        <w:spacing w:line="520" w:lineRule="exact"/>
        <w:jc w:val="left"/>
        <w:rPr>
          <w:rFonts w:ascii="仿宋_GB2312" w:hAnsi="宋体" w:eastAsia="仿宋_GB2312" w:cs="宋体"/>
          <w:b/>
          <w:color w:val="222222"/>
          <w:kern w:val="0"/>
          <w:sz w:val="24"/>
        </w:rPr>
      </w:pPr>
      <w:r>
        <w:rPr>
          <w:rFonts w:hint="eastAsia" w:ascii="仿宋_GB2312" w:hAnsi="宋体" w:eastAsia="仿宋_GB2312" w:cs="宋体"/>
          <w:b/>
          <w:color w:val="222222"/>
          <w:kern w:val="0"/>
          <w:sz w:val="24"/>
        </w:rPr>
        <w:t>见证方：杭州市公共资源交易中心上城分中心</w:t>
      </w:r>
    </w:p>
    <w:p>
      <w:pPr>
        <w:widowControl/>
        <w:snapToGrid w:val="0"/>
        <w:spacing w:before="100" w:beforeAutospacing="1" w:after="100" w:afterAutospacing="1" w:line="520" w:lineRule="exact"/>
        <w:ind w:firstLine="482"/>
        <w:jc w:val="left"/>
        <w:rPr>
          <w:rFonts w:ascii="仿宋_GB2312" w:hAnsi="宋体" w:eastAsia="仿宋_GB2312" w:cs="宋体"/>
          <w:color w:val="222222"/>
          <w:kern w:val="0"/>
          <w:sz w:val="24"/>
        </w:rPr>
      </w:pPr>
      <w:r>
        <w:rPr>
          <w:rFonts w:hint="eastAsia" w:ascii="仿宋_GB2312" w:hAnsi="宋体" w:eastAsia="仿宋_GB2312" w:cs="宋体"/>
          <w:color w:val="222222"/>
          <w:kern w:val="0"/>
          <w:sz w:val="24"/>
        </w:rPr>
        <w:t>根据《中华人民共和国政府采购法》、《中华人民共和国合同法》等相关法律法规和（采购编号：）的中标情况，遵循平等、自愿、公平、诚实信用的原则，由采购单位（以下简称甲方）与经评标最终确定的中标供应商（以下简称乙方）结合本项目具体情况，经双方协商一致后达成以下条款:</w:t>
      </w:r>
    </w:p>
    <w:p>
      <w:pPr>
        <w:widowControl/>
        <w:snapToGrid w:val="0"/>
        <w:spacing w:before="100" w:beforeAutospacing="1" w:after="100" w:afterAutospacing="1" w:line="520" w:lineRule="exact"/>
        <w:ind w:firstLine="482"/>
        <w:jc w:val="center"/>
        <w:rPr>
          <w:rFonts w:ascii="仿宋_GB2312" w:hAnsi="宋体" w:eastAsia="仿宋_GB2312" w:cs="宋体"/>
          <w:b/>
          <w:color w:val="222222"/>
          <w:kern w:val="0"/>
          <w:sz w:val="30"/>
          <w:szCs w:val="30"/>
        </w:rPr>
      </w:pPr>
      <w:bookmarkStart w:id="105" w:name="_Toc5572"/>
      <w:r>
        <w:rPr>
          <w:rFonts w:ascii="仿宋_GB2312" w:hAnsi="宋体" w:eastAsia="仿宋_GB2312" w:cs="宋体"/>
          <w:b/>
          <w:color w:val="222222"/>
          <w:kern w:val="0"/>
          <w:sz w:val="30"/>
          <w:szCs w:val="30"/>
        </w:rPr>
        <w:t xml:space="preserve">第一部分 </w:t>
      </w:r>
      <w:r>
        <w:rPr>
          <w:rFonts w:hint="eastAsia" w:ascii="仿宋_GB2312" w:hAnsi="宋体" w:eastAsia="仿宋_GB2312" w:cs="宋体"/>
          <w:b/>
          <w:color w:val="222222"/>
          <w:kern w:val="0"/>
          <w:sz w:val="30"/>
          <w:szCs w:val="30"/>
        </w:rPr>
        <w:t>主要条款</w:t>
      </w:r>
      <w:bookmarkEnd w:id="105"/>
    </w:p>
    <w:p>
      <w:pPr>
        <w:autoSpaceDE w:val="0"/>
        <w:autoSpaceDN w:val="0"/>
        <w:adjustRightInd w:val="0"/>
        <w:spacing w:line="520" w:lineRule="exact"/>
        <w:ind w:firstLine="470"/>
        <w:rPr>
          <w:rFonts w:ascii="仿宋_GB2312" w:eastAsia="仿宋_GB2312"/>
          <w:b/>
          <w:color w:val="000000"/>
          <w:sz w:val="24"/>
          <w:lang w:val="zh-CN"/>
        </w:rPr>
      </w:pPr>
      <w:r>
        <w:rPr>
          <w:rFonts w:hint="eastAsia" w:ascii="仿宋_GB2312" w:eastAsia="仿宋_GB2312"/>
          <w:b/>
          <w:color w:val="000000"/>
          <w:sz w:val="24"/>
        </w:rPr>
        <w:t>一、名称：</w:t>
      </w:r>
      <w:r>
        <w:rPr>
          <w:rFonts w:hint="eastAsia" w:ascii="仿宋_GB2312" w:hAnsi="宋体" w:eastAsia="仿宋_GB2312" w:cs="宋体"/>
          <w:b/>
          <w:color w:val="222222"/>
          <w:kern w:val="0"/>
          <w:sz w:val="24"/>
        </w:rPr>
        <w:t>（采购编号：）</w:t>
      </w:r>
    </w:p>
    <w:p>
      <w:pPr>
        <w:autoSpaceDE w:val="0"/>
        <w:autoSpaceDN w:val="0"/>
        <w:adjustRightInd w:val="0"/>
        <w:spacing w:line="520" w:lineRule="exact"/>
        <w:ind w:firstLine="480"/>
        <w:rPr>
          <w:rFonts w:ascii="仿宋_GB2312" w:eastAsia="仿宋_GB2312"/>
          <w:b/>
          <w:color w:val="000000"/>
          <w:sz w:val="24"/>
        </w:rPr>
      </w:pPr>
      <w:r>
        <w:rPr>
          <w:rFonts w:hint="eastAsia" w:ascii="仿宋_GB2312" w:eastAsia="仿宋_GB2312"/>
          <w:b/>
          <w:color w:val="000000"/>
          <w:sz w:val="24"/>
          <w:lang w:val="zh-CN"/>
        </w:rPr>
        <w:t>二、</w:t>
      </w:r>
      <w:r>
        <w:rPr>
          <w:rFonts w:hint="eastAsia" w:ascii="仿宋_GB2312" w:eastAsia="仿宋_GB2312"/>
          <w:b/>
          <w:color w:val="000000"/>
          <w:sz w:val="24"/>
        </w:rPr>
        <w:t>设备品牌、规格型号、数量、价格及其它的设备和附件</w:t>
      </w:r>
    </w:p>
    <w:tbl>
      <w:tblPr>
        <w:tblStyle w:val="41"/>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5"/>
        <w:gridCol w:w="2268"/>
        <w:gridCol w:w="709"/>
        <w:gridCol w:w="708"/>
        <w:gridCol w:w="1050"/>
        <w:gridCol w:w="1365"/>
        <w:gridCol w:w="85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jc w:val="center"/>
              <w:rPr>
                <w:rFonts w:ascii="仿宋_GB2312" w:eastAsia="仿宋_GB2312"/>
                <w:color w:val="000000"/>
                <w:sz w:val="24"/>
              </w:rPr>
            </w:pPr>
            <w:r>
              <w:rPr>
                <w:rFonts w:hint="eastAsia" w:ascii="仿宋_GB2312" w:eastAsia="仿宋_GB2312"/>
                <w:color w:val="000000"/>
                <w:sz w:val="24"/>
              </w:rPr>
              <w:t>设备名称</w:t>
            </w:r>
          </w:p>
        </w:tc>
        <w:tc>
          <w:tcPr>
            <w:tcW w:w="905" w:type="dxa"/>
            <w:vAlign w:val="center"/>
          </w:tcPr>
          <w:p>
            <w:pPr>
              <w:jc w:val="center"/>
              <w:rPr>
                <w:rFonts w:ascii="仿宋_GB2312" w:eastAsia="仿宋_GB2312"/>
                <w:color w:val="000000"/>
                <w:sz w:val="24"/>
              </w:rPr>
            </w:pPr>
            <w:r>
              <w:rPr>
                <w:rFonts w:hint="eastAsia" w:ascii="仿宋_GB2312" w:eastAsia="仿宋_GB2312"/>
                <w:color w:val="000000"/>
                <w:sz w:val="24"/>
              </w:rPr>
              <w:t>品牌</w:t>
            </w:r>
          </w:p>
        </w:tc>
        <w:tc>
          <w:tcPr>
            <w:tcW w:w="2268" w:type="dxa"/>
            <w:vAlign w:val="center"/>
          </w:tcPr>
          <w:p>
            <w:pPr>
              <w:jc w:val="center"/>
              <w:rPr>
                <w:rFonts w:ascii="仿宋_GB2312" w:eastAsia="仿宋_GB2312"/>
                <w:color w:val="000000"/>
                <w:sz w:val="24"/>
              </w:rPr>
            </w:pPr>
            <w:r>
              <w:rPr>
                <w:rFonts w:hint="eastAsia" w:ascii="仿宋_GB2312" w:eastAsia="仿宋_GB2312"/>
                <w:color w:val="000000"/>
                <w:sz w:val="24"/>
              </w:rPr>
              <w:t>规格（长*宽*高）</w:t>
            </w:r>
          </w:p>
        </w:tc>
        <w:tc>
          <w:tcPr>
            <w:tcW w:w="709" w:type="dxa"/>
            <w:vAlign w:val="center"/>
          </w:tcPr>
          <w:p>
            <w:pPr>
              <w:jc w:val="center"/>
              <w:rPr>
                <w:rFonts w:ascii="仿宋_GB2312" w:eastAsia="仿宋_GB2312"/>
                <w:color w:val="000000"/>
                <w:sz w:val="24"/>
              </w:rPr>
            </w:pPr>
            <w:r>
              <w:rPr>
                <w:rFonts w:hint="eastAsia" w:ascii="仿宋_GB2312" w:eastAsia="仿宋_GB2312"/>
                <w:color w:val="000000"/>
                <w:sz w:val="24"/>
              </w:rPr>
              <w:t>数量</w:t>
            </w:r>
          </w:p>
        </w:tc>
        <w:tc>
          <w:tcPr>
            <w:tcW w:w="708" w:type="dxa"/>
            <w:vAlign w:val="center"/>
          </w:tcPr>
          <w:p>
            <w:pPr>
              <w:jc w:val="center"/>
              <w:rPr>
                <w:rFonts w:ascii="仿宋_GB2312" w:eastAsia="仿宋_GB2312"/>
                <w:color w:val="000000"/>
                <w:sz w:val="24"/>
              </w:rPr>
            </w:pPr>
            <w:r>
              <w:rPr>
                <w:rFonts w:hint="eastAsia" w:ascii="仿宋_GB2312" w:eastAsia="仿宋_GB2312"/>
                <w:color w:val="000000"/>
                <w:sz w:val="24"/>
              </w:rPr>
              <w:t>单位</w:t>
            </w: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单价(元）</w:t>
            </w:r>
          </w:p>
        </w:tc>
        <w:tc>
          <w:tcPr>
            <w:tcW w:w="1365" w:type="dxa"/>
            <w:vAlign w:val="center"/>
          </w:tcPr>
          <w:p>
            <w:pPr>
              <w:jc w:val="center"/>
              <w:rPr>
                <w:rFonts w:ascii="仿宋_GB2312" w:eastAsia="仿宋_GB2312"/>
                <w:color w:val="000000"/>
                <w:sz w:val="24"/>
              </w:rPr>
            </w:pPr>
            <w:r>
              <w:rPr>
                <w:rFonts w:hint="eastAsia" w:ascii="仿宋_GB2312" w:eastAsia="仿宋_GB2312"/>
                <w:color w:val="000000"/>
                <w:sz w:val="24"/>
              </w:rPr>
              <w:t>总价（元）</w:t>
            </w:r>
          </w:p>
        </w:tc>
        <w:tc>
          <w:tcPr>
            <w:tcW w:w="855" w:type="dxa"/>
            <w:vAlign w:val="center"/>
          </w:tcPr>
          <w:p>
            <w:pPr>
              <w:jc w:val="center"/>
              <w:rPr>
                <w:rFonts w:ascii="仿宋_GB2312" w:eastAsia="仿宋_GB2312"/>
                <w:color w:val="000000"/>
                <w:sz w:val="24"/>
              </w:rPr>
            </w:pPr>
            <w:r>
              <w:rPr>
                <w:rFonts w:hint="eastAsia" w:ascii="仿宋_GB2312" w:eastAsia="仿宋_GB2312"/>
                <w:color w:val="000000"/>
                <w:sz w:val="24"/>
              </w:rPr>
              <w:t>产地</w:t>
            </w:r>
          </w:p>
        </w:tc>
        <w:tc>
          <w:tcPr>
            <w:tcW w:w="778" w:type="dxa"/>
            <w:vAlign w:val="center"/>
          </w:tcPr>
          <w:p>
            <w:pPr>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2268"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2268"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2268"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2268"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26" w:type="dxa"/>
            <w:gridSpan w:val="9"/>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26" w:type="dxa"/>
            <w:gridSpan w:val="9"/>
            <w:vAlign w:val="center"/>
          </w:tcPr>
          <w:p>
            <w:pPr>
              <w:widowControl/>
              <w:ind w:firstLine="120"/>
              <w:jc w:val="center"/>
              <w:rPr>
                <w:rFonts w:ascii="仿宋_GB2312" w:eastAsia="仿宋_GB2312"/>
                <w:color w:val="000000"/>
                <w:sz w:val="24"/>
              </w:rPr>
            </w:pPr>
          </w:p>
        </w:tc>
      </w:tr>
    </w:tbl>
    <w:p>
      <w:pPr>
        <w:spacing w:line="520" w:lineRule="exact"/>
        <w:rPr>
          <w:rFonts w:ascii="仿宋_GB2312" w:eastAsia="仿宋_GB2312"/>
          <w:sz w:val="24"/>
        </w:rPr>
      </w:pPr>
      <w:r>
        <w:rPr>
          <w:rFonts w:hint="eastAsia" w:ascii="仿宋_GB2312" w:eastAsia="仿宋_GB2312"/>
          <w:color w:val="000000"/>
          <w:sz w:val="24"/>
        </w:rPr>
        <w:t>注：1、以上设备在安装过程中如发生缺项，由乙方无偿补足；</w:t>
      </w:r>
    </w:p>
    <w:p>
      <w:pPr>
        <w:spacing w:line="520" w:lineRule="exact"/>
        <w:ind w:firstLine="480"/>
        <w:rPr>
          <w:rFonts w:ascii="仿宋_GB2312" w:eastAsia="仿宋_GB2312"/>
          <w:color w:val="000000"/>
          <w:sz w:val="24"/>
        </w:rPr>
      </w:pPr>
      <w:bookmarkStart w:id="106" w:name="_Toc37243119"/>
      <w:bookmarkStart w:id="107" w:name="_Toc91899916"/>
      <w:bookmarkStart w:id="108" w:name="_Toc35401305"/>
      <w:r>
        <w:rPr>
          <w:rFonts w:hint="eastAsia" w:ascii="仿宋_GB2312" w:eastAsia="仿宋_GB2312"/>
          <w:color w:val="000000"/>
          <w:sz w:val="24"/>
        </w:rPr>
        <w:t>2、合同总价为本项目包干价，包括货物的价格、运抵指定地点产生的运费、装卸费、安装调试费、检测费、操作维修培训费及质保期内设备的维修保养费等伴随服务产生的费用和所需缴纳的一切相关税、费。</w:t>
      </w:r>
    </w:p>
    <w:p>
      <w:pPr>
        <w:spacing w:line="520" w:lineRule="exact"/>
        <w:ind w:firstLine="427"/>
        <w:rPr>
          <w:rFonts w:ascii="仿宋_GB2312" w:eastAsia="仿宋_GB2312"/>
          <w:b/>
          <w:color w:val="000000"/>
          <w:sz w:val="24"/>
        </w:rPr>
      </w:pPr>
      <w:r>
        <w:rPr>
          <w:rFonts w:hint="eastAsia" w:ascii="仿宋_GB2312" w:eastAsia="仿宋_GB2312"/>
          <w:b/>
          <w:color w:val="000000"/>
          <w:sz w:val="24"/>
        </w:rPr>
        <w:t>三、供（提）货的时间、地点和方式</w:t>
      </w:r>
    </w:p>
    <w:p>
      <w:pPr>
        <w:spacing w:line="520" w:lineRule="exact"/>
        <w:ind w:firstLine="427"/>
        <w:rPr>
          <w:rFonts w:ascii="仿宋_GB2312" w:eastAsia="仿宋_GB2312"/>
          <w:color w:val="000000"/>
          <w:sz w:val="24"/>
        </w:rPr>
      </w:pPr>
      <w:r>
        <w:rPr>
          <w:rFonts w:hint="eastAsia" w:ascii="仿宋_GB2312" w:eastAsia="仿宋_GB2312"/>
          <w:color w:val="000000"/>
          <w:sz w:val="24"/>
        </w:rPr>
        <w:t xml:space="preserve">1、乙方应于    年  月  日前将上述货物送至以下指定地点并免费安装调试完毕，交由甲方指定收货人，由甲方出具签字及加盖公章的收货证明； </w:t>
      </w:r>
    </w:p>
    <w:p>
      <w:pPr>
        <w:spacing w:line="520" w:lineRule="exact"/>
        <w:ind w:firstLine="427"/>
        <w:rPr>
          <w:rFonts w:ascii="仿宋_GB2312" w:eastAsia="仿宋_GB2312"/>
          <w:color w:val="000000"/>
          <w:sz w:val="24"/>
        </w:rPr>
      </w:pPr>
      <w:r>
        <w:rPr>
          <w:rFonts w:hint="eastAsia" w:ascii="仿宋_GB2312" w:eastAsia="仿宋_GB2312"/>
          <w:color w:val="000000"/>
          <w:sz w:val="24"/>
        </w:rPr>
        <w:t>甲方指定货物交付及安装地点：</w:t>
      </w:r>
    </w:p>
    <w:p>
      <w:pPr>
        <w:spacing w:line="520" w:lineRule="exact"/>
        <w:ind w:firstLine="427"/>
        <w:rPr>
          <w:rFonts w:ascii="仿宋_GB2312" w:eastAsia="仿宋_GB2312"/>
          <w:color w:val="000000"/>
          <w:sz w:val="24"/>
        </w:rPr>
      </w:pPr>
      <w:r>
        <w:rPr>
          <w:rFonts w:hint="eastAsia" w:ascii="仿宋_GB2312" w:eastAsia="仿宋_GB2312"/>
          <w:color w:val="000000"/>
          <w:sz w:val="24"/>
        </w:rPr>
        <w:t>甲方指定的签字收货人：</w:t>
      </w:r>
    </w:p>
    <w:p>
      <w:pPr>
        <w:spacing w:line="520" w:lineRule="exact"/>
        <w:ind w:firstLine="427"/>
        <w:rPr>
          <w:rFonts w:ascii="仿宋_GB2312" w:eastAsia="仿宋_GB2312"/>
          <w:color w:val="000000"/>
          <w:sz w:val="24"/>
        </w:rPr>
      </w:pPr>
      <w:r>
        <w:rPr>
          <w:rFonts w:hint="eastAsia" w:ascii="仿宋_GB2312" w:eastAsia="仿宋_GB2312"/>
          <w:color w:val="000000"/>
          <w:sz w:val="24"/>
        </w:rPr>
        <w:t>2、乙方应于    年  月  日前以书面方式向甲方提供供货计划；</w:t>
      </w:r>
    </w:p>
    <w:p>
      <w:pPr>
        <w:spacing w:line="520" w:lineRule="exact"/>
        <w:ind w:firstLine="480"/>
        <w:rPr>
          <w:rFonts w:ascii="仿宋_GB2312" w:eastAsia="仿宋_GB2312"/>
          <w:b/>
          <w:color w:val="000000"/>
          <w:sz w:val="24"/>
        </w:rPr>
      </w:pPr>
      <w:r>
        <w:rPr>
          <w:rFonts w:hint="eastAsia" w:ascii="仿宋_GB2312" w:eastAsia="仿宋_GB2312"/>
          <w:b/>
          <w:color w:val="000000"/>
          <w:sz w:val="24"/>
        </w:rPr>
        <w:t>四、履约保证金</w:t>
      </w:r>
    </w:p>
    <w:p>
      <w:pPr>
        <w:spacing w:line="520" w:lineRule="exact"/>
        <w:ind w:firstLine="480"/>
        <w:rPr>
          <w:rFonts w:ascii="仿宋_GB2312" w:eastAsia="仿宋_GB2312"/>
          <w:color w:val="000000"/>
          <w:sz w:val="24"/>
        </w:rPr>
      </w:pPr>
      <w:r>
        <w:rPr>
          <w:rFonts w:hint="eastAsia" w:ascii="仿宋_GB2312" w:eastAsia="仿宋_GB2312"/>
          <w:color w:val="000000"/>
          <w:sz w:val="24"/>
        </w:rPr>
        <w:t>乙方须在本合同生效前</w:t>
      </w:r>
      <w:r>
        <w:rPr>
          <w:rFonts w:hint="eastAsia" w:ascii="仿宋_GB2312" w:eastAsia="仿宋_GB2312" w:cs="仿宋_GB2312"/>
          <w:color w:val="000000"/>
          <w:sz w:val="24"/>
        </w:rPr>
        <w:t>向</w:t>
      </w:r>
      <w:r>
        <w:rPr>
          <w:rFonts w:hint="eastAsia" w:ascii="仿宋_GB2312" w:eastAsia="仿宋_GB2312"/>
          <w:color w:val="000000"/>
          <w:sz w:val="24"/>
        </w:rPr>
        <w:t>甲方缴纳合同总价的履约保证金（取整数到百位），作为合同生效的必要条件，验收合格后转为质保金。履约保证金在本项目验收合格满个月后，售后服务良好，无质量和服务问题，于7日内无息退还。</w:t>
      </w:r>
    </w:p>
    <w:p>
      <w:pPr>
        <w:spacing w:line="520" w:lineRule="exact"/>
        <w:ind w:firstLine="480"/>
        <w:rPr>
          <w:rFonts w:ascii="仿宋_GB2312" w:eastAsia="仿宋_GB2312"/>
          <w:b/>
          <w:color w:val="000000"/>
          <w:sz w:val="24"/>
        </w:rPr>
      </w:pPr>
      <w:r>
        <w:rPr>
          <w:rFonts w:hint="eastAsia" w:ascii="仿宋_GB2312" w:eastAsia="仿宋_GB2312"/>
          <w:b/>
          <w:color w:val="000000"/>
          <w:sz w:val="24"/>
        </w:rPr>
        <w:t>五、付款方式及期限</w:t>
      </w:r>
    </w:p>
    <w:p>
      <w:pPr>
        <w:spacing w:line="520" w:lineRule="exact"/>
        <w:ind w:firstLine="480"/>
        <w:rPr>
          <w:rFonts w:ascii="仿宋_GB2312" w:eastAsia="仿宋_GB2312"/>
          <w:color w:val="000000"/>
          <w:sz w:val="24"/>
        </w:rPr>
      </w:pPr>
      <w:r>
        <w:rPr>
          <w:rFonts w:hint="eastAsia" w:ascii="仿宋_GB2312" w:eastAsia="仿宋_GB2312"/>
          <w:color w:val="000000"/>
          <w:sz w:val="24"/>
          <w:szCs w:val="20"/>
        </w:rPr>
        <w:t>1、货物经验收合格后，</w:t>
      </w:r>
      <w:r>
        <w:rPr>
          <w:rFonts w:hint="eastAsia" w:ascii="仿宋_GB2312" w:eastAsia="仿宋_GB2312"/>
          <w:color w:val="000000"/>
          <w:sz w:val="24"/>
        </w:rPr>
        <w:t>乙方</w:t>
      </w:r>
      <w:r>
        <w:rPr>
          <w:rFonts w:hint="eastAsia" w:ascii="仿宋_GB2312" w:eastAsia="仿宋_GB2312"/>
          <w:color w:val="000000"/>
          <w:sz w:val="24"/>
          <w:szCs w:val="20"/>
        </w:rPr>
        <w:t>凭到货清单</w:t>
      </w:r>
      <w:r>
        <w:rPr>
          <w:rFonts w:hint="eastAsia" w:ascii="仿宋_GB2312" w:eastAsia="仿宋_GB2312"/>
          <w:color w:val="000000"/>
          <w:sz w:val="24"/>
        </w:rPr>
        <w:t>、</w:t>
      </w:r>
      <w:r>
        <w:rPr>
          <w:rFonts w:hint="eastAsia" w:ascii="仿宋_GB2312" w:eastAsia="仿宋_GB2312"/>
          <w:color w:val="000000"/>
          <w:sz w:val="24"/>
          <w:szCs w:val="20"/>
        </w:rPr>
        <w:t>发票、验收报告向甲方办理货款结算手续。</w:t>
      </w:r>
      <w:r>
        <w:rPr>
          <w:rFonts w:hint="eastAsia" w:ascii="仿宋_GB2312" w:eastAsia="仿宋_GB2312"/>
          <w:color w:val="000000"/>
          <w:sz w:val="24"/>
        </w:rPr>
        <w:t>甲方应在收到乙方提交的相关凭证后7日内支付货款。</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（1）第一期全部到货（若需安装调试的由甲方负责安装调试）并验收合格后，支付合同总价的___%,即___人民币万元。</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（2）第二期货物投入正常运行使用满_____个月后，支付合同总价的 %即人民币万元。</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（3）第三期货物正常运行个月后支付合同总价的 %即人民币万元。</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（4）若本合同无其他约定，质保金按照上述第九条的规定退还。</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2、甲方不得向乙方以外的任何第三方办理货款结算手续。开户行和帐号以本合同约定的为准，如果乙方要求变更，则乙方须提供加盖公章、法人代表签字的证明文件，报经甲方审查同意。除另有规定外，按人民币结算款项。</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户名：</w:t>
      </w:r>
    </w:p>
    <w:p>
      <w:pPr>
        <w:spacing w:line="520" w:lineRule="exact"/>
        <w:ind w:firstLine="480"/>
        <w:rPr>
          <w:rFonts w:ascii="仿宋_GB2312" w:eastAsia="仿宋_GB2312"/>
          <w:color w:val="000000"/>
          <w:sz w:val="24"/>
          <w:szCs w:val="20"/>
        </w:rPr>
      </w:pPr>
      <w:r>
        <w:rPr>
          <w:rFonts w:hint="eastAsia" w:ascii="仿宋_GB2312" w:eastAsia="仿宋_GB2312"/>
          <w:color w:val="000000"/>
          <w:sz w:val="24"/>
          <w:szCs w:val="20"/>
        </w:rPr>
        <w:t>开户行：</w:t>
      </w:r>
    </w:p>
    <w:p>
      <w:pPr>
        <w:spacing w:line="520" w:lineRule="exact"/>
        <w:ind w:firstLine="480"/>
        <w:rPr>
          <w:rFonts w:ascii="仿宋_GB2312" w:eastAsia="仿宋_GB2312"/>
          <w:color w:val="000000"/>
          <w:sz w:val="24"/>
        </w:rPr>
      </w:pPr>
      <w:r>
        <w:rPr>
          <w:rFonts w:hint="eastAsia" w:ascii="仿宋_GB2312" w:eastAsia="仿宋_GB2312"/>
          <w:color w:val="000000"/>
          <w:sz w:val="24"/>
        </w:rPr>
        <w:t>账号：</w:t>
      </w:r>
    </w:p>
    <w:p>
      <w:pPr>
        <w:spacing w:line="520" w:lineRule="exact"/>
        <w:ind w:firstLine="480"/>
        <w:rPr>
          <w:rFonts w:ascii="仿宋_GB2312" w:eastAsia="仿宋_GB2312"/>
          <w:color w:val="000000"/>
          <w:sz w:val="24"/>
        </w:rPr>
      </w:pPr>
      <w:r>
        <w:rPr>
          <w:rFonts w:hint="eastAsia" w:ascii="仿宋_GB2312" w:eastAsia="仿宋_GB2312"/>
          <w:color w:val="000000"/>
          <w:sz w:val="24"/>
        </w:rPr>
        <w:t>3、乙方在收到甲方每一批付款的前，应先向甲方开具相应金额的发票，否则甲方有权顺延付款期限。</w:t>
      </w:r>
    </w:p>
    <w:p>
      <w:pPr>
        <w:widowControl/>
        <w:snapToGrid w:val="0"/>
        <w:spacing w:before="100" w:beforeAutospacing="1" w:after="100" w:afterAutospacing="1" w:line="520" w:lineRule="exact"/>
        <w:ind w:firstLine="482"/>
        <w:jc w:val="center"/>
        <w:rPr>
          <w:rFonts w:ascii="仿宋_GB2312" w:hAnsi="宋体" w:eastAsia="仿宋_GB2312" w:cs="宋体"/>
          <w:b/>
          <w:color w:val="222222"/>
          <w:kern w:val="0"/>
          <w:sz w:val="30"/>
          <w:szCs w:val="30"/>
        </w:rPr>
      </w:pPr>
      <w:bookmarkStart w:id="109" w:name="_Toc12967"/>
      <w:r>
        <w:rPr>
          <w:rFonts w:ascii="仿宋_GB2312" w:hAnsi="宋体" w:eastAsia="仿宋_GB2312" w:cs="宋体"/>
          <w:b/>
          <w:color w:val="222222"/>
          <w:kern w:val="0"/>
          <w:sz w:val="30"/>
          <w:szCs w:val="30"/>
        </w:rPr>
        <w:t>第</w:t>
      </w:r>
      <w:r>
        <w:rPr>
          <w:rFonts w:hint="eastAsia" w:ascii="仿宋_GB2312" w:hAnsi="宋体" w:eastAsia="仿宋_GB2312" w:cs="宋体"/>
          <w:b/>
          <w:color w:val="222222"/>
          <w:kern w:val="0"/>
          <w:sz w:val="30"/>
          <w:szCs w:val="30"/>
        </w:rPr>
        <w:t>二</w:t>
      </w:r>
      <w:r>
        <w:rPr>
          <w:rFonts w:ascii="仿宋_GB2312" w:hAnsi="宋体" w:eastAsia="仿宋_GB2312" w:cs="宋体"/>
          <w:b/>
          <w:color w:val="222222"/>
          <w:kern w:val="0"/>
          <w:sz w:val="30"/>
          <w:szCs w:val="30"/>
        </w:rPr>
        <w:t xml:space="preserve">部分 </w:t>
      </w:r>
      <w:r>
        <w:rPr>
          <w:rFonts w:hint="eastAsia" w:ascii="仿宋_GB2312" w:hAnsi="宋体" w:eastAsia="仿宋_GB2312" w:cs="宋体"/>
          <w:b/>
          <w:color w:val="222222"/>
          <w:kern w:val="0"/>
          <w:sz w:val="30"/>
          <w:szCs w:val="30"/>
        </w:rPr>
        <w:t>一般条款</w:t>
      </w:r>
      <w:bookmarkEnd w:id="109"/>
    </w:p>
    <w:p>
      <w:pPr>
        <w:spacing w:line="520" w:lineRule="exact"/>
        <w:ind w:firstLine="480"/>
        <w:rPr>
          <w:rFonts w:ascii="仿宋_GB2312" w:eastAsia="仿宋_GB2312"/>
          <w:color w:val="000000"/>
          <w:sz w:val="24"/>
        </w:rPr>
      </w:pPr>
      <w:r>
        <w:rPr>
          <w:rFonts w:hint="eastAsia" w:ascii="仿宋_GB2312" w:eastAsia="仿宋_GB2312"/>
          <w:b/>
          <w:color w:val="000000"/>
          <w:sz w:val="24"/>
        </w:rPr>
        <w:t>一、质量标准</w:t>
      </w:r>
    </w:p>
    <w:p>
      <w:pPr>
        <w:spacing w:line="520" w:lineRule="exact"/>
        <w:ind w:firstLine="480"/>
        <w:rPr>
          <w:rFonts w:ascii="仿宋_GB2312" w:eastAsia="仿宋_GB2312"/>
          <w:color w:val="000000"/>
          <w:sz w:val="24"/>
        </w:rPr>
      </w:pPr>
      <w:r>
        <w:rPr>
          <w:rFonts w:hint="eastAsia" w:ascii="仿宋_GB2312" w:eastAsia="仿宋_GB2312"/>
          <w:color w:val="000000"/>
          <w:sz w:val="24"/>
        </w:rPr>
        <w:t>1、乙方保证本合同项下所提供的货物及更换的货物(包括但不限于零件、部件、配件)符合中华人民共和国国家、行业的安全质量标准、环保标准、卫生标准及原厂质量检测标准，且上述标准为已发布的且在货物交付时有效的最新版本的标准；</w:t>
      </w:r>
    </w:p>
    <w:p>
      <w:pPr>
        <w:spacing w:line="520" w:lineRule="exact"/>
        <w:ind w:firstLine="480"/>
        <w:rPr>
          <w:rFonts w:ascii="仿宋_GB2312" w:eastAsia="仿宋_GB2312"/>
          <w:color w:val="000000"/>
          <w:sz w:val="24"/>
        </w:rPr>
      </w:pPr>
      <w:r>
        <w:rPr>
          <w:rFonts w:hint="eastAsia" w:ascii="仿宋_GB2312" w:eastAsia="仿宋_GB2312"/>
          <w:color w:val="000000"/>
          <w:sz w:val="24"/>
        </w:rPr>
        <w:t>2、乙方保证本合同项下提供的货物及更换的货物（包括但不限于零件、部件、配件）是货物生产厂商原造、全新、未使用过的，并完全符合甲方的各项使用目的或在采购时提出的各项需要，在质量、规格型号等方面与本合同规定的性能要求相符合。</w:t>
      </w:r>
    </w:p>
    <w:p>
      <w:pPr>
        <w:spacing w:line="520" w:lineRule="exact"/>
        <w:ind w:firstLine="480"/>
        <w:rPr>
          <w:rFonts w:ascii="仿宋_GB2312" w:eastAsia="仿宋_GB2312"/>
          <w:color w:val="000000"/>
          <w:sz w:val="24"/>
        </w:rPr>
      </w:pPr>
      <w:r>
        <w:rPr>
          <w:rFonts w:hint="eastAsia" w:ascii="仿宋_GB2312" w:eastAsia="仿宋_GB2312"/>
          <w:color w:val="000000"/>
          <w:sz w:val="24"/>
        </w:rPr>
        <w:t>3、乙方保证安装所需辅助材料选用的品牌与投标文件相一致。</w:t>
      </w:r>
    </w:p>
    <w:p>
      <w:pPr>
        <w:spacing w:line="520" w:lineRule="exact"/>
        <w:ind w:firstLine="480"/>
        <w:rPr>
          <w:rFonts w:ascii="仿宋_GB2312" w:eastAsia="仿宋_GB2312"/>
          <w:b/>
          <w:color w:val="000000"/>
          <w:sz w:val="24"/>
        </w:rPr>
      </w:pPr>
      <w:r>
        <w:rPr>
          <w:rFonts w:hint="eastAsia" w:ascii="仿宋_GB2312" w:eastAsia="仿宋_GB2312"/>
          <w:b/>
          <w:color w:val="000000"/>
          <w:sz w:val="24"/>
        </w:rPr>
        <w:t>二、包装及运输要求</w:t>
      </w:r>
    </w:p>
    <w:p>
      <w:pPr>
        <w:spacing w:line="520" w:lineRule="exact"/>
        <w:ind w:firstLine="480"/>
        <w:rPr>
          <w:rFonts w:ascii="仿宋_GB2312" w:eastAsia="仿宋_GB2312"/>
          <w:color w:val="000000"/>
          <w:sz w:val="24"/>
        </w:rPr>
      </w:pPr>
      <w:r>
        <w:rPr>
          <w:rFonts w:hint="eastAsia" w:ascii="仿宋_GB2312" w:eastAsia="仿宋_GB2312"/>
          <w:color w:val="000000"/>
          <w:sz w:val="24"/>
        </w:rPr>
        <w:t>1、除合同另有规定外，乙方提供的货物均应按照行业通用标准进行包装，且符合国家相关法律法规的规定，具备防潮、防晒、防锈、防腐蚀、防震动及防止其他损坏的必要保护措施，以确保货物运抵甲方指定地点时完好无损。</w:t>
      </w:r>
    </w:p>
    <w:p>
      <w:pPr>
        <w:spacing w:line="520" w:lineRule="exact"/>
        <w:ind w:firstLine="480"/>
        <w:rPr>
          <w:rFonts w:ascii="仿宋_GB2312" w:eastAsia="仿宋_GB2312"/>
          <w:color w:val="000000"/>
          <w:sz w:val="24"/>
        </w:rPr>
      </w:pPr>
      <w:r>
        <w:rPr>
          <w:rFonts w:hint="eastAsia" w:ascii="仿宋_GB2312" w:eastAsia="仿宋_GB2312"/>
          <w:color w:val="000000"/>
          <w:sz w:val="24"/>
        </w:rPr>
        <w:t>2、每一包装箱内应附有详细的质量合格证书。随机备品、配件和工具的种类、数量按货物所附使用说明书及清单执行。</w:t>
      </w:r>
    </w:p>
    <w:p>
      <w:pPr>
        <w:spacing w:line="520" w:lineRule="exact"/>
        <w:ind w:firstLine="480"/>
        <w:rPr>
          <w:rFonts w:ascii="仿宋_GB2312" w:eastAsia="仿宋_GB2312"/>
          <w:b/>
          <w:color w:val="000000"/>
          <w:sz w:val="24"/>
        </w:rPr>
      </w:pPr>
      <w:r>
        <w:rPr>
          <w:rFonts w:hint="eastAsia" w:ascii="仿宋_GB2312" w:eastAsia="仿宋_GB2312"/>
          <w:b/>
          <w:color w:val="000000"/>
          <w:sz w:val="24"/>
        </w:rPr>
        <w:t>三、知识产权</w:t>
      </w:r>
    </w:p>
    <w:p>
      <w:pPr>
        <w:spacing w:line="520" w:lineRule="exact"/>
        <w:ind w:firstLine="480"/>
        <w:rPr>
          <w:rFonts w:ascii="仿宋_GB2312" w:eastAsia="仿宋_GB2312"/>
          <w:color w:val="000000"/>
          <w:sz w:val="24"/>
        </w:rPr>
      </w:pPr>
      <w:r>
        <w:rPr>
          <w:rFonts w:hint="eastAsia" w:ascii="仿宋_GB2312" w:eastAsia="仿宋_GB2312"/>
          <w:color w:val="000000"/>
          <w:sz w:val="24"/>
        </w:rPr>
        <w:t>1、乙方保证本合同项下提供的货物及相关的软件和技术资料，均已得到有关知识产权权利人的合法授权，若发生涉及到专利权、著作权、商标权等知识产权争议，乙方负责交涉、处理，并承担由此产生的全部法律及经济责任。</w:t>
      </w:r>
    </w:p>
    <w:p>
      <w:pPr>
        <w:spacing w:line="520" w:lineRule="exact"/>
        <w:ind w:firstLine="480"/>
        <w:rPr>
          <w:rFonts w:ascii="仿宋_GB2312" w:eastAsia="仿宋_GB2312"/>
          <w:color w:val="000000"/>
          <w:sz w:val="24"/>
        </w:rPr>
      </w:pPr>
      <w:r>
        <w:rPr>
          <w:rFonts w:hint="eastAsia" w:ascii="仿宋_GB2312" w:eastAsia="仿宋_GB2312"/>
          <w:color w:val="000000"/>
          <w:sz w:val="24"/>
        </w:rPr>
        <w:t>2、乙方保证甲方在使用该货物或其任何一部分时不受第三方提出的侵犯其专利权、 著作权、商标权、工业设计权或其他知识产权的起诉。如果任何第三方提出侵权之诉，乙方须与第三方交涉并承担由此发生的一切责任、费用和经济赔偿。</w:t>
      </w:r>
    </w:p>
    <w:p>
      <w:pPr>
        <w:spacing w:line="520" w:lineRule="exact"/>
        <w:ind w:firstLine="480"/>
        <w:rPr>
          <w:rFonts w:ascii="仿宋_GB2312" w:eastAsia="仿宋_GB2312"/>
          <w:b/>
          <w:color w:val="000000"/>
          <w:sz w:val="24"/>
        </w:rPr>
      </w:pPr>
      <w:r>
        <w:rPr>
          <w:rFonts w:hint="eastAsia" w:ascii="仿宋_GB2312" w:eastAsia="仿宋_GB2312"/>
          <w:b/>
          <w:color w:val="000000"/>
          <w:sz w:val="24"/>
        </w:rPr>
        <w:t>四、验收</w:t>
      </w:r>
    </w:p>
    <w:p>
      <w:pPr>
        <w:spacing w:line="520" w:lineRule="exact"/>
        <w:ind w:firstLine="480"/>
        <w:rPr>
          <w:rFonts w:ascii="仿宋_GB2312" w:eastAsia="仿宋_GB2312"/>
          <w:color w:val="000000"/>
          <w:sz w:val="24"/>
        </w:rPr>
      </w:pPr>
      <w:r>
        <w:rPr>
          <w:rFonts w:hint="eastAsia" w:ascii="仿宋_GB2312" w:eastAsia="仿宋_GB2312"/>
          <w:color w:val="000000"/>
          <w:sz w:val="24"/>
        </w:rPr>
        <w:t>1、验收标准</w:t>
      </w:r>
    </w:p>
    <w:p>
      <w:pPr>
        <w:spacing w:line="520" w:lineRule="exact"/>
        <w:ind w:firstLine="480"/>
        <w:rPr>
          <w:rFonts w:ascii="仿宋_GB2312" w:eastAsia="仿宋_GB2312"/>
          <w:color w:val="000000"/>
          <w:sz w:val="24"/>
        </w:rPr>
      </w:pPr>
      <w:r>
        <w:rPr>
          <w:rFonts w:hint="eastAsia" w:ascii="仿宋_GB2312" w:eastAsia="仿宋_GB2312"/>
          <w:color w:val="000000"/>
          <w:sz w:val="24"/>
        </w:rPr>
        <w:t>货物应符合下列各项标准及要求：</w:t>
      </w:r>
    </w:p>
    <w:p>
      <w:pPr>
        <w:spacing w:line="520" w:lineRule="exact"/>
        <w:ind w:firstLine="480"/>
        <w:rPr>
          <w:rFonts w:ascii="仿宋_GB2312" w:eastAsia="仿宋_GB2312"/>
          <w:color w:val="000000"/>
          <w:sz w:val="24"/>
        </w:rPr>
      </w:pPr>
      <w:r>
        <w:rPr>
          <w:rFonts w:hint="eastAsia" w:ascii="仿宋_GB2312" w:eastAsia="仿宋_GB2312"/>
          <w:color w:val="000000"/>
          <w:sz w:val="24"/>
        </w:rPr>
        <w:t>（1）装箱单、质量合格证书、保修证书、产品使用说明书及其它应当随箱的技术资料；</w:t>
      </w:r>
    </w:p>
    <w:p>
      <w:pPr>
        <w:spacing w:line="520" w:lineRule="exact"/>
        <w:ind w:firstLine="480"/>
        <w:rPr>
          <w:rFonts w:ascii="仿宋_GB2312" w:eastAsia="仿宋_GB2312"/>
          <w:color w:val="000000"/>
          <w:sz w:val="24"/>
        </w:rPr>
      </w:pPr>
      <w:r>
        <w:rPr>
          <w:rFonts w:hint="eastAsia" w:ascii="仿宋_GB2312" w:eastAsia="仿宋_GB2312"/>
          <w:color w:val="000000"/>
          <w:sz w:val="24"/>
        </w:rPr>
        <w:t>（2）投标人在投标时提供的产品样本；</w:t>
      </w:r>
    </w:p>
    <w:p>
      <w:pPr>
        <w:spacing w:line="520" w:lineRule="exact"/>
        <w:ind w:firstLine="480"/>
        <w:rPr>
          <w:rFonts w:ascii="仿宋_GB2312" w:eastAsia="仿宋_GB2312"/>
          <w:color w:val="000000"/>
          <w:sz w:val="24"/>
        </w:rPr>
      </w:pPr>
      <w:r>
        <w:rPr>
          <w:rFonts w:hint="eastAsia" w:ascii="仿宋_GB2312" w:eastAsia="仿宋_GB2312"/>
          <w:color w:val="000000"/>
          <w:sz w:val="24"/>
        </w:rPr>
        <w:t>（3）该批次货物的招标、投标文件中涉及质量、技术、服务、鉴定、检验及验收的全部相关内容或其所指引的内容。</w:t>
      </w:r>
    </w:p>
    <w:p>
      <w:pPr>
        <w:spacing w:line="520" w:lineRule="exact"/>
        <w:ind w:firstLine="480"/>
        <w:rPr>
          <w:rFonts w:ascii="仿宋_GB2312" w:eastAsia="仿宋_GB2312"/>
          <w:color w:val="000000"/>
          <w:sz w:val="24"/>
        </w:rPr>
      </w:pPr>
      <w:r>
        <w:rPr>
          <w:rFonts w:hint="eastAsia" w:ascii="仿宋_GB2312" w:eastAsia="仿宋_GB2312"/>
          <w:color w:val="000000"/>
          <w:sz w:val="24"/>
        </w:rPr>
        <w:t>2、甲方须按本合同所约定的货物清单及要求对货物的品牌、外观、规格、数量、配件及安装调试后的使用性能、运行状况、技术资料及其他进行验收，乙方须积极配合，并提供必要的技术支持。</w:t>
      </w:r>
    </w:p>
    <w:p>
      <w:pPr>
        <w:spacing w:line="520" w:lineRule="exact"/>
        <w:ind w:firstLine="480"/>
        <w:rPr>
          <w:rFonts w:ascii="仿宋_GB2312" w:eastAsia="仿宋_GB2312"/>
          <w:color w:val="000000"/>
          <w:sz w:val="24"/>
        </w:rPr>
      </w:pPr>
      <w:r>
        <w:rPr>
          <w:rFonts w:hint="eastAsia" w:ascii="仿宋_GB2312" w:eastAsia="仿宋_GB2312"/>
          <w:color w:val="000000"/>
          <w:sz w:val="24"/>
        </w:rPr>
        <w:t>大型或者复杂货物由专家组成验收小组出具验收报告，必要时由国家认可的质量检测机构参与验收。</w:t>
      </w:r>
    </w:p>
    <w:p>
      <w:pPr>
        <w:spacing w:line="520" w:lineRule="exact"/>
        <w:ind w:firstLine="480"/>
        <w:rPr>
          <w:rFonts w:ascii="仿宋_GB2312" w:eastAsia="仿宋_GB2312"/>
          <w:color w:val="000000"/>
          <w:sz w:val="24"/>
        </w:rPr>
      </w:pPr>
      <w:r>
        <w:rPr>
          <w:rFonts w:hint="eastAsia" w:ascii="仿宋_GB2312" w:eastAsia="仿宋_GB2312"/>
          <w:color w:val="000000"/>
          <w:sz w:val="24"/>
        </w:rPr>
        <w:t>3、对于一般不需要试运行即可进行验收的货物，甲方须在乙方安装调试合格后日内验收完毕。若因合理的并可以证实的原因或验收所依赖的客观条件不足，导致不能在规定时间内验收完毕的，经双方协商一致后可以适当延长验收期限，但该延长期除非双方一致认为必要外，最多不得超过双方原定验收期的一倍，否则应视为验收合格。</w:t>
      </w:r>
    </w:p>
    <w:p>
      <w:pPr>
        <w:spacing w:line="520" w:lineRule="exact"/>
        <w:ind w:firstLine="480"/>
        <w:rPr>
          <w:rFonts w:ascii="仿宋_GB2312" w:eastAsia="仿宋_GB2312"/>
          <w:color w:val="000000"/>
          <w:sz w:val="24"/>
        </w:rPr>
      </w:pPr>
      <w:r>
        <w:rPr>
          <w:rFonts w:hint="eastAsia" w:ascii="仿宋_GB2312" w:eastAsia="仿宋_GB2312"/>
          <w:color w:val="000000"/>
          <w:sz w:val="24"/>
        </w:rPr>
        <w:t>4、对于大型或复杂货物或需经试运行的货物，应经过至少至个月的（本项目选择个月）整套使用或整套试运行期方可完成最终验收。</w:t>
      </w:r>
    </w:p>
    <w:p>
      <w:pPr>
        <w:spacing w:line="520" w:lineRule="exact"/>
        <w:ind w:firstLine="480"/>
        <w:rPr>
          <w:rFonts w:ascii="仿宋_GB2312" w:eastAsia="仿宋_GB2312"/>
          <w:color w:val="000000"/>
          <w:sz w:val="24"/>
        </w:rPr>
      </w:pPr>
      <w:r>
        <w:rPr>
          <w:rFonts w:hint="eastAsia" w:ascii="仿宋_GB2312" w:eastAsia="仿宋_GB2312"/>
          <w:color w:val="000000"/>
          <w:sz w:val="24"/>
        </w:rPr>
        <w:t>5、验收结果经甲、乙双方确认后，填写《货物验收报告（以下简称“货物验收报告”）并签名、加盖各自单位的公章。</w:t>
      </w:r>
    </w:p>
    <w:p>
      <w:pPr>
        <w:spacing w:line="520" w:lineRule="exact"/>
        <w:ind w:firstLine="480"/>
        <w:rPr>
          <w:rFonts w:ascii="仿宋_GB2312" w:eastAsia="仿宋_GB2312"/>
          <w:color w:val="000000"/>
          <w:sz w:val="24"/>
        </w:rPr>
      </w:pPr>
      <w:r>
        <w:rPr>
          <w:rFonts w:hint="eastAsia" w:ascii="仿宋_GB2312" w:eastAsia="仿宋_GB2312"/>
          <w:color w:val="000000"/>
          <w:sz w:val="24"/>
        </w:rPr>
        <w:t>6、验收不合格或不完全合格的，或在本合同约定期限内发现货物存在缺陷或潜在缺陷及其他质量问题的，甲方应在日内向乙方书面提出异议，并将该书面异议报送上城区政府采购办备案。</w:t>
      </w:r>
    </w:p>
    <w:p>
      <w:pPr>
        <w:spacing w:line="520" w:lineRule="exact"/>
        <w:ind w:firstLine="480"/>
        <w:rPr>
          <w:rFonts w:ascii="仿宋_GB2312" w:eastAsia="仿宋_GB2312"/>
          <w:color w:val="000000"/>
          <w:sz w:val="24"/>
        </w:rPr>
      </w:pPr>
      <w:r>
        <w:rPr>
          <w:rFonts w:hint="eastAsia" w:ascii="仿宋_GB2312" w:eastAsia="仿宋_GB2312"/>
          <w:color w:val="000000"/>
          <w:sz w:val="24"/>
        </w:rPr>
        <w:t>乙方应在收到书面异议后日内予以答复，并严格按照甲方的要求给予合理解决，由此产生的任何费用由乙方承担，否则甲方有权拒绝接受。乙方应将异议处理情况以书面形式报送上城区政府采购办备案。期限内完成验收的，除顺延验收及付款期限外，乙方应承担本合同所规定的延期交货的违约及赔偿责任。</w:t>
      </w:r>
    </w:p>
    <w:p>
      <w:pPr>
        <w:spacing w:line="520" w:lineRule="exact"/>
        <w:ind w:firstLine="480"/>
        <w:rPr>
          <w:rFonts w:ascii="仿宋_GB2312" w:eastAsia="仿宋_GB2312"/>
          <w:color w:val="000000"/>
          <w:sz w:val="24"/>
        </w:rPr>
      </w:pPr>
      <w:r>
        <w:rPr>
          <w:rFonts w:hint="eastAsia" w:ascii="仿宋_GB2312" w:eastAsia="仿宋_GB2312"/>
          <w:color w:val="000000"/>
          <w:sz w:val="24"/>
        </w:rPr>
        <w:t>8、本项目最终验收合格期限不超过年月日。</w:t>
      </w:r>
    </w:p>
    <w:p>
      <w:pPr>
        <w:spacing w:line="520" w:lineRule="exact"/>
        <w:ind w:firstLine="480"/>
        <w:rPr>
          <w:rFonts w:ascii="仿宋_GB2312" w:eastAsia="仿宋_GB2312"/>
          <w:b/>
          <w:color w:val="000000"/>
          <w:sz w:val="24"/>
        </w:rPr>
      </w:pPr>
      <w:r>
        <w:rPr>
          <w:rFonts w:hint="eastAsia" w:ascii="仿宋_GB2312" w:eastAsia="仿宋_GB2312"/>
          <w:b/>
          <w:color w:val="000000"/>
          <w:sz w:val="24"/>
        </w:rPr>
        <w:t>五、售后服务</w:t>
      </w:r>
    </w:p>
    <w:p>
      <w:pPr>
        <w:spacing w:line="520" w:lineRule="exact"/>
        <w:ind w:firstLine="480"/>
        <w:rPr>
          <w:rFonts w:ascii="仿宋_GB2312" w:eastAsia="仿宋_GB2312"/>
          <w:color w:val="000000"/>
          <w:sz w:val="24"/>
        </w:rPr>
      </w:pPr>
      <w:r>
        <w:rPr>
          <w:rFonts w:hint="eastAsia" w:ascii="仿宋_GB2312" w:eastAsia="仿宋_GB2312"/>
          <w:color w:val="000000"/>
          <w:sz w:val="24"/>
        </w:rPr>
        <w:t>乙方应按如下内容提供售后服务承诺：</w:t>
      </w:r>
    </w:p>
    <w:p>
      <w:pPr>
        <w:spacing w:line="520" w:lineRule="exact"/>
        <w:ind w:firstLine="480"/>
        <w:rPr>
          <w:rFonts w:ascii="仿宋_GB2312" w:eastAsia="仿宋_GB2312"/>
          <w:color w:val="000000"/>
          <w:sz w:val="24"/>
        </w:rPr>
      </w:pPr>
      <w:r>
        <w:rPr>
          <w:rFonts w:hint="eastAsia" w:ascii="仿宋_GB2312" w:eastAsia="仿宋_GB2312"/>
          <w:color w:val="000000"/>
          <w:sz w:val="24"/>
        </w:rPr>
        <w:t>1、本合同项下货物的保修期或与质量相关的其它期限均自按照本合同约定方式完成最终验收并由甲方签署了货物最终验收单之日起算，经双方协商一致特别约定的除外。本项目质保期为最终验收合格之日起个月。</w:t>
      </w:r>
    </w:p>
    <w:p>
      <w:pPr>
        <w:spacing w:line="520" w:lineRule="exact"/>
        <w:ind w:firstLine="480"/>
        <w:rPr>
          <w:rFonts w:ascii="仿宋_GB2312" w:eastAsia="仿宋_GB2312"/>
          <w:color w:val="000000"/>
          <w:sz w:val="24"/>
        </w:rPr>
      </w:pPr>
      <w:r>
        <w:rPr>
          <w:rFonts w:hint="eastAsia" w:ascii="仿宋_GB2312" w:eastAsia="仿宋_GB2312"/>
          <w:color w:val="000000"/>
          <w:sz w:val="24"/>
        </w:rPr>
        <w:t>2、乙方在质保期内应对提供的所有货物进行常规检查、调整等。</w:t>
      </w:r>
    </w:p>
    <w:p>
      <w:pPr>
        <w:spacing w:line="520" w:lineRule="exact"/>
        <w:ind w:firstLine="480"/>
        <w:rPr>
          <w:rFonts w:ascii="仿宋_GB2312" w:eastAsia="仿宋_GB2312"/>
          <w:color w:val="000000"/>
          <w:sz w:val="24"/>
        </w:rPr>
      </w:pPr>
      <w:r>
        <w:rPr>
          <w:rFonts w:hint="eastAsia" w:ascii="仿宋_GB2312" w:eastAsia="仿宋_GB2312"/>
          <w:color w:val="000000"/>
          <w:sz w:val="24"/>
        </w:rPr>
        <w:t>3、货物在质保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spacing w:line="520" w:lineRule="exact"/>
        <w:ind w:firstLine="480"/>
        <w:rPr>
          <w:rFonts w:ascii="仿宋_GB2312" w:eastAsia="仿宋_GB2312"/>
          <w:color w:val="000000"/>
          <w:sz w:val="24"/>
        </w:rPr>
      </w:pPr>
      <w:r>
        <w:rPr>
          <w:rFonts w:hint="eastAsia" w:ascii="仿宋_GB2312" w:eastAsia="仿宋_GB2312"/>
          <w:color w:val="000000"/>
          <w:sz w:val="24"/>
        </w:rPr>
        <w:t>4、货物在质保期内，如因甲方使用不当、维护不当或者保管不当而引起的缺陷或损坏，乙方不负免费保修的责任，由此产生的合理费用由甲方承担。</w:t>
      </w:r>
    </w:p>
    <w:p>
      <w:pPr>
        <w:spacing w:line="520" w:lineRule="exact"/>
        <w:ind w:firstLine="480"/>
        <w:rPr>
          <w:rFonts w:ascii="仿宋_GB2312" w:eastAsia="仿宋_GB2312"/>
          <w:color w:val="000000"/>
          <w:sz w:val="24"/>
        </w:rPr>
      </w:pPr>
      <w:r>
        <w:rPr>
          <w:rFonts w:hint="eastAsia" w:ascii="仿宋_GB2312" w:eastAsia="仿宋_GB2312"/>
          <w:color w:val="000000"/>
          <w:sz w:val="24"/>
        </w:rPr>
        <w:t>5、货物在质保期内或在应当由乙方负责的其他情况下，若由于乙方原因而造成货物不得不停止使用的情形，货物保修期应依照停止使用的实际时间加以延长，由此给甲方造成的损失由乙方承担。</w:t>
      </w:r>
    </w:p>
    <w:p>
      <w:pPr>
        <w:spacing w:line="520" w:lineRule="exact"/>
        <w:ind w:firstLine="480"/>
        <w:rPr>
          <w:rFonts w:ascii="仿宋_GB2312" w:eastAsia="仿宋_GB2312"/>
          <w:color w:val="000000"/>
          <w:sz w:val="24"/>
        </w:rPr>
      </w:pPr>
      <w:r>
        <w:rPr>
          <w:rFonts w:hint="eastAsia" w:ascii="仿宋_GB2312" w:eastAsia="仿宋_GB2312"/>
          <w:color w:val="000000"/>
          <w:sz w:val="24"/>
        </w:rPr>
        <w:t>6、乙方应提供电话、电子邮件、现场服务等方式的7*24小时的技术支持。若设备发生故障，乙方应在接到通知之时起小时内赶赴现场处理问题。一般故障小时内解决，重大故障小时内解决。</w:t>
      </w:r>
    </w:p>
    <w:p>
      <w:pPr>
        <w:spacing w:line="520" w:lineRule="exact"/>
        <w:ind w:firstLine="480"/>
        <w:rPr>
          <w:rFonts w:ascii="仿宋_GB2312" w:eastAsia="仿宋_GB2312"/>
          <w:b/>
          <w:color w:val="000000"/>
          <w:sz w:val="24"/>
        </w:rPr>
      </w:pPr>
      <w:r>
        <w:rPr>
          <w:rFonts w:hint="eastAsia" w:ascii="仿宋_GB2312" w:eastAsia="仿宋_GB2312"/>
          <w:b/>
          <w:color w:val="000000"/>
          <w:sz w:val="24"/>
        </w:rPr>
        <w:t>六、安装责任</w:t>
      </w:r>
    </w:p>
    <w:p>
      <w:pPr>
        <w:spacing w:line="520" w:lineRule="exact"/>
        <w:ind w:firstLine="480"/>
        <w:rPr>
          <w:rFonts w:ascii="仿宋_GB2312" w:eastAsia="仿宋_GB2312"/>
          <w:color w:val="000000"/>
          <w:sz w:val="24"/>
        </w:rPr>
      </w:pPr>
      <w:r>
        <w:rPr>
          <w:rFonts w:hint="eastAsia" w:ascii="仿宋_GB2312" w:eastAsia="仿宋_GB2312"/>
          <w:color w:val="000000"/>
          <w:sz w:val="24"/>
        </w:rPr>
        <w:t>1、甲方责任：及时协调安装过程中所涉及到的各种关系。</w:t>
      </w:r>
    </w:p>
    <w:p>
      <w:pPr>
        <w:spacing w:line="520" w:lineRule="exact"/>
        <w:ind w:firstLine="480"/>
        <w:rPr>
          <w:rFonts w:ascii="仿宋_GB2312" w:eastAsia="仿宋_GB2312"/>
          <w:color w:val="000000"/>
          <w:sz w:val="24"/>
        </w:rPr>
      </w:pPr>
      <w:r>
        <w:rPr>
          <w:rFonts w:hint="eastAsia" w:ascii="仿宋_GB2312" w:eastAsia="仿宋_GB2312"/>
          <w:color w:val="000000"/>
          <w:sz w:val="24"/>
        </w:rPr>
        <w:t>2、乙方责任：严格执行按图安装和按合同实行制度；安装现场的工具、材料、人身安全由乙方负责。</w:t>
      </w:r>
    </w:p>
    <w:p>
      <w:pPr>
        <w:spacing w:line="520" w:lineRule="exact"/>
        <w:ind w:firstLine="480"/>
        <w:rPr>
          <w:rFonts w:ascii="仿宋_GB2312" w:eastAsia="仿宋_GB2312"/>
          <w:b/>
          <w:color w:val="000000"/>
          <w:sz w:val="24"/>
        </w:rPr>
      </w:pPr>
      <w:r>
        <w:rPr>
          <w:rFonts w:hint="eastAsia" w:ascii="仿宋_GB2312" w:eastAsia="仿宋_GB2312"/>
          <w:b/>
          <w:color w:val="000000"/>
          <w:sz w:val="24"/>
        </w:rPr>
        <w:t>七、违约责任</w:t>
      </w:r>
    </w:p>
    <w:p>
      <w:pPr>
        <w:spacing w:line="520" w:lineRule="exact"/>
        <w:rPr>
          <w:rFonts w:ascii="仿宋_GB2312" w:eastAsia="仿宋_GB2312"/>
          <w:color w:val="000000"/>
          <w:sz w:val="24"/>
        </w:rPr>
      </w:pPr>
      <w:r>
        <w:rPr>
          <w:rFonts w:hint="eastAsia" w:ascii="仿宋_GB2312" w:eastAsia="仿宋_GB2312"/>
          <w:color w:val="000000"/>
          <w:sz w:val="24"/>
        </w:rPr>
        <w:t xml:space="preserve">    1、若乙方未按照合同规定的要求交付货物和提供服务；或乙方在收到甲方要求更换有缺陷的货物或部件的通知后日内，或在乙方签署货损证明后日内没有补足或更换货物、或交货仍不符合要求时，甲方有权向乙方发出违约通知书，乙方应按照甲方选择的下列一种或多种方式承担赔偿责任：</w:t>
      </w:r>
    </w:p>
    <w:p>
      <w:pPr>
        <w:spacing w:line="520" w:lineRule="exact"/>
        <w:ind w:firstLine="480"/>
        <w:rPr>
          <w:rFonts w:ascii="仿宋_GB2312" w:eastAsia="仿宋_GB2312"/>
          <w:color w:val="000000"/>
          <w:sz w:val="24"/>
        </w:rPr>
      </w:pPr>
      <w:r>
        <w:rPr>
          <w:rFonts w:hint="eastAsia" w:ascii="仿宋_GB2312" w:eastAsia="仿宋_GB2312"/>
          <w:color w:val="000000"/>
          <w:sz w:val="24"/>
        </w:rPr>
        <w:t>（1）在甲方同意延长的期限内交付全部货物、提供服务并承担由此给甲方造成的直接损失及甲方因此产生的对第三方的责任。</w:t>
      </w:r>
    </w:p>
    <w:p>
      <w:pPr>
        <w:spacing w:line="520" w:lineRule="exact"/>
        <w:ind w:firstLine="480"/>
        <w:rPr>
          <w:rFonts w:ascii="仿宋_GB2312" w:eastAsia="仿宋_GB2312"/>
          <w:color w:val="000000"/>
          <w:sz w:val="24"/>
        </w:rPr>
      </w:pPr>
      <w:r>
        <w:rPr>
          <w:rFonts w:hint="eastAsia" w:ascii="仿宋_GB2312" w:eastAsia="仿宋_GB2312"/>
          <w:color w:val="000000"/>
          <w:sz w:val="24"/>
        </w:rPr>
        <w:t>（2）在甲方规定的时间内，用符合合同规定的规格、质量和性能要求的新零件、部件或货物来更换有缺陷的零件、部件和货物并修补缺陷部分以达到合同规定的要求，乙方应承担由此发生的一切费用和风险。此时，货物的质量保修期及相关的其它期限也应相应顺延或重新起算。</w:t>
      </w:r>
    </w:p>
    <w:p>
      <w:pPr>
        <w:spacing w:line="520" w:lineRule="exact"/>
        <w:ind w:firstLine="480"/>
        <w:rPr>
          <w:rFonts w:ascii="仿宋_GB2312" w:eastAsia="仿宋_GB2312"/>
          <w:color w:val="000000"/>
          <w:sz w:val="24"/>
        </w:rPr>
      </w:pPr>
      <w:r>
        <w:rPr>
          <w:rFonts w:hint="eastAsia" w:ascii="仿宋_GB2312" w:eastAsia="仿宋_GB2312"/>
          <w:color w:val="000000"/>
          <w:sz w:val="24"/>
        </w:rPr>
        <w:t>（3）根据货物低劣程度、损坏程度和甲方所遭受的损失以及甲方因此产生的对第三方的责任，由乙方承担赔偿责任及甲方因此产生的对第三方的责任。</w:t>
      </w:r>
    </w:p>
    <w:p>
      <w:pPr>
        <w:spacing w:line="520" w:lineRule="exact"/>
        <w:ind w:firstLine="480"/>
        <w:rPr>
          <w:rFonts w:ascii="仿宋_GB2312" w:eastAsia="仿宋_GB2312"/>
          <w:color w:val="000000"/>
          <w:sz w:val="24"/>
        </w:rPr>
      </w:pPr>
      <w:r>
        <w:rPr>
          <w:rFonts w:hint="eastAsia" w:ascii="仿宋_GB2312" w:eastAsia="仿宋_GB2312"/>
          <w:color w:val="000000"/>
          <w:sz w:val="24"/>
        </w:rPr>
        <w:t>（4）乙方所供货物不符合验收标准的，甲方有权拒绝。乙方应按合同规定的同种货币将甲方所退货物的全部价款退还给甲方，并承担由此产生的一切损失和费用，包括利息、银行手续费、运费、保险费、检验费、仓储费、装卸费以及甲方为保护货物所支出的其它必要费用等。</w:t>
      </w:r>
    </w:p>
    <w:p>
      <w:pPr>
        <w:spacing w:line="520" w:lineRule="exact"/>
        <w:ind w:firstLine="480"/>
        <w:rPr>
          <w:rFonts w:ascii="仿宋_GB2312" w:eastAsia="仿宋_GB2312"/>
          <w:color w:val="000000"/>
          <w:sz w:val="24"/>
        </w:rPr>
      </w:pPr>
      <w:r>
        <w:rPr>
          <w:rFonts w:hint="eastAsia" w:ascii="仿宋_GB2312" w:eastAsia="仿宋_GB2312"/>
          <w:color w:val="000000"/>
          <w:sz w:val="24"/>
        </w:rPr>
        <w:t>（5）甲方有权部分或全部解除合同并要求乙方赔偿由此造成的损失并承担由此产生的对第三人的责任。</w:t>
      </w:r>
    </w:p>
    <w:p>
      <w:pPr>
        <w:spacing w:line="520" w:lineRule="exact"/>
        <w:ind w:firstLine="480"/>
        <w:rPr>
          <w:rFonts w:ascii="仿宋_GB2312" w:eastAsia="仿宋_GB2312"/>
          <w:color w:val="000000"/>
          <w:sz w:val="24"/>
        </w:rPr>
      </w:pPr>
      <w:r>
        <w:rPr>
          <w:rFonts w:hint="eastAsia" w:ascii="仿宋_GB2312" w:eastAsia="仿宋_GB2312"/>
          <w:color w:val="000000"/>
          <w:sz w:val="24"/>
        </w:rPr>
        <w:t>上述情形下甲方为采取必要的补救措施或因防止损失扩大而支出的合理费用应由乙方承担。</w:t>
      </w:r>
    </w:p>
    <w:p>
      <w:pPr>
        <w:spacing w:line="520" w:lineRule="exact"/>
        <w:ind w:firstLine="480"/>
        <w:rPr>
          <w:rFonts w:ascii="仿宋_GB2312" w:eastAsia="仿宋_GB2312"/>
          <w:color w:val="000000"/>
          <w:sz w:val="24"/>
        </w:rPr>
      </w:pPr>
      <w:r>
        <w:rPr>
          <w:rFonts w:hint="eastAsia" w:ascii="仿宋_GB2312" w:eastAsia="仿宋_GB2312"/>
          <w:color w:val="000000"/>
          <w:sz w:val="24"/>
        </w:rPr>
        <w:t>2、若乙方在收到甲方的违约通知书或类似的其它书面通知之日起7日内未作答复，也没有按照甲方选择的方式承担违约责任，则甲方有权直接从尚未支付的合同价款中扣留相当于甲方选择的方式计算的索赔金额包括违约金。若这些金额不足以补偿，乙方仍应承担不足部分的赔偿或支付责任。</w:t>
      </w:r>
    </w:p>
    <w:p>
      <w:pPr>
        <w:spacing w:line="520" w:lineRule="exact"/>
        <w:ind w:firstLine="480"/>
        <w:rPr>
          <w:rFonts w:ascii="仿宋_GB2312" w:eastAsia="仿宋_GB2312"/>
          <w:color w:val="000000"/>
          <w:sz w:val="24"/>
        </w:rPr>
      </w:pPr>
      <w:r>
        <w:rPr>
          <w:rFonts w:hint="eastAsia" w:ascii="仿宋_GB2312" w:eastAsia="仿宋_GB2312"/>
          <w:color w:val="000000"/>
          <w:sz w:val="24"/>
        </w:rPr>
        <w:t>3、乙方逾期交付的应向甲方每日偿付合同总价万分之五的违约金。乙方逾期30天不能交付的，应向甲方支付合同总价百分之五的违约金。同时并不免除继续履行合同的义务。</w:t>
      </w:r>
    </w:p>
    <w:p>
      <w:pPr>
        <w:spacing w:line="520" w:lineRule="exact"/>
        <w:ind w:firstLine="480"/>
        <w:rPr>
          <w:rFonts w:ascii="仿宋_GB2312" w:eastAsia="仿宋_GB2312"/>
          <w:color w:val="000000"/>
          <w:sz w:val="24"/>
        </w:rPr>
      </w:pPr>
      <w:r>
        <w:rPr>
          <w:rFonts w:hint="eastAsia" w:ascii="仿宋_GB2312" w:eastAsia="仿宋_GB2312"/>
          <w:color w:val="000000"/>
          <w:sz w:val="24"/>
        </w:rPr>
        <w:t>4、甲方逾期支付货款的，应向乙方每日偿付合同总价万分之五的违约金。甲方无正当理由拒收货物、拒付货款的，应向乙方偿付合同总价百分之五的违约金。</w:t>
      </w:r>
    </w:p>
    <w:p>
      <w:pPr>
        <w:spacing w:line="520" w:lineRule="exact"/>
        <w:ind w:firstLine="480"/>
        <w:rPr>
          <w:rFonts w:ascii="仿宋_GB2312" w:eastAsia="仿宋_GB2312"/>
          <w:color w:val="000000"/>
          <w:sz w:val="24"/>
        </w:rPr>
      </w:pPr>
      <w:r>
        <w:rPr>
          <w:rFonts w:hint="eastAsia" w:ascii="仿宋_GB2312" w:eastAsia="仿宋_GB2312"/>
          <w:color w:val="000000"/>
          <w:sz w:val="24"/>
        </w:rPr>
        <w:t>5、如任何一方无故解除合同或有违反本合同规定的任何情形均属于违约行为，违约方应就每一单项违约向对方支付合同总价百分之五的违约金。</w:t>
      </w:r>
    </w:p>
    <w:p>
      <w:pPr>
        <w:spacing w:line="520" w:lineRule="exact"/>
        <w:ind w:firstLine="480"/>
        <w:rPr>
          <w:rFonts w:ascii="仿宋_GB2312" w:eastAsia="仿宋_GB2312"/>
          <w:b/>
          <w:color w:val="000000"/>
          <w:sz w:val="24"/>
        </w:rPr>
      </w:pPr>
      <w:r>
        <w:rPr>
          <w:rFonts w:hint="eastAsia" w:ascii="仿宋_GB2312" w:eastAsia="仿宋_GB2312"/>
          <w:b/>
          <w:color w:val="000000"/>
          <w:sz w:val="24"/>
        </w:rPr>
        <w:t>八、不可抗力</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本条所述不可抗力系指《中华人民共和国合同法》所列举的不可抗力。不可抗力一旦发生，证明文件由法律规定部门签署，并由甲方、乙方及见证方三方协商合同逾期履行和继续履行的方法，根据实际情况修订或终止合同。在此情况下，任何一方不能要求对方承担违约责任及损失赔偿。因甲方或乙方先延误或不能履行政府采购合同而后遇不可抗力的情形除外。</w:t>
      </w:r>
    </w:p>
    <w:p>
      <w:pPr>
        <w:spacing w:line="520" w:lineRule="exact"/>
        <w:ind w:firstLine="480"/>
        <w:rPr>
          <w:rFonts w:ascii="仿宋_GB2312" w:hAnsi="宋体" w:eastAsia="仿宋_GB2312"/>
          <w:b/>
          <w:color w:val="000000"/>
          <w:sz w:val="24"/>
        </w:rPr>
      </w:pPr>
      <w:r>
        <w:rPr>
          <w:rFonts w:hint="eastAsia" w:ascii="仿宋_GB2312" w:hAnsi="宋体" w:eastAsia="仿宋_GB2312"/>
          <w:b/>
          <w:color w:val="000000"/>
          <w:sz w:val="24"/>
        </w:rPr>
        <w:t>九、争议的解决</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1、双方应通过友好协商，解决在执行本政府采购合同过程中所发生的或与本政府采购合同有关的一切争端。如从协商开始日内仍不能解决，可向有关政府采购管理部门提请调解。</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2、如果调解不成，双方中的任何一方均可向合同签订地的人民法院提起诉讼。</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3、因合同部分履行引发诉讼的，在诉讼期间，除正在进行诉讼的部分外，本合同的其它部分应继续执行。</w:t>
      </w:r>
    </w:p>
    <w:p>
      <w:pPr>
        <w:spacing w:line="520" w:lineRule="exact"/>
        <w:ind w:firstLine="480"/>
        <w:rPr>
          <w:rFonts w:ascii="仿宋_GB2312" w:hAnsi="宋体" w:eastAsia="仿宋_GB2312"/>
          <w:b/>
          <w:color w:val="000000"/>
          <w:sz w:val="24"/>
        </w:rPr>
      </w:pPr>
      <w:r>
        <w:rPr>
          <w:rFonts w:hint="eastAsia" w:ascii="仿宋_GB2312" w:hAnsi="宋体" w:eastAsia="仿宋_GB2312"/>
          <w:b/>
          <w:color w:val="000000"/>
          <w:sz w:val="24"/>
        </w:rPr>
        <w:t>十、合同的终止</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1、若乙方未能在合同规定的限期或甲方同意延长的限期内提供部分或全部货物和服务，且甲方采取的任何补救措施不起作用。</w:t>
      </w:r>
    </w:p>
    <w:p>
      <w:pPr>
        <w:spacing w:line="520" w:lineRule="exact"/>
        <w:rPr>
          <w:rFonts w:ascii="仿宋_GB2312" w:hAnsi="宋体" w:eastAsia="仿宋_GB2312"/>
          <w:color w:val="000000"/>
          <w:sz w:val="24"/>
        </w:rPr>
      </w:pPr>
      <w:r>
        <w:rPr>
          <w:rFonts w:hint="eastAsia" w:ascii="仿宋_GB2312" w:hAnsi="宋体" w:eastAsia="仿宋_GB2312"/>
          <w:color w:val="000000"/>
          <w:sz w:val="24"/>
        </w:rPr>
        <w:t xml:space="preserve">    2、若乙方因破产或经营不善导致合同履行不能，乙方应书面通知甲方终止合同；在甲方知情而未收到乙方终止合同书面通知时，甲方可在任何时候书面通知乙方终止合同。</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3、因不可抗力导致合同履行不能。</w:t>
      </w:r>
    </w:p>
    <w:p>
      <w:pPr>
        <w:spacing w:line="520" w:lineRule="exact"/>
        <w:ind w:firstLine="480"/>
        <w:rPr>
          <w:rFonts w:ascii="仿宋_GB2312" w:eastAsia="仿宋_GB2312"/>
          <w:b/>
          <w:color w:val="000000"/>
          <w:sz w:val="24"/>
        </w:rPr>
      </w:pPr>
      <w:r>
        <w:rPr>
          <w:rFonts w:hint="eastAsia" w:ascii="仿宋_GB2312" w:hAnsi="宋体" w:eastAsia="仿宋_GB2312"/>
          <w:b/>
          <w:color w:val="000000"/>
          <w:sz w:val="24"/>
        </w:rPr>
        <w:t>十一、合同的生效</w:t>
      </w:r>
    </w:p>
    <w:p>
      <w:pPr>
        <w:spacing w:line="520" w:lineRule="exact"/>
        <w:ind w:firstLine="480"/>
        <w:rPr>
          <w:rFonts w:ascii="仿宋_GB2312" w:eastAsia="仿宋_GB2312"/>
          <w:color w:val="000000"/>
          <w:sz w:val="24"/>
        </w:rPr>
      </w:pPr>
      <w:r>
        <w:rPr>
          <w:rFonts w:hint="eastAsia" w:ascii="仿宋_GB2312" w:eastAsia="仿宋_GB2312"/>
          <w:color w:val="000000"/>
          <w:sz w:val="24"/>
        </w:rPr>
        <w:t>1、本合同经甲乙双方法定代表人或其委托人签字盖章，由乙方向甲方缴</w:t>
      </w:r>
      <w:r>
        <w:rPr>
          <w:rFonts w:hint="eastAsia" w:ascii="仿宋_GB2312" w:eastAsia="仿宋_GB2312"/>
          <w:sz w:val="24"/>
        </w:rPr>
        <w:t>纳合同总价10%的履</w:t>
      </w:r>
      <w:r>
        <w:rPr>
          <w:rFonts w:hint="eastAsia" w:ascii="仿宋_GB2312" w:eastAsia="仿宋_GB2312"/>
          <w:color w:val="000000"/>
          <w:sz w:val="24"/>
        </w:rPr>
        <w:t>约保证金，并由见证方见证后生效。</w:t>
      </w:r>
    </w:p>
    <w:p>
      <w:pPr>
        <w:spacing w:line="520" w:lineRule="exact"/>
        <w:ind w:firstLine="480"/>
        <w:rPr>
          <w:rFonts w:ascii="仿宋_GB2312" w:eastAsia="仿宋_GB2312"/>
          <w:color w:val="000000"/>
          <w:sz w:val="24"/>
        </w:rPr>
      </w:pPr>
      <w:r>
        <w:rPr>
          <w:rFonts w:hint="eastAsia" w:ascii="仿宋_GB2312" w:eastAsia="仿宋_GB2312"/>
          <w:color w:val="000000"/>
          <w:sz w:val="24"/>
        </w:rPr>
        <w:t>2、合同履行期内甲乙双方均不得随意变更或解除合同。合同若有未尽事宜，需经双方共同协商，并由见证方见证，订立补充协议，补充协议与本合同有同等法律效力。</w:t>
      </w:r>
    </w:p>
    <w:p>
      <w:pPr>
        <w:spacing w:line="520" w:lineRule="exact"/>
        <w:ind w:firstLine="480"/>
        <w:rPr>
          <w:rFonts w:ascii="仿宋_GB2312" w:eastAsia="仿宋_GB2312"/>
          <w:color w:val="000000"/>
          <w:sz w:val="24"/>
        </w:rPr>
      </w:pPr>
      <w:r>
        <w:rPr>
          <w:rFonts w:hint="eastAsia" w:ascii="仿宋_GB2312" w:eastAsia="仿宋_GB2312"/>
          <w:color w:val="000000"/>
          <w:sz w:val="24"/>
        </w:rPr>
        <w:t>3、招标文件、投标文件及评标过程中形成的文字资料、询标纪要均作为本合同的组成部分，具有同等效力。</w:t>
      </w:r>
    </w:p>
    <w:p>
      <w:pPr>
        <w:spacing w:line="520" w:lineRule="exact"/>
        <w:ind w:firstLine="480"/>
        <w:rPr>
          <w:rFonts w:ascii="仿宋_GB2312" w:eastAsia="仿宋_GB2312"/>
          <w:color w:val="000000"/>
          <w:sz w:val="24"/>
        </w:rPr>
      </w:pPr>
      <w:r>
        <w:rPr>
          <w:rFonts w:hint="eastAsia" w:ascii="仿宋_GB2312" w:eastAsia="仿宋_GB2312"/>
          <w:color w:val="000000"/>
          <w:sz w:val="24"/>
        </w:rPr>
        <w:t>4、本合同一式五份，甲、乙双方各执两份，见证方执一份。</w:t>
      </w:r>
      <w:bookmarkEnd w:id="106"/>
      <w:bookmarkEnd w:id="107"/>
      <w:bookmarkEnd w:id="108"/>
    </w:p>
    <w:p>
      <w:pPr>
        <w:spacing w:line="520" w:lineRule="exact"/>
        <w:ind w:firstLine="480"/>
        <w:rPr>
          <w:rFonts w:ascii="仿宋_GB2312" w:eastAsia="仿宋_GB2312"/>
          <w:b/>
          <w:color w:val="000000"/>
          <w:sz w:val="24"/>
        </w:rPr>
      </w:pPr>
      <w:r>
        <w:rPr>
          <w:rFonts w:hint="eastAsia" w:ascii="仿宋_GB2312" w:eastAsia="仿宋_GB2312"/>
          <w:b/>
          <w:color w:val="000000"/>
          <w:sz w:val="24"/>
        </w:rPr>
        <w:t>十二、适用法律</w:t>
      </w:r>
    </w:p>
    <w:p>
      <w:pPr>
        <w:spacing w:line="520" w:lineRule="exact"/>
        <w:ind w:firstLine="480"/>
        <w:rPr>
          <w:rFonts w:ascii="仿宋_GB2312" w:eastAsia="仿宋_GB2312"/>
          <w:color w:val="000000"/>
          <w:sz w:val="24"/>
        </w:rPr>
      </w:pPr>
      <w:r>
        <w:rPr>
          <w:rFonts w:hint="eastAsia" w:ascii="仿宋_GB2312" w:eastAsia="仿宋_GB2312"/>
          <w:color w:val="000000"/>
          <w:sz w:val="24"/>
        </w:rPr>
        <w:t>本合同按照中华人民共和国现行法律、法规进行解释。</w:t>
      </w:r>
    </w:p>
    <w:p>
      <w:pPr>
        <w:spacing w:line="520" w:lineRule="exact"/>
        <w:ind w:firstLine="480"/>
        <w:rPr>
          <w:rFonts w:ascii="仿宋_GB2312" w:eastAsia="仿宋_GB2312"/>
          <w:b/>
          <w:color w:val="000000"/>
          <w:sz w:val="24"/>
        </w:rPr>
      </w:pPr>
      <w:r>
        <w:rPr>
          <w:rFonts w:hint="eastAsia" w:ascii="仿宋_GB2312" w:eastAsia="仿宋_GB2312"/>
          <w:b/>
          <w:color w:val="000000"/>
          <w:sz w:val="24"/>
        </w:rPr>
        <w:t>十三、特别说明</w:t>
      </w:r>
    </w:p>
    <w:p>
      <w:pPr>
        <w:spacing w:line="520" w:lineRule="exact"/>
        <w:ind w:firstLine="480"/>
        <w:rPr>
          <w:rFonts w:ascii="仿宋_GB2312" w:eastAsia="仿宋_GB2312"/>
          <w:sz w:val="24"/>
        </w:rPr>
      </w:pPr>
      <w:r>
        <w:rPr>
          <w:rFonts w:hint="eastAsia" w:ascii="仿宋_GB2312" w:eastAsia="仿宋_GB2312"/>
          <w:sz w:val="24"/>
        </w:rPr>
        <w:t>1、除采购文件规定,并经甲方和相关部门事先书面同意外，乙方不得部分转让和分包或全部转让和分包其应履行的合同义务。</w:t>
      </w:r>
    </w:p>
    <w:p>
      <w:pPr>
        <w:spacing w:line="520" w:lineRule="exact"/>
        <w:ind w:firstLine="480"/>
        <w:rPr>
          <w:rFonts w:ascii="仿宋_GB2312" w:eastAsia="仿宋_GB2312"/>
          <w:sz w:val="24"/>
        </w:rPr>
      </w:pPr>
      <w:r>
        <w:rPr>
          <w:rFonts w:hint="eastAsia" w:ascii="仿宋_GB2312" w:eastAsia="仿宋_GB2312"/>
          <w:sz w:val="24"/>
        </w:rPr>
        <w:t>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520" w:lineRule="exact"/>
        <w:ind w:firstLine="480"/>
        <w:rPr>
          <w:rFonts w:ascii="仿宋_GB2312" w:eastAsia="仿宋_GB2312"/>
          <w:sz w:val="24"/>
        </w:rPr>
      </w:pPr>
      <w:r>
        <w:rPr>
          <w:rFonts w:hint="eastAsia" w:ascii="仿宋_GB2312" w:eastAsia="仿宋_GB2312"/>
          <w:sz w:val="24"/>
        </w:rPr>
        <w:t>3、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spacing w:line="520" w:lineRule="exact"/>
        <w:ind w:firstLine="480"/>
        <w:rPr>
          <w:rFonts w:ascii="仿宋_GB2312" w:eastAsia="仿宋_GB2312"/>
          <w:sz w:val="24"/>
        </w:rPr>
      </w:pPr>
      <w:r>
        <w:rPr>
          <w:rFonts w:hint="eastAsia" w:ascii="仿宋_GB2312" w:eastAsia="仿宋_GB2312"/>
          <w:sz w:val="24"/>
        </w:rPr>
        <w:t>4、甲方及乙方在此承诺：</w:t>
      </w:r>
    </w:p>
    <w:p>
      <w:pPr>
        <w:spacing w:line="520" w:lineRule="exact"/>
        <w:ind w:firstLine="480"/>
        <w:rPr>
          <w:rFonts w:ascii="仿宋_GB2312" w:eastAsia="仿宋_GB2312"/>
          <w:sz w:val="24"/>
        </w:rPr>
      </w:pPr>
      <w:r>
        <w:rPr>
          <w:rFonts w:hint="eastAsia" w:ascii="仿宋_GB2312" w:eastAsia="仿宋_GB2312"/>
          <w:sz w:val="24"/>
        </w:rPr>
        <w:t>（1）在签署本合同之前详细阅读并理解本合同文本全文，且均在完全自愿与平等的法律地位基础上签署本合同。</w:t>
      </w:r>
    </w:p>
    <w:p>
      <w:pPr>
        <w:spacing w:line="520" w:lineRule="exact"/>
        <w:ind w:firstLine="480"/>
        <w:rPr>
          <w:rFonts w:ascii="仿宋_GB2312" w:eastAsia="仿宋_GB2312"/>
          <w:sz w:val="24"/>
        </w:rPr>
      </w:pPr>
      <w:r>
        <w:rPr>
          <w:rFonts w:hint="eastAsia" w:ascii="仿宋_GB2312" w:eastAsia="仿宋_GB2312"/>
          <w:sz w:val="24"/>
        </w:rPr>
        <w:t>（2）承诺放弃以本合同系属于格式合同为由而提出不利于对方的合同条款的解释的相关主张权。</w:t>
      </w:r>
    </w:p>
    <w:p>
      <w:pPr>
        <w:spacing w:line="520" w:lineRule="exact"/>
        <w:ind w:firstLine="480"/>
        <w:rPr>
          <w:rFonts w:ascii="仿宋_GB2312" w:eastAsia="仿宋_GB2312"/>
          <w:sz w:val="24"/>
        </w:rPr>
      </w:pPr>
      <w:r>
        <w:rPr>
          <w:rFonts w:hint="eastAsia" w:ascii="仿宋_GB2312" w:eastAsia="仿宋_GB2312"/>
          <w:sz w:val="24"/>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520" w:lineRule="exact"/>
        <w:ind w:firstLine="480"/>
        <w:rPr>
          <w:rFonts w:ascii="仿宋_GB2312" w:eastAsia="仿宋_GB2312"/>
          <w:b/>
          <w:sz w:val="24"/>
        </w:rPr>
      </w:pPr>
      <w:r>
        <w:rPr>
          <w:rFonts w:hint="eastAsia" w:ascii="仿宋_GB2312" w:eastAsia="仿宋_GB2312"/>
          <w:b/>
          <w:sz w:val="24"/>
        </w:rPr>
        <w:t>十四、其他</w:t>
      </w:r>
    </w:p>
    <w:p>
      <w:pPr>
        <w:spacing w:line="520" w:lineRule="exact"/>
        <w:ind w:firstLine="480"/>
        <w:rPr>
          <w:rFonts w:ascii="仿宋_GB2312" w:eastAsia="仿宋_GB2312"/>
          <w:sz w:val="24"/>
        </w:rPr>
      </w:pPr>
      <w:r>
        <w:rPr>
          <w:rFonts w:hint="eastAsia" w:ascii="仿宋_GB2312" w:eastAsia="仿宋_GB2312"/>
          <w:sz w:val="24"/>
        </w:rPr>
        <w:t>1、本项目货物验收标准以封存的投标样品为准。</w:t>
      </w:r>
    </w:p>
    <w:p>
      <w:pPr>
        <w:spacing w:line="520" w:lineRule="exact"/>
        <w:ind w:firstLine="480"/>
        <w:rPr>
          <w:rFonts w:ascii="仿宋_GB2312" w:eastAsia="仿宋_GB2312"/>
          <w:sz w:val="24"/>
        </w:rPr>
      </w:pPr>
      <w:r>
        <w:rPr>
          <w:rFonts w:hint="eastAsia" w:ascii="仿宋_GB2312" w:eastAsia="仿宋_GB2312"/>
          <w:sz w:val="24"/>
        </w:rPr>
        <w:t>2、乙方方指定以下人员为联系人，甲方有关通知寄送下列地址和人员即视为送达。</w:t>
      </w:r>
    </w:p>
    <w:p>
      <w:pPr>
        <w:spacing w:line="520" w:lineRule="exact"/>
        <w:ind w:firstLine="480"/>
        <w:rPr>
          <w:rFonts w:ascii="仿宋_GB2312" w:eastAsia="仿宋_GB2312"/>
          <w:sz w:val="24"/>
        </w:rPr>
      </w:pPr>
      <w:r>
        <w:rPr>
          <w:rFonts w:hint="eastAsia" w:ascii="仿宋_GB2312" w:eastAsia="仿宋_GB2312"/>
          <w:sz w:val="24"/>
        </w:rPr>
        <w:t>联系人：       联系电话：            联系地址：</w:t>
      </w: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ind w:firstLine="480"/>
        <w:rPr>
          <w:rFonts w:ascii="仿宋_GB2312" w:eastAsia="仿宋_GB2312"/>
          <w:sz w:val="24"/>
        </w:rPr>
      </w:pPr>
    </w:p>
    <w:p>
      <w:pPr>
        <w:spacing w:line="520" w:lineRule="exact"/>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pStyle w:val="2"/>
        <w:ind w:firstLine="480"/>
        <w:rPr>
          <w:rFonts w:ascii="仿宋_GB2312" w:eastAsia="仿宋_GB2312"/>
          <w:sz w:val="24"/>
        </w:rPr>
      </w:pPr>
    </w:p>
    <w:p>
      <w:pPr>
        <w:spacing w:line="520" w:lineRule="exact"/>
        <w:ind w:firstLine="480"/>
        <w:rPr>
          <w:rFonts w:ascii="仿宋_GB2312" w:eastAsia="仿宋_GB2312"/>
          <w:b/>
          <w:sz w:val="24"/>
        </w:rPr>
      </w:pPr>
      <w:r>
        <w:rPr>
          <w:rFonts w:hint="eastAsia" w:ascii="仿宋_GB2312" w:eastAsia="仿宋_GB2312"/>
          <w:b/>
          <w:sz w:val="24"/>
        </w:rPr>
        <w:t>（以下无正文）</w:t>
      </w:r>
    </w:p>
    <w:p>
      <w:pPr>
        <w:pStyle w:val="2"/>
        <w:spacing w:line="520" w:lineRule="exact"/>
      </w:pPr>
    </w:p>
    <w:p>
      <w:pPr>
        <w:spacing w:line="520" w:lineRule="exact"/>
        <w:ind w:firstLine="5084" w:firstLineChars="2110"/>
        <w:rPr>
          <w:rFonts w:ascii="仿宋_GB2312" w:eastAsia="仿宋_GB2312"/>
          <w:b/>
          <w:sz w:val="24"/>
        </w:rPr>
      </w:pPr>
      <w:r>
        <w:rPr>
          <w:rFonts w:hint="eastAsia" w:ascii="仿宋_GB2312" w:eastAsia="仿宋_GB2312"/>
          <w:b/>
          <w:sz w:val="24"/>
        </w:rPr>
        <w:t>【签字页】</w:t>
      </w:r>
    </w:p>
    <w:p>
      <w:pPr>
        <w:spacing w:line="520" w:lineRule="exact"/>
        <w:jc w:val="center"/>
        <w:rPr>
          <w:rFonts w:ascii="仿宋_GB2312" w:eastAsia="仿宋_GB2312"/>
          <w:b/>
          <w:sz w:val="24"/>
        </w:rPr>
      </w:pPr>
    </w:p>
    <w:p>
      <w:pPr>
        <w:spacing w:line="520" w:lineRule="exact"/>
        <w:ind w:firstLine="420"/>
        <w:jc w:val="left"/>
        <w:rPr>
          <w:rFonts w:ascii="仿宋_GB2312" w:hAnsi="宋体" w:eastAsia="仿宋_GB2312"/>
          <w:color w:val="000000"/>
          <w:sz w:val="24"/>
        </w:rPr>
      </w:pPr>
      <w:r>
        <w:rPr>
          <w:rFonts w:hint="eastAsia" w:ascii="仿宋_GB2312" w:hAnsi="宋体" w:eastAsia="仿宋_GB2312"/>
          <w:color w:val="000000"/>
          <w:sz w:val="24"/>
        </w:rPr>
        <w:t xml:space="preserve">甲方（盖章）：                          乙方（盖章）：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法定代表人：                           法定代表人：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或授权代表（签字）：                    或授权代表（签字）：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地址：                                 地址：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邮编：                                 邮编：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电话：                                 电话：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传真：                                 传真：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开户银行：                             开户银行：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帐号：                                 帐号：</w:t>
      </w:r>
    </w:p>
    <w:p>
      <w:pPr>
        <w:spacing w:line="520" w:lineRule="exact"/>
        <w:ind w:firstLine="480"/>
        <w:jc w:val="left"/>
        <w:rPr>
          <w:rFonts w:ascii="仿宋_GB2312" w:hAnsi="宋体" w:eastAsia="仿宋_GB2312"/>
          <w:color w:val="000000"/>
          <w:sz w:val="24"/>
        </w:rPr>
      </w:pP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见证方（盖章）：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地址：</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邮编：</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电话：</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传真：</w:t>
      </w:r>
    </w:p>
    <w:p>
      <w:pPr>
        <w:spacing w:line="520" w:lineRule="exact"/>
        <w:jc w:val="left"/>
        <w:rPr>
          <w:rFonts w:ascii="仿宋_GB2312" w:eastAsia="仿宋_GB2312"/>
          <w:sz w:val="24"/>
        </w:rPr>
      </w:pPr>
      <w:r>
        <w:rPr>
          <w:rFonts w:hint="eastAsia" w:ascii="仿宋_GB2312" w:eastAsia="仿宋_GB2312"/>
          <w:sz w:val="24"/>
        </w:rPr>
        <w:t xml:space="preserve">                                              签约时间：     年  月  日     </w:t>
      </w:r>
    </w:p>
    <w:p>
      <w:pPr>
        <w:autoSpaceDE w:val="0"/>
        <w:autoSpaceDN w:val="0"/>
        <w:adjustRightInd w:val="0"/>
        <w:spacing w:line="520" w:lineRule="exact"/>
        <w:ind w:firstLine="5520"/>
        <w:rPr>
          <w:rFonts w:ascii="仿宋_GB2312" w:eastAsia="仿宋_GB2312"/>
          <w:sz w:val="24"/>
        </w:rPr>
      </w:pPr>
      <w:r>
        <w:rPr>
          <w:rFonts w:hint="eastAsia" w:ascii="仿宋_GB2312" w:eastAsia="仿宋_GB2312"/>
          <w:sz w:val="24"/>
        </w:rPr>
        <w:t>签约地点：</w:t>
      </w:r>
    </w:p>
    <w:p>
      <w:pPr>
        <w:autoSpaceDE w:val="0"/>
        <w:autoSpaceDN w:val="0"/>
        <w:adjustRightInd w:val="0"/>
        <w:spacing w:line="520" w:lineRule="exact"/>
        <w:rPr>
          <w:rFonts w:ascii="仿宋_GB2312" w:hAnsi="宋体" w:eastAsia="仿宋_GB2312" w:cs="宋体"/>
          <w:color w:val="222222"/>
          <w:kern w:val="0"/>
          <w:sz w:val="24"/>
        </w:rPr>
      </w:pPr>
    </w:p>
    <w:p>
      <w:pPr>
        <w:widowControl/>
        <w:snapToGrid w:val="0"/>
        <w:spacing w:line="520" w:lineRule="exact"/>
        <w:jc w:val="center"/>
        <w:rPr>
          <w:rFonts w:ascii="华文中宋" w:hAnsi="华文中宋" w:eastAsia="华文中宋" w:cs="宋体"/>
          <w:b/>
          <w:bCs/>
          <w:color w:val="000000"/>
          <w:kern w:val="0"/>
          <w:sz w:val="36"/>
          <w:szCs w:val="36"/>
        </w:rPr>
        <w:sectPr>
          <w:pgSz w:w="11906" w:h="16838"/>
          <w:pgMar w:top="2098" w:right="1474" w:bottom="1984" w:left="1587" w:header="851" w:footer="992" w:gutter="0"/>
          <w:cols w:space="720" w:num="1"/>
          <w:docGrid w:type="lines" w:linePitch="312" w:charSpace="0"/>
        </w:sectPr>
      </w:pPr>
    </w:p>
    <w:p>
      <w:pPr>
        <w:adjustRightInd w:val="0"/>
        <w:snapToGrid w:val="0"/>
        <w:spacing w:line="360" w:lineRule="auto"/>
        <w:jc w:val="center"/>
        <w:outlineLvl w:val="0"/>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杭州市上城区政府集中采购合同（服务类）</w:t>
      </w:r>
    </w:p>
    <w:p>
      <w:pPr>
        <w:adjustRightInd w:val="0"/>
        <w:snapToGrid w:val="0"/>
        <w:spacing w:line="360" w:lineRule="auto"/>
        <w:jc w:val="center"/>
        <w:outlineLvl w:val="0"/>
        <w:rPr>
          <w:rFonts w:ascii="华文中宋" w:hAnsi="华文中宋" w:eastAsia="华文中宋"/>
          <w:b/>
          <w:color w:val="FF0000"/>
          <w:sz w:val="36"/>
          <w:szCs w:val="36"/>
        </w:rPr>
      </w:pPr>
      <w:r>
        <w:rPr>
          <w:rFonts w:hint="eastAsia"/>
          <w:color w:val="FF0000"/>
        </w:rPr>
        <w:t>★此仅为合同书样本，中标单位需根据实际情况和采购人签订相应的合同！</w:t>
      </w:r>
    </w:p>
    <w:p>
      <w:pPr>
        <w:pStyle w:val="23"/>
        <w:snapToGrid w:val="0"/>
        <w:spacing w:line="520" w:lineRule="exact"/>
        <w:ind w:right="960"/>
        <w:jc w:val="center"/>
        <w:rPr>
          <w:rFonts w:ascii="仿宋_GB2312" w:hAnsi="宋体" w:eastAsia="仿宋_GB2312"/>
          <w:b/>
          <w:color w:val="000000"/>
          <w:sz w:val="24"/>
        </w:rPr>
      </w:pPr>
      <w:r>
        <w:rPr>
          <w:rFonts w:hint="eastAsia" w:ascii="仿宋_GB2312" w:hAnsi="宋体" w:eastAsia="仿宋_GB2312"/>
          <w:color w:val="000000"/>
          <w:sz w:val="24"/>
        </w:rPr>
        <w:t xml:space="preserve">                                      合同编号：            </w:t>
      </w:r>
    </w:p>
    <w:p>
      <w:pPr>
        <w:widowControl/>
        <w:snapToGrid w:val="0"/>
        <w:spacing w:line="520" w:lineRule="exact"/>
        <w:rPr>
          <w:rFonts w:ascii="仿宋_GB2312" w:hAnsi="宋体" w:eastAsia="仿宋_GB2312"/>
          <w:color w:val="000000"/>
          <w:sz w:val="24"/>
        </w:rPr>
      </w:pPr>
      <w:r>
        <w:rPr>
          <w:rFonts w:hint="eastAsia" w:ascii="仿宋_GB2312" w:hAnsi="宋体" w:eastAsia="仿宋_GB2312"/>
          <w:color w:val="000000"/>
          <w:sz w:val="24"/>
        </w:rPr>
        <w:t xml:space="preserve">采购单位（甲方）： </w:t>
      </w:r>
    </w:p>
    <w:p>
      <w:pPr>
        <w:widowControl/>
        <w:snapToGrid w:val="0"/>
        <w:spacing w:line="520" w:lineRule="exact"/>
        <w:rPr>
          <w:rFonts w:ascii="仿宋_GB2312" w:hAnsi="宋体" w:eastAsia="仿宋_GB2312"/>
          <w:color w:val="000000"/>
          <w:sz w:val="24"/>
        </w:rPr>
      </w:pPr>
      <w:r>
        <w:rPr>
          <w:rFonts w:hint="eastAsia" w:ascii="仿宋_GB2312" w:hAnsi="宋体" w:eastAsia="仿宋_GB2312"/>
          <w:color w:val="000000"/>
          <w:sz w:val="24"/>
        </w:rPr>
        <w:t xml:space="preserve">供应商（乙方）： </w:t>
      </w:r>
    </w:p>
    <w:p>
      <w:pPr>
        <w:widowControl/>
        <w:snapToGrid w:val="0"/>
        <w:spacing w:line="520" w:lineRule="exact"/>
        <w:rPr>
          <w:rFonts w:ascii="仿宋_GB2312" w:hAnsi="宋体" w:eastAsia="仿宋_GB2312"/>
          <w:color w:val="000000"/>
          <w:sz w:val="24"/>
        </w:rPr>
      </w:pPr>
      <w:r>
        <w:rPr>
          <w:rFonts w:hint="eastAsia" w:ascii="仿宋_GB2312" w:hAnsi="宋体" w:eastAsia="仿宋_GB2312"/>
          <w:color w:val="000000"/>
          <w:sz w:val="24"/>
        </w:rPr>
        <w:t>见证方：杭州市公共资源交易中心上城分中心</w:t>
      </w:r>
    </w:p>
    <w:p>
      <w:pPr>
        <w:widowControl/>
        <w:snapToGrid w:val="0"/>
        <w:spacing w:line="520" w:lineRule="exact"/>
        <w:ind w:firstLine="482"/>
        <w:jc w:val="left"/>
        <w:rPr>
          <w:rFonts w:ascii="仿宋_GB2312" w:hAnsi="宋体" w:eastAsia="仿宋_GB2312" w:cs="宋体"/>
          <w:color w:val="222222"/>
          <w:kern w:val="0"/>
          <w:sz w:val="24"/>
        </w:rPr>
      </w:pPr>
      <w:r>
        <w:rPr>
          <w:rFonts w:hint="eastAsia" w:ascii="仿宋_GB2312" w:hAnsi="宋体" w:eastAsia="仿宋_GB2312" w:cs="宋体"/>
          <w:color w:val="222222"/>
          <w:kern w:val="0"/>
          <w:sz w:val="24"/>
        </w:rPr>
        <w:t>根据《中华人民共和国政府采购法》、《中华人民共和国合同法》等相关法律法规和（采购编号：）的中标情况，遵循平等、自愿、公平、诚实信用的原则，由采购单位（以下简称甲方）与经评标最终确定的中标供应商（以下简称乙方）结合本项目具体情况，经双方协商一致后达成以下条款:</w:t>
      </w:r>
    </w:p>
    <w:p>
      <w:pPr>
        <w:widowControl/>
        <w:snapToGrid w:val="0"/>
        <w:spacing w:before="100" w:beforeAutospacing="1" w:after="100" w:afterAutospacing="1" w:line="520" w:lineRule="exact"/>
        <w:ind w:firstLine="482"/>
        <w:jc w:val="center"/>
        <w:rPr>
          <w:rFonts w:ascii="仿宋_GB2312" w:hAnsi="宋体" w:eastAsia="仿宋_GB2312" w:cs="宋体"/>
          <w:b/>
          <w:color w:val="222222"/>
          <w:kern w:val="0"/>
          <w:sz w:val="30"/>
          <w:szCs w:val="30"/>
        </w:rPr>
      </w:pPr>
      <w:r>
        <w:rPr>
          <w:rFonts w:ascii="仿宋_GB2312" w:hAnsi="宋体" w:eastAsia="仿宋_GB2312" w:cs="宋体"/>
          <w:b/>
          <w:color w:val="222222"/>
          <w:kern w:val="0"/>
          <w:sz w:val="30"/>
          <w:szCs w:val="30"/>
        </w:rPr>
        <w:t xml:space="preserve">第一部分 </w:t>
      </w:r>
      <w:r>
        <w:rPr>
          <w:rFonts w:hint="eastAsia" w:ascii="仿宋_GB2312" w:hAnsi="宋体" w:eastAsia="仿宋_GB2312" w:cs="宋体"/>
          <w:b/>
          <w:color w:val="222222"/>
          <w:kern w:val="0"/>
          <w:sz w:val="30"/>
          <w:szCs w:val="30"/>
        </w:rPr>
        <w:t>主要条款</w:t>
      </w:r>
    </w:p>
    <w:p>
      <w:pPr>
        <w:spacing w:line="520" w:lineRule="exact"/>
        <w:ind w:firstLine="480"/>
        <w:rPr>
          <w:rFonts w:ascii="仿宋_GB2312" w:eastAsia="仿宋_GB2312"/>
          <w:b/>
          <w:sz w:val="24"/>
        </w:rPr>
      </w:pPr>
      <w:r>
        <w:rPr>
          <w:rFonts w:hint="eastAsia" w:ascii="仿宋_GB2312" w:eastAsia="仿宋_GB2312"/>
          <w:b/>
          <w:sz w:val="24"/>
        </w:rPr>
        <w:t>一、项目基本情况</w:t>
      </w:r>
    </w:p>
    <w:p>
      <w:pPr>
        <w:spacing w:line="520" w:lineRule="exact"/>
        <w:ind w:firstLine="480"/>
        <w:rPr>
          <w:rFonts w:ascii="仿宋_GB2312" w:hAnsi="宋体" w:eastAsia="仿宋_GB2312" w:cs="宋体-18030"/>
          <w:color w:val="000000"/>
          <w:sz w:val="24"/>
        </w:rPr>
      </w:pPr>
      <w:r>
        <w:rPr>
          <w:rFonts w:hint="eastAsia" w:ascii="仿宋_GB2312" w:hAnsi="宋体" w:eastAsia="仿宋_GB2312" w:cs="宋体-18030"/>
          <w:color w:val="000000"/>
          <w:sz w:val="24"/>
        </w:rPr>
        <w:t xml:space="preserve">1、名称： </w:t>
      </w:r>
    </w:p>
    <w:p>
      <w:pPr>
        <w:spacing w:line="520" w:lineRule="exact"/>
        <w:ind w:firstLine="480"/>
        <w:rPr>
          <w:rFonts w:ascii="仿宋_GB2312" w:hAnsi="宋体" w:eastAsia="仿宋_GB2312" w:cs="宋体-18030"/>
          <w:color w:val="000000"/>
          <w:sz w:val="24"/>
          <w:u w:val="single"/>
        </w:rPr>
      </w:pPr>
      <w:r>
        <w:rPr>
          <w:rFonts w:hint="eastAsia" w:ascii="仿宋_GB2312" w:hAnsi="宋体" w:eastAsia="仿宋_GB2312" w:cs="宋体-18030"/>
          <w:color w:val="000000"/>
          <w:sz w:val="24"/>
        </w:rPr>
        <w:t>2、类型：</w:t>
      </w:r>
    </w:p>
    <w:p>
      <w:pPr>
        <w:spacing w:line="520" w:lineRule="exact"/>
        <w:ind w:firstLine="480"/>
        <w:rPr>
          <w:rFonts w:ascii="仿宋_GB2312" w:hAnsi="宋体" w:eastAsia="仿宋_GB2312" w:cs="宋体-18030"/>
          <w:color w:val="000000"/>
          <w:sz w:val="24"/>
        </w:rPr>
      </w:pPr>
      <w:r>
        <w:rPr>
          <w:rFonts w:hint="eastAsia" w:ascii="仿宋_GB2312" w:hAnsi="宋体" w:eastAsia="仿宋_GB2312" w:cs="宋体-18030"/>
          <w:color w:val="000000"/>
          <w:sz w:val="24"/>
        </w:rPr>
        <w:t>3、范围:</w:t>
      </w:r>
    </w:p>
    <w:p>
      <w:pPr>
        <w:spacing w:line="520" w:lineRule="exact"/>
        <w:ind w:firstLine="480"/>
        <w:rPr>
          <w:rFonts w:ascii="仿宋_GB2312" w:hAnsi="宋体" w:eastAsia="仿宋_GB2312" w:cs="宋体-18030"/>
          <w:color w:val="000000"/>
          <w:sz w:val="24"/>
          <w:u w:val="single"/>
        </w:rPr>
      </w:pPr>
      <w:r>
        <w:rPr>
          <w:rFonts w:hint="eastAsia" w:ascii="仿宋_GB2312" w:hAnsi="宋体" w:eastAsia="仿宋_GB2312" w:cs="宋体-18030"/>
          <w:color w:val="000000"/>
          <w:sz w:val="24"/>
        </w:rPr>
        <w:t>4、内容：</w:t>
      </w:r>
    </w:p>
    <w:p>
      <w:pPr>
        <w:pStyle w:val="23"/>
        <w:spacing w:line="520" w:lineRule="exact"/>
        <w:ind w:firstLine="540"/>
        <w:rPr>
          <w:rFonts w:ascii="仿宋_GB2312" w:eastAsia="仿宋_GB2312"/>
          <w:b/>
          <w:sz w:val="24"/>
        </w:rPr>
      </w:pPr>
      <w:r>
        <w:rPr>
          <w:rFonts w:hint="eastAsia" w:ascii="仿宋_GB2312" w:eastAsia="仿宋_GB2312"/>
          <w:b/>
          <w:sz w:val="24"/>
        </w:rPr>
        <w:t>二、机械设备表：</w:t>
      </w:r>
    </w:p>
    <w:p>
      <w:pPr>
        <w:pStyle w:val="23"/>
        <w:spacing w:line="520" w:lineRule="exact"/>
        <w:ind w:firstLine="540"/>
        <w:rPr>
          <w:rFonts w:ascii="仿宋_GB2312" w:eastAsia="仿宋_GB2312"/>
          <w:b/>
          <w:sz w:val="24"/>
        </w:rPr>
      </w:pPr>
      <w:r>
        <w:rPr>
          <w:rFonts w:hint="eastAsia" w:ascii="仿宋_GB2312" w:eastAsia="仿宋_GB2312"/>
          <w:b/>
          <w:sz w:val="24"/>
        </w:rPr>
        <w:t>三、人员配备表：</w:t>
      </w:r>
    </w:p>
    <w:p>
      <w:pPr>
        <w:pStyle w:val="23"/>
        <w:spacing w:line="520" w:lineRule="exact"/>
        <w:ind w:firstLine="540"/>
        <w:rPr>
          <w:rFonts w:ascii="仿宋_GB2312" w:eastAsia="仿宋_GB2312"/>
          <w:b/>
          <w:sz w:val="24"/>
        </w:rPr>
      </w:pPr>
      <w:r>
        <w:rPr>
          <w:rFonts w:hint="eastAsia" w:ascii="仿宋_GB2312" w:eastAsia="仿宋_GB2312"/>
          <w:b/>
          <w:sz w:val="24"/>
        </w:rPr>
        <w:t>四、</w:t>
      </w:r>
      <w:r>
        <w:rPr>
          <w:rFonts w:hint="eastAsia" w:ascii="仿宋_GB2312" w:hAnsi="Times New Roman" w:eastAsia="仿宋_GB2312"/>
          <w:b/>
          <w:color w:val="000000"/>
          <w:sz w:val="24"/>
        </w:rPr>
        <w:t>履约保证金</w:t>
      </w:r>
    </w:p>
    <w:p>
      <w:pPr>
        <w:spacing w:line="520" w:lineRule="exact"/>
        <w:ind w:firstLine="480"/>
        <w:rPr>
          <w:rFonts w:ascii="仿宋_GB2312" w:eastAsia="仿宋_GB2312"/>
          <w:sz w:val="24"/>
        </w:rPr>
      </w:pPr>
      <w:r>
        <w:rPr>
          <w:rFonts w:hint="eastAsia" w:ascii="仿宋_GB2312" w:eastAsia="仿宋_GB2312"/>
          <w:color w:val="000000"/>
          <w:sz w:val="24"/>
        </w:rPr>
        <w:t>乙方须在本合同生效前</w:t>
      </w:r>
      <w:r>
        <w:rPr>
          <w:rFonts w:hint="eastAsia" w:ascii="仿宋_GB2312" w:eastAsia="仿宋_GB2312" w:cs="仿宋_GB2312"/>
          <w:color w:val="000000"/>
          <w:sz w:val="24"/>
        </w:rPr>
        <w:t>向</w:t>
      </w:r>
      <w:r>
        <w:rPr>
          <w:rFonts w:hint="eastAsia" w:ascii="仿宋_GB2312" w:eastAsia="仿宋_GB2312"/>
          <w:color w:val="000000"/>
          <w:sz w:val="24"/>
        </w:rPr>
        <w:t>甲方缴纳合同总价的履约保证金（取整数到百位），</w:t>
      </w:r>
      <w:r>
        <w:rPr>
          <w:rFonts w:hint="eastAsia" w:ascii="仿宋_GB2312" w:eastAsia="仿宋_GB2312"/>
          <w:sz w:val="24"/>
        </w:rPr>
        <w:t>作为合同生效的必要条件。履约保证金在合同期满后，乙方无违约的情况下，甲方在5个工作日内无息退还。</w:t>
      </w:r>
    </w:p>
    <w:p>
      <w:pPr>
        <w:spacing w:line="520" w:lineRule="exact"/>
        <w:ind w:firstLine="480"/>
        <w:rPr>
          <w:rFonts w:ascii="仿宋_GB2312" w:eastAsia="仿宋_GB2312"/>
          <w:sz w:val="24"/>
        </w:rPr>
      </w:pPr>
      <w:r>
        <w:rPr>
          <w:rFonts w:hint="eastAsia" w:ascii="仿宋_GB2312" w:eastAsia="仿宋_GB2312"/>
          <w:b/>
          <w:sz w:val="24"/>
        </w:rPr>
        <w:t>五、合同价款及支付方式：</w:t>
      </w:r>
    </w:p>
    <w:p>
      <w:pPr>
        <w:spacing w:line="520" w:lineRule="exact"/>
        <w:ind w:firstLine="480"/>
        <w:rPr>
          <w:rFonts w:ascii="仿宋_GB2312" w:eastAsia="仿宋_GB2312"/>
          <w:sz w:val="24"/>
        </w:rPr>
      </w:pPr>
      <w:r>
        <w:rPr>
          <w:rFonts w:hint="eastAsia" w:ascii="仿宋_GB2312" w:eastAsia="仿宋_GB2312"/>
          <w:sz w:val="24"/>
        </w:rPr>
        <w:t>1、合同总价金额（人民币大写）____ 元。</w:t>
      </w:r>
    </w:p>
    <w:p>
      <w:pPr>
        <w:pStyle w:val="23"/>
        <w:spacing w:line="520" w:lineRule="exact"/>
        <w:ind w:firstLine="540"/>
        <w:rPr>
          <w:rFonts w:ascii="仿宋_GB2312" w:eastAsia="仿宋_GB2312"/>
          <w:sz w:val="24"/>
        </w:rPr>
      </w:pPr>
      <w:r>
        <w:rPr>
          <w:rFonts w:hint="eastAsia" w:ascii="仿宋_GB2312" w:eastAsia="仿宋_GB2312"/>
          <w:sz w:val="24"/>
        </w:rPr>
        <w:t>2、付款方式：</w:t>
      </w:r>
    </w:p>
    <w:p>
      <w:pPr>
        <w:pStyle w:val="23"/>
        <w:spacing w:line="520" w:lineRule="exact"/>
        <w:ind w:firstLine="540"/>
        <w:rPr>
          <w:rFonts w:ascii="仿宋_GB2312" w:eastAsia="仿宋_GB2312"/>
          <w:sz w:val="24"/>
        </w:rPr>
      </w:pPr>
      <w:r>
        <w:rPr>
          <w:rFonts w:hint="eastAsia" w:ascii="仿宋_GB2312" w:eastAsia="仿宋_GB2312"/>
          <w:sz w:val="24"/>
        </w:rPr>
        <w:t>3、甲方支付每笔费用前，乙方应先向甲方开具相应金额的发票，否则甲方有权顺延付款期限。</w:t>
      </w:r>
    </w:p>
    <w:p>
      <w:pPr>
        <w:pStyle w:val="23"/>
        <w:spacing w:line="520" w:lineRule="exact"/>
        <w:ind w:firstLine="540"/>
        <w:rPr>
          <w:rFonts w:ascii="仿宋_GB2312" w:eastAsia="仿宋_GB2312"/>
          <w:b/>
          <w:sz w:val="24"/>
        </w:rPr>
      </w:pPr>
    </w:p>
    <w:p>
      <w:pPr>
        <w:widowControl/>
        <w:snapToGrid w:val="0"/>
        <w:spacing w:before="100" w:beforeAutospacing="1" w:after="100" w:afterAutospacing="1" w:line="520" w:lineRule="exact"/>
        <w:ind w:firstLine="482"/>
        <w:jc w:val="center"/>
        <w:rPr>
          <w:rFonts w:ascii="仿宋_GB2312" w:hAnsi="宋体" w:eastAsia="仿宋_GB2312" w:cs="宋体"/>
          <w:b/>
          <w:color w:val="222222"/>
          <w:kern w:val="0"/>
          <w:sz w:val="30"/>
          <w:szCs w:val="30"/>
        </w:rPr>
      </w:pPr>
      <w:r>
        <w:rPr>
          <w:rFonts w:ascii="仿宋_GB2312" w:hAnsi="宋体" w:eastAsia="仿宋_GB2312" w:cs="宋体"/>
          <w:b/>
          <w:color w:val="222222"/>
          <w:kern w:val="0"/>
          <w:sz w:val="30"/>
          <w:szCs w:val="30"/>
        </w:rPr>
        <w:t>第</w:t>
      </w:r>
      <w:r>
        <w:rPr>
          <w:rFonts w:hint="eastAsia" w:ascii="仿宋_GB2312" w:hAnsi="宋体" w:eastAsia="仿宋_GB2312" w:cs="宋体"/>
          <w:b/>
          <w:color w:val="222222"/>
          <w:kern w:val="0"/>
          <w:sz w:val="30"/>
          <w:szCs w:val="30"/>
        </w:rPr>
        <w:t>二</w:t>
      </w:r>
      <w:r>
        <w:rPr>
          <w:rFonts w:ascii="仿宋_GB2312" w:hAnsi="宋体" w:eastAsia="仿宋_GB2312" w:cs="宋体"/>
          <w:b/>
          <w:color w:val="222222"/>
          <w:kern w:val="0"/>
          <w:sz w:val="30"/>
          <w:szCs w:val="30"/>
        </w:rPr>
        <w:t xml:space="preserve">部分 </w:t>
      </w:r>
      <w:r>
        <w:rPr>
          <w:rFonts w:hint="eastAsia" w:ascii="仿宋_GB2312" w:hAnsi="宋体" w:eastAsia="仿宋_GB2312" w:cs="宋体"/>
          <w:b/>
          <w:color w:val="222222"/>
          <w:kern w:val="0"/>
          <w:sz w:val="30"/>
          <w:szCs w:val="30"/>
        </w:rPr>
        <w:t>一般条款</w:t>
      </w:r>
    </w:p>
    <w:p>
      <w:pPr>
        <w:pStyle w:val="23"/>
        <w:spacing w:line="520" w:lineRule="exact"/>
        <w:ind w:firstLine="480"/>
        <w:rPr>
          <w:rFonts w:ascii="仿宋_GB2312" w:eastAsia="仿宋_GB2312"/>
          <w:b/>
          <w:sz w:val="24"/>
        </w:rPr>
      </w:pPr>
      <w:r>
        <w:rPr>
          <w:rFonts w:hint="eastAsia" w:ascii="仿宋_GB2312" w:eastAsia="仿宋_GB2312"/>
          <w:b/>
          <w:sz w:val="24"/>
        </w:rPr>
        <w:t>一、项目人员安排：</w:t>
      </w:r>
    </w:p>
    <w:p>
      <w:pPr>
        <w:spacing w:line="520" w:lineRule="exact"/>
        <w:ind w:firstLine="480"/>
        <w:rPr>
          <w:rFonts w:ascii="仿宋_GB2312" w:eastAsia="仿宋_GB2312"/>
          <w:b/>
          <w:sz w:val="24"/>
        </w:rPr>
      </w:pPr>
      <w:r>
        <w:rPr>
          <w:rFonts w:hint="eastAsia" w:ascii="仿宋_GB2312" w:eastAsia="仿宋_GB2312"/>
          <w:b/>
          <w:sz w:val="24"/>
        </w:rPr>
        <w:t>二、双方责任</w:t>
      </w:r>
    </w:p>
    <w:p>
      <w:pPr>
        <w:spacing w:line="520" w:lineRule="exact"/>
        <w:ind w:firstLine="480"/>
        <w:rPr>
          <w:rFonts w:ascii="仿宋_GB2312" w:eastAsia="仿宋_GB2312"/>
          <w:sz w:val="24"/>
        </w:rPr>
      </w:pPr>
      <w:r>
        <w:rPr>
          <w:rFonts w:hint="eastAsia" w:ascii="仿宋_GB2312" w:eastAsia="仿宋_GB2312"/>
          <w:sz w:val="24"/>
        </w:rPr>
        <w:t>甲方责任：</w:t>
      </w:r>
    </w:p>
    <w:p>
      <w:pPr>
        <w:spacing w:line="520" w:lineRule="exact"/>
        <w:ind w:firstLine="480"/>
        <w:rPr>
          <w:rFonts w:ascii="仿宋_GB2312" w:eastAsia="仿宋_GB2312"/>
          <w:sz w:val="24"/>
        </w:rPr>
      </w:pPr>
      <w:r>
        <w:rPr>
          <w:rFonts w:hint="eastAsia" w:ascii="仿宋_GB2312" w:eastAsia="仿宋_GB2312"/>
          <w:sz w:val="24"/>
        </w:rPr>
        <w:t>1、根据考核情况支付相应的服务费用。</w:t>
      </w:r>
    </w:p>
    <w:p>
      <w:pPr>
        <w:spacing w:line="520" w:lineRule="exact"/>
        <w:ind w:firstLine="480"/>
        <w:rPr>
          <w:rFonts w:ascii="仿宋_GB2312" w:eastAsia="仿宋_GB2312"/>
          <w:sz w:val="24"/>
        </w:rPr>
      </w:pPr>
      <w:r>
        <w:rPr>
          <w:rFonts w:hint="eastAsia" w:ascii="仿宋_GB2312" w:eastAsia="仿宋_GB2312"/>
          <w:sz w:val="24"/>
        </w:rPr>
        <w:t>2、检查、监督乙方服务工作的实施及制度的执行情况。</w:t>
      </w:r>
    </w:p>
    <w:p>
      <w:pPr>
        <w:spacing w:line="520" w:lineRule="exact"/>
        <w:ind w:firstLine="480"/>
        <w:rPr>
          <w:rFonts w:ascii="仿宋_GB2312" w:eastAsia="仿宋_GB2312"/>
          <w:sz w:val="24"/>
        </w:rPr>
      </w:pPr>
      <w:r>
        <w:rPr>
          <w:rFonts w:hint="eastAsia" w:ascii="仿宋_GB2312" w:eastAsia="仿宋_GB2312"/>
          <w:sz w:val="24"/>
        </w:rPr>
        <w:t>3、按招标文件要求提供相应的设施设备。</w:t>
      </w:r>
    </w:p>
    <w:p>
      <w:pPr>
        <w:spacing w:line="520" w:lineRule="exact"/>
        <w:ind w:firstLine="480"/>
        <w:rPr>
          <w:rFonts w:ascii="仿宋_GB2312" w:hAnsi="宋体" w:eastAsia="仿宋_GB2312" w:cs="宋体"/>
          <w:kern w:val="0"/>
          <w:sz w:val="24"/>
          <w:lang w:val="zh-CN"/>
        </w:rPr>
      </w:pPr>
      <w:r>
        <w:rPr>
          <w:rFonts w:hint="eastAsia" w:ascii="仿宋_GB2312" w:eastAsia="仿宋_GB2312"/>
          <w:sz w:val="24"/>
        </w:rPr>
        <w:t>4、</w:t>
      </w:r>
      <w:r>
        <w:rPr>
          <w:rFonts w:hint="eastAsia" w:ascii="仿宋_GB2312" w:hAnsi="宋体" w:eastAsia="仿宋_GB2312" w:cs="宋体"/>
          <w:kern w:val="0"/>
          <w:sz w:val="24"/>
          <w:lang w:val="zh-CN"/>
        </w:rPr>
        <w:t>如遇突发事件，乙方将配合甲方要求服务。</w:t>
      </w:r>
    </w:p>
    <w:p>
      <w:pPr>
        <w:spacing w:line="520" w:lineRule="exact"/>
        <w:ind w:firstLine="480"/>
        <w:rPr>
          <w:rFonts w:ascii="仿宋_GB2312" w:hAnsi="宋体" w:eastAsia="仿宋_GB2312" w:cs="宋体"/>
          <w:kern w:val="0"/>
          <w:sz w:val="24"/>
          <w:lang w:val="zh-CN"/>
        </w:rPr>
      </w:pPr>
      <w:r>
        <w:rPr>
          <w:rFonts w:hint="eastAsia" w:ascii="仿宋_GB2312" w:hAnsi="宋体" w:eastAsia="仿宋_GB2312" w:cs="宋体"/>
          <w:kern w:val="0"/>
          <w:sz w:val="24"/>
          <w:lang w:val="zh-CN"/>
        </w:rPr>
        <w:t>5、其他：</w:t>
      </w:r>
    </w:p>
    <w:p>
      <w:pPr>
        <w:spacing w:line="520" w:lineRule="exact"/>
        <w:ind w:firstLine="480"/>
        <w:rPr>
          <w:rFonts w:ascii="仿宋_GB2312" w:eastAsia="仿宋_GB2312"/>
          <w:sz w:val="24"/>
        </w:rPr>
      </w:pPr>
      <w:r>
        <w:rPr>
          <w:rFonts w:hint="eastAsia" w:ascii="仿宋_GB2312" w:eastAsia="仿宋_GB2312"/>
          <w:sz w:val="24"/>
        </w:rPr>
        <w:t>乙方责任：</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1、根据有关法律法规、投标文件及本合同的约定，制订服务管理制度、方案，根据甲方核定的服务管理制度、方案自主开展日常管理服务活动。</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2、按甲方要求及时如实向甲方报告服务实施情况。</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3、因乙方在管理中的过错或违反本合同的约定进行管理造成甲方或第三人损失的，乙方应依法承担赔偿责任。</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因乙方工作人员及家属对甲方造成不良影响的，乙方应负责消除影响，因此对甲方造成损失的，乙方应依法承担赔偿责任。</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4、乙方工作人员上岗穿着由甲方确可的制服及甲方许可的装饰物品，费用和制作均由乙方负担。</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5、其他：</w:t>
      </w:r>
    </w:p>
    <w:p>
      <w:pPr>
        <w:adjustRightInd w:val="0"/>
        <w:snapToGrid w:val="0"/>
        <w:spacing w:line="520" w:lineRule="exact"/>
        <w:ind w:firstLine="480"/>
        <w:rPr>
          <w:rFonts w:ascii="仿宋_GB2312" w:hAnsi="宋体" w:eastAsia="仿宋_GB2312" w:cs="宋体-18030"/>
          <w:b/>
          <w:snapToGrid w:val="0"/>
          <w:color w:val="000000"/>
          <w:kern w:val="0"/>
          <w:sz w:val="24"/>
        </w:rPr>
      </w:pPr>
      <w:r>
        <w:rPr>
          <w:rFonts w:hint="eastAsia" w:ascii="仿宋_GB2312" w:eastAsia="仿宋_GB2312"/>
          <w:b/>
          <w:sz w:val="24"/>
        </w:rPr>
        <w:t>三、</w:t>
      </w:r>
      <w:r>
        <w:rPr>
          <w:rFonts w:hint="eastAsia" w:ascii="仿宋_GB2312" w:hAnsi="宋体" w:eastAsia="仿宋_GB2312" w:cs="宋体-18030"/>
          <w:b/>
          <w:snapToGrid w:val="0"/>
          <w:color w:val="000000"/>
          <w:kern w:val="0"/>
          <w:sz w:val="24"/>
        </w:rPr>
        <w:t>保险</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1、第三者责任保险</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乙方应对乙方人员以及第三方全权负责(如乙方应投保第三责任险)，在乙方的责任区内由于乙方原因导致自己员工或第三方的事故由乙方负责，甲方不承担任何责任。</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2、员工人身意外</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在服务期内，乙方所有人员的事故由乙方自行全权负责(如乙方应对其员工投保人身意外险)，以保证甲方在乙方工作人员索赔时不受任何责任的约束。</w:t>
      </w:r>
    </w:p>
    <w:p>
      <w:pPr>
        <w:spacing w:line="520" w:lineRule="exact"/>
        <w:ind w:firstLine="535"/>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3、其他保险及费用</w:t>
      </w:r>
    </w:p>
    <w:p>
      <w:pPr>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乙方须按《劳动合同法》和政府有关各部门规定为全体服务人员交纳所有相关的社会保险及其他相关费用。乙方对此全权负责。</w:t>
      </w:r>
    </w:p>
    <w:p>
      <w:pPr>
        <w:spacing w:line="520" w:lineRule="exact"/>
        <w:ind w:firstLine="480"/>
        <w:rPr>
          <w:rFonts w:ascii="仿宋_GB2312" w:eastAsia="仿宋_GB2312"/>
          <w:b/>
          <w:sz w:val="24"/>
        </w:rPr>
      </w:pPr>
      <w:r>
        <w:rPr>
          <w:rFonts w:hint="eastAsia" w:ascii="仿宋_GB2312" w:eastAsia="仿宋_GB2312"/>
          <w:b/>
          <w:sz w:val="24"/>
        </w:rPr>
        <w:t>四、考核标准：</w:t>
      </w:r>
    </w:p>
    <w:p>
      <w:pPr>
        <w:spacing w:line="520" w:lineRule="exact"/>
        <w:ind w:firstLine="480"/>
        <w:rPr>
          <w:rFonts w:ascii="仿宋_GB2312" w:eastAsia="仿宋_GB2312"/>
          <w:b/>
          <w:sz w:val="24"/>
        </w:rPr>
      </w:pPr>
      <w:r>
        <w:rPr>
          <w:rFonts w:hint="eastAsia" w:ascii="仿宋_GB2312" w:eastAsia="仿宋_GB2312"/>
          <w:b/>
          <w:sz w:val="24"/>
        </w:rPr>
        <w:t xml:space="preserve">五、合同有效期：    </w:t>
      </w:r>
      <w:r>
        <w:rPr>
          <w:rFonts w:hint="eastAsia" w:ascii="仿宋_GB2312" w:eastAsia="仿宋_GB2312"/>
          <w:sz w:val="24"/>
        </w:rPr>
        <w:t>年  月  日至    年  月  日止</w:t>
      </w:r>
    </w:p>
    <w:p>
      <w:pPr>
        <w:spacing w:line="520" w:lineRule="exact"/>
        <w:ind w:firstLine="480"/>
        <w:rPr>
          <w:rFonts w:ascii="仿宋_GB2312" w:hAnsi="宋体" w:eastAsia="仿宋_GB2312"/>
          <w:b/>
          <w:color w:val="000000"/>
          <w:sz w:val="24"/>
        </w:rPr>
      </w:pPr>
      <w:r>
        <w:rPr>
          <w:rFonts w:hint="eastAsia" w:ascii="仿宋_GB2312" w:eastAsia="仿宋_GB2312" w:cs="仿宋_GB2312"/>
          <w:b/>
          <w:kern w:val="0"/>
          <w:sz w:val="24"/>
          <w:lang w:val="zh-CN"/>
        </w:rPr>
        <w:t>六、</w:t>
      </w:r>
      <w:r>
        <w:rPr>
          <w:rFonts w:hint="eastAsia" w:ascii="仿宋_GB2312" w:hAnsi="宋体" w:eastAsia="仿宋_GB2312"/>
          <w:b/>
          <w:color w:val="000000"/>
          <w:sz w:val="24"/>
        </w:rPr>
        <w:t>争议的解决</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1、双方应通过友好协商，解决在执行本政府采购合同过程中所发生的或与本政府采购合同有关的一切争端。如从协商开始日内仍不能解决，可向有关政府采购管理部门提请调解。</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2、如果调解不成，双方中的任何一方均可合同签订地的人民法院提起诉讼。</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3、因合同部分履行引发诉讼的，在诉讼期间，除正在进行诉讼的部分外，本合同的其它部分应继续执行。</w:t>
      </w:r>
    </w:p>
    <w:p>
      <w:pPr>
        <w:spacing w:line="520" w:lineRule="exact"/>
        <w:ind w:firstLine="480"/>
        <w:rPr>
          <w:rFonts w:ascii="仿宋_GB2312" w:eastAsia="仿宋_GB2312"/>
          <w:color w:val="000000"/>
          <w:sz w:val="24"/>
        </w:rPr>
      </w:pPr>
      <w:r>
        <w:rPr>
          <w:rFonts w:hint="eastAsia" w:ascii="仿宋_GB2312" w:eastAsia="仿宋_GB2312"/>
          <w:color w:val="000000"/>
          <w:sz w:val="24"/>
        </w:rPr>
        <w:t>4、本合同按照中华人民共和国现行法律、法规进行解释。</w:t>
      </w:r>
    </w:p>
    <w:p>
      <w:pPr>
        <w:spacing w:line="520" w:lineRule="exact"/>
        <w:ind w:firstLine="480"/>
        <w:rPr>
          <w:rFonts w:ascii="仿宋_GB2312" w:hAnsi="宋体" w:eastAsia="仿宋_GB2312"/>
          <w:b/>
          <w:color w:val="000000"/>
          <w:sz w:val="24"/>
        </w:rPr>
      </w:pPr>
      <w:r>
        <w:rPr>
          <w:rFonts w:hint="eastAsia" w:ascii="仿宋_GB2312" w:hAnsi="宋体" w:eastAsia="仿宋_GB2312"/>
          <w:b/>
          <w:color w:val="000000"/>
          <w:sz w:val="24"/>
        </w:rPr>
        <w:t>七、合同的终止</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1、若乙方因破产或经营不善导致合同履行不能，乙方应书面通知甲方终止合同；在甲方知情而未收到乙方终止合同书面通知时，甲方可在任何时候书面通知乙方终止合同。</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2、因不可抗力导致合同履行不能。</w:t>
      </w:r>
    </w:p>
    <w:p>
      <w:pPr>
        <w:spacing w:line="520" w:lineRule="exact"/>
        <w:ind w:firstLine="480"/>
        <w:rPr>
          <w:rFonts w:ascii="仿宋_GB2312" w:eastAsia="仿宋_GB2312"/>
          <w:b/>
          <w:color w:val="000000"/>
          <w:sz w:val="24"/>
        </w:rPr>
      </w:pPr>
      <w:r>
        <w:rPr>
          <w:rFonts w:hint="eastAsia" w:ascii="仿宋_GB2312" w:hAnsi="宋体" w:eastAsia="仿宋_GB2312"/>
          <w:b/>
          <w:color w:val="000000"/>
          <w:sz w:val="24"/>
        </w:rPr>
        <w:t>八、合同的生效</w:t>
      </w:r>
    </w:p>
    <w:p>
      <w:pPr>
        <w:spacing w:line="520" w:lineRule="exact"/>
        <w:ind w:firstLine="480"/>
        <w:rPr>
          <w:rFonts w:ascii="仿宋_GB2312" w:eastAsia="仿宋_GB2312"/>
          <w:color w:val="000000"/>
          <w:sz w:val="24"/>
        </w:rPr>
      </w:pPr>
      <w:r>
        <w:rPr>
          <w:rFonts w:hint="eastAsia" w:ascii="仿宋_GB2312" w:eastAsia="仿宋_GB2312"/>
          <w:color w:val="000000"/>
          <w:sz w:val="24"/>
        </w:rPr>
        <w:t>本合同经甲乙双方法定代表人或其委托人签字盖章，由乙方向甲方缴</w:t>
      </w:r>
      <w:r>
        <w:rPr>
          <w:rFonts w:hint="eastAsia" w:ascii="仿宋_GB2312" w:eastAsia="仿宋_GB2312"/>
          <w:sz w:val="24"/>
        </w:rPr>
        <w:t>纳履</w:t>
      </w:r>
      <w:r>
        <w:rPr>
          <w:rFonts w:hint="eastAsia" w:ascii="仿宋_GB2312" w:eastAsia="仿宋_GB2312"/>
          <w:color w:val="000000"/>
          <w:sz w:val="24"/>
        </w:rPr>
        <w:t>约保证金，并由见证方见证后生效。</w:t>
      </w:r>
    </w:p>
    <w:p>
      <w:pPr>
        <w:spacing w:line="520" w:lineRule="exact"/>
        <w:ind w:firstLine="480"/>
        <w:rPr>
          <w:rFonts w:ascii="仿宋_GB2312" w:eastAsia="仿宋_GB2312"/>
          <w:b/>
          <w:color w:val="000000"/>
          <w:sz w:val="24"/>
        </w:rPr>
      </w:pPr>
      <w:r>
        <w:rPr>
          <w:rFonts w:hint="eastAsia" w:ascii="仿宋_GB2312" w:hAnsi="宋体" w:eastAsia="仿宋_GB2312"/>
          <w:b/>
          <w:color w:val="000000"/>
          <w:sz w:val="24"/>
        </w:rPr>
        <w:t>九、其他</w:t>
      </w:r>
    </w:p>
    <w:p>
      <w:pPr>
        <w:spacing w:line="520" w:lineRule="exact"/>
        <w:ind w:firstLine="480"/>
        <w:rPr>
          <w:rFonts w:ascii="仿宋_GB2312" w:eastAsia="仿宋_GB2312"/>
          <w:color w:val="000000"/>
          <w:sz w:val="24"/>
        </w:rPr>
      </w:pPr>
      <w:r>
        <w:rPr>
          <w:rFonts w:hint="eastAsia" w:ascii="仿宋_GB2312" w:eastAsia="仿宋_GB2312"/>
          <w:color w:val="000000"/>
          <w:sz w:val="24"/>
        </w:rPr>
        <w:t>1、合同履行期内甲乙双方均不得随意变更或解除合同。合同若有未尽事宜，需经双方共同协商，并由见证方见证，订立补充协议，补充协议与本合同有同等法律效力。</w:t>
      </w:r>
    </w:p>
    <w:p>
      <w:pPr>
        <w:spacing w:line="520" w:lineRule="exact"/>
        <w:ind w:firstLine="480"/>
        <w:rPr>
          <w:rFonts w:ascii="仿宋_GB2312" w:eastAsia="仿宋_GB2312"/>
          <w:color w:val="000000"/>
          <w:sz w:val="24"/>
        </w:rPr>
      </w:pPr>
      <w:r>
        <w:rPr>
          <w:rFonts w:hint="eastAsia" w:ascii="仿宋_GB2312" w:eastAsia="仿宋_GB2312"/>
          <w:color w:val="000000"/>
          <w:sz w:val="24"/>
        </w:rPr>
        <w:t>2、招标文件、投标文件及评标过程中形成的文字资料、询标纪要均作为本合同的组成部分，具有同等效力。</w:t>
      </w:r>
    </w:p>
    <w:p>
      <w:pPr>
        <w:spacing w:line="520" w:lineRule="exact"/>
        <w:ind w:firstLine="480"/>
        <w:rPr>
          <w:rFonts w:ascii="仿宋_GB2312" w:eastAsia="仿宋_GB2312"/>
          <w:color w:val="000000"/>
          <w:sz w:val="24"/>
        </w:rPr>
      </w:pPr>
      <w:r>
        <w:rPr>
          <w:rFonts w:hint="eastAsia" w:ascii="仿宋_GB2312" w:eastAsia="仿宋_GB2312"/>
          <w:color w:val="000000"/>
          <w:sz w:val="24"/>
        </w:rPr>
        <w:t>3、本合同一式五份，甲、乙双方各执两份，见证方执一份。</w:t>
      </w:r>
    </w:p>
    <w:p>
      <w:pPr>
        <w:spacing w:line="520" w:lineRule="exact"/>
        <w:ind w:firstLine="480"/>
        <w:rPr>
          <w:rFonts w:ascii="仿宋_GB2312" w:eastAsia="仿宋_GB2312"/>
          <w:color w:val="000000"/>
          <w:sz w:val="24"/>
        </w:rPr>
      </w:pPr>
      <w:r>
        <w:rPr>
          <w:rFonts w:hint="eastAsia" w:ascii="仿宋_GB2312" w:eastAsia="仿宋_GB2312"/>
          <w:color w:val="000000"/>
          <w:sz w:val="24"/>
        </w:rPr>
        <w:t>4、乙方方指定以下人员为联系人，甲方有关通知寄送下列地址和人员即视为送达。</w:t>
      </w:r>
    </w:p>
    <w:p>
      <w:pPr>
        <w:spacing w:line="520" w:lineRule="exact"/>
        <w:ind w:firstLine="480"/>
        <w:rPr>
          <w:rFonts w:ascii="仿宋_GB2312" w:eastAsia="仿宋_GB2312"/>
          <w:color w:val="000000"/>
          <w:sz w:val="24"/>
        </w:rPr>
      </w:pPr>
      <w:r>
        <w:rPr>
          <w:rFonts w:hint="eastAsia" w:ascii="仿宋_GB2312" w:eastAsia="仿宋_GB2312"/>
          <w:color w:val="000000"/>
          <w:sz w:val="24"/>
        </w:rPr>
        <w:t>联系人：       联系电话：            联系地址：</w:t>
      </w: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rPr>
          <w:rFonts w:ascii="仿宋_GB2312" w:eastAsia="仿宋_GB2312"/>
          <w:b/>
          <w:color w:val="000000"/>
          <w:sz w:val="24"/>
        </w:rPr>
      </w:pPr>
      <w:r>
        <w:rPr>
          <w:rFonts w:hint="eastAsia" w:ascii="仿宋_GB2312" w:eastAsia="仿宋_GB2312"/>
          <w:b/>
          <w:color w:val="000000"/>
          <w:sz w:val="24"/>
        </w:rPr>
        <w:t>（以下无正文）</w:t>
      </w:r>
    </w:p>
    <w:p>
      <w:pPr>
        <w:spacing w:line="520" w:lineRule="exact"/>
        <w:ind w:firstLine="360"/>
        <w:jc w:val="left"/>
        <w:rPr>
          <w:rFonts w:ascii="仿宋_GB2312" w:hAnsi="宋体" w:eastAsia="仿宋_GB2312"/>
          <w:color w:val="000000"/>
          <w:sz w:val="24"/>
        </w:rPr>
      </w:pPr>
    </w:p>
    <w:p>
      <w:pPr>
        <w:spacing w:line="520" w:lineRule="exact"/>
        <w:jc w:val="center"/>
        <w:rPr>
          <w:rFonts w:ascii="仿宋_GB2312" w:eastAsia="仿宋_GB2312"/>
          <w:b/>
          <w:sz w:val="24"/>
        </w:rPr>
      </w:pPr>
      <w:r>
        <w:rPr>
          <w:rFonts w:hint="eastAsia" w:ascii="仿宋_GB2312" w:eastAsia="仿宋_GB2312"/>
          <w:b/>
          <w:sz w:val="24"/>
        </w:rPr>
        <w:t>【签字页】</w:t>
      </w:r>
    </w:p>
    <w:p>
      <w:pPr>
        <w:spacing w:line="520" w:lineRule="exact"/>
        <w:jc w:val="center"/>
        <w:rPr>
          <w:rFonts w:ascii="仿宋_GB2312" w:eastAsia="仿宋_GB2312"/>
          <w:b/>
          <w:sz w:val="24"/>
        </w:rPr>
      </w:pPr>
    </w:p>
    <w:p>
      <w:pPr>
        <w:spacing w:line="520" w:lineRule="exact"/>
        <w:ind w:firstLine="420" w:firstLineChars="175"/>
        <w:jc w:val="left"/>
        <w:rPr>
          <w:rFonts w:ascii="仿宋_GB2312" w:hAnsi="宋体" w:eastAsia="仿宋_GB2312"/>
          <w:color w:val="000000"/>
          <w:sz w:val="24"/>
        </w:rPr>
      </w:pPr>
      <w:r>
        <w:rPr>
          <w:rFonts w:hint="eastAsia" w:ascii="仿宋_GB2312" w:hAnsi="宋体" w:eastAsia="仿宋_GB2312"/>
          <w:color w:val="000000"/>
          <w:sz w:val="24"/>
        </w:rPr>
        <w:t xml:space="preserve">甲方（盖章）：                          乙方（盖章）：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法定代表人：                           法定代表人：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或授权代表（签字）：                    或授权代表（签字）：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地址：                                 地址：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邮编：                                 邮编：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电话：                                 电话：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传真：                                 传真：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开户银行：                             开户银行：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帐号：                                 帐号：</w:t>
      </w:r>
    </w:p>
    <w:p>
      <w:pPr>
        <w:spacing w:line="520" w:lineRule="exact"/>
        <w:ind w:firstLine="480"/>
        <w:jc w:val="left"/>
        <w:rPr>
          <w:rFonts w:ascii="仿宋_GB2312" w:hAnsi="宋体" w:eastAsia="仿宋_GB2312"/>
          <w:color w:val="000000"/>
          <w:sz w:val="24"/>
        </w:rPr>
      </w:pP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见证方（盖章）：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地址：</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邮编：</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电话：</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传真：</w:t>
      </w:r>
    </w:p>
    <w:p>
      <w:pPr>
        <w:spacing w:line="520" w:lineRule="exact"/>
        <w:ind w:firstLine="5520" w:firstLineChars="2300"/>
        <w:jc w:val="left"/>
        <w:rPr>
          <w:rFonts w:ascii="仿宋_GB2312" w:eastAsia="仿宋_GB2312"/>
          <w:sz w:val="24"/>
        </w:rPr>
      </w:pPr>
      <w:r>
        <w:rPr>
          <w:rFonts w:hint="eastAsia" w:ascii="仿宋_GB2312" w:eastAsia="仿宋_GB2312"/>
          <w:sz w:val="24"/>
        </w:rPr>
        <w:t xml:space="preserve">签约时间：     年  月  日     </w:t>
      </w:r>
    </w:p>
    <w:p>
      <w:pPr>
        <w:autoSpaceDE w:val="0"/>
        <w:autoSpaceDN w:val="0"/>
        <w:adjustRightInd w:val="0"/>
        <w:spacing w:line="520" w:lineRule="exact"/>
        <w:ind w:firstLine="5520"/>
        <w:rPr>
          <w:rFonts w:ascii="仿宋_GB2312" w:eastAsia="仿宋_GB2312"/>
          <w:sz w:val="24"/>
        </w:rPr>
      </w:pPr>
      <w:r>
        <w:rPr>
          <w:rFonts w:hint="eastAsia" w:ascii="仿宋_GB2312" w:eastAsia="仿宋_GB2312"/>
          <w:sz w:val="24"/>
        </w:rPr>
        <w:t>签约地点：</w:t>
      </w:r>
    </w:p>
    <w:p>
      <w:pPr>
        <w:pStyle w:val="2"/>
        <w:spacing w:line="520" w:lineRule="exact"/>
        <w:ind w:firstLine="422"/>
        <w:rPr>
          <w:rFonts w:ascii="仿宋_GB2312" w:hAnsi="宋体" w:eastAsia="仿宋_GB2312" w:cs="宋体"/>
          <w:b/>
          <w:bCs/>
        </w:rPr>
      </w:pPr>
    </w:p>
    <w:p>
      <w:pPr>
        <w:pStyle w:val="195"/>
        <w:widowControl/>
        <w:tabs>
          <w:tab w:val="left" w:pos="420"/>
          <w:tab w:val="left" w:pos="709"/>
        </w:tabs>
        <w:autoSpaceDE w:val="0"/>
        <w:autoSpaceDN w:val="0"/>
        <w:spacing w:line="520" w:lineRule="exact"/>
        <w:ind w:right="26" w:firstLine="0" w:firstLineChars="0"/>
        <w:jc w:val="left"/>
        <w:textAlignment w:val="bottom"/>
        <w:rPr>
          <w:rFonts w:ascii="仿宋_GB2312" w:hAnsi="宋体" w:eastAsia="仿宋_GB2312" w:cs="宋体"/>
          <w:sz w:val="24"/>
        </w:rPr>
        <w:sectPr>
          <w:pgSz w:w="11906" w:h="16838"/>
          <w:pgMar w:top="2098" w:right="1474" w:bottom="1701" w:left="1588" w:header="851" w:footer="992" w:gutter="0"/>
          <w:cols w:space="720" w:num="1"/>
          <w:docGrid w:linePitch="312" w:charSpace="0"/>
        </w:sectPr>
      </w:pPr>
    </w:p>
    <w:bookmarkEnd w:id="96"/>
    <w:bookmarkEnd w:id="97"/>
    <w:p>
      <w:pPr>
        <w:pStyle w:val="39"/>
        <w:spacing w:before="0" w:after="0" w:line="520" w:lineRule="exact"/>
        <w:rPr>
          <w:rFonts w:ascii="仿宋_GB2312" w:hAnsi="宋体" w:eastAsia="仿宋_GB2312" w:cs="宋体"/>
          <w:bCs w:val="0"/>
          <w:sz w:val="30"/>
          <w:szCs w:val="30"/>
        </w:rPr>
      </w:pPr>
      <w:bookmarkStart w:id="110" w:name="_Toc23388"/>
      <w:bookmarkStart w:id="111" w:name="_Toc32652"/>
      <w:bookmarkStart w:id="112" w:name="_Toc21434"/>
      <w:bookmarkStart w:id="113" w:name="_Toc4372"/>
      <w:bookmarkStart w:id="114" w:name="_Toc17264"/>
      <w:r>
        <w:rPr>
          <w:rFonts w:hint="eastAsia" w:ascii="仿宋_GB2312" w:hAnsi="宋体" w:eastAsia="仿宋_GB2312" w:cs="宋体"/>
          <w:bCs w:val="0"/>
          <w:sz w:val="30"/>
          <w:szCs w:val="30"/>
        </w:rPr>
        <w:t>第七部分 询问、质疑和投诉</w:t>
      </w:r>
      <w:bookmarkEnd w:id="110"/>
      <w:bookmarkEnd w:id="111"/>
      <w:bookmarkEnd w:id="112"/>
      <w:bookmarkEnd w:id="113"/>
      <w:bookmarkEnd w:id="114"/>
    </w:p>
    <w:p>
      <w:pPr>
        <w:numPr>
          <w:ilvl w:val="0"/>
          <w:numId w:val="33"/>
        </w:numPr>
        <w:tabs>
          <w:tab w:val="left" w:pos="426"/>
        </w:tabs>
        <w:adjustRightInd w:val="0"/>
        <w:spacing w:line="520" w:lineRule="exact"/>
        <w:outlineLvl w:val="2"/>
        <w:rPr>
          <w:rFonts w:ascii="仿宋_GB2312" w:hAnsi="宋体" w:eastAsia="仿宋_GB2312" w:cs="宋体"/>
          <w:b/>
          <w:bCs/>
          <w:sz w:val="24"/>
        </w:rPr>
      </w:pPr>
      <w:bookmarkStart w:id="115" w:name="_Toc18572"/>
      <w:bookmarkStart w:id="116" w:name="_Toc26992"/>
      <w:bookmarkStart w:id="117" w:name="_Toc17332"/>
      <w:r>
        <w:rPr>
          <w:rFonts w:hint="eastAsia" w:ascii="仿宋_GB2312" w:hAnsi="宋体" w:eastAsia="仿宋_GB2312" w:cs="宋体"/>
          <w:b/>
          <w:bCs/>
          <w:sz w:val="24"/>
        </w:rPr>
        <w:t xml:space="preserve"> 询问</w:t>
      </w:r>
      <w:bookmarkEnd w:id="115"/>
      <w:bookmarkEnd w:id="116"/>
      <w:bookmarkEnd w:id="117"/>
    </w:p>
    <w:p>
      <w:pPr>
        <w:widowControl/>
        <w:numPr>
          <w:ilvl w:val="0"/>
          <w:numId w:val="40"/>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可以就招标文件中特定资格条件、采购需求、评分办法及采购过程中有关现场考察或开标前答疑会事项向采购人提出询问，采购人将对此作出答复；就采购活动中的其它事项向采购代理机构提出询问，采购代理机构将对此作出答复。答复的内容不得涉及商业秘密。</w:t>
      </w:r>
    </w:p>
    <w:p>
      <w:pPr>
        <w:pStyle w:val="2"/>
        <w:spacing w:line="520" w:lineRule="exact"/>
        <w:ind w:firstLine="0" w:firstLineChars="0"/>
      </w:pPr>
    </w:p>
    <w:p>
      <w:pPr>
        <w:numPr>
          <w:ilvl w:val="0"/>
          <w:numId w:val="33"/>
        </w:numPr>
        <w:tabs>
          <w:tab w:val="left" w:pos="567"/>
        </w:tabs>
        <w:adjustRightInd w:val="0"/>
        <w:spacing w:line="520" w:lineRule="exact"/>
        <w:outlineLvl w:val="2"/>
        <w:rPr>
          <w:rFonts w:ascii="仿宋_GB2312" w:hAnsi="宋体" w:eastAsia="仿宋_GB2312" w:cs="宋体"/>
          <w:b/>
          <w:bCs/>
          <w:sz w:val="24"/>
        </w:rPr>
      </w:pPr>
      <w:bookmarkStart w:id="118" w:name="_Toc21828"/>
      <w:bookmarkStart w:id="119" w:name="_Toc2300"/>
      <w:bookmarkStart w:id="120" w:name="_Toc27546"/>
      <w:r>
        <w:rPr>
          <w:rFonts w:hint="eastAsia" w:ascii="仿宋_GB2312" w:hAnsi="宋体" w:eastAsia="仿宋_GB2312" w:cs="宋体"/>
          <w:b/>
          <w:bCs/>
          <w:sz w:val="24"/>
        </w:rPr>
        <w:t>质疑</w:t>
      </w:r>
      <w:bookmarkEnd w:id="118"/>
      <w:bookmarkEnd w:id="119"/>
      <w:bookmarkEnd w:id="120"/>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依法获取其可质疑的招标文件的“潜在供应商”和参与所质疑项目采购活动的投标人，可以对招标文件提出质疑。</w:t>
      </w:r>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认为招标文件、采购过程和中标或者成交结果使自己的权益受到损害的，可以在知道或者应知其权益受到损害之日起七个工作日内，以书面形式向采购人、采购代理机构提出质疑，否则，采购人、采购代理机构不予受理。</w:t>
      </w:r>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招标文件提出质疑的，质疑期限为“潜在供应商”获得招标文件或者招标文件公告期限届满之日计算。采购文件在获取截止之日后获得的，应当自采购文件公告期限届满之日起计算，且应当在采购响应截止时间之前提出。</w:t>
      </w:r>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对采购过程提出质疑的，质疑期限为各采购程序环节结束之日起计算。针对同一采购程序环节的质疑，供应商须在法定质疑期内一次性提出。</w:t>
      </w:r>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对采购结果提出质疑的，质疑期限自采购结果公告期限届满之日起计算。</w:t>
      </w:r>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原则上由采购人回复的质疑：</w:t>
      </w:r>
    </w:p>
    <w:p>
      <w:pPr>
        <w:pStyle w:val="195"/>
        <w:widowControl/>
        <w:numPr>
          <w:ilvl w:val="0"/>
          <w:numId w:val="42"/>
        </w:numPr>
        <w:tabs>
          <w:tab w:val="left" w:pos="640"/>
        </w:tabs>
        <w:autoSpaceDE w:val="0"/>
        <w:autoSpaceDN w:val="0"/>
        <w:spacing w:line="520" w:lineRule="exact"/>
        <w:ind w:left="0" w:right="26"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对采购文件中特定资格条件、采购需求、评分办法提出的质疑；</w:t>
      </w:r>
    </w:p>
    <w:p>
      <w:pPr>
        <w:pStyle w:val="195"/>
        <w:widowControl/>
        <w:numPr>
          <w:ilvl w:val="0"/>
          <w:numId w:val="42"/>
        </w:numPr>
        <w:tabs>
          <w:tab w:val="left" w:pos="640"/>
        </w:tabs>
        <w:autoSpaceDE w:val="0"/>
        <w:autoSpaceDN w:val="0"/>
        <w:spacing w:line="520" w:lineRule="exact"/>
        <w:ind w:left="0" w:right="26"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对采购过程中有关现场考察或开标前答疑会事项提出的质疑。</w:t>
      </w:r>
    </w:p>
    <w:p>
      <w:pPr>
        <w:widowControl/>
        <w:autoSpaceDE w:val="0"/>
        <w:autoSpaceDN w:val="0"/>
        <w:spacing w:line="520" w:lineRule="exact"/>
        <w:ind w:left="-2" w:leftChars="-1" w:right="26" w:firstLine="2"/>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原则上由采购代理机构回复的质疑：</w:t>
      </w:r>
    </w:p>
    <w:p>
      <w:pPr>
        <w:pStyle w:val="195"/>
        <w:widowControl/>
        <w:numPr>
          <w:ilvl w:val="0"/>
          <w:numId w:val="43"/>
        </w:numPr>
        <w:tabs>
          <w:tab w:val="left" w:pos="142"/>
          <w:tab w:val="left" w:pos="567"/>
          <w:tab w:val="left" w:pos="640"/>
        </w:tabs>
        <w:autoSpaceDE w:val="0"/>
        <w:autoSpaceDN w:val="0"/>
        <w:spacing w:line="520" w:lineRule="exact"/>
        <w:ind w:left="0" w:right="25" w:rightChars="12"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除特定资格条件、采购需求、评分办法外，对采购文件中其他内容提出的质疑；</w:t>
      </w:r>
    </w:p>
    <w:p>
      <w:pPr>
        <w:pStyle w:val="195"/>
        <w:widowControl/>
        <w:numPr>
          <w:ilvl w:val="0"/>
          <w:numId w:val="43"/>
        </w:numPr>
        <w:tabs>
          <w:tab w:val="left" w:pos="142"/>
          <w:tab w:val="left" w:pos="567"/>
          <w:tab w:val="left" w:pos="640"/>
        </w:tabs>
        <w:autoSpaceDE w:val="0"/>
        <w:autoSpaceDN w:val="0"/>
        <w:spacing w:line="520" w:lineRule="exact"/>
        <w:ind w:left="0" w:right="25" w:rightChars="12"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除有关现场考察或开标前答疑会事项外，对采购过程中其它事项提出的质疑；</w:t>
      </w:r>
    </w:p>
    <w:p>
      <w:pPr>
        <w:pStyle w:val="195"/>
        <w:widowControl/>
        <w:numPr>
          <w:ilvl w:val="0"/>
          <w:numId w:val="43"/>
        </w:numPr>
        <w:tabs>
          <w:tab w:val="left" w:pos="142"/>
          <w:tab w:val="left" w:pos="567"/>
          <w:tab w:val="left" w:pos="640"/>
        </w:tabs>
        <w:autoSpaceDE w:val="0"/>
        <w:autoSpaceDN w:val="0"/>
        <w:spacing w:line="520" w:lineRule="exact"/>
        <w:ind w:left="0" w:right="25" w:rightChars="12"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对采购结果提出的质疑。</w:t>
      </w:r>
    </w:p>
    <w:p>
      <w:pPr>
        <w:numPr>
          <w:ilvl w:val="0"/>
          <w:numId w:val="33"/>
        </w:numPr>
        <w:tabs>
          <w:tab w:val="left" w:pos="567"/>
        </w:tabs>
        <w:adjustRightInd w:val="0"/>
        <w:spacing w:line="520" w:lineRule="exact"/>
        <w:ind w:left="0" w:firstLine="0"/>
        <w:outlineLvl w:val="2"/>
        <w:rPr>
          <w:rFonts w:ascii="仿宋_GB2312" w:hAnsi="宋体" w:eastAsia="仿宋_GB2312" w:cs="宋体"/>
          <w:b/>
          <w:bCs/>
          <w:sz w:val="24"/>
        </w:rPr>
      </w:pPr>
      <w:bookmarkStart w:id="121" w:name="_Toc5742"/>
      <w:bookmarkStart w:id="122" w:name="_Toc17772"/>
      <w:bookmarkStart w:id="123" w:name="_Toc159"/>
      <w:r>
        <w:rPr>
          <w:rFonts w:hint="eastAsia" w:ascii="仿宋_GB2312" w:hAnsi="宋体" w:eastAsia="仿宋_GB2312" w:cs="宋体"/>
          <w:b/>
          <w:bCs/>
          <w:sz w:val="24"/>
        </w:rPr>
        <w:t>供应商提出质疑应提交质疑函和必要的证明材料。质疑函应包括下列内容：</w:t>
      </w:r>
      <w:bookmarkEnd w:id="121"/>
      <w:bookmarkEnd w:id="122"/>
      <w:bookmarkEnd w:id="123"/>
    </w:p>
    <w:p>
      <w:pPr>
        <w:widowControl/>
        <w:tabs>
          <w:tab w:val="left" w:pos="851"/>
        </w:tabs>
        <w:autoSpaceDE w:val="0"/>
        <w:autoSpaceDN w:val="0"/>
        <w:spacing w:line="520" w:lineRule="exact"/>
        <w:ind w:left="1" w:right="26"/>
        <w:jc w:val="left"/>
        <w:textAlignment w:val="bottom"/>
        <w:rPr>
          <w:rFonts w:ascii="仿宋_GB2312" w:hAnsi="宋体" w:eastAsia="仿宋_GB2312" w:cs="宋体"/>
          <w:sz w:val="24"/>
        </w:rPr>
      </w:pPr>
      <w:r>
        <w:rPr>
          <w:rFonts w:hint="eastAsia" w:ascii="仿宋_GB2312" w:hAnsi="仿宋_GB2312" w:eastAsia="仿宋_GB2312" w:cs="仿宋_GB2312"/>
          <w:sz w:val="24"/>
        </w:rPr>
        <w:t>（1）供应商的姓名或名称、地址、邮政编码、联系人、联系电话，以及被质疑人名称</w:t>
      </w:r>
      <w:r>
        <w:rPr>
          <w:rFonts w:hint="eastAsia" w:ascii="仿宋_GB2312" w:hAnsi="宋体" w:eastAsia="仿宋_GB2312" w:cs="宋体"/>
          <w:sz w:val="24"/>
        </w:rPr>
        <w:t>及联系方式；</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宋体" w:eastAsia="仿宋_GB2312" w:cs="宋体"/>
          <w:sz w:val="24"/>
        </w:rPr>
        <w:t>（2）</w:t>
      </w:r>
      <w:r>
        <w:rPr>
          <w:rFonts w:hint="eastAsia" w:ascii="仿宋_GB2312" w:hAnsi="仿宋_GB2312" w:eastAsia="仿宋_GB2312" w:cs="仿宋_GB2312"/>
          <w:sz w:val="24"/>
        </w:rPr>
        <w:t>质疑项目的名称、编号及采购内容；</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（3）具体、明确的质疑事项和与质疑事项相关的请求；</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（4）事实依据；</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（5）必要的法律依据；</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（6）提出质疑的日期。</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供应商提交的质疑函需一式三份。供应商为自然人的，应当由本人签字；供应商为法人或者其他组织的，应当由法定代表人、主要负责人，或者其授权代表签字或者盖章，并加盖公章。</w:t>
      </w:r>
    </w:p>
    <w:p>
      <w:pPr>
        <w:numPr>
          <w:ilvl w:val="0"/>
          <w:numId w:val="33"/>
        </w:numPr>
        <w:tabs>
          <w:tab w:val="left" w:pos="567"/>
        </w:tabs>
        <w:adjustRightInd w:val="0"/>
        <w:spacing w:line="520" w:lineRule="exact"/>
        <w:ind w:left="0" w:firstLine="0"/>
        <w:outlineLvl w:val="2"/>
        <w:rPr>
          <w:rFonts w:ascii="仿宋_GB2312" w:hAnsi="宋体" w:eastAsia="仿宋_GB2312" w:cs="宋体"/>
          <w:b/>
          <w:bCs/>
          <w:sz w:val="24"/>
        </w:rPr>
      </w:pPr>
      <w:bookmarkStart w:id="124" w:name="_Toc23655"/>
      <w:bookmarkStart w:id="125" w:name="_Toc24304"/>
      <w:bookmarkStart w:id="126" w:name="_Toc17333"/>
      <w:r>
        <w:rPr>
          <w:rFonts w:hint="eastAsia" w:ascii="仿宋_GB2312" w:hAnsi="宋体" w:eastAsia="仿宋_GB2312" w:cs="宋体"/>
          <w:b/>
          <w:bCs/>
          <w:sz w:val="24"/>
        </w:rPr>
        <w:t>采购人或者采购代理机构应当在收到供应商的书面质疑后七个工作日内作出答复，并以书面形式通知质疑供应商和其他与质疑处理结果有利害关系的政府采购当事人，但答复的内容不得涉及商业秘密。</w:t>
      </w:r>
      <w:bookmarkEnd w:id="124"/>
      <w:bookmarkEnd w:id="125"/>
      <w:bookmarkEnd w:id="126"/>
    </w:p>
    <w:p>
      <w:pPr>
        <w:numPr>
          <w:ilvl w:val="0"/>
          <w:numId w:val="33"/>
        </w:numPr>
        <w:tabs>
          <w:tab w:val="left" w:pos="567"/>
        </w:tabs>
        <w:adjustRightInd w:val="0"/>
        <w:spacing w:line="520" w:lineRule="exact"/>
        <w:ind w:left="0" w:firstLine="0"/>
        <w:outlineLvl w:val="2"/>
        <w:rPr>
          <w:rFonts w:ascii="仿宋_GB2312" w:hAnsi="宋体" w:eastAsia="仿宋_GB2312" w:cs="宋体"/>
          <w:b/>
          <w:bCs/>
          <w:sz w:val="24"/>
        </w:rPr>
      </w:pPr>
      <w:bookmarkStart w:id="127" w:name="_Toc2776"/>
      <w:bookmarkStart w:id="128" w:name="_Toc28617"/>
      <w:bookmarkStart w:id="129" w:name="_Toc13810"/>
      <w:r>
        <w:rPr>
          <w:rFonts w:hint="eastAsia" w:ascii="仿宋_GB2312" w:hAnsi="宋体" w:eastAsia="仿宋_GB2312" w:cs="宋体"/>
          <w:b/>
          <w:bCs/>
          <w:sz w:val="24"/>
        </w:rPr>
        <w:t>询问或者质疑事项可能影响采购结果的，采购人应当暂停签订合同，已经签订合同的，应当中止履行合同。</w:t>
      </w:r>
      <w:bookmarkEnd w:id="127"/>
      <w:bookmarkEnd w:id="128"/>
      <w:bookmarkEnd w:id="129"/>
    </w:p>
    <w:p>
      <w:pPr>
        <w:numPr>
          <w:ilvl w:val="0"/>
          <w:numId w:val="33"/>
        </w:numPr>
        <w:tabs>
          <w:tab w:val="left" w:pos="567"/>
        </w:tabs>
        <w:adjustRightInd w:val="0"/>
        <w:spacing w:line="520" w:lineRule="exact"/>
        <w:ind w:left="0" w:firstLine="0"/>
        <w:outlineLvl w:val="2"/>
        <w:rPr>
          <w:rFonts w:ascii="仿宋_GB2312" w:hAnsi="宋体" w:eastAsia="仿宋_GB2312" w:cs="宋体"/>
          <w:b/>
          <w:bCs/>
          <w:sz w:val="24"/>
        </w:rPr>
      </w:pPr>
      <w:bookmarkStart w:id="130" w:name="_Toc7086"/>
      <w:bookmarkStart w:id="131" w:name="_Toc19442"/>
      <w:bookmarkStart w:id="132" w:name="_Toc12024"/>
      <w:r>
        <w:rPr>
          <w:rFonts w:hint="eastAsia" w:ascii="仿宋_GB2312" w:hAnsi="宋体" w:eastAsia="仿宋_GB2312" w:cs="宋体"/>
          <w:b/>
          <w:bCs/>
          <w:sz w:val="24"/>
        </w:rPr>
        <w:t>投诉</w:t>
      </w:r>
      <w:bookmarkEnd w:id="130"/>
      <w:bookmarkEnd w:id="131"/>
      <w:bookmarkEnd w:id="132"/>
    </w:p>
    <w:p>
      <w:pPr>
        <w:widowControl/>
        <w:numPr>
          <w:ilvl w:val="0"/>
          <w:numId w:val="44"/>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质疑供应商对采购人、采购代理机构的答复不满意或者采购人、采购代理机构未在规定的时间内作出答复的，可以在答复期满后十五个工作日内向同级政府采购监督管理部门提出投诉。</w:t>
      </w:r>
    </w:p>
    <w:p>
      <w:pPr>
        <w:widowControl/>
        <w:numPr>
          <w:ilvl w:val="0"/>
          <w:numId w:val="44"/>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供应商投诉的事项不得超出已质疑事项的范围，基于质疑答复内容提出的投诉事项除外。</w:t>
      </w:r>
    </w:p>
    <w:p>
      <w:pPr>
        <w:widowControl/>
        <w:numPr>
          <w:ilvl w:val="0"/>
          <w:numId w:val="44"/>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供应商投诉应当有明确的请求和必要的证明材料，并按照被投诉采购人、采购代理机构（以下简称被投诉人）和投诉事项有关的供应商数量提供投诉书的副本。投诉书应当包括下列内容：</w:t>
      </w:r>
    </w:p>
    <w:p>
      <w:pPr>
        <w:pStyle w:val="2"/>
        <w:numPr>
          <w:ilvl w:val="0"/>
          <w:numId w:val="45"/>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投诉人和被投诉人的姓名或者名称、通讯地址、邮编、联系人及联系电话；</w:t>
      </w:r>
    </w:p>
    <w:p>
      <w:pPr>
        <w:pStyle w:val="2"/>
        <w:numPr>
          <w:ilvl w:val="0"/>
          <w:numId w:val="45"/>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质疑和质疑答复情况说明及相关证明材料；</w:t>
      </w:r>
    </w:p>
    <w:p>
      <w:pPr>
        <w:pStyle w:val="2"/>
        <w:numPr>
          <w:ilvl w:val="0"/>
          <w:numId w:val="45"/>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具体、明确的投诉事项和与投诉事项相关的投诉请求；</w:t>
      </w:r>
    </w:p>
    <w:p>
      <w:pPr>
        <w:pStyle w:val="2"/>
        <w:numPr>
          <w:ilvl w:val="0"/>
          <w:numId w:val="45"/>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事实依据；</w:t>
      </w:r>
    </w:p>
    <w:p>
      <w:pPr>
        <w:pStyle w:val="2"/>
        <w:numPr>
          <w:ilvl w:val="0"/>
          <w:numId w:val="45"/>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法律依据；</w:t>
      </w:r>
    </w:p>
    <w:p>
      <w:pPr>
        <w:pStyle w:val="2"/>
        <w:numPr>
          <w:ilvl w:val="0"/>
          <w:numId w:val="45"/>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提起投诉的日期。</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投诉人为自然人的，应当由本人签字；投诉人为法人或者其他组织的，应当由法定代表人、主要负责人，或者其授权代表签字或者盖章，并加盖公章。</w:t>
      </w:r>
    </w:p>
    <w:p>
      <w:pPr>
        <w:widowControl/>
        <w:numPr>
          <w:ilvl w:val="0"/>
          <w:numId w:val="44"/>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以联合体形式参加政府采购活动的，其投诉应当由组成联合体的所有供应商共同提出。</w:t>
      </w:r>
    </w:p>
    <w:p>
      <w:pPr>
        <w:widowControl/>
        <w:tabs>
          <w:tab w:val="left" w:pos="420"/>
          <w:tab w:val="left" w:pos="567"/>
          <w:tab w:val="left" w:pos="709"/>
        </w:tabs>
        <w:autoSpaceDE w:val="0"/>
        <w:autoSpaceDN w:val="0"/>
        <w:spacing w:line="520" w:lineRule="exact"/>
        <w:ind w:right="26"/>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26.质疑函范本、投诉书范本请到杭州市公共资源交易中心下载专区下载。</w:t>
      </w:r>
    </w:p>
    <w:sectPr>
      <w:pgSz w:w="11906" w:h="16838"/>
      <w:pgMar w:top="2098" w:right="1474" w:bottom="1701"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T Extra">
    <w:panose1 w:val="05050102010205020202"/>
    <w:charset w:val="02"/>
    <w:family w:val="roman"/>
    <w:pitch w:val="default"/>
    <w:sig w:usb0="80000000" w:usb1="00000000" w:usb2="00000000" w:usb3="00000000" w:csb0="00000000" w:csb1="00000000"/>
  </w:font>
  <w:font w:name="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132</w:t>
    </w:r>
    <w:r>
      <w:rPr>
        <w:b/>
        <w:sz w:val="24"/>
        <w:szCs w:val="24"/>
      </w:rP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132</w:t>
    </w:r>
    <w:r>
      <w:rPr>
        <w:b/>
        <w:sz w:val="24"/>
        <w:szCs w:val="24"/>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132</w:t>
    </w:r>
    <w:r>
      <w:rPr>
        <w:lang w:val="zh-CN"/>
      </w:rPr>
      <w:fldChar w:fldCharType="end"/>
    </w:r>
    <w:r>
      <w:rPr>
        <w:rFonts w:hint="eastAsia"/>
      </w:rPr>
      <w:t>/127</w:t>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77CB6"/>
    <w:multiLevelType w:val="multilevel"/>
    <w:tmpl w:val="A4177CB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3.11.%3."/>
      <w:lvlJc w:val="left"/>
      <w:pPr>
        <w:ind w:left="709" w:hanging="709"/>
      </w:pPr>
      <w:rPr>
        <w:rFonts w:hint="default"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B108065"/>
    <w:multiLevelType w:val="singleLevel"/>
    <w:tmpl w:val="CB108065"/>
    <w:lvl w:ilvl="0" w:tentative="0">
      <w:start w:val="1"/>
      <w:numFmt w:val="decimal"/>
      <w:lvlText w:val="11.1.%1."/>
      <w:lvlJc w:val="left"/>
      <w:pPr>
        <w:ind w:left="988" w:hanging="420"/>
      </w:pPr>
      <w:rPr>
        <w:rFonts w:hint="default" w:ascii="宋体" w:hAnsi="宋体" w:eastAsia="宋体" w:cs="宋体"/>
      </w:rPr>
    </w:lvl>
  </w:abstractNum>
  <w:abstractNum w:abstractNumId="2">
    <w:nsid w:val="E5DA77FB"/>
    <w:multiLevelType w:val="singleLevel"/>
    <w:tmpl w:val="E5DA77FB"/>
    <w:lvl w:ilvl="0" w:tentative="0">
      <w:start w:val="1"/>
      <w:numFmt w:val="decimal"/>
      <w:lvlText w:val="15.%1"/>
      <w:lvlJc w:val="left"/>
      <w:pPr>
        <w:ind w:left="420" w:hanging="420"/>
      </w:pPr>
      <w:rPr>
        <w:rFonts w:hint="eastAsia" w:ascii="楷体_GB2312" w:hAnsi="宋体" w:eastAsia="楷体_GB2312" w:cs="宋体"/>
      </w:rPr>
    </w:lvl>
  </w:abstractNum>
  <w:abstractNum w:abstractNumId="3">
    <w:nsid w:val="00000010"/>
    <w:multiLevelType w:val="multilevel"/>
    <w:tmpl w:val="00000010"/>
    <w:lvl w:ilvl="0" w:tentative="0">
      <w:start w:val="1"/>
      <w:numFmt w:val="decimal"/>
      <w:lvlText w:val="%1."/>
      <w:lvlJc w:val="left"/>
      <w:pPr>
        <w:ind w:left="420" w:hanging="420"/>
      </w:pPr>
      <w:rPr>
        <w:rFonts w:hint="default"/>
        <w:b/>
      </w:rPr>
    </w:lvl>
    <w:lvl w:ilvl="1" w:tentative="0">
      <w:start w:val="1"/>
      <w:numFmt w:val="decimal"/>
      <w:lvlText w:val="8.%2."/>
      <w:lvlJc w:val="left"/>
      <w:pPr>
        <w:ind w:left="0" w:firstLine="0"/>
      </w:pPr>
      <w:rPr>
        <w:rFonts w:hint="eastAsia" w:ascii="楷体_GB2312" w:hAnsi="宋体" w:eastAsia="楷体_GB2312" w:cs="宋体"/>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0000011"/>
    <w:multiLevelType w:val="singleLevel"/>
    <w:tmpl w:val="00000011"/>
    <w:lvl w:ilvl="0" w:tentative="0">
      <w:start w:val="1"/>
      <w:numFmt w:val="decimal"/>
      <w:lvlText w:val="1.%1."/>
      <w:lvlJc w:val="left"/>
      <w:pPr>
        <w:ind w:left="420" w:hanging="420"/>
      </w:pPr>
      <w:rPr>
        <w:rFonts w:hint="default"/>
      </w:rPr>
    </w:lvl>
  </w:abstractNum>
  <w:abstractNum w:abstractNumId="5">
    <w:nsid w:val="00000012"/>
    <w:multiLevelType w:val="singleLevel"/>
    <w:tmpl w:val="00000012"/>
    <w:lvl w:ilvl="0" w:tentative="0">
      <w:start w:val="1"/>
      <w:numFmt w:val="decimal"/>
      <w:lvlText w:val="2.%1."/>
      <w:lvlJc w:val="left"/>
      <w:pPr>
        <w:tabs>
          <w:tab w:val="left" w:pos="850"/>
        </w:tabs>
        <w:ind w:left="1417" w:hanging="1417"/>
      </w:pPr>
      <w:rPr>
        <w:rFonts w:hint="default"/>
      </w:rPr>
    </w:lvl>
  </w:abstractNum>
  <w:abstractNum w:abstractNumId="6">
    <w:nsid w:val="00000013"/>
    <w:multiLevelType w:val="singleLevel"/>
    <w:tmpl w:val="00000013"/>
    <w:lvl w:ilvl="0" w:tentative="0">
      <w:start w:val="1"/>
      <w:numFmt w:val="decimal"/>
      <w:lvlText w:val="4.%1."/>
      <w:lvlJc w:val="left"/>
      <w:pPr>
        <w:tabs>
          <w:tab w:val="left" w:pos="850"/>
        </w:tabs>
        <w:ind w:left="1134" w:hanging="1134"/>
      </w:pPr>
      <w:rPr>
        <w:rFonts w:hint="default"/>
      </w:rPr>
    </w:lvl>
  </w:abstractNum>
  <w:abstractNum w:abstractNumId="7">
    <w:nsid w:val="00000023"/>
    <w:multiLevelType w:val="singleLevel"/>
    <w:tmpl w:val="00000023"/>
    <w:lvl w:ilvl="0" w:tentative="0">
      <w:start w:val="1"/>
      <w:numFmt w:val="decimal"/>
      <w:lvlText w:val="13.9.%1."/>
      <w:lvlJc w:val="left"/>
      <w:pPr>
        <w:ind w:left="420" w:hanging="420"/>
      </w:pPr>
      <w:rPr>
        <w:rFonts w:hint="default"/>
      </w:rPr>
    </w:lvl>
  </w:abstractNum>
  <w:abstractNum w:abstractNumId="8">
    <w:nsid w:val="00000024"/>
    <w:multiLevelType w:val="singleLevel"/>
    <w:tmpl w:val="00000024"/>
    <w:lvl w:ilvl="0" w:tentative="0">
      <w:start w:val="1"/>
      <w:numFmt w:val="decimal"/>
      <w:lvlText w:val="13.%1."/>
      <w:lvlJc w:val="left"/>
      <w:pPr>
        <w:ind w:left="988" w:hanging="420"/>
      </w:pPr>
      <w:rPr>
        <w:rFonts w:hint="default"/>
      </w:rPr>
    </w:lvl>
  </w:abstractNum>
  <w:abstractNum w:abstractNumId="9">
    <w:nsid w:val="02CB4805"/>
    <w:multiLevelType w:val="multilevel"/>
    <w:tmpl w:val="02CB480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132F06"/>
    <w:multiLevelType w:val="multilevel"/>
    <w:tmpl w:val="06132F06"/>
    <w:lvl w:ilvl="0" w:tentative="0">
      <w:start w:val="1"/>
      <w:numFmt w:val="decimal"/>
      <w:lvlText w:val="13.4.%1."/>
      <w:lvlJc w:val="left"/>
      <w:pPr>
        <w:ind w:left="420" w:hanging="420"/>
      </w:pPr>
      <w:rPr>
        <w:rFonts w:hint="default"/>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9AE7C42"/>
    <w:multiLevelType w:val="multilevel"/>
    <w:tmpl w:val="09AE7C42"/>
    <w:lvl w:ilvl="0" w:tentative="0">
      <w:start w:val="9"/>
      <w:numFmt w:val="decimal"/>
      <w:lvlText w:val="%1."/>
      <w:lvlJc w:val="left"/>
      <w:pPr>
        <w:ind w:left="420" w:hanging="420"/>
      </w:pPr>
      <w:rPr>
        <w:rFonts w:hint="default"/>
        <w:b/>
      </w:rPr>
    </w:lvl>
    <w:lvl w:ilvl="1" w:tentative="0">
      <w:start w:val="1"/>
      <w:numFmt w:val="decimal"/>
      <w:lvlText w:val="9.%2."/>
      <w:lvlJc w:val="left"/>
      <w:pPr>
        <w:ind w:left="0" w:firstLine="0"/>
      </w:pPr>
      <w:rPr>
        <w:rFonts w:hint="eastAsia" w:eastAsia="楷体_GB2312"/>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0E1D0E9D"/>
    <w:multiLevelType w:val="singleLevel"/>
    <w:tmpl w:val="0E1D0E9D"/>
    <w:lvl w:ilvl="0" w:tentative="0">
      <w:start w:val="1"/>
      <w:numFmt w:val="decimal"/>
      <w:suff w:val="nothing"/>
      <w:lvlText w:val="（%1）"/>
      <w:lvlJc w:val="left"/>
    </w:lvl>
  </w:abstractNum>
  <w:abstractNum w:abstractNumId="13">
    <w:nsid w:val="118C4A89"/>
    <w:multiLevelType w:val="singleLevel"/>
    <w:tmpl w:val="118C4A89"/>
    <w:lvl w:ilvl="0" w:tentative="0">
      <w:start w:val="1"/>
      <w:numFmt w:val="decimal"/>
      <w:lvlText w:val="20.%1."/>
      <w:lvlJc w:val="left"/>
      <w:pPr>
        <w:ind w:left="420" w:hanging="420"/>
      </w:pPr>
      <w:rPr>
        <w:rFonts w:hint="eastAsia" w:eastAsia="仿宋_GB2312"/>
      </w:rPr>
    </w:lvl>
  </w:abstractNum>
  <w:abstractNum w:abstractNumId="14">
    <w:nsid w:val="13112787"/>
    <w:multiLevelType w:val="singleLevel"/>
    <w:tmpl w:val="13112787"/>
    <w:lvl w:ilvl="0" w:tentative="0">
      <w:start w:val="1"/>
      <w:numFmt w:val="decimal"/>
      <w:lvlText w:val="3.%1."/>
      <w:lvlJc w:val="left"/>
      <w:pPr>
        <w:ind w:left="420" w:hanging="420"/>
      </w:pPr>
      <w:rPr>
        <w:rFonts w:hint="default"/>
      </w:rPr>
    </w:lvl>
  </w:abstractNum>
  <w:abstractNum w:abstractNumId="15">
    <w:nsid w:val="196320EF"/>
    <w:multiLevelType w:val="singleLevel"/>
    <w:tmpl w:val="196320EF"/>
    <w:lvl w:ilvl="0" w:tentative="0">
      <w:start w:val="1"/>
      <w:numFmt w:val="decimal"/>
      <w:lvlText w:val="11.%1."/>
      <w:lvlJc w:val="left"/>
      <w:pPr>
        <w:ind w:left="988" w:hanging="420"/>
      </w:pPr>
      <w:rPr>
        <w:rFonts w:hint="default"/>
      </w:rPr>
    </w:lvl>
  </w:abstractNum>
  <w:abstractNum w:abstractNumId="16">
    <w:nsid w:val="2A5F3A63"/>
    <w:multiLevelType w:val="singleLevel"/>
    <w:tmpl w:val="2A5F3A63"/>
    <w:lvl w:ilvl="0" w:tentative="0">
      <w:start w:val="1"/>
      <w:numFmt w:val="decimal"/>
      <w:lvlText w:val="21.%1."/>
      <w:lvlJc w:val="left"/>
      <w:pPr>
        <w:ind w:left="420" w:hanging="420"/>
      </w:pPr>
      <w:rPr>
        <w:rFonts w:hint="eastAsia" w:eastAsia="仿宋_GB2312"/>
      </w:rPr>
    </w:lvl>
  </w:abstractNum>
  <w:abstractNum w:abstractNumId="17">
    <w:nsid w:val="2EF70800"/>
    <w:multiLevelType w:val="singleLevel"/>
    <w:tmpl w:val="2EF70800"/>
    <w:lvl w:ilvl="0" w:tentative="0">
      <w:start w:val="1"/>
      <w:numFmt w:val="decimal"/>
      <w:lvlText w:val="1.3.%1."/>
      <w:lvlJc w:val="left"/>
      <w:pPr>
        <w:tabs>
          <w:tab w:val="left" w:pos="420"/>
        </w:tabs>
        <w:ind w:left="425" w:hanging="425"/>
      </w:pPr>
      <w:rPr>
        <w:rFonts w:hint="default"/>
      </w:rPr>
    </w:lvl>
  </w:abstractNum>
  <w:abstractNum w:abstractNumId="18">
    <w:nsid w:val="2FAD37B3"/>
    <w:multiLevelType w:val="multilevel"/>
    <w:tmpl w:val="2FAD37B3"/>
    <w:lvl w:ilvl="0" w:tentative="0">
      <w:start w:val="1"/>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9">
    <w:nsid w:val="318B5310"/>
    <w:multiLevelType w:val="singleLevel"/>
    <w:tmpl w:val="318B5310"/>
    <w:lvl w:ilvl="0" w:tentative="0">
      <w:start w:val="1"/>
      <w:numFmt w:val="decimal"/>
      <w:lvlText w:val="12.%1."/>
      <w:lvlJc w:val="left"/>
      <w:pPr>
        <w:ind w:left="420" w:hanging="420"/>
      </w:pPr>
      <w:rPr>
        <w:rFonts w:hint="default"/>
      </w:rPr>
    </w:lvl>
  </w:abstractNum>
  <w:abstractNum w:abstractNumId="20">
    <w:nsid w:val="32A06903"/>
    <w:multiLevelType w:val="singleLevel"/>
    <w:tmpl w:val="32A06903"/>
    <w:lvl w:ilvl="0" w:tentative="0">
      <w:start w:val="1"/>
      <w:numFmt w:val="decimal"/>
      <w:lvlText w:val="11.2.%1."/>
      <w:lvlJc w:val="left"/>
      <w:pPr>
        <w:ind w:left="1271" w:hanging="420"/>
      </w:pPr>
      <w:rPr>
        <w:rFonts w:hint="default" w:ascii="宋体" w:hAnsi="宋体" w:eastAsia="宋体" w:cs="宋体"/>
      </w:rPr>
    </w:lvl>
  </w:abstractNum>
  <w:abstractNum w:abstractNumId="21">
    <w:nsid w:val="33450BA3"/>
    <w:multiLevelType w:val="multilevel"/>
    <w:tmpl w:val="33450BA3"/>
    <w:lvl w:ilvl="0" w:tentative="0">
      <w:start w:val="14"/>
      <w:numFmt w:val="decimal"/>
      <w:lvlText w:val="%1."/>
      <w:lvlJc w:val="left"/>
      <w:pPr>
        <w:ind w:left="420" w:hanging="420"/>
      </w:pPr>
      <w:rPr>
        <w:rFonts w:hint="default"/>
        <w:b/>
      </w:rPr>
    </w:lvl>
    <w:lvl w:ilvl="1" w:tentative="0">
      <w:start w:val="1"/>
      <w:numFmt w:val="decimal"/>
      <w:lvlText w:val="10.%2."/>
      <w:lvlJc w:val="left"/>
      <w:pPr>
        <w:ind w:left="0" w:firstLine="0"/>
      </w:pPr>
      <w:rPr>
        <w:rFonts w:hint="default"/>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2">
    <w:nsid w:val="34995675"/>
    <w:multiLevelType w:val="singleLevel"/>
    <w:tmpl w:val="34995675"/>
    <w:lvl w:ilvl="0" w:tentative="0">
      <w:start w:val="1"/>
      <w:numFmt w:val="chineseCounting"/>
      <w:suff w:val="nothing"/>
      <w:lvlText w:val="%1、"/>
      <w:lvlJc w:val="left"/>
      <w:rPr>
        <w:rFonts w:hint="eastAsia"/>
      </w:rPr>
    </w:lvl>
  </w:abstractNum>
  <w:abstractNum w:abstractNumId="23">
    <w:nsid w:val="3B847481"/>
    <w:multiLevelType w:val="singleLevel"/>
    <w:tmpl w:val="3B847481"/>
    <w:lvl w:ilvl="0" w:tentative="0">
      <w:start w:val="1"/>
      <w:numFmt w:val="decimal"/>
      <w:lvlText w:val="25.%1."/>
      <w:lvlJc w:val="left"/>
      <w:pPr>
        <w:ind w:left="420" w:hanging="420"/>
      </w:pPr>
      <w:rPr>
        <w:rFonts w:hint="eastAsia" w:eastAsia="仿宋_GB2312"/>
      </w:rPr>
    </w:lvl>
  </w:abstractNum>
  <w:abstractNum w:abstractNumId="24">
    <w:nsid w:val="46893EA0"/>
    <w:multiLevelType w:val="multilevel"/>
    <w:tmpl w:val="46893EA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6.%3."/>
      <w:lvlJc w:val="left"/>
      <w:pPr>
        <w:ind w:left="709" w:hanging="709"/>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4B0A7383"/>
    <w:multiLevelType w:val="multilevel"/>
    <w:tmpl w:val="4B0A73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E0677D5"/>
    <w:multiLevelType w:val="multilevel"/>
    <w:tmpl w:val="4E0677D5"/>
    <w:lvl w:ilvl="0" w:tentative="0">
      <w:start w:val="1"/>
      <w:numFmt w:val="decimal"/>
      <w:lvlText w:val="1.%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4BF6842"/>
    <w:multiLevelType w:val="singleLevel"/>
    <w:tmpl w:val="54BF6842"/>
    <w:lvl w:ilvl="0" w:tentative="0">
      <w:start w:val="1"/>
      <w:numFmt w:val="decimal"/>
      <w:lvlText w:val="16.%1"/>
      <w:lvlJc w:val="left"/>
      <w:pPr>
        <w:ind w:left="420" w:hanging="420"/>
      </w:pPr>
      <w:rPr>
        <w:rFonts w:hint="eastAsia" w:ascii="楷体_GB2312" w:hAnsi="宋体" w:eastAsia="楷体_GB2312" w:cs="宋体"/>
      </w:rPr>
    </w:lvl>
  </w:abstractNum>
  <w:abstractNum w:abstractNumId="28">
    <w:nsid w:val="54D64B93"/>
    <w:multiLevelType w:val="multilevel"/>
    <w:tmpl w:val="54D64B93"/>
    <w:lvl w:ilvl="0" w:tentative="0">
      <w:start w:val="1"/>
      <w:numFmt w:val="decimal"/>
      <w:lvlText w:val="13.3.%1."/>
      <w:lvlJc w:val="left"/>
      <w:pPr>
        <w:ind w:left="425" w:hanging="425"/>
      </w:pPr>
      <w:rPr>
        <w:rFonts w:hint="default"/>
      </w:rPr>
    </w:lvl>
    <w:lvl w:ilvl="1" w:tentative="0">
      <w:start w:val="1"/>
      <w:numFmt w:val="decimal"/>
      <w:lvlText w:val="15.%2."/>
      <w:lvlJc w:val="left"/>
      <w:pPr>
        <w:ind w:left="567" w:hanging="567"/>
      </w:pPr>
      <w:rPr>
        <w:rFonts w:hint="default" w:cs="宋体"/>
      </w:rPr>
    </w:lvl>
    <w:lvl w:ilvl="2" w:tentative="0">
      <w:start w:val="1"/>
      <w:numFmt w:val="decimal"/>
      <w:lvlText w:val="5.%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5A9B2689"/>
    <w:multiLevelType w:val="singleLevel"/>
    <w:tmpl w:val="5A9B2689"/>
    <w:lvl w:ilvl="0" w:tentative="0">
      <w:start w:val="1"/>
      <w:numFmt w:val="decimal"/>
      <w:suff w:val="nothing"/>
      <w:lvlText w:val="（%1）"/>
      <w:lvlJc w:val="left"/>
    </w:lvl>
  </w:abstractNum>
  <w:abstractNum w:abstractNumId="30">
    <w:nsid w:val="5BFE6068"/>
    <w:multiLevelType w:val="singleLevel"/>
    <w:tmpl w:val="5BFE6068"/>
    <w:lvl w:ilvl="0" w:tentative="0">
      <w:start w:val="1"/>
      <w:numFmt w:val="decimal"/>
      <w:lvlText w:val="13.10.%1"/>
      <w:lvlJc w:val="left"/>
      <w:pPr>
        <w:ind w:left="420" w:hanging="420"/>
      </w:pPr>
      <w:rPr>
        <w:rFonts w:hint="default"/>
      </w:rPr>
    </w:lvl>
  </w:abstractNum>
  <w:abstractNum w:abstractNumId="31">
    <w:nsid w:val="5C492048"/>
    <w:multiLevelType w:val="multilevel"/>
    <w:tmpl w:val="5C49204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7.%3."/>
      <w:lvlJc w:val="left"/>
      <w:pPr>
        <w:ind w:left="709" w:hanging="709"/>
      </w:pPr>
      <w:rPr>
        <w:rFonts w:hint="eastAsia" w:ascii="楷体_GB2312" w:hAnsi="宋体" w:eastAsia="楷体_GB2312" w:cs="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2">
    <w:nsid w:val="605854A7"/>
    <w:multiLevelType w:val="multilevel"/>
    <w:tmpl w:val="605854A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2594B6F"/>
    <w:multiLevelType w:val="singleLevel"/>
    <w:tmpl w:val="62594B6F"/>
    <w:lvl w:ilvl="0" w:tentative="0">
      <w:start w:val="1"/>
      <w:numFmt w:val="decimal"/>
      <w:lvlText w:val="13.1.%1."/>
      <w:lvlJc w:val="left"/>
      <w:pPr>
        <w:ind w:left="420" w:hanging="420"/>
      </w:pPr>
      <w:rPr>
        <w:rFonts w:hint="default"/>
      </w:rPr>
    </w:lvl>
  </w:abstractNum>
  <w:abstractNum w:abstractNumId="34">
    <w:nsid w:val="631E51CD"/>
    <w:multiLevelType w:val="multilevel"/>
    <w:tmpl w:val="631E51CD"/>
    <w:lvl w:ilvl="0" w:tentative="0">
      <w:start w:val="9"/>
      <w:numFmt w:val="decimal"/>
      <w:lvlText w:val="%1."/>
      <w:lvlJc w:val="left"/>
      <w:pPr>
        <w:ind w:left="420" w:hanging="420"/>
      </w:pPr>
      <w:rPr>
        <w:rFonts w:hint="default"/>
        <w:b/>
      </w:rPr>
    </w:lvl>
    <w:lvl w:ilvl="1" w:tentative="0">
      <w:start w:val="1"/>
      <w:numFmt w:val="decimal"/>
      <w:lvlText w:val="19.%2."/>
      <w:lvlJc w:val="left"/>
      <w:pPr>
        <w:ind w:left="0" w:firstLine="0"/>
      </w:pPr>
      <w:rPr>
        <w:rFonts w:hint="default"/>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5">
    <w:nsid w:val="641B1E4B"/>
    <w:multiLevelType w:val="multilevel"/>
    <w:tmpl w:val="641B1E4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6C01FD7"/>
    <w:multiLevelType w:val="multilevel"/>
    <w:tmpl w:val="66C01FD7"/>
    <w:lvl w:ilvl="0" w:tentative="0">
      <w:start w:val="1"/>
      <w:numFmt w:val="decimal"/>
      <w:lvlText w:val="13.2.%1."/>
      <w:lvlJc w:val="left"/>
      <w:pPr>
        <w:ind w:left="425" w:hanging="425"/>
      </w:pPr>
      <w:rPr>
        <w:rFonts w:hint="default"/>
      </w:rPr>
    </w:lvl>
    <w:lvl w:ilvl="1" w:tentative="0">
      <w:start w:val="1"/>
      <w:numFmt w:val="decimal"/>
      <w:lvlText w:val="15.%2."/>
      <w:lvlJc w:val="left"/>
      <w:pPr>
        <w:ind w:left="567" w:hanging="567"/>
      </w:pPr>
      <w:rPr>
        <w:rFonts w:hint="default" w:cs="宋体"/>
      </w:rPr>
    </w:lvl>
    <w:lvl w:ilvl="2" w:tentative="0">
      <w:start w:val="1"/>
      <w:numFmt w:val="decimal"/>
      <w:lvlText w:val="5.%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6ECE1550"/>
    <w:multiLevelType w:val="multilevel"/>
    <w:tmpl w:val="6ECE1550"/>
    <w:lvl w:ilvl="0" w:tentative="0">
      <w:start w:val="1"/>
      <w:numFmt w:val="decimal"/>
      <w:lvlText w:val="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F919079"/>
    <w:multiLevelType w:val="multilevel"/>
    <w:tmpl w:val="6F919079"/>
    <w:lvl w:ilvl="0" w:tentative="0">
      <w:start w:val="1"/>
      <w:numFmt w:val="decimal"/>
      <w:lvlText w:val="%1."/>
      <w:lvlJc w:val="left"/>
      <w:pPr>
        <w:ind w:left="425" w:hanging="425"/>
      </w:pPr>
      <w:rPr>
        <w:rFonts w:hint="default"/>
      </w:rPr>
    </w:lvl>
    <w:lvl w:ilvl="1" w:tentative="0">
      <w:start w:val="1"/>
      <w:numFmt w:val="decimal"/>
      <w:lvlText w:val="17.%2"/>
      <w:lvlJc w:val="left"/>
      <w:pPr>
        <w:ind w:left="567" w:hanging="567"/>
      </w:pPr>
      <w:rPr>
        <w:rFonts w:hint="eastAsia" w:ascii="楷体_GB2312" w:hAnsi="宋体" w:eastAsia="楷体_GB2312"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9">
    <w:nsid w:val="73525F05"/>
    <w:multiLevelType w:val="multilevel"/>
    <w:tmpl w:val="73525F05"/>
    <w:lvl w:ilvl="0" w:tentative="0">
      <w:start w:val="1"/>
      <w:numFmt w:val="decimal"/>
      <w:lvlText w:val="10.1.%1."/>
      <w:lvlJc w:val="left"/>
      <w:pPr>
        <w:ind w:left="420" w:hanging="420"/>
      </w:pPr>
      <w:rPr>
        <w:rFonts w:hint="default"/>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74041A90"/>
    <w:multiLevelType w:val="multilevel"/>
    <w:tmpl w:val="74041A90"/>
    <w:lvl w:ilvl="0" w:tentative="0">
      <w:start w:val="1"/>
      <w:numFmt w:val="decimal"/>
      <w:lvlText w:val="%1."/>
      <w:lvlJc w:val="left"/>
      <w:pPr>
        <w:ind w:left="425" w:hanging="425"/>
      </w:pPr>
      <w:rPr>
        <w:rFonts w:hint="default"/>
      </w:rPr>
    </w:lvl>
    <w:lvl w:ilvl="1" w:tentative="0">
      <w:start w:val="1"/>
      <w:numFmt w:val="decimal"/>
      <w:lvlText w:val="18.%2."/>
      <w:lvlJc w:val="left"/>
      <w:pPr>
        <w:ind w:left="567" w:hanging="567"/>
      </w:pPr>
      <w:rPr>
        <w:rFonts w:hint="default"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792C4FB1"/>
    <w:multiLevelType w:val="multilevel"/>
    <w:tmpl w:val="792C4FB1"/>
    <w:lvl w:ilvl="0" w:tentative="0">
      <w:start w:val="1"/>
      <w:numFmt w:val="decimal"/>
      <w:lvlText w:val="2.%1."/>
      <w:lvlJc w:val="left"/>
      <w:pPr>
        <w:ind w:left="420" w:hanging="420"/>
      </w:pPr>
      <w:rPr>
        <w:rFonts w:hint="default"/>
        <w:b w:val="0"/>
        <w:color w:val="auto"/>
      </w:rPr>
    </w:lvl>
    <w:lvl w:ilvl="1" w:tentative="0">
      <w:start w:val="1"/>
      <w:numFmt w:val="decimal"/>
      <w:suff w:val="space"/>
      <w:lvlText w:val="%1.%2"/>
      <w:lvlJc w:val="left"/>
      <w:pPr>
        <w:ind w:left="0" w:firstLine="0"/>
      </w:pPr>
      <w:rPr>
        <w:rFonts w:hint="default"/>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2">
    <w:nsid w:val="79AA63CD"/>
    <w:multiLevelType w:val="singleLevel"/>
    <w:tmpl w:val="79AA63CD"/>
    <w:lvl w:ilvl="0" w:tentative="0">
      <w:start w:val="1"/>
      <w:numFmt w:val="decimal"/>
      <w:lvlText w:val="14.%1."/>
      <w:lvlJc w:val="left"/>
      <w:pPr>
        <w:ind w:left="420" w:hanging="420"/>
      </w:pPr>
      <w:rPr>
        <w:rFonts w:hint="eastAsia" w:ascii="楷体_GB2312" w:hAnsi="宋体" w:eastAsia="楷体_GB2312" w:cs="宋体"/>
      </w:rPr>
    </w:lvl>
  </w:abstractNum>
  <w:abstractNum w:abstractNumId="43">
    <w:nsid w:val="7D33639D"/>
    <w:multiLevelType w:val="multilevel"/>
    <w:tmpl w:val="7D33639D"/>
    <w:lvl w:ilvl="0" w:tentative="0">
      <w:start w:val="1"/>
      <w:numFmt w:val="decimal"/>
      <w:lvlText w:val="%1."/>
      <w:lvlJc w:val="left"/>
      <w:pPr>
        <w:ind w:left="420" w:hanging="420"/>
      </w:pPr>
      <w:rPr>
        <w:rFonts w:hint="default"/>
        <w:b/>
      </w:rPr>
    </w:lvl>
    <w:lvl w:ilvl="1" w:tentative="0">
      <w:start w:val="1"/>
      <w:numFmt w:val="decimal"/>
      <w:lvlText w:val="10.%2."/>
      <w:lvlJc w:val="left"/>
      <w:pPr>
        <w:ind w:left="0" w:firstLine="0"/>
      </w:pPr>
      <w:rPr>
        <w:rFonts w:hint="default"/>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4">
    <w:nsid w:val="7DC662AA"/>
    <w:multiLevelType w:val="singleLevel"/>
    <w:tmpl w:val="7DC662AA"/>
    <w:lvl w:ilvl="0" w:tentative="0">
      <w:start w:val="1"/>
      <w:numFmt w:val="decimal"/>
      <w:lvlText w:val="13.6.%1."/>
      <w:lvlJc w:val="left"/>
      <w:pPr>
        <w:ind w:left="420" w:hanging="420"/>
      </w:pPr>
      <w:rPr>
        <w:rFonts w:hint="default"/>
      </w:rPr>
    </w:lvl>
  </w:abstractNum>
  <w:num w:numId="1">
    <w:abstractNumId w:val="22"/>
  </w:num>
  <w:num w:numId="2">
    <w:abstractNumId w:val="35"/>
  </w:num>
  <w:num w:numId="3">
    <w:abstractNumId w:val="25"/>
  </w:num>
  <w:num w:numId="4">
    <w:abstractNumId w:val="26"/>
  </w:num>
  <w:num w:numId="5">
    <w:abstractNumId w:val="41"/>
  </w:num>
  <w:num w:numId="6">
    <w:abstractNumId w:val="3"/>
  </w:num>
  <w:num w:numId="7">
    <w:abstractNumId w:val="4"/>
  </w:num>
  <w:num w:numId="8">
    <w:abstractNumId w:val="17"/>
  </w:num>
  <w:num w:numId="9">
    <w:abstractNumId w:val="5"/>
  </w:num>
  <w:num w:numId="10">
    <w:abstractNumId w:val="14"/>
  </w:num>
  <w:num w:numId="11">
    <w:abstractNumId w:val="6"/>
  </w:num>
  <w:num w:numId="12">
    <w:abstractNumId w:val="37"/>
  </w:num>
  <w:num w:numId="13">
    <w:abstractNumId w:val="24"/>
  </w:num>
  <w:num w:numId="14">
    <w:abstractNumId w:val="31"/>
  </w:num>
  <w:num w:numId="15">
    <w:abstractNumId w:val="11"/>
  </w:num>
  <w:num w:numId="16">
    <w:abstractNumId w:val="43"/>
  </w:num>
  <w:num w:numId="17">
    <w:abstractNumId w:val="39"/>
  </w:num>
  <w:num w:numId="18">
    <w:abstractNumId w:val="15"/>
  </w:num>
  <w:num w:numId="19">
    <w:abstractNumId w:val="1"/>
  </w:num>
  <w:num w:numId="20">
    <w:abstractNumId w:val="20"/>
  </w:num>
  <w:num w:numId="21">
    <w:abstractNumId w:val="12"/>
  </w:num>
  <w:num w:numId="22">
    <w:abstractNumId w:val="19"/>
  </w:num>
  <w:num w:numId="23">
    <w:abstractNumId w:val="8"/>
  </w:num>
  <w:num w:numId="24">
    <w:abstractNumId w:val="33"/>
  </w:num>
  <w:num w:numId="25">
    <w:abstractNumId w:val="36"/>
  </w:num>
  <w:num w:numId="26">
    <w:abstractNumId w:val="28"/>
  </w:num>
  <w:num w:numId="27">
    <w:abstractNumId w:val="18"/>
  </w:num>
  <w:num w:numId="28">
    <w:abstractNumId w:val="10"/>
  </w:num>
  <w:num w:numId="29">
    <w:abstractNumId w:val="44"/>
  </w:num>
  <w:num w:numId="30">
    <w:abstractNumId w:val="7"/>
  </w:num>
  <w:num w:numId="31">
    <w:abstractNumId w:val="30"/>
  </w:num>
  <w:num w:numId="32">
    <w:abstractNumId w:val="0"/>
  </w:num>
  <w:num w:numId="33">
    <w:abstractNumId w:val="21"/>
  </w:num>
  <w:num w:numId="34">
    <w:abstractNumId w:val="42"/>
  </w:num>
  <w:num w:numId="35">
    <w:abstractNumId w:val="2"/>
  </w:num>
  <w:num w:numId="36">
    <w:abstractNumId w:val="27"/>
  </w:num>
  <w:num w:numId="37">
    <w:abstractNumId w:val="38"/>
  </w:num>
  <w:num w:numId="38">
    <w:abstractNumId w:val="40"/>
  </w:num>
  <w:num w:numId="39">
    <w:abstractNumId w:val="34"/>
  </w:num>
  <w:num w:numId="40">
    <w:abstractNumId w:val="13"/>
  </w:num>
  <w:num w:numId="41">
    <w:abstractNumId w:val="16"/>
  </w:num>
  <w:num w:numId="42">
    <w:abstractNumId w:val="32"/>
  </w:num>
  <w:num w:numId="43">
    <w:abstractNumId w:val="9"/>
  </w:num>
  <w:num w:numId="44">
    <w:abstractNumId w:val="2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NotTrackMoves/>
  <w:documentProtection w:enforcement="0"/>
  <w:defaultTabStop w:val="42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8C"/>
    <w:rsid w:val="000055E1"/>
    <w:rsid w:val="0000632E"/>
    <w:rsid w:val="00006B0A"/>
    <w:rsid w:val="00007E83"/>
    <w:rsid w:val="00010CFF"/>
    <w:rsid w:val="00011077"/>
    <w:rsid w:val="00011C57"/>
    <w:rsid w:val="000166F9"/>
    <w:rsid w:val="00016E4D"/>
    <w:rsid w:val="000171B2"/>
    <w:rsid w:val="00017DDA"/>
    <w:rsid w:val="000201D5"/>
    <w:rsid w:val="000202AE"/>
    <w:rsid w:val="00022599"/>
    <w:rsid w:val="00023F5E"/>
    <w:rsid w:val="00024E39"/>
    <w:rsid w:val="00026245"/>
    <w:rsid w:val="000262D5"/>
    <w:rsid w:val="00031D50"/>
    <w:rsid w:val="00032CDB"/>
    <w:rsid w:val="000330E9"/>
    <w:rsid w:val="00036768"/>
    <w:rsid w:val="00037624"/>
    <w:rsid w:val="00037EA4"/>
    <w:rsid w:val="00041F16"/>
    <w:rsid w:val="00042890"/>
    <w:rsid w:val="0004329E"/>
    <w:rsid w:val="00044870"/>
    <w:rsid w:val="00045555"/>
    <w:rsid w:val="00046D35"/>
    <w:rsid w:val="00047781"/>
    <w:rsid w:val="00052CA2"/>
    <w:rsid w:val="000530D7"/>
    <w:rsid w:val="000539FC"/>
    <w:rsid w:val="0005468E"/>
    <w:rsid w:val="0005626B"/>
    <w:rsid w:val="00057E8A"/>
    <w:rsid w:val="0006378F"/>
    <w:rsid w:val="00064627"/>
    <w:rsid w:val="00064AAB"/>
    <w:rsid w:val="00067479"/>
    <w:rsid w:val="00070970"/>
    <w:rsid w:val="00071856"/>
    <w:rsid w:val="00073486"/>
    <w:rsid w:val="00074A07"/>
    <w:rsid w:val="00081671"/>
    <w:rsid w:val="00082549"/>
    <w:rsid w:val="00083AED"/>
    <w:rsid w:val="00084C57"/>
    <w:rsid w:val="00090256"/>
    <w:rsid w:val="0009050E"/>
    <w:rsid w:val="00093753"/>
    <w:rsid w:val="00095B21"/>
    <w:rsid w:val="00095E8D"/>
    <w:rsid w:val="000972E5"/>
    <w:rsid w:val="00097C06"/>
    <w:rsid w:val="000A01D5"/>
    <w:rsid w:val="000A5137"/>
    <w:rsid w:val="000A5D0B"/>
    <w:rsid w:val="000A79FC"/>
    <w:rsid w:val="000B75C8"/>
    <w:rsid w:val="000C27A3"/>
    <w:rsid w:val="000C4909"/>
    <w:rsid w:val="000C64FA"/>
    <w:rsid w:val="000C7CF8"/>
    <w:rsid w:val="000D1A8B"/>
    <w:rsid w:val="000D306B"/>
    <w:rsid w:val="000D3498"/>
    <w:rsid w:val="000D3EF8"/>
    <w:rsid w:val="000D4DB6"/>
    <w:rsid w:val="000D6694"/>
    <w:rsid w:val="000D6874"/>
    <w:rsid w:val="000E0ACD"/>
    <w:rsid w:val="000E1525"/>
    <w:rsid w:val="000E2FBA"/>
    <w:rsid w:val="000E5140"/>
    <w:rsid w:val="000E5700"/>
    <w:rsid w:val="000E5ABE"/>
    <w:rsid w:val="000E6742"/>
    <w:rsid w:val="000E7543"/>
    <w:rsid w:val="000F31B9"/>
    <w:rsid w:val="000F50DD"/>
    <w:rsid w:val="000F72B1"/>
    <w:rsid w:val="000F7A37"/>
    <w:rsid w:val="001005AA"/>
    <w:rsid w:val="0010137E"/>
    <w:rsid w:val="001030D9"/>
    <w:rsid w:val="0010412D"/>
    <w:rsid w:val="00104902"/>
    <w:rsid w:val="00104A4E"/>
    <w:rsid w:val="0010574B"/>
    <w:rsid w:val="001059C5"/>
    <w:rsid w:val="001065F3"/>
    <w:rsid w:val="001075F7"/>
    <w:rsid w:val="00107AD6"/>
    <w:rsid w:val="00110399"/>
    <w:rsid w:val="00114ABA"/>
    <w:rsid w:val="001152DC"/>
    <w:rsid w:val="001155FD"/>
    <w:rsid w:val="00116006"/>
    <w:rsid w:val="00120296"/>
    <w:rsid w:val="00120505"/>
    <w:rsid w:val="00123159"/>
    <w:rsid w:val="00124ECE"/>
    <w:rsid w:val="00125714"/>
    <w:rsid w:val="00125F41"/>
    <w:rsid w:val="001263B3"/>
    <w:rsid w:val="00126AF8"/>
    <w:rsid w:val="00127B17"/>
    <w:rsid w:val="00132DEC"/>
    <w:rsid w:val="00134778"/>
    <w:rsid w:val="001352AD"/>
    <w:rsid w:val="0013665B"/>
    <w:rsid w:val="0014073F"/>
    <w:rsid w:val="0014078A"/>
    <w:rsid w:val="00140D40"/>
    <w:rsid w:val="00142557"/>
    <w:rsid w:val="00142701"/>
    <w:rsid w:val="001511FE"/>
    <w:rsid w:val="00151919"/>
    <w:rsid w:val="00151EE5"/>
    <w:rsid w:val="0015236A"/>
    <w:rsid w:val="001524D9"/>
    <w:rsid w:val="00154EAA"/>
    <w:rsid w:val="0015553F"/>
    <w:rsid w:val="00155604"/>
    <w:rsid w:val="00156677"/>
    <w:rsid w:val="00157707"/>
    <w:rsid w:val="0016035C"/>
    <w:rsid w:val="0016196D"/>
    <w:rsid w:val="00162538"/>
    <w:rsid w:val="00170DA1"/>
    <w:rsid w:val="00173FD2"/>
    <w:rsid w:val="0017567A"/>
    <w:rsid w:val="00175E1A"/>
    <w:rsid w:val="001774B1"/>
    <w:rsid w:val="00182DAD"/>
    <w:rsid w:val="00182F96"/>
    <w:rsid w:val="00185C34"/>
    <w:rsid w:val="00190F7C"/>
    <w:rsid w:val="00191869"/>
    <w:rsid w:val="001929EA"/>
    <w:rsid w:val="00195BB7"/>
    <w:rsid w:val="001967F1"/>
    <w:rsid w:val="00197276"/>
    <w:rsid w:val="00197562"/>
    <w:rsid w:val="001A1D7F"/>
    <w:rsid w:val="001A346B"/>
    <w:rsid w:val="001A3CB3"/>
    <w:rsid w:val="001A56CC"/>
    <w:rsid w:val="001A60CD"/>
    <w:rsid w:val="001B449B"/>
    <w:rsid w:val="001C0D3F"/>
    <w:rsid w:val="001C2779"/>
    <w:rsid w:val="001C4C62"/>
    <w:rsid w:val="001C5C81"/>
    <w:rsid w:val="001C633A"/>
    <w:rsid w:val="001C6EFA"/>
    <w:rsid w:val="001C7560"/>
    <w:rsid w:val="001C7701"/>
    <w:rsid w:val="001C779E"/>
    <w:rsid w:val="001D1D6C"/>
    <w:rsid w:val="001D32BA"/>
    <w:rsid w:val="001D54B6"/>
    <w:rsid w:val="001D63C0"/>
    <w:rsid w:val="001D7A7B"/>
    <w:rsid w:val="001E056F"/>
    <w:rsid w:val="001E0CA9"/>
    <w:rsid w:val="001E31CB"/>
    <w:rsid w:val="001E5453"/>
    <w:rsid w:val="001F35BC"/>
    <w:rsid w:val="001F410E"/>
    <w:rsid w:val="001F619C"/>
    <w:rsid w:val="001F62F0"/>
    <w:rsid w:val="001F64F9"/>
    <w:rsid w:val="001F6C40"/>
    <w:rsid w:val="001F7BE5"/>
    <w:rsid w:val="00201D9A"/>
    <w:rsid w:val="00201EA5"/>
    <w:rsid w:val="00204053"/>
    <w:rsid w:val="00206D43"/>
    <w:rsid w:val="002108CD"/>
    <w:rsid w:val="00210BAE"/>
    <w:rsid w:val="00211EC8"/>
    <w:rsid w:val="00212891"/>
    <w:rsid w:val="00215C4B"/>
    <w:rsid w:val="00221E2D"/>
    <w:rsid w:val="002231D5"/>
    <w:rsid w:val="00231257"/>
    <w:rsid w:val="0023415B"/>
    <w:rsid w:val="0023733F"/>
    <w:rsid w:val="00237C08"/>
    <w:rsid w:val="00241E8A"/>
    <w:rsid w:val="0024222D"/>
    <w:rsid w:val="002436E5"/>
    <w:rsid w:val="00243AEC"/>
    <w:rsid w:val="002451D5"/>
    <w:rsid w:val="00246962"/>
    <w:rsid w:val="00247926"/>
    <w:rsid w:val="00250BD8"/>
    <w:rsid w:val="002512BC"/>
    <w:rsid w:val="00251B52"/>
    <w:rsid w:val="0025253D"/>
    <w:rsid w:val="0025286F"/>
    <w:rsid w:val="00252DCF"/>
    <w:rsid w:val="00256AC6"/>
    <w:rsid w:val="00256EF7"/>
    <w:rsid w:val="00263C9D"/>
    <w:rsid w:val="00267A55"/>
    <w:rsid w:val="00267F48"/>
    <w:rsid w:val="00270364"/>
    <w:rsid w:val="00271E67"/>
    <w:rsid w:val="002750F0"/>
    <w:rsid w:val="002756A3"/>
    <w:rsid w:val="0027729D"/>
    <w:rsid w:val="00277607"/>
    <w:rsid w:val="00277AF9"/>
    <w:rsid w:val="00281C5C"/>
    <w:rsid w:val="00281F28"/>
    <w:rsid w:val="00292825"/>
    <w:rsid w:val="00294B07"/>
    <w:rsid w:val="00294C4A"/>
    <w:rsid w:val="00296DF6"/>
    <w:rsid w:val="00296EE4"/>
    <w:rsid w:val="0029704F"/>
    <w:rsid w:val="002A04CF"/>
    <w:rsid w:val="002A711E"/>
    <w:rsid w:val="002B01CA"/>
    <w:rsid w:val="002B4669"/>
    <w:rsid w:val="002C2FDA"/>
    <w:rsid w:val="002C3DF0"/>
    <w:rsid w:val="002C3FDB"/>
    <w:rsid w:val="002D5AC1"/>
    <w:rsid w:val="002D6AA3"/>
    <w:rsid w:val="002E06F8"/>
    <w:rsid w:val="002E1C97"/>
    <w:rsid w:val="002E2A23"/>
    <w:rsid w:val="002E2CB2"/>
    <w:rsid w:val="002E6BB5"/>
    <w:rsid w:val="002E6E01"/>
    <w:rsid w:val="002E7369"/>
    <w:rsid w:val="002F181B"/>
    <w:rsid w:val="002F4420"/>
    <w:rsid w:val="002F5B29"/>
    <w:rsid w:val="0030201C"/>
    <w:rsid w:val="00302B74"/>
    <w:rsid w:val="00305148"/>
    <w:rsid w:val="0031043F"/>
    <w:rsid w:val="003139DA"/>
    <w:rsid w:val="00316911"/>
    <w:rsid w:val="00320B42"/>
    <w:rsid w:val="003215C3"/>
    <w:rsid w:val="0032360A"/>
    <w:rsid w:val="0032466B"/>
    <w:rsid w:val="00325367"/>
    <w:rsid w:val="003253A2"/>
    <w:rsid w:val="00331A55"/>
    <w:rsid w:val="00332C0E"/>
    <w:rsid w:val="003330EC"/>
    <w:rsid w:val="00335491"/>
    <w:rsid w:val="00335A3A"/>
    <w:rsid w:val="00335C8E"/>
    <w:rsid w:val="00336352"/>
    <w:rsid w:val="00336B50"/>
    <w:rsid w:val="0034133D"/>
    <w:rsid w:val="00341DF7"/>
    <w:rsid w:val="00343615"/>
    <w:rsid w:val="0034489F"/>
    <w:rsid w:val="003453CC"/>
    <w:rsid w:val="00350003"/>
    <w:rsid w:val="003543E8"/>
    <w:rsid w:val="00356C44"/>
    <w:rsid w:val="003600A3"/>
    <w:rsid w:val="00360857"/>
    <w:rsid w:val="00362706"/>
    <w:rsid w:val="003635B6"/>
    <w:rsid w:val="003636F0"/>
    <w:rsid w:val="00366906"/>
    <w:rsid w:val="0037057F"/>
    <w:rsid w:val="003708F7"/>
    <w:rsid w:val="00370E60"/>
    <w:rsid w:val="003721D0"/>
    <w:rsid w:val="0037251D"/>
    <w:rsid w:val="0037334B"/>
    <w:rsid w:val="00375785"/>
    <w:rsid w:val="00375F1E"/>
    <w:rsid w:val="00382577"/>
    <w:rsid w:val="003829F6"/>
    <w:rsid w:val="003832B9"/>
    <w:rsid w:val="00383D08"/>
    <w:rsid w:val="00383E13"/>
    <w:rsid w:val="00385861"/>
    <w:rsid w:val="00387C6D"/>
    <w:rsid w:val="00387C98"/>
    <w:rsid w:val="0039033E"/>
    <w:rsid w:val="00392C93"/>
    <w:rsid w:val="00394CCC"/>
    <w:rsid w:val="0039509E"/>
    <w:rsid w:val="00395E73"/>
    <w:rsid w:val="003972AC"/>
    <w:rsid w:val="003A0966"/>
    <w:rsid w:val="003A1301"/>
    <w:rsid w:val="003A1D3D"/>
    <w:rsid w:val="003A7B94"/>
    <w:rsid w:val="003B24E3"/>
    <w:rsid w:val="003B401C"/>
    <w:rsid w:val="003B6819"/>
    <w:rsid w:val="003B731E"/>
    <w:rsid w:val="003B7863"/>
    <w:rsid w:val="003C112E"/>
    <w:rsid w:val="003C3441"/>
    <w:rsid w:val="003C4C71"/>
    <w:rsid w:val="003C5CBD"/>
    <w:rsid w:val="003D64DC"/>
    <w:rsid w:val="003E041F"/>
    <w:rsid w:val="003E083C"/>
    <w:rsid w:val="003E208D"/>
    <w:rsid w:val="003E3BC2"/>
    <w:rsid w:val="003F1B9C"/>
    <w:rsid w:val="003F2D5E"/>
    <w:rsid w:val="003F5E93"/>
    <w:rsid w:val="0040035B"/>
    <w:rsid w:val="00403497"/>
    <w:rsid w:val="00404146"/>
    <w:rsid w:val="0040548D"/>
    <w:rsid w:val="00407344"/>
    <w:rsid w:val="004076B2"/>
    <w:rsid w:val="00412C6D"/>
    <w:rsid w:val="004132B3"/>
    <w:rsid w:val="0041377F"/>
    <w:rsid w:val="004139B2"/>
    <w:rsid w:val="00420EAB"/>
    <w:rsid w:val="00422137"/>
    <w:rsid w:val="00425622"/>
    <w:rsid w:val="00426A27"/>
    <w:rsid w:val="0042799C"/>
    <w:rsid w:val="0043217B"/>
    <w:rsid w:val="0043358D"/>
    <w:rsid w:val="00433B08"/>
    <w:rsid w:val="00435302"/>
    <w:rsid w:val="0043597B"/>
    <w:rsid w:val="004360F3"/>
    <w:rsid w:val="00441CBA"/>
    <w:rsid w:val="00444519"/>
    <w:rsid w:val="0044598E"/>
    <w:rsid w:val="004556A2"/>
    <w:rsid w:val="00456AE6"/>
    <w:rsid w:val="004603BD"/>
    <w:rsid w:val="004611C4"/>
    <w:rsid w:val="00461F35"/>
    <w:rsid w:val="0046292B"/>
    <w:rsid w:val="00462D35"/>
    <w:rsid w:val="004643D7"/>
    <w:rsid w:val="0046768D"/>
    <w:rsid w:val="004676E0"/>
    <w:rsid w:val="004705E4"/>
    <w:rsid w:val="00470B6F"/>
    <w:rsid w:val="00471AF9"/>
    <w:rsid w:val="00471C40"/>
    <w:rsid w:val="00472BB5"/>
    <w:rsid w:val="004757F7"/>
    <w:rsid w:val="00477589"/>
    <w:rsid w:val="004778B9"/>
    <w:rsid w:val="00477BD3"/>
    <w:rsid w:val="00480430"/>
    <w:rsid w:val="00482709"/>
    <w:rsid w:val="004864C9"/>
    <w:rsid w:val="004878BF"/>
    <w:rsid w:val="00493AB1"/>
    <w:rsid w:val="004A06B8"/>
    <w:rsid w:val="004A0F1E"/>
    <w:rsid w:val="004A16D8"/>
    <w:rsid w:val="004A215C"/>
    <w:rsid w:val="004A24D8"/>
    <w:rsid w:val="004A3955"/>
    <w:rsid w:val="004B253B"/>
    <w:rsid w:val="004B345E"/>
    <w:rsid w:val="004B5CE0"/>
    <w:rsid w:val="004B6E75"/>
    <w:rsid w:val="004B6E7C"/>
    <w:rsid w:val="004C0F99"/>
    <w:rsid w:val="004C2F9C"/>
    <w:rsid w:val="004C3813"/>
    <w:rsid w:val="004C3CC0"/>
    <w:rsid w:val="004C584E"/>
    <w:rsid w:val="004C6277"/>
    <w:rsid w:val="004C6441"/>
    <w:rsid w:val="004C719C"/>
    <w:rsid w:val="004D14B4"/>
    <w:rsid w:val="004D3530"/>
    <w:rsid w:val="004D7C8E"/>
    <w:rsid w:val="004E3BB0"/>
    <w:rsid w:val="004E3BD2"/>
    <w:rsid w:val="004E4AFA"/>
    <w:rsid w:val="004E4F2B"/>
    <w:rsid w:val="004E5BCE"/>
    <w:rsid w:val="004F0CFC"/>
    <w:rsid w:val="004F2972"/>
    <w:rsid w:val="004F2DFA"/>
    <w:rsid w:val="004F32AA"/>
    <w:rsid w:val="004F66ED"/>
    <w:rsid w:val="00500363"/>
    <w:rsid w:val="00500D17"/>
    <w:rsid w:val="0050100E"/>
    <w:rsid w:val="00501246"/>
    <w:rsid w:val="0050170F"/>
    <w:rsid w:val="00501710"/>
    <w:rsid w:val="005030FE"/>
    <w:rsid w:val="00503FE8"/>
    <w:rsid w:val="005051A1"/>
    <w:rsid w:val="00511C59"/>
    <w:rsid w:val="00514D5E"/>
    <w:rsid w:val="0051560D"/>
    <w:rsid w:val="00515A1B"/>
    <w:rsid w:val="0052110F"/>
    <w:rsid w:val="005211F5"/>
    <w:rsid w:val="00525E35"/>
    <w:rsid w:val="0053224D"/>
    <w:rsid w:val="00532361"/>
    <w:rsid w:val="00532E10"/>
    <w:rsid w:val="00533669"/>
    <w:rsid w:val="00541586"/>
    <w:rsid w:val="005418E8"/>
    <w:rsid w:val="00542511"/>
    <w:rsid w:val="00545B16"/>
    <w:rsid w:val="00545CD3"/>
    <w:rsid w:val="005501EE"/>
    <w:rsid w:val="0055305F"/>
    <w:rsid w:val="00553686"/>
    <w:rsid w:val="00555630"/>
    <w:rsid w:val="00556581"/>
    <w:rsid w:val="00576890"/>
    <w:rsid w:val="00583954"/>
    <w:rsid w:val="00585FB4"/>
    <w:rsid w:val="00590AFF"/>
    <w:rsid w:val="00590F6F"/>
    <w:rsid w:val="005926BC"/>
    <w:rsid w:val="00592A8F"/>
    <w:rsid w:val="00593773"/>
    <w:rsid w:val="00594ED9"/>
    <w:rsid w:val="005961AF"/>
    <w:rsid w:val="005974CA"/>
    <w:rsid w:val="005A171B"/>
    <w:rsid w:val="005A694C"/>
    <w:rsid w:val="005A7597"/>
    <w:rsid w:val="005B1664"/>
    <w:rsid w:val="005B5445"/>
    <w:rsid w:val="005C0DF2"/>
    <w:rsid w:val="005C2C54"/>
    <w:rsid w:val="005C2C55"/>
    <w:rsid w:val="005D63A2"/>
    <w:rsid w:val="005D6F81"/>
    <w:rsid w:val="005E0E7A"/>
    <w:rsid w:val="005E114A"/>
    <w:rsid w:val="005F3699"/>
    <w:rsid w:val="005F4705"/>
    <w:rsid w:val="005F5572"/>
    <w:rsid w:val="005F6042"/>
    <w:rsid w:val="005F7720"/>
    <w:rsid w:val="006017AC"/>
    <w:rsid w:val="00605289"/>
    <w:rsid w:val="00607A41"/>
    <w:rsid w:val="0061055D"/>
    <w:rsid w:val="006109B2"/>
    <w:rsid w:val="00611BDC"/>
    <w:rsid w:val="006129FD"/>
    <w:rsid w:val="00612B43"/>
    <w:rsid w:val="0061341E"/>
    <w:rsid w:val="00615887"/>
    <w:rsid w:val="006200B4"/>
    <w:rsid w:val="006231C8"/>
    <w:rsid w:val="00631279"/>
    <w:rsid w:val="0063150B"/>
    <w:rsid w:val="00633731"/>
    <w:rsid w:val="006340B8"/>
    <w:rsid w:val="0063430E"/>
    <w:rsid w:val="00635373"/>
    <w:rsid w:val="0063547F"/>
    <w:rsid w:val="00635563"/>
    <w:rsid w:val="00637267"/>
    <w:rsid w:val="00637743"/>
    <w:rsid w:val="00645250"/>
    <w:rsid w:val="00645F61"/>
    <w:rsid w:val="00646BE4"/>
    <w:rsid w:val="00647DA8"/>
    <w:rsid w:val="00647FBD"/>
    <w:rsid w:val="006501F5"/>
    <w:rsid w:val="00653560"/>
    <w:rsid w:val="00654321"/>
    <w:rsid w:val="00655464"/>
    <w:rsid w:val="00661E8B"/>
    <w:rsid w:val="00664AD0"/>
    <w:rsid w:val="00664B62"/>
    <w:rsid w:val="006708E8"/>
    <w:rsid w:val="00670A45"/>
    <w:rsid w:val="00673C43"/>
    <w:rsid w:val="0067521E"/>
    <w:rsid w:val="00676BC6"/>
    <w:rsid w:val="00676CA0"/>
    <w:rsid w:val="0068087D"/>
    <w:rsid w:val="006812D1"/>
    <w:rsid w:val="00685550"/>
    <w:rsid w:val="006900B9"/>
    <w:rsid w:val="0069060A"/>
    <w:rsid w:val="00690742"/>
    <w:rsid w:val="00692A95"/>
    <w:rsid w:val="00697182"/>
    <w:rsid w:val="006A0741"/>
    <w:rsid w:val="006A146E"/>
    <w:rsid w:val="006A16B7"/>
    <w:rsid w:val="006A3AF3"/>
    <w:rsid w:val="006A4129"/>
    <w:rsid w:val="006A5E18"/>
    <w:rsid w:val="006A7E12"/>
    <w:rsid w:val="006B2739"/>
    <w:rsid w:val="006B3D75"/>
    <w:rsid w:val="006C19E5"/>
    <w:rsid w:val="006C2B71"/>
    <w:rsid w:val="006C331E"/>
    <w:rsid w:val="006C3543"/>
    <w:rsid w:val="006C4586"/>
    <w:rsid w:val="006C6B5A"/>
    <w:rsid w:val="006D0EFE"/>
    <w:rsid w:val="006D2E4E"/>
    <w:rsid w:val="006D3589"/>
    <w:rsid w:val="006D4C2D"/>
    <w:rsid w:val="006E0241"/>
    <w:rsid w:val="006E108A"/>
    <w:rsid w:val="006E1769"/>
    <w:rsid w:val="006E1EE8"/>
    <w:rsid w:val="006E2972"/>
    <w:rsid w:val="006E45E3"/>
    <w:rsid w:val="006E4DE9"/>
    <w:rsid w:val="006E5C36"/>
    <w:rsid w:val="006E65CE"/>
    <w:rsid w:val="006E7C76"/>
    <w:rsid w:val="006F0761"/>
    <w:rsid w:val="006F3C69"/>
    <w:rsid w:val="0070057F"/>
    <w:rsid w:val="00701259"/>
    <w:rsid w:val="00703149"/>
    <w:rsid w:val="00703987"/>
    <w:rsid w:val="007058AA"/>
    <w:rsid w:val="00707DD1"/>
    <w:rsid w:val="00711405"/>
    <w:rsid w:val="00716466"/>
    <w:rsid w:val="007220CF"/>
    <w:rsid w:val="007227E1"/>
    <w:rsid w:val="0072645E"/>
    <w:rsid w:val="0073059F"/>
    <w:rsid w:val="00732EE1"/>
    <w:rsid w:val="0073425C"/>
    <w:rsid w:val="007347C9"/>
    <w:rsid w:val="007349C1"/>
    <w:rsid w:val="007355F3"/>
    <w:rsid w:val="007407BC"/>
    <w:rsid w:val="00741E22"/>
    <w:rsid w:val="00742B05"/>
    <w:rsid w:val="00747B3A"/>
    <w:rsid w:val="00751542"/>
    <w:rsid w:val="0076212E"/>
    <w:rsid w:val="00762E60"/>
    <w:rsid w:val="0077005D"/>
    <w:rsid w:val="00770B80"/>
    <w:rsid w:val="00770F39"/>
    <w:rsid w:val="00771B5F"/>
    <w:rsid w:val="00771F53"/>
    <w:rsid w:val="007857AD"/>
    <w:rsid w:val="00786C46"/>
    <w:rsid w:val="007900F4"/>
    <w:rsid w:val="00790CBB"/>
    <w:rsid w:val="007912E1"/>
    <w:rsid w:val="0079448C"/>
    <w:rsid w:val="00794FF9"/>
    <w:rsid w:val="0079527C"/>
    <w:rsid w:val="007961E8"/>
    <w:rsid w:val="007962CC"/>
    <w:rsid w:val="0079726F"/>
    <w:rsid w:val="007A41BB"/>
    <w:rsid w:val="007B482C"/>
    <w:rsid w:val="007B5F6D"/>
    <w:rsid w:val="007C16B1"/>
    <w:rsid w:val="007C1A5C"/>
    <w:rsid w:val="007C1AFF"/>
    <w:rsid w:val="007C2F25"/>
    <w:rsid w:val="007C4268"/>
    <w:rsid w:val="007C5D00"/>
    <w:rsid w:val="007D1F09"/>
    <w:rsid w:val="007D371C"/>
    <w:rsid w:val="007D6109"/>
    <w:rsid w:val="007D71B1"/>
    <w:rsid w:val="007E2021"/>
    <w:rsid w:val="007E40A0"/>
    <w:rsid w:val="007E6F75"/>
    <w:rsid w:val="007F081B"/>
    <w:rsid w:val="007F0AAE"/>
    <w:rsid w:val="007F1702"/>
    <w:rsid w:val="00800813"/>
    <w:rsid w:val="008013B1"/>
    <w:rsid w:val="00801E53"/>
    <w:rsid w:val="00811199"/>
    <w:rsid w:val="00811E44"/>
    <w:rsid w:val="008122F9"/>
    <w:rsid w:val="0081276A"/>
    <w:rsid w:val="00813057"/>
    <w:rsid w:val="00813F91"/>
    <w:rsid w:val="008149E6"/>
    <w:rsid w:val="0081647E"/>
    <w:rsid w:val="00816EE4"/>
    <w:rsid w:val="00817694"/>
    <w:rsid w:val="008177AF"/>
    <w:rsid w:val="00820B3B"/>
    <w:rsid w:val="00822E65"/>
    <w:rsid w:val="008241B7"/>
    <w:rsid w:val="0082499A"/>
    <w:rsid w:val="00824DEA"/>
    <w:rsid w:val="00825B86"/>
    <w:rsid w:val="0082665C"/>
    <w:rsid w:val="008267EE"/>
    <w:rsid w:val="0083301F"/>
    <w:rsid w:val="008364AB"/>
    <w:rsid w:val="00836A16"/>
    <w:rsid w:val="00837A1B"/>
    <w:rsid w:val="00841B94"/>
    <w:rsid w:val="00843B81"/>
    <w:rsid w:val="008444E3"/>
    <w:rsid w:val="00847B62"/>
    <w:rsid w:val="008510E1"/>
    <w:rsid w:val="00851BDA"/>
    <w:rsid w:val="00852ACD"/>
    <w:rsid w:val="00856543"/>
    <w:rsid w:val="00857B5C"/>
    <w:rsid w:val="00867036"/>
    <w:rsid w:val="008717D1"/>
    <w:rsid w:val="00871E1A"/>
    <w:rsid w:val="008720F9"/>
    <w:rsid w:val="00872439"/>
    <w:rsid w:val="0087644D"/>
    <w:rsid w:val="00877330"/>
    <w:rsid w:val="0088164D"/>
    <w:rsid w:val="00882F90"/>
    <w:rsid w:val="00885485"/>
    <w:rsid w:val="00887355"/>
    <w:rsid w:val="00887C0E"/>
    <w:rsid w:val="00890938"/>
    <w:rsid w:val="00893A28"/>
    <w:rsid w:val="00894034"/>
    <w:rsid w:val="008A0173"/>
    <w:rsid w:val="008A1860"/>
    <w:rsid w:val="008A3968"/>
    <w:rsid w:val="008A767D"/>
    <w:rsid w:val="008B0B18"/>
    <w:rsid w:val="008B0B7B"/>
    <w:rsid w:val="008B3E8E"/>
    <w:rsid w:val="008B4456"/>
    <w:rsid w:val="008B4496"/>
    <w:rsid w:val="008C383C"/>
    <w:rsid w:val="008C457E"/>
    <w:rsid w:val="008C4AAA"/>
    <w:rsid w:val="008C7EA4"/>
    <w:rsid w:val="008D22E1"/>
    <w:rsid w:val="008D6838"/>
    <w:rsid w:val="008E04C6"/>
    <w:rsid w:val="008E4709"/>
    <w:rsid w:val="008E5166"/>
    <w:rsid w:val="008F0029"/>
    <w:rsid w:val="008F0C94"/>
    <w:rsid w:val="008F1365"/>
    <w:rsid w:val="008F177C"/>
    <w:rsid w:val="008F3D31"/>
    <w:rsid w:val="008F530D"/>
    <w:rsid w:val="008F67EB"/>
    <w:rsid w:val="009008A4"/>
    <w:rsid w:val="00901068"/>
    <w:rsid w:val="009020E6"/>
    <w:rsid w:val="009035A8"/>
    <w:rsid w:val="00905804"/>
    <w:rsid w:val="00906854"/>
    <w:rsid w:val="0090786C"/>
    <w:rsid w:val="0090794D"/>
    <w:rsid w:val="00910670"/>
    <w:rsid w:val="0091120F"/>
    <w:rsid w:val="00913D67"/>
    <w:rsid w:val="00913FC8"/>
    <w:rsid w:val="00916DFC"/>
    <w:rsid w:val="00923D2C"/>
    <w:rsid w:val="009253AC"/>
    <w:rsid w:val="00930CF8"/>
    <w:rsid w:val="00932428"/>
    <w:rsid w:val="00933B92"/>
    <w:rsid w:val="0093495E"/>
    <w:rsid w:val="00935E32"/>
    <w:rsid w:val="00937256"/>
    <w:rsid w:val="0094223E"/>
    <w:rsid w:val="00942D4C"/>
    <w:rsid w:val="0094367F"/>
    <w:rsid w:val="0094411C"/>
    <w:rsid w:val="00950C1E"/>
    <w:rsid w:val="00954511"/>
    <w:rsid w:val="00955ED2"/>
    <w:rsid w:val="00960C0E"/>
    <w:rsid w:val="00961739"/>
    <w:rsid w:val="009626D6"/>
    <w:rsid w:val="00965EB8"/>
    <w:rsid w:val="00967A3D"/>
    <w:rsid w:val="0097051C"/>
    <w:rsid w:val="009725B5"/>
    <w:rsid w:val="0097345A"/>
    <w:rsid w:val="00975501"/>
    <w:rsid w:val="00977201"/>
    <w:rsid w:val="0098403B"/>
    <w:rsid w:val="0098421B"/>
    <w:rsid w:val="00991689"/>
    <w:rsid w:val="0099244B"/>
    <w:rsid w:val="009931B0"/>
    <w:rsid w:val="00995645"/>
    <w:rsid w:val="009A00A7"/>
    <w:rsid w:val="009A0D38"/>
    <w:rsid w:val="009A2581"/>
    <w:rsid w:val="009A25A4"/>
    <w:rsid w:val="009A2ED3"/>
    <w:rsid w:val="009A3F53"/>
    <w:rsid w:val="009A63F2"/>
    <w:rsid w:val="009B0A5D"/>
    <w:rsid w:val="009B1E83"/>
    <w:rsid w:val="009B2F3C"/>
    <w:rsid w:val="009B3900"/>
    <w:rsid w:val="009B3B2B"/>
    <w:rsid w:val="009B4FD4"/>
    <w:rsid w:val="009B7A75"/>
    <w:rsid w:val="009C1D11"/>
    <w:rsid w:val="009C22EB"/>
    <w:rsid w:val="009C2355"/>
    <w:rsid w:val="009C2F5A"/>
    <w:rsid w:val="009C3A89"/>
    <w:rsid w:val="009C5473"/>
    <w:rsid w:val="009C747E"/>
    <w:rsid w:val="009D0668"/>
    <w:rsid w:val="009D5EFC"/>
    <w:rsid w:val="009D7CF7"/>
    <w:rsid w:val="009E10E7"/>
    <w:rsid w:val="009E1290"/>
    <w:rsid w:val="009E1B2B"/>
    <w:rsid w:val="009E1B46"/>
    <w:rsid w:val="009E4FF3"/>
    <w:rsid w:val="009E7187"/>
    <w:rsid w:val="009F2AEA"/>
    <w:rsid w:val="009F3445"/>
    <w:rsid w:val="009F4399"/>
    <w:rsid w:val="009F4782"/>
    <w:rsid w:val="009F62FF"/>
    <w:rsid w:val="009F6757"/>
    <w:rsid w:val="009F6A50"/>
    <w:rsid w:val="00A041B3"/>
    <w:rsid w:val="00A0446D"/>
    <w:rsid w:val="00A07EAC"/>
    <w:rsid w:val="00A11134"/>
    <w:rsid w:val="00A12B5F"/>
    <w:rsid w:val="00A15783"/>
    <w:rsid w:val="00A15D95"/>
    <w:rsid w:val="00A165B2"/>
    <w:rsid w:val="00A2130F"/>
    <w:rsid w:val="00A236EB"/>
    <w:rsid w:val="00A2603E"/>
    <w:rsid w:val="00A27D81"/>
    <w:rsid w:val="00A350B1"/>
    <w:rsid w:val="00A42818"/>
    <w:rsid w:val="00A440A0"/>
    <w:rsid w:val="00A44BEF"/>
    <w:rsid w:val="00A45A8D"/>
    <w:rsid w:val="00A50C95"/>
    <w:rsid w:val="00A51431"/>
    <w:rsid w:val="00A51572"/>
    <w:rsid w:val="00A53515"/>
    <w:rsid w:val="00A536FC"/>
    <w:rsid w:val="00A53E9F"/>
    <w:rsid w:val="00A56FB0"/>
    <w:rsid w:val="00A61106"/>
    <w:rsid w:val="00A62C71"/>
    <w:rsid w:val="00A6392E"/>
    <w:rsid w:val="00A63E15"/>
    <w:rsid w:val="00A64221"/>
    <w:rsid w:val="00A65172"/>
    <w:rsid w:val="00A67F09"/>
    <w:rsid w:val="00A712C4"/>
    <w:rsid w:val="00A73AC0"/>
    <w:rsid w:val="00A82807"/>
    <w:rsid w:val="00A85400"/>
    <w:rsid w:val="00A85E6C"/>
    <w:rsid w:val="00A85FC5"/>
    <w:rsid w:val="00A90C27"/>
    <w:rsid w:val="00A9179A"/>
    <w:rsid w:val="00A961A7"/>
    <w:rsid w:val="00A96CCB"/>
    <w:rsid w:val="00A976EE"/>
    <w:rsid w:val="00AA100E"/>
    <w:rsid w:val="00AA3298"/>
    <w:rsid w:val="00AA4A6C"/>
    <w:rsid w:val="00AA5639"/>
    <w:rsid w:val="00AA6B87"/>
    <w:rsid w:val="00AB061E"/>
    <w:rsid w:val="00AB1870"/>
    <w:rsid w:val="00AB5EAF"/>
    <w:rsid w:val="00AB678C"/>
    <w:rsid w:val="00AB70A8"/>
    <w:rsid w:val="00AB74BC"/>
    <w:rsid w:val="00AE0488"/>
    <w:rsid w:val="00AE151D"/>
    <w:rsid w:val="00AE1962"/>
    <w:rsid w:val="00AE1AB0"/>
    <w:rsid w:val="00AE3A16"/>
    <w:rsid w:val="00AE3BE6"/>
    <w:rsid w:val="00AE6529"/>
    <w:rsid w:val="00AE7807"/>
    <w:rsid w:val="00AE7D5B"/>
    <w:rsid w:val="00AF4908"/>
    <w:rsid w:val="00AF510F"/>
    <w:rsid w:val="00AF5855"/>
    <w:rsid w:val="00B0073B"/>
    <w:rsid w:val="00B01ADD"/>
    <w:rsid w:val="00B033B6"/>
    <w:rsid w:val="00B03EA9"/>
    <w:rsid w:val="00B11207"/>
    <w:rsid w:val="00B13829"/>
    <w:rsid w:val="00B145E6"/>
    <w:rsid w:val="00B15FA4"/>
    <w:rsid w:val="00B1604D"/>
    <w:rsid w:val="00B17C8B"/>
    <w:rsid w:val="00B20469"/>
    <w:rsid w:val="00B23D0E"/>
    <w:rsid w:val="00B23FA9"/>
    <w:rsid w:val="00B242D5"/>
    <w:rsid w:val="00B267E4"/>
    <w:rsid w:val="00B3022A"/>
    <w:rsid w:val="00B31821"/>
    <w:rsid w:val="00B357E7"/>
    <w:rsid w:val="00B35EFE"/>
    <w:rsid w:val="00B35FEF"/>
    <w:rsid w:val="00B3602C"/>
    <w:rsid w:val="00B404F5"/>
    <w:rsid w:val="00B406D4"/>
    <w:rsid w:val="00B43FD7"/>
    <w:rsid w:val="00B447A0"/>
    <w:rsid w:val="00B5667C"/>
    <w:rsid w:val="00B57E32"/>
    <w:rsid w:val="00B6435D"/>
    <w:rsid w:val="00B64870"/>
    <w:rsid w:val="00B64993"/>
    <w:rsid w:val="00B64D68"/>
    <w:rsid w:val="00B7118E"/>
    <w:rsid w:val="00B71556"/>
    <w:rsid w:val="00B71E36"/>
    <w:rsid w:val="00B72E52"/>
    <w:rsid w:val="00B746F9"/>
    <w:rsid w:val="00B76E7B"/>
    <w:rsid w:val="00B77976"/>
    <w:rsid w:val="00B77BD9"/>
    <w:rsid w:val="00B81AAF"/>
    <w:rsid w:val="00B81B05"/>
    <w:rsid w:val="00B835E9"/>
    <w:rsid w:val="00B83C79"/>
    <w:rsid w:val="00B841D3"/>
    <w:rsid w:val="00B845C8"/>
    <w:rsid w:val="00B90158"/>
    <w:rsid w:val="00B9066A"/>
    <w:rsid w:val="00B964AC"/>
    <w:rsid w:val="00BA002F"/>
    <w:rsid w:val="00BA20BA"/>
    <w:rsid w:val="00BA486D"/>
    <w:rsid w:val="00BA48B4"/>
    <w:rsid w:val="00BB04CD"/>
    <w:rsid w:val="00BB27E5"/>
    <w:rsid w:val="00BB5C2B"/>
    <w:rsid w:val="00BB7D79"/>
    <w:rsid w:val="00BC2C65"/>
    <w:rsid w:val="00BC48E7"/>
    <w:rsid w:val="00BC4DE6"/>
    <w:rsid w:val="00BC54A2"/>
    <w:rsid w:val="00BD0C48"/>
    <w:rsid w:val="00BD1326"/>
    <w:rsid w:val="00BD1408"/>
    <w:rsid w:val="00BD2132"/>
    <w:rsid w:val="00BD45C3"/>
    <w:rsid w:val="00BD6985"/>
    <w:rsid w:val="00BE0254"/>
    <w:rsid w:val="00BE1D1B"/>
    <w:rsid w:val="00BE307F"/>
    <w:rsid w:val="00BE374D"/>
    <w:rsid w:val="00BE4C60"/>
    <w:rsid w:val="00BE62E7"/>
    <w:rsid w:val="00BF18F8"/>
    <w:rsid w:val="00BF24FE"/>
    <w:rsid w:val="00BF39E0"/>
    <w:rsid w:val="00BF3D44"/>
    <w:rsid w:val="00C00837"/>
    <w:rsid w:val="00C00BC0"/>
    <w:rsid w:val="00C01C1F"/>
    <w:rsid w:val="00C01E48"/>
    <w:rsid w:val="00C02FBA"/>
    <w:rsid w:val="00C04E77"/>
    <w:rsid w:val="00C05002"/>
    <w:rsid w:val="00C10B18"/>
    <w:rsid w:val="00C1161F"/>
    <w:rsid w:val="00C14405"/>
    <w:rsid w:val="00C150CC"/>
    <w:rsid w:val="00C1564F"/>
    <w:rsid w:val="00C16F2D"/>
    <w:rsid w:val="00C17FA4"/>
    <w:rsid w:val="00C20381"/>
    <w:rsid w:val="00C20712"/>
    <w:rsid w:val="00C23378"/>
    <w:rsid w:val="00C25EF2"/>
    <w:rsid w:val="00C26A68"/>
    <w:rsid w:val="00C26D1A"/>
    <w:rsid w:val="00C30083"/>
    <w:rsid w:val="00C32A4E"/>
    <w:rsid w:val="00C33337"/>
    <w:rsid w:val="00C35542"/>
    <w:rsid w:val="00C4134D"/>
    <w:rsid w:val="00C4155E"/>
    <w:rsid w:val="00C4232C"/>
    <w:rsid w:val="00C42A91"/>
    <w:rsid w:val="00C42B2F"/>
    <w:rsid w:val="00C4534D"/>
    <w:rsid w:val="00C518BE"/>
    <w:rsid w:val="00C52A5A"/>
    <w:rsid w:val="00C55AFE"/>
    <w:rsid w:val="00C56C91"/>
    <w:rsid w:val="00C6074E"/>
    <w:rsid w:val="00C62708"/>
    <w:rsid w:val="00C63DD8"/>
    <w:rsid w:val="00C67358"/>
    <w:rsid w:val="00C70CF7"/>
    <w:rsid w:val="00C73D7E"/>
    <w:rsid w:val="00C74519"/>
    <w:rsid w:val="00C75AAC"/>
    <w:rsid w:val="00C770BC"/>
    <w:rsid w:val="00C77941"/>
    <w:rsid w:val="00C82859"/>
    <w:rsid w:val="00C84328"/>
    <w:rsid w:val="00C84EF2"/>
    <w:rsid w:val="00C91D87"/>
    <w:rsid w:val="00C92B43"/>
    <w:rsid w:val="00C92D76"/>
    <w:rsid w:val="00C9334D"/>
    <w:rsid w:val="00C951C7"/>
    <w:rsid w:val="00C97F41"/>
    <w:rsid w:val="00CA17E5"/>
    <w:rsid w:val="00CA207B"/>
    <w:rsid w:val="00CA3527"/>
    <w:rsid w:val="00CA3A57"/>
    <w:rsid w:val="00CA62D6"/>
    <w:rsid w:val="00CA6F18"/>
    <w:rsid w:val="00CA76EF"/>
    <w:rsid w:val="00CA7A2D"/>
    <w:rsid w:val="00CB2EB8"/>
    <w:rsid w:val="00CB2EBB"/>
    <w:rsid w:val="00CB44B7"/>
    <w:rsid w:val="00CB6B8B"/>
    <w:rsid w:val="00CB7D67"/>
    <w:rsid w:val="00CC02BA"/>
    <w:rsid w:val="00CC19D2"/>
    <w:rsid w:val="00CC2093"/>
    <w:rsid w:val="00CC30AE"/>
    <w:rsid w:val="00CC448C"/>
    <w:rsid w:val="00CD11D1"/>
    <w:rsid w:val="00CD2F70"/>
    <w:rsid w:val="00CD2FEC"/>
    <w:rsid w:val="00CD3319"/>
    <w:rsid w:val="00CD33C0"/>
    <w:rsid w:val="00CD3E38"/>
    <w:rsid w:val="00CD4BD5"/>
    <w:rsid w:val="00CD5DA2"/>
    <w:rsid w:val="00CE4345"/>
    <w:rsid w:val="00CE5E2E"/>
    <w:rsid w:val="00CE734E"/>
    <w:rsid w:val="00CF0A16"/>
    <w:rsid w:val="00CF16D8"/>
    <w:rsid w:val="00CF25C9"/>
    <w:rsid w:val="00CF33A8"/>
    <w:rsid w:val="00CF4EAC"/>
    <w:rsid w:val="00CF6221"/>
    <w:rsid w:val="00CF7E5F"/>
    <w:rsid w:val="00D0009C"/>
    <w:rsid w:val="00D0390C"/>
    <w:rsid w:val="00D03ACF"/>
    <w:rsid w:val="00D05CD9"/>
    <w:rsid w:val="00D06487"/>
    <w:rsid w:val="00D0743A"/>
    <w:rsid w:val="00D077FF"/>
    <w:rsid w:val="00D07C62"/>
    <w:rsid w:val="00D103D5"/>
    <w:rsid w:val="00D10DAF"/>
    <w:rsid w:val="00D1171E"/>
    <w:rsid w:val="00D148B5"/>
    <w:rsid w:val="00D26FF1"/>
    <w:rsid w:val="00D27585"/>
    <w:rsid w:val="00D310EB"/>
    <w:rsid w:val="00D31192"/>
    <w:rsid w:val="00D3120D"/>
    <w:rsid w:val="00D3389D"/>
    <w:rsid w:val="00D364AF"/>
    <w:rsid w:val="00D3751F"/>
    <w:rsid w:val="00D42064"/>
    <w:rsid w:val="00D43F28"/>
    <w:rsid w:val="00D45024"/>
    <w:rsid w:val="00D451E4"/>
    <w:rsid w:val="00D475D0"/>
    <w:rsid w:val="00D50B07"/>
    <w:rsid w:val="00D52CC8"/>
    <w:rsid w:val="00D55B2B"/>
    <w:rsid w:val="00D56735"/>
    <w:rsid w:val="00D56DA4"/>
    <w:rsid w:val="00D602F2"/>
    <w:rsid w:val="00D61A16"/>
    <w:rsid w:val="00D61EA7"/>
    <w:rsid w:val="00D6454D"/>
    <w:rsid w:val="00D64879"/>
    <w:rsid w:val="00D64DC2"/>
    <w:rsid w:val="00D65EB2"/>
    <w:rsid w:val="00D66DD8"/>
    <w:rsid w:val="00D70248"/>
    <w:rsid w:val="00D708F9"/>
    <w:rsid w:val="00D743B6"/>
    <w:rsid w:val="00D7618D"/>
    <w:rsid w:val="00D76817"/>
    <w:rsid w:val="00D81988"/>
    <w:rsid w:val="00D8250B"/>
    <w:rsid w:val="00D86DD7"/>
    <w:rsid w:val="00D876BD"/>
    <w:rsid w:val="00D87733"/>
    <w:rsid w:val="00D87A49"/>
    <w:rsid w:val="00D91FC6"/>
    <w:rsid w:val="00D939CF"/>
    <w:rsid w:val="00D9535F"/>
    <w:rsid w:val="00D97EA3"/>
    <w:rsid w:val="00DA1084"/>
    <w:rsid w:val="00DA334C"/>
    <w:rsid w:val="00DA428B"/>
    <w:rsid w:val="00DA48BD"/>
    <w:rsid w:val="00DA50B5"/>
    <w:rsid w:val="00DA5F18"/>
    <w:rsid w:val="00DB0AEB"/>
    <w:rsid w:val="00DB1534"/>
    <w:rsid w:val="00DB610F"/>
    <w:rsid w:val="00DB7BC0"/>
    <w:rsid w:val="00DC1AD0"/>
    <w:rsid w:val="00DC584B"/>
    <w:rsid w:val="00DC63CA"/>
    <w:rsid w:val="00DC650D"/>
    <w:rsid w:val="00DC6E81"/>
    <w:rsid w:val="00DD064D"/>
    <w:rsid w:val="00DD2C95"/>
    <w:rsid w:val="00DD4D68"/>
    <w:rsid w:val="00DD6BDB"/>
    <w:rsid w:val="00DD727A"/>
    <w:rsid w:val="00DE03B1"/>
    <w:rsid w:val="00DE18DD"/>
    <w:rsid w:val="00DE2264"/>
    <w:rsid w:val="00DE3371"/>
    <w:rsid w:val="00DE464B"/>
    <w:rsid w:val="00DE6A43"/>
    <w:rsid w:val="00DE758D"/>
    <w:rsid w:val="00DF02D7"/>
    <w:rsid w:val="00DF0B91"/>
    <w:rsid w:val="00E02989"/>
    <w:rsid w:val="00E03B3F"/>
    <w:rsid w:val="00E0751D"/>
    <w:rsid w:val="00E07687"/>
    <w:rsid w:val="00E07E6C"/>
    <w:rsid w:val="00E10A52"/>
    <w:rsid w:val="00E1492F"/>
    <w:rsid w:val="00E15981"/>
    <w:rsid w:val="00E179E8"/>
    <w:rsid w:val="00E203E8"/>
    <w:rsid w:val="00E21F27"/>
    <w:rsid w:val="00E23559"/>
    <w:rsid w:val="00E23996"/>
    <w:rsid w:val="00E23E9E"/>
    <w:rsid w:val="00E27F29"/>
    <w:rsid w:val="00E31023"/>
    <w:rsid w:val="00E31CF1"/>
    <w:rsid w:val="00E332B0"/>
    <w:rsid w:val="00E34885"/>
    <w:rsid w:val="00E354EC"/>
    <w:rsid w:val="00E3759A"/>
    <w:rsid w:val="00E37C47"/>
    <w:rsid w:val="00E40AC1"/>
    <w:rsid w:val="00E425BB"/>
    <w:rsid w:val="00E42B4C"/>
    <w:rsid w:val="00E43D28"/>
    <w:rsid w:val="00E46CF9"/>
    <w:rsid w:val="00E537A7"/>
    <w:rsid w:val="00E54AEE"/>
    <w:rsid w:val="00E563B2"/>
    <w:rsid w:val="00E60FA0"/>
    <w:rsid w:val="00E6126D"/>
    <w:rsid w:val="00E62A3F"/>
    <w:rsid w:val="00E646CB"/>
    <w:rsid w:val="00E66909"/>
    <w:rsid w:val="00E66FF3"/>
    <w:rsid w:val="00E7078B"/>
    <w:rsid w:val="00E70FCD"/>
    <w:rsid w:val="00E73842"/>
    <w:rsid w:val="00E73B79"/>
    <w:rsid w:val="00E74582"/>
    <w:rsid w:val="00E76741"/>
    <w:rsid w:val="00E76AAE"/>
    <w:rsid w:val="00E81A93"/>
    <w:rsid w:val="00E81FA6"/>
    <w:rsid w:val="00E8331F"/>
    <w:rsid w:val="00E83ED4"/>
    <w:rsid w:val="00E85732"/>
    <w:rsid w:val="00E85ACC"/>
    <w:rsid w:val="00E85B55"/>
    <w:rsid w:val="00E85F06"/>
    <w:rsid w:val="00E86B47"/>
    <w:rsid w:val="00E90405"/>
    <w:rsid w:val="00E92ACB"/>
    <w:rsid w:val="00E93D34"/>
    <w:rsid w:val="00E93DF3"/>
    <w:rsid w:val="00E944B5"/>
    <w:rsid w:val="00E95349"/>
    <w:rsid w:val="00EA0AB6"/>
    <w:rsid w:val="00EA4579"/>
    <w:rsid w:val="00EB02B2"/>
    <w:rsid w:val="00EB3EB9"/>
    <w:rsid w:val="00EB4A1F"/>
    <w:rsid w:val="00EB4CA3"/>
    <w:rsid w:val="00EB5C12"/>
    <w:rsid w:val="00EB7F7C"/>
    <w:rsid w:val="00EC49AF"/>
    <w:rsid w:val="00EC49C3"/>
    <w:rsid w:val="00EC514A"/>
    <w:rsid w:val="00EC55A8"/>
    <w:rsid w:val="00ED0C62"/>
    <w:rsid w:val="00ED4F4D"/>
    <w:rsid w:val="00ED7117"/>
    <w:rsid w:val="00ED7898"/>
    <w:rsid w:val="00EE34EA"/>
    <w:rsid w:val="00EE4520"/>
    <w:rsid w:val="00EE5CB8"/>
    <w:rsid w:val="00EE5ECD"/>
    <w:rsid w:val="00EF570F"/>
    <w:rsid w:val="00F00F1A"/>
    <w:rsid w:val="00F0453D"/>
    <w:rsid w:val="00F05325"/>
    <w:rsid w:val="00F05400"/>
    <w:rsid w:val="00F07A5C"/>
    <w:rsid w:val="00F07AAE"/>
    <w:rsid w:val="00F07C83"/>
    <w:rsid w:val="00F10C03"/>
    <w:rsid w:val="00F1146B"/>
    <w:rsid w:val="00F11FCF"/>
    <w:rsid w:val="00F120FC"/>
    <w:rsid w:val="00F134F6"/>
    <w:rsid w:val="00F13F68"/>
    <w:rsid w:val="00F15465"/>
    <w:rsid w:val="00F168B5"/>
    <w:rsid w:val="00F20DF6"/>
    <w:rsid w:val="00F2188A"/>
    <w:rsid w:val="00F22794"/>
    <w:rsid w:val="00F2440B"/>
    <w:rsid w:val="00F247E9"/>
    <w:rsid w:val="00F264CC"/>
    <w:rsid w:val="00F27FA9"/>
    <w:rsid w:val="00F30D85"/>
    <w:rsid w:val="00F320D3"/>
    <w:rsid w:val="00F322D0"/>
    <w:rsid w:val="00F3232A"/>
    <w:rsid w:val="00F33FD5"/>
    <w:rsid w:val="00F356C8"/>
    <w:rsid w:val="00F35EBA"/>
    <w:rsid w:val="00F36716"/>
    <w:rsid w:val="00F41AFB"/>
    <w:rsid w:val="00F432B3"/>
    <w:rsid w:val="00F433E8"/>
    <w:rsid w:val="00F459D8"/>
    <w:rsid w:val="00F502BC"/>
    <w:rsid w:val="00F51517"/>
    <w:rsid w:val="00F52DF4"/>
    <w:rsid w:val="00F53DFC"/>
    <w:rsid w:val="00F55CD2"/>
    <w:rsid w:val="00F57E24"/>
    <w:rsid w:val="00F61627"/>
    <w:rsid w:val="00F63181"/>
    <w:rsid w:val="00F634BD"/>
    <w:rsid w:val="00F63A20"/>
    <w:rsid w:val="00F64878"/>
    <w:rsid w:val="00F66467"/>
    <w:rsid w:val="00F671A7"/>
    <w:rsid w:val="00F679B0"/>
    <w:rsid w:val="00F71E81"/>
    <w:rsid w:val="00F76DDE"/>
    <w:rsid w:val="00F77A7C"/>
    <w:rsid w:val="00F81C32"/>
    <w:rsid w:val="00F81E4B"/>
    <w:rsid w:val="00F81E6F"/>
    <w:rsid w:val="00F90AAD"/>
    <w:rsid w:val="00F92253"/>
    <w:rsid w:val="00F922B2"/>
    <w:rsid w:val="00F9347E"/>
    <w:rsid w:val="00F95454"/>
    <w:rsid w:val="00FA0276"/>
    <w:rsid w:val="00FA0603"/>
    <w:rsid w:val="00FA16A7"/>
    <w:rsid w:val="00FA377C"/>
    <w:rsid w:val="00FA7BFD"/>
    <w:rsid w:val="00FB0750"/>
    <w:rsid w:val="00FB0804"/>
    <w:rsid w:val="00FB347F"/>
    <w:rsid w:val="00FB3F24"/>
    <w:rsid w:val="00FB4ADC"/>
    <w:rsid w:val="00FB66E2"/>
    <w:rsid w:val="00FC23EE"/>
    <w:rsid w:val="00FC2D6C"/>
    <w:rsid w:val="00FC43A5"/>
    <w:rsid w:val="00FC5C4A"/>
    <w:rsid w:val="00FC6938"/>
    <w:rsid w:val="00FD1DC7"/>
    <w:rsid w:val="00FD1DD1"/>
    <w:rsid w:val="00FD1E6F"/>
    <w:rsid w:val="00FD255A"/>
    <w:rsid w:val="00FD5571"/>
    <w:rsid w:val="00FD7763"/>
    <w:rsid w:val="00FE1F80"/>
    <w:rsid w:val="00FE20B2"/>
    <w:rsid w:val="00FE3002"/>
    <w:rsid w:val="00FE342C"/>
    <w:rsid w:val="00FE3E8E"/>
    <w:rsid w:val="00FE43DB"/>
    <w:rsid w:val="00FE4CB1"/>
    <w:rsid w:val="00FE6E76"/>
    <w:rsid w:val="00FE7EF3"/>
    <w:rsid w:val="00FF09FF"/>
    <w:rsid w:val="00FF2A2C"/>
    <w:rsid w:val="00FF2DB0"/>
    <w:rsid w:val="00FF72AA"/>
    <w:rsid w:val="00FF7B98"/>
    <w:rsid w:val="01172434"/>
    <w:rsid w:val="01232A03"/>
    <w:rsid w:val="013A16B8"/>
    <w:rsid w:val="01432A31"/>
    <w:rsid w:val="01710531"/>
    <w:rsid w:val="019E3D41"/>
    <w:rsid w:val="01AA3877"/>
    <w:rsid w:val="01C25DE4"/>
    <w:rsid w:val="01E4105F"/>
    <w:rsid w:val="020C2FD7"/>
    <w:rsid w:val="02183DB2"/>
    <w:rsid w:val="02384911"/>
    <w:rsid w:val="025C417E"/>
    <w:rsid w:val="026A3B38"/>
    <w:rsid w:val="02AA1685"/>
    <w:rsid w:val="02C34D07"/>
    <w:rsid w:val="02EE31EA"/>
    <w:rsid w:val="031B1E30"/>
    <w:rsid w:val="036B4D91"/>
    <w:rsid w:val="03712229"/>
    <w:rsid w:val="040B4810"/>
    <w:rsid w:val="04506958"/>
    <w:rsid w:val="0456380D"/>
    <w:rsid w:val="047A6290"/>
    <w:rsid w:val="04B076C1"/>
    <w:rsid w:val="04B3447F"/>
    <w:rsid w:val="04EE6090"/>
    <w:rsid w:val="050459DC"/>
    <w:rsid w:val="054D6B0A"/>
    <w:rsid w:val="057C669B"/>
    <w:rsid w:val="05B66ED0"/>
    <w:rsid w:val="05D055B8"/>
    <w:rsid w:val="06150A3C"/>
    <w:rsid w:val="061762E8"/>
    <w:rsid w:val="06537543"/>
    <w:rsid w:val="06712F56"/>
    <w:rsid w:val="06C51484"/>
    <w:rsid w:val="06CF2CF8"/>
    <w:rsid w:val="073763A4"/>
    <w:rsid w:val="07FE78C1"/>
    <w:rsid w:val="080C09DE"/>
    <w:rsid w:val="081B642B"/>
    <w:rsid w:val="082F0537"/>
    <w:rsid w:val="08693C34"/>
    <w:rsid w:val="08D9552D"/>
    <w:rsid w:val="08FD5111"/>
    <w:rsid w:val="09094A85"/>
    <w:rsid w:val="09201442"/>
    <w:rsid w:val="0978231E"/>
    <w:rsid w:val="09806E16"/>
    <w:rsid w:val="09D8048A"/>
    <w:rsid w:val="0A5E1FDE"/>
    <w:rsid w:val="0A640E31"/>
    <w:rsid w:val="0AE25756"/>
    <w:rsid w:val="0AE75BAD"/>
    <w:rsid w:val="0B2C163B"/>
    <w:rsid w:val="0B796CB8"/>
    <w:rsid w:val="0B7A7CC1"/>
    <w:rsid w:val="0B800891"/>
    <w:rsid w:val="0B951BEB"/>
    <w:rsid w:val="0BC21DCC"/>
    <w:rsid w:val="0BC66BA9"/>
    <w:rsid w:val="0BDA6F7D"/>
    <w:rsid w:val="0BE162B1"/>
    <w:rsid w:val="0C2A66D0"/>
    <w:rsid w:val="0C321191"/>
    <w:rsid w:val="0CC52908"/>
    <w:rsid w:val="0CEB33F8"/>
    <w:rsid w:val="0CF60B2B"/>
    <w:rsid w:val="0CF86975"/>
    <w:rsid w:val="0D111A28"/>
    <w:rsid w:val="0D146FF5"/>
    <w:rsid w:val="0D551D06"/>
    <w:rsid w:val="0D6B0BB5"/>
    <w:rsid w:val="0D7C5180"/>
    <w:rsid w:val="0D9D1017"/>
    <w:rsid w:val="0DA460E5"/>
    <w:rsid w:val="0DBD1B9D"/>
    <w:rsid w:val="0DC066FE"/>
    <w:rsid w:val="0DDD68CE"/>
    <w:rsid w:val="0DFD5244"/>
    <w:rsid w:val="0E1D658C"/>
    <w:rsid w:val="0F520C02"/>
    <w:rsid w:val="0F7E0509"/>
    <w:rsid w:val="0F9A5EB8"/>
    <w:rsid w:val="0FBE5E24"/>
    <w:rsid w:val="0FD95068"/>
    <w:rsid w:val="10033AE0"/>
    <w:rsid w:val="10501E70"/>
    <w:rsid w:val="107A061E"/>
    <w:rsid w:val="107F1CD7"/>
    <w:rsid w:val="10A624FF"/>
    <w:rsid w:val="11643B1D"/>
    <w:rsid w:val="117D1AC9"/>
    <w:rsid w:val="11BF7DE1"/>
    <w:rsid w:val="11C33EF9"/>
    <w:rsid w:val="11E744E5"/>
    <w:rsid w:val="11F30508"/>
    <w:rsid w:val="12245148"/>
    <w:rsid w:val="12264AE8"/>
    <w:rsid w:val="122D4629"/>
    <w:rsid w:val="124B6252"/>
    <w:rsid w:val="125362A7"/>
    <w:rsid w:val="12AC6623"/>
    <w:rsid w:val="12C10EED"/>
    <w:rsid w:val="12CA0853"/>
    <w:rsid w:val="12DE01CD"/>
    <w:rsid w:val="12F17A47"/>
    <w:rsid w:val="13032A8A"/>
    <w:rsid w:val="13243058"/>
    <w:rsid w:val="13914BF2"/>
    <w:rsid w:val="13DD6FF2"/>
    <w:rsid w:val="13F422C4"/>
    <w:rsid w:val="13FB73FA"/>
    <w:rsid w:val="143430B8"/>
    <w:rsid w:val="146718FB"/>
    <w:rsid w:val="14870B8D"/>
    <w:rsid w:val="14963C1A"/>
    <w:rsid w:val="14CD070A"/>
    <w:rsid w:val="14E57007"/>
    <w:rsid w:val="14E6675C"/>
    <w:rsid w:val="14F50D96"/>
    <w:rsid w:val="154669CD"/>
    <w:rsid w:val="155164CA"/>
    <w:rsid w:val="15690CB4"/>
    <w:rsid w:val="156C55BC"/>
    <w:rsid w:val="15817809"/>
    <w:rsid w:val="15D041F7"/>
    <w:rsid w:val="163E7396"/>
    <w:rsid w:val="166F6065"/>
    <w:rsid w:val="16A1286A"/>
    <w:rsid w:val="16CE5DD5"/>
    <w:rsid w:val="171C7E03"/>
    <w:rsid w:val="175C1604"/>
    <w:rsid w:val="17647A71"/>
    <w:rsid w:val="1794443D"/>
    <w:rsid w:val="17A07061"/>
    <w:rsid w:val="17A41A81"/>
    <w:rsid w:val="17BF454C"/>
    <w:rsid w:val="18030C9E"/>
    <w:rsid w:val="182271EF"/>
    <w:rsid w:val="182E5E70"/>
    <w:rsid w:val="18516CFF"/>
    <w:rsid w:val="18664115"/>
    <w:rsid w:val="18A138BC"/>
    <w:rsid w:val="18BE5D0C"/>
    <w:rsid w:val="18BF2365"/>
    <w:rsid w:val="18D106E5"/>
    <w:rsid w:val="191F32E4"/>
    <w:rsid w:val="19463B50"/>
    <w:rsid w:val="197617AA"/>
    <w:rsid w:val="197E5DDF"/>
    <w:rsid w:val="19AA5B11"/>
    <w:rsid w:val="19F0273D"/>
    <w:rsid w:val="1A2B157F"/>
    <w:rsid w:val="1A4A55D6"/>
    <w:rsid w:val="1A5C3164"/>
    <w:rsid w:val="1A8C4B67"/>
    <w:rsid w:val="1A9C45EF"/>
    <w:rsid w:val="1AA55124"/>
    <w:rsid w:val="1AAF46D4"/>
    <w:rsid w:val="1AB460DA"/>
    <w:rsid w:val="1AB63BAA"/>
    <w:rsid w:val="1AE02DA9"/>
    <w:rsid w:val="1B554FF7"/>
    <w:rsid w:val="1B635C10"/>
    <w:rsid w:val="1B8C6B15"/>
    <w:rsid w:val="1BA8789C"/>
    <w:rsid w:val="1BD91C35"/>
    <w:rsid w:val="1BE95C32"/>
    <w:rsid w:val="1C150A13"/>
    <w:rsid w:val="1C430B47"/>
    <w:rsid w:val="1C535262"/>
    <w:rsid w:val="1C5A50F0"/>
    <w:rsid w:val="1CA64D9C"/>
    <w:rsid w:val="1D2218D8"/>
    <w:rsid w:val="1D9973A2"/>
    <w:rsid w:val="1DC110E1"/>
    <w:rsid w:val="1DD55C83"/>
    <w:rsid w:val="1E221F19"/>
    <w:rsid w:val="1E2428F7"/>
    <w:rsid w:val="1E37101A"/>
    <w:rsid w:val="1E504CB4"/>
    <w:rsid w:val="1E5B0A93"/>
    <w:rsid w:val="1E652251"/>
    <w:rsid w:val="1E76717B"/>
    <w:rsid w:val="1E881A4A"/>
    <w:rsid w:val="1EC257D5"/>
    <w:rsid w:val="1F225B63"/>
    <w:rsid w:val="1F2A7713"/>
    <w:rsid w:val="1F6B69CB"/>
    <w:rsid w:val="1FC53DF0"/>
    <w:rsid w:val="1FFA0FCA"/>
    <w:rsid w:val="202A2E57"/>
    <w:rsid w:val="20955AAB"/>
    <w:rsid w:val="20A31B7F"/>
    <w:rsid w:val="20B07CBB"/>
    <w:rsid w:val="20B82CB7"/>
    <w:rsid w:val="20BC1B54"/>
    <w:rsid w:val="20D861C8"/>
    <w:rsid w:val="21136D0D"/>
    <w:rsid w:val="21524166"/>
    <w:rsid w:val="217575AD"/>
    <w:rsid w:val="219020CA"/>
    <w:rsid w:val="21CE02E3"/>
    <w:rsid w:val="21ED4F13"/>
    <w:rsid w:val="221A6173"/>
    <w:rsid w:val="2249385B"/>
    <w:rsid w:val="22721D38"/>
    <w:rsid w:val="229C7541"/>
    <w:rsid w:val="22A060E1"/>
    <w:rsid w:val="22FC7445"/>
    <w:rsid w:val="232B15A7"/>
    <w:rsid w:val="23897A00"/>
    <w:rsid w:val="239A6C9D"/>
    <w:rsid w:val="23DD12E4"/>
    <w:rsid w:val="24005BB1"/>
    <w:rsid w:val="24114BBC"/>
    <w:rsid w:val="244174B4"/>
    <w:rsid w:val="24563538"/>
    <w:rsid w:val="254578B2"/>
    <w:rsid w:val="25636309"/>
    <w:rsid w:val="26215F4F"/>
    <w:rsid w:val="26705AAA"/>
    <w:rsid w:val="26DE75D9"/>
    <w:rsid w:val="26EF4FDA"/>
    <w:rsid w:val="27076033"/>
    <w:rsid w:val="27CF2DB7"/>
    <w:rsid w:val="28070F7D"/>
    <w:rsid w:val="281247EC"/>
    <w:rsid w:val="28561583"/>
    <w:rsid w:val="286906D0"/>
    <w:rsid w:val="287C4A9F"/>
    <w:rsid w:val="28896B38"/>
    <w:rsid w:val="28A96220"/>
    <w:rsid w:val="28BD342A"/>
    <w:rsid w:val="28C0322F"/>
    <w:rsid w:val="28E060FE"/>
    <w:rsid w:val="29495F57"/>
    <w:rsid w:val="296B56E9"/>
    <w:rsid w:val="296C1279"/>
    <w:rsid w:val="2A193231"/>
    <w:rsid w:val="2A3C7EFD"/>
    <w:rsid w:val="2A4144C9"/>
    <w:rsid w:val="2A84085A"/>
    <w:rsid w:val="2A9112CD"/>
    <w:rsid w:val="2A944279"/>
    <w:rsid w:val="2B047552"/>
    <w:rsid w:val="2B1F037E"/>
    <w:rsid w:val="2BB951F7"/>
    <w:rsid w:val="2BD06A43"/>
    <w:rsid w:val="2C4220DF"/>
    <w:rsid w:val="2C926D6E"/>
    <w:rsid w:val="2CDF09D4"/>
    <w:rsid w:val="2CF54A3C"/>
    <w:rsid w:val="2D030B50"/>
    <w:rsid w:val="2D7E65D3"/>
    <w:rsid w:val="2D8E183C"/>
    <w:rsid w:val="2DC66170"/>
    <w:rsid w:val="2DFE19F4"/>
    <w:rsid w:val="2E2E28FE"/>
    <w:rsid w:val="2E384A07"/>
    <w:rsid w:val="2E3C667A"/>
    <w:rsid w:val="2E3F6A47"/>
    <w:rsid w:val="2E9003BC"/>
    <w:rsid w:val="2E917D51"/>
    <w:rsid w:val="2EC02F71"/>
    <w:rsid w:val="2EC9558F"/>
    <w:rsid w:val="2ED91FEB"/>
    <w:rsid w:val="2EF6204C"/>
    <w:rsid w:val="2F747FBB"/>
    <w:rsid w:val="2F871E1F"/>
    <w:rsid w:val="2FB31D8B"/>
    <w:rsid w:val="2FC64F07"/>
    <w:rsid w:val="2FCB76E4"/>
    <w:rsid w:val="2FE4667F"/>
    <w:rsid w:val="301142C5"/>
    <w:rsid w:val="301A48E8"/>
    <w:rsid w:val="30C818CE"/>
    <w:rsid w:val="30CD63C5"/>
    <w:rsid w:val="30EE61ED"/>
    <w:rsid w:val="31334543"/>
    <w:rsid w:val="315A4974"/>
    <w:rsid w:val="315F5502"/>
    <w:rsid w:val="3164771B"/>
    <w:rsid w:val="31C63009"/>
    <w:rsid w:val="31DF56F8"/>
    <w:rsid w:val="32876619"/>
    <w:rsid w:val="32A71BF7"/>
    <w:rsid w:val="32C63372"/>
    <w:rsid w:val="33477D15"/>
    <w:rsid w:val="337C53C2"/>
    <w:rsid w:val="33C57FB4"/>
    <w:rsid w:val="33D3098F"/>
    <w:rsid w:val="33E252B9"/>
    <w:rsid w:val="341D2F0D"/>
    <w:rsid w:val="342235BE"/>
    <w:rsid w:val="342A7A59"/>
    <w:rsid w:val="3438292F"/>
    <w:rsid w:val="349A5FF8"/>
    <w:rsid w:val="34B85CD0"/>
    <w:rsid w:val="34BE3A8F"/>
    <w:rsid w:val="35140B7D"/>
    <w:rsid w:val="35694C4A"/>
    <w:rsid w:val="35D85B04"/>
    <w:rsid w:val="35F7234E"/>
    <w:rsid w:val="361474F8"/>
    <w:rsid w:val="368F12E5"/>
    <w:rsid w:val="369653CD"/>
    <w:rsid w:val="37106D1F"/>
    <w:rsid w:val="371B73C9"/>
    <w:rsid w:val="372F4812"/>
    <w:rsid w:val="378076C9"/>
    <w:rsid w:val="37E176C8"/>
    <w:rsid w:val="37F647F6"/>
    <w:rsid w:val="38955052"/>
    <w:rsid w:val="38A11347"/>
    <w:rsid w:val="38AD02FD"/>
    <w:rsid w:val="3953168C"/>
    <w:rsid w:val="39672DBD"/>
    <w:rsid w:val="398973D7"/>
    <w:rsid w:val="398A07C2"/>
    <w:rsid w:val="39A3152A"/>
    <w:rsid w:val="39BB53F3"/>
    <w:rsid w:val="3A1149A9"/>
    <w:rsid w:val="3A123F00"/>
    <w:rsid w:val="3A353B6D"/>
    <w:rsid w:val="3AFA6DC9"/>
    <w:rsid w:val="3B1969CF"/>
    <w:rsid w:val="3B1B45DA"/>
    <w:rsid w:val="3BD864DE"/>
    <w:rsid w:val="3C0E417A"/>
    <w:rsid w:val="3C257BFE"/>
    <w:rsid w:val="3C377A4B"/>
    <w:rsid w:val="3C3B0A8B"/>
    <w:rsid w:val="3C7B1E3B"/>
    <w:rsid w:val="3CC660C2"/>
    <w:rsid w:val="3CCB131D"/>
    <w:rsid w:val="3CCE7099"/>
    <w:rsid w:val="3CF11247"/>
    <w:rsid w:val="3D2B770A"/>
    <w:rsid w:val="3D2D2193"/>
    <w:rsid w:val="3D3B0B38"/>
    <w:rsid w:val="3D41730A"/>
    <w:rsid w:val="3D4F59B6"/>
    <w:rsid w:val="3D646E93"/>
    <w:rsid w:val="3DA747EE"/>
    <w:rsid w:val="3DD43648"/>
    <w:rsid w:val="3DE141B6"/>
    <w:rsid w:val="3E246632"/>
    <w:rsid w:val="3E35359D"/>
    <w:rsid w:val="3E6147A4"/>
    <w:rsid w:val="3E6A79D4"/>
    <w:rsid w:val="3E814431"/>
    <w:rsid w:val="3F2A5464"/>
    <w:rsid w:val="3F4F0FDF"/>
    <w:rsid w:val="3F5E0CE7"/>
    <w:rsid w:val="3F663E1A"/>
    <w:rsid w:val="3F843828"/>
    <w:rsid w:val="3FBC63D8"/>
    <w:rsid w:val="40182A40"/>
    <w:rsid w:val="408E23E1"/>
    <w:rsid w:val="40B35236"/>
    <w:rsid w:val="40C86A83"/>
    <w:rsid w:val="40D26A8C"/>
    <w:rsid w:val="40DD192F"/>
    <w:rsid w:val="40E77737"/>
    <w:rsid w:val="41035777"/>
    <w:rsid w:val="41A2189A"/>
    <w:rsid w:val="41A32996"/>
    <w:rsid w:val="41CA0BC0"/>
    <w:rsid w:val="41CD016C"/>
    <w:rsid w:val="41CF3349"/>
    <w:rsid w:val="41D53A7F"/>
    <w:rsid w:val="41D720B3"/>
    <w:rsid w:val="41EB53FD"/>
    <w:rsid w:val="41F162F5"/>
    <w:rsid w:val="42037AC1"/>
    <w:rsid w:val="420E6780"/>
    <w:rsid w:val="42297B9E"/>
    <w:rsid w:val="422C5ED5"/>
    <w:rsid w:val="42556B02"/>
    <w:rsid w:val="4256643F"/>
    <w:rsid w:val="42646E28"/>
    <w:rsid w:val="42E11406"/>
    <w:rsid w:val="42ED489D"/>
    <w:rsid w:val="42EF6168"/>
    <w:rsid w:val="433D07D4"/>
    <w:rsid w:val="43661C12"/>
    <w:rsid w:val="436A1F4D"/>
    <w:rsid w:val="436D5A1B"/>
    <w:rsid w:val="438C5459"/>
    <w:rsid w:val="44421112"/>
    <w:rsid w:val="447745E8"/>
    <w:rsid w:val="44BC099E"/>
    <w:rsid w:val="44E30992"/>
    <w:rsid w:val="44E8581A"/>
    <w:rsid w:val="44F9640B"/>
    <w:rsid w:val="4516590A"/>
    <w:rsid w:val="455307E0"/>
    <w:rsid w:val="455A3D79"/>
    <w:rsid w:val="455C67DC"/>
    <w:rsid w:val="458A34D1"/>
    <w:rsid w:val="45F437D2"/>
    <w:rsid w:val="4602049D"/>
    <w:rsid w:val="460C70EA"/>
    <w:rsid w:val="475B7483"/>
    <w:rsid w:val="475E03AF"/>
    <w:rsid w:val="47A3417B"/>
    <w:rsid w:val="481E1D1D"/>
    <w:rsid w:val="486A2B6D"/>
    <w:rsid w:val="4881310C"/>
    <w:rsid w:val="48896F02"/>
    <w:rsid w:val="488E5BAE"/>
    <w:rsid w:val="49142B52"/>
    <w:rsid w:val="491D51E5"/>
    <w:rsid w:val="4938393D"/>
    <w:rsid w:val="49472841"/>
    <w:rsid w:val="495E3614"/>
    <w:rsid w:val="49985B38"/>
    <w:rsid w:val="49C4777D"/>
    <w:rsid w:val="49E70292"/>
    <w:rsid w:val="4A0868EA"/>
    <w:rsid w:val="4A1200DB"/>
    <w:rsid w:val="4A1642FC"/>
    <w:rsid w:val="4A217149"/>
    <w:rsid w:val="4A2D1F2F"/>
    <w:rsid w:val="4A35232E"/>
    <w:rsid w:val="4A425681"/>
    <w:rsid w:val="4AD76B26"/>
    <w:rsid w:val="4ADA3A56"/>
    <w:rsid w:val="4AF82C9D"/>
    <w:rsid w:val="4AFC1500"/>
    <w:rsid w:val="4B080329"/>
    <w:rsid w:val="4B943E3C"/>
    <w:rsid w:val="4B99037C"/>
    <w:rsid w:val="4BED55B1"/>
    <w:rsid w:val="4C2A6613"/>
    <w:rsid w:val="4C34211B"/>
    <w:rsid w:val="4C3D7D20"/>
    <w:rsid w:val="4C7A3643"/>
    <w:rsid w:val="4C7C5FF3"/>
    <w:rsid w:val="4CA71F95"/>
    <w:rsid w:val="4CAC798C"/>
    <w:rsid w:val="4D0063E2"/>
    <w:rsid w:val="4D7415FF"/>
    <w:rsid w:val="4D8B3F82"/>
    <w:rsid w:val="4D9B5FE2"/>
    <w:rsid w:val="4DA31DC1"/>
    <w:rsid w:val="4DBB6F30"/>
    <w:rsid w:val="4DD72F33"/>
    <w:rsid w:val="4DF30B63"/>
    <w:rsid w:val="4E152041"/>
    <w:rsid w:val="4E1E7B0E"/>
    <w:rsid w:val="4E267C4A"/>
    <w:rsid w:val="4E706845"/>
    <w:rsid w:val="4E8A3C99"/>
    <w:rsid w:val="4E8C5873"/>
    <w:rsid w:val="4EA104CF"/>
    <w:rsid w:val="4EA45840"/>
    <w:rsid w:val="4EAF2D59"/>
    <w:rsid w:val="4EBF06A1"/>
    <w:rsid w:val="4EE623E2"/>
    <w:rsid w:val="4EE84A4A"/>
    <w:rsid w:val="4F377D89"/>
    <w:rsid w:val="4F8E15F1"/>
    <w:rsid w:val="4FA611D2"/>
    <w:rsid w:val="4FDF5D55"/>
    <w:rsid w:val="505171EB"/>
    <w:rsid w:val="50BE04BE"/>
    <w:rsid w:val="50D9180D"/>
    <w:rsid w:val="50DA0A56"/>
    <w:rsid w:val="5159097F"/>
    <w:rsid w:val="51A472FD"/>
    <w:rsid w:val="52546A26"/>
    <w:rsid w:val="525C5164"/>
    <w:rsid w:val="528669C0"/>
    <w:rsid w:val="52EB5B27"/>
    <w:rsid w:val="531D6539"/>
    <w:rsid w:val="53275238"/>
    <w:rsid w:val="535561B3"/>
    <w:rsid w:val="537128DF"/>
    <w:rsid w:val="53C8494A"/>
    <w:rsid w:val="53DB6FDD"/>
    <w:rsid w:val="53DD66BF"/>
    <w:rsid w:val="53E4120F"/>
    <w:rsid w:val="54233038"/>
    <w:rsid w:val="542B0071"/>
    <w:rsid w:val="54934E5D"/>
    <w:rsid w:val="54B706BD"/>
    <w:rsid w:val="54C01CF3"/>
    <w:rsid w:val="54EF1F51"/>
    <w:rsid w:val="55002B05"/>
    <w:rsid w:val="5543075C"/>
    <w:rsid w:val="554E2CAD"/>
    <w:rsid w:val="55624275"/>
    <w:rsid w:val="55751852"/>
    <w:rsid w:val="55A50675"/>
    <w:rsid w:val="55A564BE"/>
    <w:rsid w:val="55A56F86"/>
    <w:rsid w:val="55BE2039"/>
    <w:rsid w:val="55ED5C1A"/>
    <w:rsid w:val="56121965"/>
    <w:rsid w:val="56180A84"/>
    <w:rsid w:val="56A81424"/>
    <w:rsid w:val="56C27566"/>
    <w:rsid w:val="56D6437E"/>
    <w:rsid w:val="56DD6C57"/>
    <w:rsid w:val="56F746B7"/>
    <w:rsid w:val="571272C0"/>
    <w:rsid w:val="577D04DE"/>
    <w:rsid w:val="57812D4A"/>
    <w:rsid w:val="58000A77"/>
    <w:rsid w:val="580165BE"/>
    <w:rsid w:val="580C061B"/>
    <w:rsid w:val="58301295"/>
    <w:rsid w:val="58360FF6"/>
    <w:rsid w:val="58AD2D2A"/>
    <w:rsid w:val="58CD4843"/>
    <w:rsid w:val="58DC11F9"/>
    <w:rsid w:val="58F36D98"/>
    <w:rsid w:val="5916261C"/>
    <w:rsid w:val="596411FE"/>
    <w:rsid w:val="59841CC9"/>
    <w:rsid w:val="599E431E"/>
    <w:rsid w:val="59A61705"/>
    <w:rsid w:val="59C23BC2"/>
    <w:rsid w:val="59F17F15"/>
    <w:rsid w:val="5A49632B"/>
    <w:rsid w:val="5A832C0F"/>
    <w:rsid w:val="5A8F6DBF"/>
    <w:rsid w:val="5A924F7E"/>
    <w:rsid w:val="5AAC77FA"/>
    <w:rsid w:val="5BC3607F"/>
    <w:rsid w:val="5BD87EB5"/>
    <w:rsid w:val="5C003661"/>
    <w:rsid w:val="5C4C6D25"/>
    <w:rsid w:val="5C752840"/>
    <w:rsid w:val="5C8B3EDC"/>
    <w:rsid w:val="5CE732CC"/>
    <w:rsid w:val="5D574767"/>
    <w:rsid w:val="5D94548E"/>
    <w:rsid w:val="5D9551E5"/>
    <w:rsid w:val="5D9E1592"/>
    <w:rsid w:val="5E030619"/>
    <w:rsid w:val="5E101ED1"/>
    <w:rsid w:val="5E900654"/>
    <w:rsid w:val="5ECE64EB"/>
    <w:rsid w:val="5EE4309A"/>
    <w:rsid w:val="5EED6269"/>
    <w:rsid w:val="5EF22A28"/>
    <w:rsid w:val="5F2202C2"/>
    <w:rsid w:val="5F33498D"/>
    <w:rsid w:val="5FAB4221"/>
    <w:rsid w:val="5FEE5012"/>
    <w:rsid w:val="600773E4"/>
    <w:rsid w:val="60BE1CC7"/>
    <w:rsid w:val="60C3210F"/>
    <w:rsid w:val="61181ACB"/>
    <w:rsid w:val="61191AFF"/>
    <w:rsid w:val="611E7099"/>
    <w:rsid w:val="612773E9"/>
    <w:rsid w:val="615A54F5"/>
    <w:rsid w:val="61E45946"/>
    <w:rsid w:val="61E556B6"/>
    <w:rsid w:val="61FF61BC"/>
    <w:rsid w:val="622A5268"/>
    <w:rsid w:val="626C5840"/>
    <w:rsid w:val="62BC4654"/>
    <w:rsid w:val="62DE1E56"/>
    <w:rsid w:val="63047E04"/>
    <w:rsid w:val="630540AD"/>
    <w:rsid w:val="63461DF8"/>
    <w:rsid w:val="635A1B7D"/>
    <w:rsid w:val="636D2367"/>
    <w:rsid w:val="63CC4574"/>
    <w:rsid w:val="63FE1E49"/>
    <w:rsid w:val="64137EB5"/>
    <w:rsid w:val="641F1BCE"/>
    <w:rsid w:val="64480BD0"/>
    <w:rsid w:val="647B4958"/>
    <w:rsid w:val="64867386"/>
    <w:rsid w:val="64E41C19"/>
    <w:rsid w:val="65040B9F"/>
    <w:rsid w:val="65CC35AD"/>
    <w:rsid w:val="65F93C4A"/>
    <w:rsid w:val="660B2309"/>
    <w:rsid w:val="662E638F"/>
    <w:rsid w:val="667738CB"/>
    <w:rsid w:val="667E1D40"/>
    <w:rsid w:val="668405C6"/>
    <w:rsid w:val="66CD1D9A"/>
    <w:rsid w:val="673B4D8E"/>
    <w:rsid w:val="673E7653"/>
    <w:rsid w:val="67464841"/>
    <w:rsid w:val="67666123"/>
    <w:rsid w:val="676F2864"/>
    <w:rsid w:val="67BD359E"/>
    <w:rsid w:val="67E50085"/>
    <w:rsid w:val="68047AFE"/>
    <w:rsid w:val="6835346D"/>
    <w:rsid w:val="683B3BAD"/>
    <w:rsid w:val="685E5E4F"/>
    <w:rsid w:val="68636FC1"/>
    <w:rsid w:val="687A5763"/>
    <w:rsid w:val="69AE439A"/>
    <w:rsid w:val="6A5E63F6"/>
    <w:rsid w:val="6AFF1692"/>
    <w:rsid w:val="6B0E1726"/>
    <w:rsid w:val="6B6C4B43"/>
    <w:rsid w:val="6B787FED"/>
    <w:rsid w:val="6BD9030B"/>
    <w:rsid w:val="6C0F25C6"/>
    <w:rsid w:val="6C25444A"/>
    <w:rsid w:val="6C417789"/>
    <w:rsid w:val="6C472107"/>
    <w:rsid w:val="6C5055F6"/>
    <w:rsid w:val="6C686A8D"/>
    <w:rsid w:val="6C743503"/>
    <w:rsid w:val="6C9F0B0C"/>
    <w:rsid w:val="6D0C08BF"/>
    <w:rsid w:val="6D111581"/>
    <w:rsid w:val="6D470F66"/>
    <w:rsid w:val="6D577099"/>
    <w:rsid w:val="6D5F0F05"/>
    <w:rsid w:val="6D9E7509"/>
    <w:rsid w:val="6DAF1EA5"/>
    <w:rsid w:val="6DBF615E"/>
    <w:rsid w:val="6DC80525"/>
    <w:rsid w:val="6DEE6EB0"/>
    <w:rsid w:val="6E2C5419"/>
    <w:rsid w:val="6E364F94"/>
    <w:rsid w:val="6E8118F1"/>
    <w:rsid w:val="6ECF5214"/>
    <w:rsid w:val="6F5141B4"/>
    <w:rsid w:val="6F970B75"/>
    <w:rsid w:val="6FF0358B"/>
    <w:rsid w:val="6FFE4EE2"/>
    <w:rsid w:val="700C6028"/>
    <w:rsid w:val="701116FE"/>
    <w:rsid w:val="70236109"/>
    <w:rsid w:val="706111E0"/>
    <w:rsid w:val="70667296"/>
    <w:rsid w:val="706951A7"/>
    <w:rsid w:val="70A13C31"/>
    <w:rsid w:val="70A5128E"/>
    <w:rsid w:val="70C62E7D"/>
    <w:rsid w:val="70CC1964"/>
    <w:rsid w:val="70D24680"/>
    <w:rsid w:val="70EE0108"/>
    <w:rsid w:val="71203D9B"/>
    <w:rsid w:val="713B6B79"/>
    <w:rsid w:val="713C2284"/>
    <w:rsid w:val="717A58A2"/>
    <w:rsid w:val="717B1759"/>
    <w:rsid w:val="718E27D0"/>
    <w:rsid w:val="718F6290"/>
    <w:rsid w:val="71A30F22"/>
    <w:rsid w:val="71BC4524"/>
    <w:rsid w:val="71FE6691"/>
    <w:rsid w:val="723E4619"/>
    <w:rsid w:val="726F4775"/>
    <w:rsid w:val="72FD4B84"/>
    <w:rsid w:val="73036677"/>
    <w:rsid w:val="731467A0"/>
    <w:rsid w:val="73312F39"/>
    <w:rsid w:val="733A72D5"/>
    <w:rsid w:val="734142F9"/>
    <w:rsid w:val="73422599"/>
    <w:rsid w:val="737F3981"/>
    <w:rsid w:val="73BB6668"/>
    <w:rsid w:val="73C44027"/>
    <w:rsid w:val="73FF528F"/>
    <w:rsid w:val="74463240"/>
    <w:rsid w:val="74C93B91"/>
    <w:rsid w:val="74CA02A4"/>
    <w:rsid w:val="751B3E2D"/>
    <w:rsid w:val="75907355"/>
    <w:rsid w:val="76136F99"/>
    <w:rsid w:val="76452C61"/>
    <w:rsid w:val="764721F3"/>
    <w:rsid w:val="764C6F6B"/>
    <w:rsid w:val="765F7BE3"/>
    <w:rsid w:val="7663742D"/>
    <w:rsid w:val="768D2754"/>
    <w:rsid w:val="7690615B"/>
    <w:rsid w:val="76C96D02"/>
    <w:rsid w:val="76E22D6F"/>
    <w:rsid w:val="76EE5323"/>
    <w:rsid w:val="770E5200"/>
    <w:rsid w:val="771631AB"/>
    <w:rsid w:val="778321B6"/>
    <w:rsid w:val="78523FDC"/>
    <w:rsid w:val="785835CC"/>
    <w:rsid w:val="78B75C8B"/>
    <w:rsid w:val="78FC7768"/>
    <w:rsid w:val="79144AFA"/>
    <w:rsid w:val="791C2259"/>
    <w:rsid w:val="79404728"/>
    <w:rsid w:val="7969443A"/>
    <w:rsid w:val="797E5532"/>
    <w:rsid w:val="79904A76"/>
    <w:rsid w:val="79A83AD5"/>
    <w:rsid w:val="79BF3F73"/>
    <w:rsid w:val="79C259D6"/>
    <w:rsid w:val="79DF62E1"/>
    <w:rsid w:val="7A646686"/>
    <w:rsid w:val="7A745778"/>
    <w:rsid w:val="7A7D22DD"/>
    <w:rsid w:val="7A901B17"/>
    <w:rsid w:val="7A9E6CB1"/>
    <w:rsid w:val="7AD8110B"/>
    <w:rsid w:val="7B0560C0"/>
    <w:rsid w:val="7B312A12"/>
    <w:rsid w:val="7B733FF4"/>
    <w:rsid w:val="7B9D130F"/>
    <w:rsid w:val="7BE7176B"/>
    <w:rsid w:val="7C000539"/>
    <w:rsid w:val="7C092975"/>
    <w:rsid w:val="7C150D6A"/>
    <w:rsid w:val="7C233E7A"/>
    <w:rsid w:val="7C470075"/>
    <w:rsid w:val="7C852505"/>
    <w:rsid w:val="7C885484"/>
    <w:rsid w:val="7C912821"/>
    <w:rsid w:val="7D042E71"/>
    <w:rsid w:val="7D2F65CA"/>
    <w:rsid w:val="7D501D67"/>
    <w:rsid w:val="7D7C47EE"/>
    <w:rsid w:val="7DA72B1E"/>
    <w:rsid w:val="7DF674CC"/>
    <w:rsid w:val="7DFC109F"/>
    <w:rsid w:val="7E26080E"/>
    <w:rsid w:val="7E6D260F"/>
    <w:rsid w:val="7E747CB5"/>
    <w:rsid w:val="7E7B19A1"/>
    <w:rsid w:val="7E883279"/>
    <w:rsid w:val="7E947257"/>
    <w:rsid w:val="7EB83435"/>
    <w:rsid w:val="7EBB2221"/>
    <w:rsid w:val="7EDB41EE"/>
    <w:rsid w:val="7EEF58D8"/>
    <w:rsid w:val="7EF84C36"/>
    <w:rsid w:val="7EF92265"/>
    <w:rsid w:val="7F2F0F35"/>
    <w:rsid w:val="7F3F79EE"/>
    <w:rsid w:val="7FD5151F"/>
    <w:rsid w:val="7FEF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after="260" w:line="408" w:lineRule="auto"/>
      <w:outlineLvl w:val="2"/>
    </w:pPr>
    <w:rPr>
      <w:b/>
      <w:bCs/>
      <w:sz w:val="32"/>
      <w:szCs w:val="32"/>
    </w:rPr>
  </w:style>
  <w:style w:type="paragraph" w:styleId="6">
    <w:name w:val="heading 4"/>
    <w:basedOn w:val="1"/>
    <w:next w:val="1"/>
    <w:link w:val="57"/>
    <w:qFormat/>
    <w:uiPriority w:val="0"/>
    <w:pPr>
      <w:keepNext/>
      <w:keepLines/>
      <w:tabs>
        <w:tab w:val="left" w:pos="864"/>
      </w:tabs>
      <w:spacing w:before="280" w:after="290" w:line="372" w:lineRule="auto"/>
      <w:ind w:left="864" w:hanging="864"/>
      <w:outlineLvl w:val="3"/>
    </w:pPr>
    <w:rPr>
      <w:rFonts w:ascii="Arial" w:hAnsi="Arial" w:eastAsia="黑体"/>
      <w:b/>
      <w:bCs/>
      <w:sz w:val="28"/>
      <w:szCs w:val="28"/>
      <w:lang w:val="zh-CN"/>
    </w:rPr>
  </w:style>
  <w:style w:type="paragraph" w:styleId="7">
    <w:name w:val="heading 5"/>
    <w:basedOn w:val="1"/>
    <w:next w:val="1"/>
    <w:link w:val="58"/>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link w:val="59"/>
    <w:qFormat/>
    <w:uiPriority w:val="0"/>
    <w:pPr>
      <w:keepNext/>
      <w:keepLines/>
      <w:tabs>
        <w:tab w:val="left" w:pos="1152"/>
      </w:tabs>
      <w:spacing w:before="240" w:after="64" w:line="312" w:lineRule="auto"/>
      <w:ind w:left="1152" w:hanging="1152"/>
      <w:outlineLvl w:val="5"/>
    </w:pPr>
    <w:rPr>
      <w:rFonts w:ascii="Arial" w:hAnsi="Arial" w:eastAsia="黑体"/>
      <w:b/>
      <w:bCs/>
      <w:sz w:val="24"/>
    </w:rPr>
  </w:style>
  <w:style w:type="paragraph" w:styleId="9">
    <w:name w:val="heading 7"/>
    <w:basedOn w:val="1"/>
    <w:next w:val="1"/>
    <w:link w:val="60"/>
    <w:qFormat/>
    <w:uiPriority w:val="0"/>
    <w:pPr>
      <w:keepNext/>
      <w:keepLines/>
      <w:tabs>
        <w:tab w:val="left" w:pos="1296"/>
      </w:tabs>
      <w:spacing w:before="240" w:after="64" w:line="312" w:lineRule="auto"/>
      <w:ind w:left="1296" w:hanging="1296"/>
      <w:outlineLvl w:val="6"/>
    </w:pPr>
    <w:rPr>
      <w:b/>
      <w:bCs/>
      <w:sz w:val="24"/>
    </w:rPr>
  </w:style>
  <w:style w:type="paragraph" w:styleId="10">
    <w:name w:val="heading 8"/>
    <w:basedOn w:val="1"/>
    <w:next w:val="1"/>
    <w:link w:val="61"/>
    <w:qFormat/>
    <w:uiPriority w:val="9"/>
    <w:pPr>
      <w:keepNext/>
      <w:keepLines/>
      <w:tabs>
        <w:tab w:val="left" w:pos="1440"/>
      </w:tabs>
      <w:spacing w:before="240" w:after="64" w:line="312" w:lineRule="auto"/>
      <w:ind w:left="1440" w:hanging="1440"/>
      <w:outlineLvl w:val="7"/>
    </w:pPr>
    <w:rPr>
      <w:rFonts w:ascii="Arial" w:hAnsi="Arial" w:eastAsia="黑体"/>
      <w:sz w:val="24"/>
    </w:rPr>
  </w:style>
  <w:style w:type="paragraph" w:styleId="11">
    <w:name w:val="heading 9"/>
    <w:basedOn w:val="1"/>
    <w:next w:val="1"/>
    <w:link w:val="62"/>
    <w:qFormat/>
    <w:uiPriority w:val="0"/>
    <w:pPr>
      <w:keepNext/>
      <w:keepLines/>
      <w:tabs>
        <w:tab w:val="left" w:pos="1584"/>
      </w:tabs>
      <w:spacing w:before="240" w:after="64" w:line="312" w:lineRule="auto"/>
      <w:ind w:left="1584" w:hanging="1584"/>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3"/>
    <w:unhideWhenUsed/>
    <w:qFormat/>
    <w:uiPriority w:val="99"/>
    <w:pPr>
      <w:ind w:firstLine="420" w:firstLineChars="200"/>
    </w:pPr>
  </w:style>
  <w:style w:type="paragraph" w:styleId="12">
    <w:name w:val="List Number"/>
    <w:basedOn w:val="1"/>
    <w:qFormat/>
    <w:uiPriority w:val="0"/>
    <w:pPr>
      <w:widowControl/>
      <w:tabs>
        <w:tab w:val="left" w:pos="420"/>
        <w:tab w:val="left" w:pos="454"/>
        <w:tab w:val="left" w:pos="720"/>
      </w:tabs>
      <w:spacing w:afterLines="50" w:line="360" w:lineRule="auto"/>
      <w:ind w:left="908" w:hanging="284" w:firstLineChars="200"/>
      <w:jc w:val="left"/>
    </w:pPr>
    <w:rPr>
      <w:kern w:val="0"/>
      <w:sz w:val="24"/>
      <w:szCs w:val="20"/>
    </w:rPr>
  </w:style>
  <w:style w:type="paragraph" w:styleId="13">
    <w:name w:val="caption"/>
    <w:basedOn w:val="1"/>
    <w:next w:val="1"/>
    <w:qFormat/>
    <w:uiPriority w:val="0"/>
    <w:pPr>
      <w:spacing w:before="152" w:after="160" w:line="360" w:lineRule="auto"/>
      <w:ind w:firstLine="420" w:firstLineChars="200"/>
    </w:pPr>
    <w:rPr>
      <w:rFonts w:ascii="Arial" w:hAnsi="Arial" w:eastAsia="黑体" w:cs="Arial"/>
      <w:sz w:val="20"/>
      <w:szCs w:val="20"/>
    </w:rPr>
  </w:style>
  <w:style w:type="paragraph" w:styleId="14">
    <w:name w:val="Document Map"/>
    <w:basedOn w:val="1"/>
    <w:link w:val="63"/>
    <w:unhideWhenUsed/>
    <w:qFormat/>
    <w:uiPriority w:val="0"/>
    <w:rPr>
      <w:rFonts w:ascii="宋体"/>
      <w:sz w:val="18"/>
      <w:szCs w:val="18"/>
    </w:rPr>
  </w:style>
  <w:style w:type="paragraph" w:styleId="15">
    <w:name w:val="annotation text"/>
    <w:basedOn w:val="1"/>
    <w:link w:val="64"/>
    <w:qFormat/>
    <w:uiPriority w:val="99"/>
    <w:pPr>
      <w:jc w:val="left"/>
    </w:pPr>
    <w:rPr>
      <w:rFonts w:ascii="Calibri" w:hAnsi="Calibri"/>
      <w:kern w:val="0"/>
      <w:sz w:val="20"/>
    </w:rPr>
  </w:style>
  <w:style w:type="paragraph" w:styleId="16">
    <w:name w:val="Salutation"/>
    <w:basedOn w:val="1"/>
    <w:next w:val="1"/>
    <w:link w:val="65"/>
    <w:qFormat/>
    <w:uiPriority w:val="0"/>
    <w:rPr>
      <w:rFonts w:ascii="宋体" w:hAnsi="宋体"/>
      <w:sz w:val="24"/>
    </w:rPr>
  </w:style>
  <w:style w:type="paragraph" w:styleId="17">
    <w:name w:val="Body Text 3"/>
    <w:basedOn w:val="1"/>
    <w:link w:val="66"/>
    <w:qFormat/>
    <w:uiPriority w:val="0"/>
    <w:pPr>
      <w:spacing w:after="120"/>
    </w:pPr>
    <w:rPr>
      <w:rFonts w:ascii="宋体" w:hAnsi="宋体"/>
      <w:sz w:val="16"/>
      <w:szCs w:val="16"/>
    </w:rPr>
  </w:style>
  <w:style w:type="paragraph" w:styleId="18">
    <w:name w:val="Body Text"/>
    <w:basedOn w:val="1"/>
    <w:next w:val="19"/>
    <w:link w:val="67"/>
    <w:qFormat/>
    <w:uiPriority w:val="0"/>
    <w:pPr>
      <w:autoSpaceDE w:val="0"/>
      <w:autoSpaceDN w:val="0"/>
      <w:adjustRightInd w:val="0"/>
      <w:spacing w:line="360" w:lineRule="auto"/>
    </w:pPr>
    <w:rPr>
      <w:rFonts w:ascii="宋体"/>
      <w:sz w:val="24"/>
      <w:lang w:val="zh-CN"/>
    </w:rPr>
  </w:style>
  <w:style w:type="paragraph" w:styleId="19">
    <w:name w:val="Body Text First Indent"/>
    <w:basedOn w:val="18"/>
    <w:next w:val="1"/>
    <w:link w:val="68"/>
    <w:qFormat/>
    <w:uiPriority w:val="0"/>
    <w:pPr>
      <w:ind w:firstLine="420"/>
    </w:pPr>
    <w:rPr>
      <w:rFonts w:hAnsi="宋体"/>
    </w:rPr>
  </w:style>
  <w:style w:type="paragraph" w:styleId="20">
    <w:name w:val="Body Text Indent"/>
    <w:basedOn w:val="1"/>
    <w:link w:val="69"/>
    <w:qFormat/>
    <w:uiPriority w:val="0"/>
    <w:pPr>
      <w:spacing w:line="480" w:lineRule="auto"/>
      <w:ind w:firstLine="600"/>
    </w:pPr>
    <w:rPr>
      <w:rFonts w:ascii="宋体" w:hAnsi="宋体"/>
      <w:sz w:val="28"/>
      <w:szCs w:val="28"/>
    </w:rPr>
  </w:style>
  <w:style w:type="paragraph" w:styleId="21">
    <w:name w:val="List Number 3"/>
    <w:basedOn w:val="1"/>
    <w:qFormat/>
    <w:uiPriority w:val="0"/>
    <w:pPr>
      <w:tabs>
        <w:tab w:val="left" w:pos="1200"/>
      </w:tabs>
      <w:spacing w:line="360" w:lineRule="auto"/>
      <w:ind w:left="1200" w:hanging="360" w:firstLineChars="200"/>
    </w:pPr>
    <w:rPr>
      <w:sz w:val="24"/>
    </w:rPr>
  </w:style>
  <w:style w:type="paragraph" w:styleId="22">
    <w:name w:val="toc 3"/>
    <w:basedOn w:val="1"/>
    <w:next w:val="1"/>
    <w:qFormat/>
    <w:uiPriority w:val="0"/>
    <w:pPr>
      <w:ind w:left="840" w:leftChars="400"/>
    </w:pPr>
    <w:rPr>
      <w:szCs w:val="21"/>
    </w:rPr>
  </w:style>
  <w:style w:type="paragraph" w:styleId="23">
    <w:name w:val="Plain Text"/>
    <w:basedOn w:val="1"/>
    <w:link w:val="70"/>
    <w:qFormat/>
    <w:uiPriority w:val="0"/>
    <w:rPr>
      <w:rFonts w:ascii="宋体" w:hAnsi="Courier New"/>
    </w:rPr>
  </w:style>
  <w:style w:type="paragraph" w:styleId="24">
    <w:name w:val="Date"/>
    <w:basedOn w:val="1"/>
    <w:next w:val="1"/>
    <w:link w:val="71"/>
    <w:qFormat/>
    <w:uiPriority w:val="0"/>
    <w:pPr>
      <w:ind w:left="2500" w:leftChars="2500"/>
    </w:pPr>
    <w:rPr>
      <w:rFonts w:ascii="黑体" w:eastAsia="黑体"/>
      <w:spacing w:val="4"/>
      <w:sz w:val="24"/>
    </w:rPr>
  </w:style>
  <w:style w:type="paragraph" w:styleId="25">
    <w:name w:val="Body Text Indent 2"/>
    <w:basedOn w:val="1"/>
    <w:link w:val="72"/>
    <w:qFormat/>
    <w:uiPriority w:val="0"/>
    <w:pPr>
      <w:spacing w:line="360" w:lineRule="atLeast"/>
      <w:ind w:firstLine="540"/>
    </w:pPr>
    <w:rPr>
      <w:rFonts w:ascii="宋体" w:hAnsi="宋体"/>
      <w:szCs w:val="21"/>
    </w:rPr>
  </w:style>
  <w:style w:type="paragraph" w:styleId="26">
    <w:name w:val="endnote text"/>
    <w:basedOn w:val="1"/>
    <w:link w:val="73"/>
    <w:qFormat/>
    <w:uiPriority w:val="0"/>
    <w:pPr>
      <w:snapToGrid w:val="0"/>
      <w:jc w:val="left"/>
    </w:pPr>
    <w:rPr>
      <w:kern w:val="0"/>
      <w:sz w:val="20"/>
    </w:rPr>
  </w:style>
  <w:style w:type="paragraph" w:styleId="27">
    <w:name w:val="Balloon Text"/>
    <w:basedOn w:val="1"/>
    <w:link w:val="74"/>
    <w:unhideWhenUsed/>
    <w:qFormat/>
    <w:uiPriority w:val="99"/>
    <w:rPr>
      <w:rFonts w:ascii="Calibri" w:hAnsi="Calibri"/>
      <w:kern w:val="0"/>
      <w:sz w:val="18"/>
      <w:szCs w:val="18"/>
    </w:rPr>
  </w:style>
  <w:style w:type="paragraph" w:styleId="28">
    <w:name w:val="footer"/>
    <w:basedOn w:val="1"/>
    <w:link w:val="75"/>
    <w:unhideWhenUsed/>
    <w:qFormat/>
    <w:uiPriority w:val="99"/>
    <w:pPr>
      <w:tabs>
        <w:tab w:val="center" w:pos="4153"/>
        <w:tab w:val="right" w:pos="8306"/>
      </w:tabs>
      <w:snapToGrid w:val="0"/>
      <w:jc w:val="left"/>
    </w:pPr>
    <w:rPr>
      <w:kern w:val="0"/>
      <w:sz w:val="18"/>
      <w:szCs w:val="18"/>
    </w:rPr>
  </w:style>
  <w:style w:type="paragraph" w:styleId="29">
    <w:name w:val="header"/>
    <w:basedOn w:val="1"/>
    <w:link w:val="7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style>
  <w:style w:type="paragraph" w:styleId="31">
    <w:name w:val="toc 4"/>
    <w:basedOn w:val="1"/>
    <w:next w:val="1"/>
    <w:qFormat/>
    <w:uiPriority w:val="0"/>
    <w:pPr>
      <w:spacing w:line="360" w:lineRule="auto"/>
      <w:ind w:left="720"/>
      <w:jc w:val="left"/>
    </w:pPr>
    <w:rPr>
      <w:sz w:val="24"/>
    </w:rPr>
  </w:style>
  <w:style w:type="paragraph" w:styleId="32">
    <w:name w:val="footnote text"/>
    <w:basedOn w:val="1"/>
    <w:link w:val="77"/>
    <w:qFormat/>
    <w:uiPriority w:val="0"/>
    <w:pPr>
      <w:snapToGrid w:val="0"/>
      <w:jc w:val="left"/>
    </w:pPr>
    <w:rPr>
      <w:kern w:val="0"/>
      <w:sz w:val="18"/>
      <w:szCs w:val="18"/>
    </w:rPr>
  </w:style>
  <w:style w:type="paragraph" w:styleId="33">
    <w:name w:val="Body Text Indent 3"/>
    <w:basedOn w:val="1"/>
    <w:link w:val="78"/>
    <w:qFormat/>
    <w:uiPriority w:val="0"/>
    <w:pPr>
      <w:spacing w:after="120"/>
      <w:ind w:left="200" w:leftChars="200"/>
    </w:pPr>
    <w:rPr>
      <w:rFonts w:ascii="宋体" w:hAnsi="宋体"/>
      <w:sz w:val="16"/>
      <w:szCs w:val="16"/>
    </w:rPr>
  </w:style>
  <w:style w:type="paragraph" w:styleId="34">
    <w:name w:val="toc 2"/>
    <w:basedOn w:val="1"/>
    <w:next w:val="1"/>
    <w:qFormat/>
    <w:uiPriority w:val="0"/>
    <w:pPr>
      <w:tabs>
        <w:tab w:val="right" w:leader="dot" w:pos="8390"/>
      </w:tabs>
      <w:spacing w:line="360" w:lineRule="auto"/>
      <w:ind w:left="420" w:leftChars="200"/>
    </w:pPr>
    <w:rPr>
      <w:szCs w:val="21"/>
    </w:rPr>
  </w:style>
  <w:style w:type="paragraph" w:styleId="35">
    <w:name w:val="Body Text 2"/>
    <w:basedOn w:val="1"/>
    <w:link w:val="79"/>
    <w:qFormat/>
    <w:uiPriority w:val="0"/>
    <w:pPr>
      <w:widowControl/>
      <w:overflowPunct w:val="0"/>
      <w:autoSpaceDE w:val="0"/>
      <w:autoSpaceDN w:val="0"/>
      <w:adjustRightInd w:val="0"/>
      <w:ind w:left="720" w:hanging="720"/>
    </w:pPr>
    <w:rPr>
      <w:rFonts w:ascii="宋体" w:hAnsi="宋体"/>
      <w:kern w:val="0"/>
      <w:sz w:val="24"/>
      <w:lang w:val="en-GB"/>
    </w:rPr>
  </w:style>
  <w:style w:type="paragraph" w:styleId="36">
    <w:name w:val="List 4"/>
    <w:basedOn w:val="1"/>
    <w:qFormat/>
    <w:uiPriority w:val="0"/>
    <w:pPr>
      <w:ind w:left="600" w:leftChars="600" w:hanging="200" w:hangingChars="200"/>
    </w:pPr>
    <w:rPr>
      <w:sz w:val="28"/>
      <w:szCs w:val="28"/>
    </w:rPr>
  </w:style>
  <w:style w:type="paragraph" w:styleId="37">
    <w:name w:val="HTML Preformatted"/>
    <w:basedOn w:val="1"/>
    <w:link w:val="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18"/>
      <w:szCs w:val="18"/>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szCs w:val="21"/>
    </w:rPr>
  </w:style>
  <w:style w:type="paragraph" w:styleId="39">
    <w:name w:val="Title"/>
    <w:basedOn w:val="1"/>
    <w:next w:val="1"/>
    <w:link w:val="81"/>
    <w:qFormat/>
    <w:uiPriority w:val="10"/>
    <w:pPr>
      <w:spacing w:before="240" w:after="60"/>
      <w:jc w:val="center"/>
      <w:outlineLvl w:val="0"/>
    </w:pPr>
    <w:rPr>
      <w:rFonts w:ascii="Cambria" w:hAnsi="Cambria"/>
      <w:b/>
      <w:bCs/>
      <w:kern w:val="0"/>
      <w:sz w:val="32"/>
      <w:szCs w:val="32"/>
    </w:rPr>
  </w:style>
  <w:style w:type="paragraph" w:styleId="40">
    <w:name w:val="annotation subject"/>
    <w:basedOn w:val="15"/>
    <w:next w:val="15"/>
    <w:link w:val="82"/>
    <w:unhideWhenUsed/>
    <w:qFormat/>
    <w:uiPriority w:val="99"/>
    <w:rPr>
      <w:b/>
      <w:bCs/>
      <w:kern w:val="2"/>
      <w:sz w:val="21"/>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rFonts w:hint="default" w:ascii="Times New Roman" w:hAnsi="Times New Roman" w:cs="Times New Roman"/>
      <w:b/>
      <w:bCs/>
    </w:rPr>
  </w:style>
  <w:style w:type="character" w:styleId="45">
    <w:name w:val="endnote reference"/>
    <w:qFormat/>
    <w:uiPriority w:val="0"/>
    <w:rPr>
      <w:vertAlign w:val="superscript"/>
    </w:rPr>
  </w:style>
  <w:style w:type="character" w:styleId="46">
    <w:name w:val="page number"/>
    <w:qFormat/>
    <w:uiPriority w:val="0"/>
    <w:rPr>
      <w:rFonts w:hint="default" w:ascii="Times New Roman" w:hAnsi="Times New Roman" w:cs="Times New Roman"/>
    </w:rPr>
  </w:style>
  <w:style w:type="character" w:styleId="47">
    <w:name w:val="FollowedHyperlink"/>
    <w:unhideWhenUsed/>
    <w:qFormat/>
    <w:uiPriority w:val="0"/>
    <w:rPr>
      <w:color w:val="800080"/>
      <w:u w:val="single"/>
    </w:rPr>
  </w:style>
  <w:style w:type="character" w:styleId="48">
    <w:name w:val="Emphasis"/>
    <w:qFormat/>
    <w:uiPriority w:val="0"/>
  </w:style>
  <w:style w:type="character" w:styleId="49">
    <w:name w:val="line number"/>
    <w:qFormat/>
    <w:uiPriority w:val="0"/>
    <w:rPr>
      <w:rFonts w:hint="default" w:ascii="Times New Roman" w:hAnsi="Times New Roman" w:cs="Times New Roman"/>
    </w:rPr>
  </w:style>
  <w:style w:type="character" w:styleId="50">
    <w:name w:val="Hyperlink"/>
    <w:unhideWhenUsed/>
    <w:qFormat/>
    <w:uiPriority w:val="99"/>
    <w:rPr>
      <w:color w:val="0000FF"/>
      <w:u w:val="single"/>
    </w:rPr>
  </w:style>
  <w:style w:type="character" w:styleId="51">
    <w:name w:val="annotation reference"/>
    <w:qFormat/>
    <w:uiPriority w:val="99"/>
    <w:rPr>
      <w:sz w:val="21"/>
      <w:szCs w:val="21"/>
    </w:rPr>
  </w:style>
  <w:style w:type="character" w:styleId="52">
    <w:name w:val="footnote reference"/>
    <w:qFormat/>
    <w:uiPriority w:val="0"/>
    <w:rPr>
      <w:vertAlign w:val="superscript"/>
    </w:rPr>
  </w:style>
  <w:style w:type="character" w:customStyle="1" w:styleId="53">
    <w:name w:val="正文缩进 Char"/>
    <w:link w:val="2"/>
    <w:qFormat/>
    <w:uiPriority w:val="99"/>
    <w:rPr>
      <w:kern w:val="2"/>
      <w:sz w:val="21"/>
      <w:szCs w:val="24"/>
    </w:rPr>
  </w:style>
  <w:style w:type="character" w:customStyle="1" w:styleId="54">
    <w:name w:val="标题 1 Char"/>
    <w:link w:val="3"/>
    <w:qFormat/>
    <w:uiPriority w:val="9"/>
    <w:rPr>
      <w:b/>
      <w:bCs/>
      <w:kern w:val="44"/>
      <w:sz w:val="44"/>
      <w:szCs w:val="44"/>
    </w:rPr>
  </w:style>
  <w:style w:type="character" w:customStyle="1" w:styleId="55">
    <w:name w:val="标题 2 Char"/>
    <w:link w:val="4"/>
    <w:qFormat/>
    <w:uiPriority w:val="0"/>
    <w:rPr>
      <w:rFonts w:ascii="Arial" w:hAnsi="Arial" w:eastAsia="黑体" w:cs="Arial"/>
      <w:b/>
      <w:bCs/>
      <w:kern w:val="2"/>
      <w:sz w:val="32"/>
      <w:szCs w:val="32"/>
    </w:rPr>
  </w:style>
  <w:style w:type="character" w:customStyle="1" w:styleId="56">
    <w:name w:val="标题 3 Char"/>
    <w:link w:val="5"/>
    <w:qFormat/>
    <w:uiPriority w:val="0"/>
    <w:rPr>
      <w:rFonts w:ascii="Times New Roman" w:hAnsi="Times New Roman"/>
      <w:b/>
      <w:bCs/>
      <w:kern w:val="2"/>
      <w:sz w:val="32"/>
      <w:szCs w:val="32"/>
    </w:rPr>
  </w:style>
  <w:style w:type="character" w:customStyle="1" w:styleId="57">
    <w:name w:val="标题 4 Char"/>
    <w:link w:val="6"/>
    <w:qFormat/>
    <w:uiPriority w:val="0"/>
    <w:rPr>
      <w:rFonts w:ascii="Arial" w:hAnsi="Arial" w:eastAsia="黑体" w:cs="Arial"/>
      <w:b/>
      <w:bCs/>
      <w:kern w:val="2"/>
      <w:sz w:val="28"/>
      <w:szCs w:val="28"/>
      <w:lang w:val="zh-CN"/>
    </w:rPr>
  </w:style>
  <w:style w:type="character" w:customStyle="1" w:styleId="58">
    <w:name w:val="标题 5 Char"/>
    <w:link w:val="7"/>
    <w:qFormat/>
    <w:uiPriority w:val="0"/>
    <w:rPr>
      <w:rFonts w:ascii="Times New Roman" w:hAnsi="Times New Roman"/>
      <w:b/>
      <w:bCs/>
      <w:kern w:val="2"/>
      <w:sz w:val="28"/>
      <w:szCs w:val="28"/>
    </w:rPr>
  </w:style>
  <w:style w:type="character" w:customStyle="1" w:styleId="59">
    <w:name w:val="标题 6 Char"/>
    <w:link w:val="8"/>
    <w:qFormat/>
    <w:uiPriority w:val="0"/>
    <w:rPr>
      <w:rFonts w:ascii="Arial" w:hAnsi="Arial" w:eastAsia="黑体" w:cs="Arial"/>
      <w:b/>
      <w:bCs/>
      <w:kern w:val="2"/>
      <w:sz w:val="24"/>
      <w:szCs w:val="24"/>
    </w:rPr>
  </w:style>
  <w:style w:type="character" w:customStyle="1" w:styleId="60">
    <w:name w:val="标题 7 Char"/>
    <w:link w:val="9"/>
    <w:qFormat/>
    <w:uiPriority w:val="0"/>
    <w:rPr>
      <w:rFonts w:ascii="Times New Roman" w:hAnsi="Times New Roman"/>
      <w:b/>
      <w:bCs/>
      <w:kern w:val="2"/>
      <w:sz w:val="24"/>
      <w:szCs w:val="24"/>
    </w:rPr>
  </w:style>
  <w:style w:type="character" w:customStyle="1" w:styleId="61">
    <w:name w:val="标题 8 Char"/>
    <w:link w:val="10"/>
    <w:qFormat/>
    <w:uiPriority w:val="9"/>
    <w:rPr>
      <w:rFonts w:ascii="Arial" w:hAnsi="Arial" w:eastAsia="黑体" w:cs="Arial"/>
      <w:kern w:val="2"/>
      <w:sz w:val="24"/>
      <w:szCs w:val="24"/>
    </w:rPr>
  </w:style>
  <w:style w:type="character" w:customStyle="1" w:styleId="62">
    <w:name w:val="标题 9 Char"/>
    <w:link w:val="11"/>
    <w:qFormat/>
    <w:uiPriority w:val="0"/>
    <w:rPr>
      <w:rFonts w:ascii="Arial" w:hAnsi="Arial" w:eastAsia="黑体" w:cs="Arial"/>
      <w:kern w:val="2"/>
      <w:sz w:val="21"/>
      <w:szCs w:val="21"/>
    </w:rPr>
  </w:style>
  <w:style w:type="character" w:customStyle="1" w:styleId="63">
    <w:name w:val="文档结构图 Char"/>
    <w:link w:val="14"/>
    <w:qFormat/>
    <w:uiPriority w:val="0"/>
    <w:rPr>
      <w:rFonts w:ascii="宋体"/>
      <w:kern w:val="2"/>
      <w:sz w:val="18"/>
      <w:szCs w:val="18"/>
    </w:rPr>
  </w:style>
  <w:style w:type="character" w:customStyle="1" w:styleId="64">
    <w:name w:val="批注文字 Char"/>
    <w:link w:val="15"/>
    <w:qFormat/>
    <w:uiPriority w:val="99"/>
    <w:rPr>
      <w:rFonts w:ascii="Calibri" w:hAnsi="Calibri" w:eastAsia="宋体" w:cs="Times New Roman"/>
      <w:szCs w:val="24"/>
    </w:rPr>
  </w:style>
  <w:style w:type="character" w:customStyle="1" w:styleId="65">
    <w:name w:val="称呼 Char"/>
    <w:link w:val="16"/>
    <w:qFormat/>
    <w:uiPriority w:val="0"/>
    <w:rPr>
      <w:rFonts w:ascii="宋体" w:hAnsi="宋体"/>
      <w:kern w:val="2"/>
      <w:sz w:val="24"/>
      <w:szCs w:val="24"/>
    </w:rPr>
  </w:style>
  <w:style w:type="character" w:customStyle="1" w:styleId="66">
    <w:name w:val="正文文本 3 Char"/>
    <w:link w:val="17"/>
    <w:qFormat/>
    <w:uiPriority w:val="0"/>
    <w:rPr>
      <w:rFonts w:ascii="宋体" w:hAnsi="宋体"/>
      <w:kern w:val="2"/>
      <w:sz w:val="16"/>
      <w:szCs w:val="16"/>
    </w:rPr>
  </w:style>
  <w:style w:type="character" w:customStyle="1" w:styleId="67">
    <w:name w:val="正文文本 Char2"/>
    <w:link w:val="18"/>
    <w:qFormat/>
    <w:uiPriority w:val="0"/>
    <w:rPr>
      <w:rFonts w:ascii="宋体"/>
      <w:kern w:val="2"/>
      <w:sz w:val="24"/>
      <w:szCs w:val="24"/>
      <w:lang w:val="zh-CN"/>
    </w:rPr>
  </w:style>
  <w:style w:type="character" w:customStyle="1" w:styleId="68">
    <w:name w:val="正文首行缩进 Char"/>
    <w:link w:val="19"/>
    <w:qFormat/>
    <w:uiPriority w:val="0"/>
    <w:rPr>
      <w:rFonts w:ascii="宋体" w:hAnsi="宋体" w:cs="宋体"/>
      <w:kern w:val="2"/>
      <w:sz w:val="24"/>
      <w:szCs w:val="24"/>
      <w:lang w:val="zh-CN"/>
    </w:rPr>
  </w:style>
  <w:style w:type="character" w:customStyle="1" w:styleId="69">
    <w:name w:val="正文文本缩进 Char"/>
    <w:link w:val="20"/>
    <w:qFormat/>
    <w:uiPriority w:val="0"/>
    <w:rPr>
      <w:rFonts w:ascii="宋体" w:hAnsi="宋体"/>
      <w:kern w:val="2"/>
      <w:sz w:val="28"/>
      <w:szCs w:val="28"/>
    </w:rPr>
  </w:style>
  <w:style w:type="character" w:customStyle="1" w:styleId="70">
    <w:name w:val="纯文本 Char"/>
    <w:link w:val="23"/>
    <w:qFormat/>
    <w:uiPriority w:val="0"/>
    <w:rPr>
      <w:rFonts w:ascii="宋体" w:hAnsi="Courier New"/>
      <w:kern w:val="2"/>
      <w:sz w:val="21"/>
      <w:szCs w:val="24"/>
    </w:rPr>
  </w:style>
  <w:style w:type="character" w:customStyle="1" w:styleId="71">
    <w:name w:val="日期 Char"/>
    <w:link w:val="24"/>
    <w:qFormat/>
    <w:uiPriority w:val="0"/>
    <w:rPr>
      <w:rFonts w:ascii="黑体" w:eastAsia="黑体" w:cs="黑体"/>
      <w:spacing w:val="4"/>
      <w:kern w:val="2"/>
      <w:sz w:val="24"/>
      <w:szCs w:val="24"/>
    </w:rPr>
  </w:style>
  <w:style w:type="character" w:customStyle="1" w:styleId="72">
    <w:name w:val="正文文本缩进 2 Char"/>
    <w:link w:val="25"/>
    <w:qFormat/>
    <w:uiPriority w:val="0"/>
    <w:rPr>
      <w:rFonts w:ascii="宋体" w:hAnsi="宋体" w:cs="宋体"/>
      <w:kern w:val="2"/>
      <w:sz w:val="21"/>
      <w:szCs w:val="21"/>
    </w:rPr>
  </w:style>
  <w:style w:type="character" w:customStyle="1" w:styleId="73">
    <w:name w:val="尾注文本 Char"/>
    <w:link w:val="26"/>
    <w:qFormat/>
    <w:uiPriority w:val="0"/>
    <w:rPr>
      <w:szCs w:val="24"/>
    </w:rPr>
  </w:style>
  <w:style w:type="character" w:customStyle="1" w:styleId="74">
    <w:name w:val="批注框文本 Char"/>
    <w:link w:val="27"/>
    <w:qFormat/>
    <w:uiPriority w:val="99"/>
    <w:rPr>
      <w:rFonts w:ascii="Calibri" w:hAnsi="Calibri" w:eastAsia="宋体" w:cs="Times New Roman"/>
      <w:sz w:val="18"/>
      <w:szCs w:val="18"/>
    </w:rPr>
  </w:style>
  <w:style w:type="character" w:customStyle="1" w:styleId="75">
    <w:name w:val="页脚 Char"/>
    <w:link w:val="28"/>
    <w:qFormat/>
    <w:uiPriority w:val="99"/>
    <w:rPr>
      <w:sz w:val="18"/>
      <w:szCs w:val="18"/>
    </w:rPr>
  </w:style>
  <w:style w:type="character" w:customStyle="1" w:styleId="76">
    <w:name w:val="页眉 Char"/>
    <w:link w:val="29"/>
    <w:qFormat/>
    <w:uiPriority w:val="99"/>
    <w:rPr>
      <w:sz w:val="18"/>
      <w:szCs w:val="18"/>
    </w:rPr>
  </w:style>
  <w:style w:type="character" w:customStyle="1" w:styleId="77">
    <w:name w:val="脚注文本 Char"/>
    <w:link w:val="32"/>
    <w:qFormat/>
    <w:uiPriority w:val="0"/>
    <w:rPr>
      <w:sz w:val="18"/>
      <w:szCs w:val="18"/>
    </w:rPr>
  </w:style>
  <w:style w:type="character" w:customStyle="1" w:styleId="78">
    <w:name w:val="正文文本缩进 3 Char"/>
    <w:link w:val="33"/>
    <w:qFormat/>
    <w:uiPriority w:val="0"/>
    <w:rPr>
      <w:rFonts w:ascii="宋体" w:hAnsi="宋体"/>
      <w:kern w:val="2"/>
      <w:sz w:val="16"/>
      <w:szCs w:val="16"/>
    </w:rPr>
  </w:style>
  <w:style w:type="character" w:customStyle="1" w:styleId="79">
    <w:name w:val="正文文本 2 Char"/>
    <w:link w:val="35"/>
    <w:qFormat/>
    <w:uiPriority w:val="0"/>
    <w:rPr>
      <w:rFonts w:ascii="宋体" w:hAnsi="宋体"/>
      <w:sz w:val="24"/>
      <w:szCs w:val="24"/>
      <w:lang w:val="en-GB"/>
    </w:rPr>
  </w:style>
  <w:style w:type="character" w:customStyle="1" w:styleId="80">
    <w:name w:val="HTML 预设格式 Char"/>
    <w:link w:val="37"/>
    <w:qFormat/>
    <w:uiPriority w:val="0"/>
    <w:rPr>
      <w:kern w:val="2"/>
      <w:sz w:val="18"/>
      <w:szCs w:val="18"/>
    </w:rPr>
  </w:style>
  <w:style w:type="character" w:customStyle="1" w:styleId="81">
    <w:name w:val="标题 Char"/>
    <w:link w:val="39"/>
    <w:qFormat/>
    <w:uiPriority w:val="10"/>
    <w:rPr>
      <w:rFonts w:ascii="Cambria" w:hAnsi="Cambria" w:eastAsia="宋体" w:cs="Times New Roman"/>
      <w:b/>
      <w:bCs/>
      <w:sz w:val="32"/>
      <w:szCs w:val="32"/>
    </w:rPr>
  </w:style>
  <w:style w:type="character" w:customStyle="1" w:styleId="82">
    <w:name w:val="批注主题 Char"/>
    <w:link w:val="40"/>
    <w:qFormat/>
    <w:uiPriority w:val="99"/>
    <w:rPr>
      <w:rFonts w:ascii="Calibri" w:hAnsi="Calibri" w:eastAsia="宋体" w:cs="Times New Roman"/>
      <w:b/>
      <w:bCs/>
      <w:kern w:val="2"/>
      <w:sz w:val="21"/>
      <w:szCs w:val="24"/>
    </w:rPr>
  </w:style>
  <w:style w:type="character" w:customStyle="1" w:styleId="83">
    <w:name w:val="批注主题 Char1"/>
    <w:qFormat/>
    <w:uiPriority w:val="99"/>
    <w:rPr>
      <w:rFonts w:ascii="宋体" w:hAnsi="宋体" w:eastAsia="宋体"/>
      <w:b/>
      <w:bCs/>
      <w:kern w:val="2"/>
      <w:sz w:val="21"/>
      <w:szCs w:val="21"/>
      <w:lang w:val="en-US" w:eastAsia="zh-CN" w:bidi="ar-SA"/>
    </w:rPr>
  </w:style>
  <w:style w:type="character" w:customStyle="1" w:styleId="84">
    <w:name w:val="正文文本 3 Char2"/>
    <w:semiHidden/>
    <w:qFormat/>
    <w:uiPriority w:val="99"/>
    <w:rPr>
      <w:kern w:val="2"/>
      <w:sz w:val="16"/>
      <w:szCs w:val="16"/>
    </w:rPr>
  </w:style>
  <w:style w:type="character" w:customStyle="1" w:styleId="85">
    <w:name w:val="页眉 Char1"/>
    <w:semiHidden/>
    <w:qFormat/>
    <w:uiPriority w:val="99"/>
    <w:rPr>
      <w:kern w:val="2"/>
      <w:sz w:val="18"/>
      <w:szCs w:val="18"/>
    </w:rPr>
  </w:style>
  <w:style w:type="character" w:customStyle="1" w:styleId="86">
    <w:name w:val="结算规范正文 Char Char"/>
    <w:link w:val="87"/>
    <w:qFormat/>
    <w:uiPriority w:val="0"/>
    <w:rPr>
      <w:rFonts w:ascii="宋体" w:hAnsi="宋体" w:cs="宋体"/>
      <w:sz w:val="24"/>
    </w:rPr>
  </w:style>
  <w:style w:type="paragraph" w:customStyle="1" w:styleId="87">
    <w:name w:val="结算规范正文"/>
    <w:basedOn w:val="1"/>
    <w:link w:val="86"/>
    <w:qFormat/>
    <w:uiPriority w:val="0"/>
    <w:pPr>
      <w:adjustRightInd w:val="0"/>
      <w:spacing w:beforeLines="50" w:line="360" w:lineRule="auto"/>
      <w:ind w:firstLine="480" w:firstLineChars="200"/>
    </w:pPr>
    <w:rPr>
      <w:rFonts w:ascii="宋体" w:hAnsi="宋体"/>
      <w:kern w:val="0"/>
      <w:sz w:val="24"/>
      <w:szCs w:val="20"/>
    </w:rPr>
  </w:style>
  <w:style w:type="character" w:customStyle="1" w:styleId="88">
    <w:name w:val="FA正文 Char Char"/>
    <w:link w:val="89"/>
    <w:qFormat/>
    <w:uiPriority w:val="0"/>
    <w:rPr>
      <w:rFonts w:ascii="宋体" w:hAnsi="宋体"/>
      <w:kern w:val="2"/>
      <w:sz w:val="24"/>
      <w:szCs w:val="24"/>
    </w:rPr>
  </w:style>
  <w:style w:type="paragraph" w:customStyle="1" w:styleId="89">
    <w:name w:val="FA正文"/>
    <w:basedOn w:val="1"/>
    <w:link w:val="88"/>
    <w:qFormat/>
    <w:uiPriority w:val="0"/>
    <w:pPr>
      <w:spacing w:line="360" w:lineRule="auto"/>
      <w:ind w:firstLine="480" w:firstLineChars="200"/>
    </w:pPr>
    <w:rPr>
      <w:rFonts w:ascii="宋体" w:hAnsi="宋体"/>
      <w:sz w:val="24"/>
    </w:rPr>
  </w:style>
  <w:style w:type="character" w:customStyle="1" w:styleId="90">
    <w:name w:val="普通文字 Char Char1"/>
    <w:qFormat/>
    <w:uiPriority w:val="99"/>
    <w:rPr>
      <w:rFonts w:ascii="宋体" w:hAnsi="Courier New"/>
      <w:kern w:val="2"/>
      <w:sz w:val="21"/>
    </w:rPr>
  </w:style>
  <w:style w:type="character" w:customStyle="1" w:styleId="91">
    <w:name w:val="content"/>
    <w:qFormat/>
    <w:uiPriority w:val="0"/>
    <w:rPr>
      <w:rFonts w:hint="default" w:ascii="Times New Roman" w:hAnsi="Times New Roman" w:cs="Times New Roman"/>
    </w:rPr>
  </w:style>
  <w:style w:type="character" w:customStyle="1" w:styleId="92">
    <w:name w:val="dectext1"/>
    <w:qFormat/>
    <w:uiPriority w:val="0"/>
    <w:rPr>
      <w:rFonts w:hint="eastAsia" w:ascii="宋体" w:hAnsi="宋体" w:eastAsia="宋体" w:cs="宋体"/>
      <w:color w:val="auto"/>
      <w:sz w:val="21"/>
      <w:szCs w:val="21"/>
      <w:u w:val="none"/>
    </w:rPr>
  </w:style>
  <w:style w:type="character" w:customStyle="1" w:styleId="93">
    <w:name w:val="font41"/>
    <w:qFormat/>
    <w:uiPriority w:val="0"/>
    <w:rPr>
      <w:rFonts w:hint="eastAsia" w:ascii="仿宋_GB2312" w:eastAsia="仿宋_GB2312" w:cs="仿宋_GB2312"/>
      <w:color w:val="000000"/>
      <w:sz w:val="24"/>
      <w:szCs w:val="24"/>
      <w:u w:val="none"/>
    </w:rPr>
  </w:style>
  <w:style w:type="character" w:customStyle="1" w:styleId="94">
    <w:name w:val="标题 Char1"/>
    <w:qFormat/>
    <w:uiPriority w:val="10"/>
    <w:rPr>
      <w:rFonts w:ascii="Cambria" w:hAnsi="Cambria" w:cs="Times New Roman"/>
      <w:b/>
      <w:bCs/>
      <w:kern w:val="2"/>
      <w:sz w:val="32"/>
      <w:szCs w:val="32"/>
    </w:rPr>
  </w:style>
  <w:style w:type="character" w:customStyle="1" w:styleId="95">
    <w:name w:val="Other|1_"/>
    <w:link w:val="96"/>
    <w:qFormat/>
    <w:uiPriority w:val="0"/>
    <w:rPr>
      <w:rFonts w:ascii="宋体" w:hAnsi="宋体" w:cs="宋体"/>
      <w:lang w:val="zh-TW" w:eastAsia="zh-TW" w:bidi="zh-TW"/>
    </w:rPr>
  </w:style>
  <w:style w:type="paragraph" w:customStyle="1" w:styleId="96">
    <w:name w:val="Other|1"/>
    <w:basedOn w:val="1"/>
    <w:link w:val="95"/>
    <w:qFormat/>
    <w:uiPriority w:val="0"/>
    <w:pPr>
      <w:spacing w:line="298" w:lineRule="auto"/>
      <w:ind w:firstLine="400"/>
      <w:jc w:val="left"/>
    </w:pPr>
    <w:rPr>
      <w:rFonts w:ascii="宋体" w:hAnsi="宋体" w:cs="宋体"/>
      <w:kern w:val="0"/>
      <w:sz w:val="20"/>
      <w:szCs w:val="20"/>
      <w:lang w:val="zh-TW" w:eastAsia="zh-TW" w:bidi="zh-TW"/>
    </w:rPr>
  </w:style>
  <w:style w:type="character" w:customStyle="1" w:styleId="97">
    <w:name w:val="font31"/>
    <w:qFormat/>
    <w:uiPriority w:val="0"/>
    <w:rPr>
      <w:rFonts w:hint="eastAsia" w:ascii="仿宋_GB2312" w:eastAsia="仿宋_GB2312" w:cs="仿宋_GB2312"/>
      <w:color w:val="000000"/>
      <w:sz w:val="24"/>
      <w:szCs w:val="24"/>
      <w:u w:val="none"/>
    </w:rPr>
  </w:style>
  <w:style w:type="character" w:customStyle="1" w:styleId="98">
    <w:name w:val="正文文本缩进 3 Char1"/>
    <w:semiHidden/>
    <w:qFormat/>
    <w:uiPriority w:val="99"/>
    <w:rPr>
      <w:kern w:val="2"/>
      <w:sz w:val="16"/>
      <w:szCs w:val="16"/>
    </w:rPr>
  </w:style>
  <w:style w:type="character" w:customStyle="1" w:styleId="99">
    <w:name w:val="unnamed11"/>
    <w:qFormat/>
    <w:uiPriority w:val="0"/>
    <w:rPr>
      <w:rFonts w:hint="default" w:ascii="Times New Roman" w:hAnsi="Times New Roman" w:cs="Times New Roman"/>
      <w:sz w:val="20"/>
      <w:szCs w:val="20"/>
    </w:rPr>
  </w:style>
  <w:style w:type="character" w:customStyle="1" w:styleId="100">
    <w:name w:val="正文文本缩进 2 Char2"/>
    <w:semiHidden/>
    <w:qFormat/>
    <w:uiPriority w:val="99"/>
    <w:rPr>
      <w:kern w:val="2"/>
      <w:sz w:val="21"/>
      <w:szCs w:val="24"/>
    </w:rPr>
  </w:style>
  <w:style w:type="character" w:customStyle="1" w:styleId="101">
    <w:name w:val="font21"/>
    <w:qFormat/>
    <w:uiPriority w:val="0"/>
    <w:rPr>
      <w:rFonts w:hint="eastAsia" w:ascii="宋体" w:hAnsi="宋体" w:eastAsia="宋体" w:cs="宋体"/>
      <w:color w:val="000000"/>
      <w:sz w:val="21"/>
      <w:szCs w:val="21"/>
      <w:u w:val="none"/>
    </w:rPr>
  </w:style>
  <w:style w:type="character" w:customStyle="1" w:styleId="102">
    <w:name w:val="正文文本缩进 2 Char1"/>
    <w:semiHidden/>
    <w:qFormat/>
    <w:uiPriority w:val="99"/>
    <w:rPr>
      <w:kern w:val="2"/>
      <w:sz w:val="21"/>
      <w:szCs w:val="22"/>
    </w:rPr>
  </w:style>
  <w:style w:type="character" w:customStyle="1" w:styleId="103">
    <w:name w:val="正文文本缩进 Char2"/>
    <w:semiHidden/>
    <w:qFormat/>
    <w:uiPriority w:val="99"/>
    <w:rPr>
      <w:kern w:val="2"/>
      <w:sz w:val="21"/>
      <w:szCs w:val="24"/>
    </w:rPr>
  </w:style>
  <w:style w:type="character" w:customStyle="1" w:styleId="104">
    <w:name w:val="脚注文本 Char3"/>
    <w:semiHidden/>
    <w:qFormat/>
    <w:uiPriority w:val="99"/>
    <w:rPr>
      <w:kern w:val="2"/>
      <w:sz w:val="18"/>
      <w:szCs w:val="18"/>
    </w:rPr>
  </w:style>
  <w:style w:type="character" w:customStyle="1" w:styleId="105">
    <w:name w:val="尾注文本 Char3"/>
    <w:semiHidden/>
    <w:qFormat/>
    <w:uiPriority w:val="99"/>
    <w:rPr>
      <w:kern w:val="2"/>
      <w:sz w:val="21"/>
      <w:szCs w:val="24"/>
    </w:rPr>
  </w:style>
  <w:style w:type="character" w:customStyle="1" w:styleId="106">
    <w:name w:val="正文缩进 Char2"/>
    <w:qFormat/>
    <w:uiPriority w:val="0"/>
    <w:rPr>
      <w:rFonts w:ascii="宋体" w:eastAsia="宋体"/>
      <w:snapToGrid w:val="0"/>
      <w:color w:val="000000"/>
      <w:kern w:val="28"/>
      <w:sz w:val="28"/>
      <w:lang w:val="en-US" w:eastAsia="zh-CN" w:bidi="ar-SA"/>
    </w:rPr>
  </w:style>
  <w:style w:type="character" w:customStyle="1" w:styleId="107">
    <w:name w:val="正文首行缩进 Char1"/>
    <w:semiHidden/>
    <w:qFormat/>
    <w:uiPriority w:val="99"/>
    <w:rPr>
      <w:rFonts w:ascii="宋体"/>
      <w:kern w:val="2"/>
      <w:sz w:val="21"/>
      <w:szCs w:val="24"/>
      <w:lang w:val="zh-CN"/>
    </w:rPr>
  </w:style>
  <w:style w:type="character" w:customStyle="1" w:styleId="108">
    <w:name w:val="正文2 Char Char"/>
    <w:link w:val="109"/>
    <w:qFormat/>
    <w:uiPriority w:val="0"/>
    <w:rPr>
      <w:kern w:val="2"/>
      <w:sz w:val="24"/>
      <w:szCs w:val="24"/>
    </w:rPr>
  </w:style>
  <w:style w:type="paragraph" w:customStyle="1" w:styleId="109">
    <w:name w:val="正文2"/>
    <w:basedOn w:val="1"/>
    <w:link w:val="108"/>
    <w:qFormat/>
    <w:uiPriority w:val="0"/>
    <w:pPr>
      <w:spacing w:before="156" w:line="360" w:lineRule="auto"/>
      <w:ind w:firstLine="510" w:firstLineChars="200"/>
    </w:pPr>
    <w:rPr>
      <w:sz w:val="24"/>
    </w:rPr>
  </w:style>
  <w:style w:type="character" w:customStyle="1" w:styleId="110">
    <w:name w:val="HTML 预设格式 Char1"/>
    <w:semiHidden/>
    <w:qFormat/>
    <w:uiPriority w:val="99"/>
    <w:rPr>
      <w:rFonts w:ascii="Courier New" w:hAnsi="Courier New" w:cs="Courier New"/>
      <w:kern w:val="2"/>
    </w:rPr>
  </w:style>
  <w:style w:type="character" w:customStyle="1" w:styleId="111">
    <w:name w:val="正文文本缩进 Char1"/>
    <w:semiHidden/>
    <w:qFormat/>
    <w:uiPriority w:val="99"/>
    <w:rPr>
      <w:kern w:val="2"/>
      <w:sz w:val="21"/>
      <w:szCs w:val="22"/>
    </w:rPr>
  </w:style>
  <w:style w:type="character" w:customStyle="1" w:styleId="112">
    <w:name w:val="页脚 Char1"/>
    <w:semiHidden/>
    <w:qFormat/>
    <w:uiPriority w:val="99"/>
    <w:rPr>
      <w:kern w:val="2"/>
      <w:sz w:val="18"/>
      <w:szCs w:val="18"/>
    </w:rPr>
  </w:style>
  <w:style w:type="character" w:customStyle="1" w:styleId="113">
    <w:name w:val="正文文本缩进 3 Char2"/>
    <w:semiHidden/>
    <w:qFormat/>
    <w:uiPriority w:val="99"/>
    <w:rPr>
      <w:kern w:val="2"/>
      <w:sz w:val="16"/>
      <w:szCs w:val="16"/>
    </w:rPr>
  </w:style>
  <w:style w:type="character" w:customStyle="1" w:styleId="114">
    <w:name w:val="text1"/>
    <w:qFormat/>
    <w:uiPriority w:val="0"/>
  </w:style>
  <w:style w:type="character" w:customStyle="1" w:styleId="115">
    <w:name w:val="Char Char6"/>
    <w:link w:val="116"/>
    <w:qFormat/>
    <w:uiPriority w:val="0"/>
    <w:rPr>
      <w:rFonts w:ascii="宋体" w:hAnsi="Courier New"/>
      <w:kern w:val="2"/>
      <w:sz w:val="21"/>
      <w:szCs w:val="21"/>
    </w:rPr>
  </w:style>
  <w:style w:type="paragraph" w:customStyle="1" w:styleId="116">
    <w:name w:val="Char3"/>
    <w:basedOn w:val="1"/>
    <w:link w:val="115"/>
    <w:qFormat/>
    <w:uiPriority w:val="0"/>
    <w:rPr>
      <w:rFonts w:ascii="宋体" w:hAnsi="Courier New"/>
      <w:szCs w:val="21"/>
    </w:rPr>
  </w:style>
  <w:style w:type="character" w:customStyle="1" w:styleId="117">
    <w:name w:val="正文文本 3 Char1"/>
    <w:semiHidden/>
    <w:qFormat/>
    <w:uiPriority w:val="99"/>
    <w:rPr>
      <w:kern w:val="2"/>
      <w:sz w:val="16"/>
      <w:szCs w:val="16"/>
    </w:rPr>
  </w:style>
  <w:style w:type="character" w:customStyle="1" w:styleId="118">
    <w:name w:val="脚注文本 Char2"/>
    <w:qFormat/>
    <w:uiPriority w:val="0"/>
    <w:rPr>
      <w:kern w:val="2"/>
      <w:sz w:val="18"/>
      <w:szCs w:val="18"/>
    </w:rPr>
  </w:style>
  <w:style w:type="character" w:customStyle="1" w:styleId="119">
    <w:name w:val="HTML 预设格式 Char2"/>
    <w:semiHidden/>
    <w:qFormat/>
    <w:uiPriority w:val="99"/>
    <w:rPr>
      <w:rFonts w:ascii="Courier New" w:hAnsi="Courier New" w:cs="Courier New"/>
      <w:kern w:val="2"/>
    </w:rPr>
  </w:style>
  <w:style w:type="character" w:customStyle="1" w:styleId="120">
    <w:name w:val="样式1 Char Char"/>
    <w:link w:val="121"/>
    <w:qFormat/>
    <w:uiPriority w:val="0"/>
    <w:rPr>
      <w:rFonts w:ascii="宋体" w:hAnsi="宋体" w:cs="宋体"/>
      <w:sz w:val="24"/>
      <w:szCs w:val="24"/>
    </w:rPr>
  </w:style>
  <w:style w:type="paragraph" w:customStyle="1" w:styleId="121">
    <w:name w:val="样式1"/>
    <w:basedOn w:val="1"/>
    <w:link w:val="120"/>
    <w:qFormat/>
    <w:uiPriority w:val="0"/>
    <w:pPr>
      <w:widowControl/>
      <w:tabs>
        <w:tab w:val="left" w:pos="1212"/>
        <w:tab w:val="left" w:pos="3888"/>
      </w:tabs>
      <w:snapToGrid w:val="0"/>
      <w:spacing w:line="336" w:lineRule="auto"/>
      <w:ind w:firstLine="432"/>
      <w:jc w:val="left"/>
    </w:pPr>
    <w:rPr>
      <w:rFonts w:ascii="宋体" w:hAnsi="宋体"/>
      <w:kern w:val="0"/>
      <w:sz w:val="24"/>
    </w:rPr>
  </w:style>
  <w:style w:type="character" w:customStyle="1" w:styleId="122">
    <w:name w:val="纯文本 Char Char Char Char"/>
    <w:qFormat/>
    <w:uiPriority w:val="0"/>
    <w:rPr>
      <w:rFonts w:ascii="宋体" w:hAnsi="Courier New" w:eastAsia="宋体" w:cs="Courier New"/>
      <w:kern w:val="2"/>
      <w:sz w:val="21"/>
      <w:szCs w:val="21"/>
      <w:lang w:val="en-US" w:eastAsia="zh-CN" w:bidi="ar-SA"/>
    </w:rPr>
  </w:style>
  <w:style w:type="character" w:customStyle="1" w:styleId="123">
    <w:name w:val="表正文 Char"/>
    <w:qFormat/>
    <w:uiPriority w:val="0"/>
    <w:rPr>
      <w:rFonts w:ascii="宋体"/>
      <w:snapToGrid/>
      <w:color w:val="000000"/>
      <w:kern w:val="28"/>
      <w:sz w:val="28"/>
    </w:rPr>
  </w:style>
  <w:style w:type="character" w:customStyle="1" w:styleId="124">
    <w:name w:val="正文2 Char Char Char"/>
    <w:qFormat/>
    <w:locked/>
    <w:uiPriority w:val="0"/>
    <w:rPr>
      <w:kern w:val="2"/>
      <w:sz w:val="24"/>
      <w:szCs w:val="24"/>
    </w:rPr>
  </w:style>
  <w:style w:type="character" w:customStyle="1" w:styleId="125">
    <w:name w:val="DN-正文 Char Char"/>
    <w:link w:val="126"/>
    <w:qFormat/>
    <w:uiPriority w:val="0"/>
  </w:style>
  <w:style w:type="paragraph" w:customStyle="1" w:styleId="126">
    <w:name w:val="DN-正文"/>
    <w:basedOn w:val="2"/>
    <w:link w:val="125"/>
    <w:qFormat/>
    <w:uiPriority w:val="0"/>
    <w:pPr>
      <w:spacing w:line="400" w:lineRule="exact"/>
      <w:ind w:firstLine="200"/>
    </w:pPr>
    <w:rPr>
      <w:kern w:val="0"/>
      <w:sz w:val="20"/>
      <w:szCs w:val="20"/>
    </w:rPr>
  </w:style>
  <w:style w:type="character" w:customStyle="1" w:styleId="127">
    <w:name w:val="font11"/>
    <w:qFormat/>
    <w:uiPriority w:val="0"/>
    <w:rPr>
      <w:rFonts w:hint="eastAsia" w:ascii="宋体" w:hAnsi="宋体" w:eastAsia="宋体" w:cs="宋体"/>
      <w:color w:val="000000"/>
      <w:sz w:val="24"/>
      <w:szCs w:val="24"/>
      <w:u w:val="none"/>
    </w:rPr>
  </w:style>
  <w:style w:type="character" w:customStyle="1" w:styleId="128">
    <w:name w:val="正文段 Char"/>
    <w:link w:val="129"/>
    <w:qFormat/>
    <w:uiPriority w:val="0"/>
    <w:rPr>
      <w:rFonts w:ascii="Times New Roman" w:hAnsi="Times New Roman"/>
      <w:sz w:val="24"/>
    </w:rPr>
  </w:style>
  <w:style w:type="paragraph" w:customStyle="1" w:styleId="129">
    <w:name w:val="正文段"/>
    <w:basedOn w:val="1"/>
    <w:link w:val="128"/>
    <w:qFormat/>
    <w:uiPriority w:val="0"/>
    <w:pPr>
      <w:widowControl/>
      <w:snapToGrid w:val="0"/>
      <w:spacing w:afterLines="50"/>
      <w:ind w:firstLine="200" w:firstLineChars="200"/>
    </w:pPr>
    <w:rPr>
      <w:kern w:val="0"/>
      <w:sz w:val="24"/>
      <w:szCs w:val="20"/>
    </w:rPr>
  </w:style>
  <w:style w:type="character" w:customStyle="1" w:styleId="130">
    <w:name w:val="尾注文本 Char2"/>
    <w:qFormat/>
    <w:uiPriority w:val="0"/>
    <w:rPr>
      <w:kern w:val="2"/>
      <w:sz w:val="21"/>
      <w:szCs w:val="21"/>
    </w:rPr>
  </w:style>
  <w:style w:type="character" w:customStyle="1" w:styleId="131">
    <w:name w:val="正文文本 2 Char1"/>
    <w:semiHidden/>
    <w:qFormat/>
    <w:uiPriority w:val="99"/>
    <w:rPr>
      <w:kern w:val="2"/>
      <w:sz w:val="21"/>
      <w:szCs w:val="22"/>
    </w:rPr>
  </w:style>
  <w:style w:type="character" w:customStyle="1" w:styleId="132">
    <w:name w:val="尾注文本 Char1"/>
    <w:qFormat/>
    <w:uiPriority w:val="99"/>
    <w:rPr>
      <w:kern w:val="2"/>
      <w:sz w:val="21"/>
      <w:szCs w:val="21"/>
    </w:rPr>
  </w:style>
  <w:style w:type="character" w:customStyle="1" w:styleId="133">
    <w:name w:val="style81"/>
    <w:qFormat/>
    <w:uiPriority w:val="0"/>
    <w:rPr>
      <w:sz w:val="20"/>
      <w:szCs w:val="20"/>
    </w:rPr>
  </w:style>
  <w:style w:type="character" w:customStyle="1" w:styleId="134">
    <w:name w:val="日期 Char1"/>
    <w:semiHidden/>
    <w:qFormat/>
    <w:uiPriority w:val="99"/>
    <w:rPr>
      <w:kern w:val="2"/>
      <w:sz w:val="21"/>
      <w:szCs w:val="22"/>
    </w:rPr>
  </w:style>
  <w:style w:type="character" w:customStyle="1" w:styleId="135">
    <w:name w:val="question-title2"/>
    <w:qFormat/>
    <w:uiPriority w:val="0"/>
  </w:style>
  <w:style w:type="character" w:customStyle="1" w:styleId="136">
    <w:name w:val="标题 1 Char Char"/>
    <w:qFormat/>
    <w:uiPriority w:val="0"/>
    <w:rPr>
      <w:rFonts w:hint="eastAsia" w:ascii="宋体" w:hAnsi="宋体" w:eastAsia="宋体"/>
      <w:b/>
      <w:spacing w:val="-2"/>
      <w:sz w:val="24"/>
      <w:lang w:val="en-US" w:eastAsia="zh-CN"/>
    </w:rPr>
  </w:style>
  <w:style w:type="character" w:customStyle="1" w:styleId="137">
    <w:name w:val="unnamed51"/>
    <w:qFormat/>
    <w:uiPriority w:val="0"/>
    <w:rPr>
      <w:sz w:val="22"/>
      <w:szCs w:val="22"/>
    </w:rPr>
  </w:style>
  <w:style w:type="character" w:customStyle="1" w:styleId="138">
    <w:name w:val="普通文字 Char2"/>
    <w:qFormat/>
    <w:uiPriority w:val="0"/>
    <w:rPr>
      <w:rFonts w:ascii="宋体" w:hAnsi="Courier New" w:cs="宋体"/>
      <w:kern w:val="2"/>
      <w:sz w:val="21"/>
      <w:szCs w:val="21"/>
    </w:rPr>
  </w:style>
  <w:style w:type="character" w:customStyle="1" w:styleId="139">
    <w:name w:val="正文文本 Char1"/>
    <w:semiHidden/>
    <w:qFormat/>
    <w:uiPriority w:val="99"/>
    <w:rPr>
      <w:kern w:val="2"/>
      <w:sz w:val="21"/>
      <w:szCs w:val="22"/>
    </w:rPr>
  </w:style>
  <w:style w:type="character" w:customStyle="1" w:styleId="140">
    <w:name w:val="gf正文1 Char Char"/>
    <w:link w:val="141"/>
    <w:qFormat/>
    <w:uiPriority w:val="0"/>
    <w:rPr>
      <w:rFonts w:ascii="宋体" w:hAnsi="宋体"/>
      <w:kern w:val="2"/>
      <w:sz w:val="24"/>
      <w:szCs w:val="24"/>
    </w:rPr>
  </w:style>
  <w:style w:type="paragraph" w:customStyle="1" w:styleId="141">
    <w:name w:val="gf正文1"/>
    <w:basedOn w:val="1"/>
    <w:link w:val="140"/>
    <w:qFormat/>
    <w:uiPriority w:val="0"/>
    <w:pPr>
      <w:adjustRightInd w:val="0"/>
      <w:snapToGrid w:val="0"/>
      <w:spacing w:beforeLines="50" w:line="360" w:lineRule="auto"/>
      <w:ind w:firstLine="480" w:firstLineChars="200"/>
    </w:pPr>
    <w:rPr>
      <w:rFonts w:ascii="宋体" w:hAnsi="宋体"/>
      <w:sz w:val="24"/>
    </w:rPr>
  </w:style>
  <w:style w:type="character" w:customStyle="1" w:styleId="142">
    <w:name w:val="shadow11"/>
    <w:uiPriority w:val="0"/>
    <w:rPr>
      <w:rFonts w:hint="default" w:ascii="Times New Roman" w:hAnsi="Times New Roman" w:cs="Times New Roman"/>
      <w:color w:val="000000"/>
      <w:sz w:val="21"/>
      <w:szCs w:val="21"/>
    </w:rPr>
  </w:style>
  <w:style w:type="character" w:customStyle="1" w:styleId="143">
    <w:name w:val="正文文本 2 Char2"/>
    <w:semiHidden/>
    <w:qFormat/>
    <w:uiPriority w:val="99"/>
    <w:rPr>
      <w:kern w:val="2"/>
      <w:sz w:val="21"/>
      <w:szCs w:val="24"/>
    </w:rPr>
  </w:style>
  <w:style w:type="character" w:customStyle="1" w:styleId="144">
    <w:name w:val="脚注文本 Char1"/>
    <w:qFormat/>
    <w:uiPriority w:val="99"/>
    <w:rPr>
      <w:kern w:val="2"/>
      <w:sz w:val="18"/>
      <w:szCs w:val="18"/>
    </w:rPr>
  </w:style>
  <w:style w:type="character" w:customStyle="1" w:styleId="145">
    <w:name w:val="showtitlebodycontent1"/>
    <w:qFormat/>
    <w:uiPriority w:val="0"/>
    <w:rPr>
      <w:sz w:val="21"/>
    </w:rPr>
  </w:style>
  <w:style w:type="character" w:customStyle="1" w:styleId="146">
    <w:name w:val="正文说明 Char Char"/>
    <w:link w:val="147"/>
    <w:uiPriority w:val="0"/>
    <w:rPr>
      <w:rFonts w:ascii="宋体" w:hAnsi="宋体"/>
      <w:kern w:val="2"/>
      <w:sz w:val="24"/>
      <w:szCs w:val="24"/>
    </w:rPr>
  </w:style>
  <w:style w:type="paragraph" w:customStyle="1" w:styleId="147">
    <w:name w:val="正文说明"/>
    <w:basedOn w:val="1"/>
    <w:link w:val="146"/>
    <w:qFormat/>
    <w:uiPriority w:val="0"/>
    <w:pPr>
      <w:spacing w:line="360" w:lineRule="auto"/>
    </w:pPr>
    <w:rPr>
      <w:rFonts w:ascii="宋体" w:hAnsi="宋体"/>
      <w:sz w:val="24"/>
    </w:rPr>
  </w:style>
  <w:style w:type="character" w:customStyle="1" w:styleId="148">
    <w:name w:val="f141"/>
    <w:qFormat/>
    <w:uiPriority w:val="0"/>
    <w:rPr>
      <w:sz w:val="21"/>
      <w:szCs w:val="21"/>
    </w:rPr>
  </w:style>
  <w:style w:type="character" w:customStyle="1" w:styleId="149">
    <w:name w:val="日期 Char2"/>
    <w:semiHidden/>
    <w:qFormat/>
    <w:uiPriority w:val="99"/>
    <w:rPr>
      <w:kern w:val="2"/>
      <w:sz w:val="21"/>
      <w:szCs w:val="24"/>
    </w:rPr>
  </w:style>
  <w:style w:type="character" w:customStyle="1" w:styleId="150">
    <w:name w:val="表格名称[858D7CFB-ED40-4347-BF05-701D383B685F]"/>
    <w:link w:val="151"/>
    <w:uiPriority w:val="0"/>
    <w:rPr>
      <w:rFonts w:ascii="宋体" w:hAnsi="宋体"/>
      <w:sz w:val="32"/>
    </w:rPr>
  </w:style>
  <w:style w:type="paragraph" w:customStyle="1" w:styleId="151">
    <w:name w:val="表格名称"/>
    <w:basedOn w:val="4"/>
    <w:link w:val="150"/>
    <w:uiPriority w:val="0"/>
    <w:pPr>
      <w:snapToGrid w:val="0"/>
      <w:spacing w:before="240" w:after="240" w:line="240" w:lineRule="auto"/>
      <w:jc w:val="center"/>
    </w:pPr>
    <w:rPr>
      <w:rFonts w:ascii="宋体" w:hAnsi="宋体" w:eastAsia="宋体"/>
      <w:b w:val="0"/>
      <w:bCs w:val="0"/>
      <w:kern w:val="0"/>
      <w:szCs w:val="20"/>
    </w:rPr>
  </w:style>
  <w:style w:type="character" w:customStyle="1" w:styleId="152">
    <w:name w:val="正文文本 Char"/>
    <w:qFormat/>
    <w:uiPriority w:val="0"/>
    <w:rPr>
      <w:rFonts w:ascii="宋体" w:hAnsi="宋体" w:eastAsia="宋体" w:cs="宋体"/>
      <w:kern w:val="2"/>
      <w:sz w:val="28"/>
      <w:szCs w:val="28"/>
      <w:lang w:val="en-US" w:eastAsia="zh-CN" w:bidi="ar-SA"/>
    </w:rPr>
  </w:style>
  <w:style w:type="character" w:customStyle="1" w:styleId="153">
    <w:name w:val="称呼 Char2"/>
    <w:semiHidden/>
    <w:qFormat/>
    <w:uiPriority w:val="99"/>
    <w:rPr>
      <w:kern w:val="2"/>
      <w:sz w:val="21"/>
      <w:szCs w:val="24"/>
    </w:rPr>
  </w:style>
  <w:style w:type="character" w:customStyle="1" w:styleId="154">
    <w:name w:val="彩色列表 - 强调文字颜色 1 Char Char Char"/>
    <w:link w:val="155"/>
    <w:qFormat/>
    <w:uiPriority w:val="34"/>
    <w:rPr>
      <w:kern w:val="2"/>
      <w:sz w:val="21"/>
      <w:szCs w:val="21"/>
    </w:rPr>
  </w:style>
  <w:style w:type="paragraph" w:customStyle="1" w:styleId="155">
    <w:name w:val="彩色列表 - 强调文字颜色 11"/>
    <w:basedOn w:val="1"/>
    <w:link w:val="154"/>
    <w:qFormat/>
    <w:uiPriority w:val="34"/>
    <w:pPr>
      <w:ind w:firstLine="420" w:firstLineChars="200"/>
    </w:pPr>
    <w:rPr>
      <w:szCs w:val="21"/>
    </w:rPr>
  </w:style>
  <w:style w:type="character" w:customStyle="1" w:styleId="156">
    <w:name w:val="样式 正文缩进 + 首行缩进:  2 字符 Char Char"/>
    <w:link w:val="157"/>
    <w:qFormat/>
    <w:uiPriority w:val="0"/>
    <w:rPr>
      <w:rFonts w:ascii="宋体" w:hAnsi="宋体"/>
      <w:sz w:val="24"/>
    </w:rPr>
  </w:style>
  <w:style w:type="paragraph" w:customStyle="1" w:styleId="157">
    <w:name w:val="样式 正文缩进 + 首行缩进:  2 字符"/>
    <w:basedOn w:val="2"/>
    <w:link w:val="156"/>
    <w:qFormat/>
    <w:uiPriority w:val="0"/>
    <w:pPr>
      <w:spacing w:after="80" w:line="360" w:lineRule="auto"/>
      <w:ind w:firstLine="480"/>
    </w:pPr>
    <w:rPr>
      <w:rFonts w:ascii="宋体" w:hAnsi="宋体"/>
      <w:kern w:val="0"/>
      <w:sz w:val="24"/>
      <w:szCs w:val="20"/>
    </w:rPr>
  </w:style>
  <w:style w:type="character" w:customStyle="1" w:styleId="158">
    <w:name w:val="称呼 Char1"/>
    <w:semiHidden/>
    <w:qFormat/>
    <w:uiPriority w:val="99"/>
    <w:rPr>
      <w:kern w:val="2"/>
      <w:sz w:val="21"/>
      <w:szCs w:val="22"/>
    </w:rPr>
  </w:style>
  <w:style w:type="character" w:customStyle="1" w:styleId="159">
    <w:name w:val="md"/>
    <w:qFormat/>
    <w:uiPriority w:val="0"/>
    <w:rPr>
      <w:rFonts w:hint="default" w:ascii="Times New Roman" w:hAnsi="Times New Roman" w:cs="Times New Roman"/>
    </w:rPr>
  </w:style>
  <w:style w:type="character" w:customStyle="1" w:styleId="160">
    <w:name w:val="批注文字 Char1"/>
    <w:semiHidden/>
    <w:qFormat/>
    <w:uiPriority w:val="99"/>
    <w:rPr>
      <w:kern w:val="2"/>
      <w:sz w:val="21"/>
      <w:szCs w:val="22"/>
    </w:rPr>
  </w:style>
  <w:style w:type="character" w:customStyle="1" w:styleId="161">
    <w:name w:val="文档结构图 Char1"/>
    <w:semiHidden/>
    <w:qFormat/>
    <w:uiPriority w:val="99"/>
    <w:rPr>
      <w:rFonts w:ascii="宋体"/>
      <w:kern w:val="2"/>
      <w:sz w:val="18"/>
      <w:szCs w:val="18"/>
    </w:rPr>
  </w:style>
  <w:style w:type="character" w:customStyle="1" w:styleId="162">
    <w:name w:val="正文缩进 Char1"/>
    <w:qFormat/>
    <w:uiPriority w:val="0"/>
    <w:rPr>
      <w:rFonts w:ascii="Calibri" w:hAnsi="Calibri"/>
      <w:sz w:val="24"/>
      <w:szCs w:val="24"/>
    </w:rPr>
  </w:style>
  <w:style w:type="paragraph" w:customStyle="1" w:styleId="163">
    <w:name w:val="正文缩进1"/>
    <w:basedOn w:val="1"/>
    <w:next w:val="20"/>
    <w:qFormat/>
    <w:uiPriority w:val="0"/>
    <w:pPr>
      <w:autoSpaceDE w:val="0"/>
      <w:autoSpaceDN w:val="0"/>
      <w:adjustRightInd w:val="0"/>
      <w:snapToGrid w:val="0"/>
      <w:spacing w:after="120" w:line="360" w:lineRule="auto"/>
      <w:ind w:left="200" w:leftChars="200" w:firstLine="480" w:firstLineChars="200"/>
    </w:pPr>
    <w:rPr>
      <w:sz w:val="24"/>
    </w:rPr>
  </w:style>
  <w:style w:type="paragraph" w:customStyle="1" w:styleId="164">
    <w:name w:val="button"/>
    <w:basedOn w:val="1"/>
    <w:qFormat/>
    <w:uiPriority w:val="0"/>
    <w:pPr>
      <w:widowControl/>
      <w:spacing w:before="100" w:beforeAutospacing="1" w:after="100" w:afterAutospacing="1"/>
      <w:jc w:val="left"/>
    </w:pPr>
    <w:rPr>
      <w:rFonts w:ascii="Arial Unicode MS" w:hAnsi="Arial Unicode MS" w:cs="Arial Unicode MS"/>
      <w:color w:val="000000"/>
      <w:kern w:val="0"/>
      <w:sz w:val="24"/>
    </w:rPr>
  </w:style>
  <w:style w:type="paragraph" w:customStyle="1" w:styleId="165">
    <w:name w:val="Char Char Char Char Char Char Char Char Char Char Char Char Char Char Char Char Char Char Char Char Char Char Char Char Char"/>
    <w:basedOn w:val="1"/>
    <w:qFormat/>
    <w:uiPriority w:val="0"/>
    <w:rPr>
      <w:szCs w:val="21"/>
    </w:rPr>
  </w:style>
  <w:style w:type="paragraph" w:customStyle="1" w:styleId="166">
    <w:name w:val="正文文字表格居中"/>
    <w:basedOn w:val="1"/>
    <w:next w:val="35"/>
    <w:qFormat/>
    <w:uiPriority w:val="0"/>
    <w:pPr>
      <w:snapToGrid w:val="0"/>
      <w:spacing w:line="360" w:lineRule="auto"/>
    </w:pPr>
    <w:rPr>
      <w:rFonts w:ascii="宋体" w:cs="宋体"/>
      <w:b/>
      <w:bCs/>
      <w:sz w:val="24"/>
    </w:rPr>
  </w:style>
  <w:style w:type="paragraph" w:customStyle="1" w:styleId="167">
    <w:name w:val="a1"/>
    <w:basedOn w:val="1"/>
    <w:qFormat/>
    <w:uiPriority w:val="0"/>
    <w:pPr>
      <w:widowControl/>
      <w:spacing w:line="300" w:lineRule="atLeast"/>
      <w:jc w:val="left"/>
    </w:pPr>
    <w:rPr>
      <w:rFonts w:ascii="宋体" w:hAnsi="宋体" w:cs="宋体"/>
      <w:kern w:val="0"/>
      <w:sz w:val="18"/>
      <w:szCs w:val="18"/>
    </w:rPr>
  </w:style>
  <w:style w:type="paragraph" w:customStyle="1" w:styleId="16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9">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0">
    <w:name w:val="Char Char Char Char Char Char Char Char"/>
    <w:basedOn w:val="1"/>
    <w:qFormat/>
    <w:uiPriority w:val="0"/>
    <w:pPr>
      <w:tabs>
        <w:tab w:val="left" w:pos="360"/>
      </w:tabs>
    </w:pPr>
    <w:rPr>
      <w:sz w:val="24"/>
    </w:rPr>
  </w:style>
  <w:style w:type="paragraph" w:customStyle="1" w:styleId="1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2">
    <w:name w:val="Char Char Char Char Char Char"/>
    <w:basedOn w:val="1"/>
    <w:qFormat/>
    <w:uiPriority w:val="0"/>
    <w:pPr>
      <w:ind w:firstLine="200" w:firstLineChars="200"/>
    </w:pPr>
    <w:rPr>
      <w:rFonts w:ascii="Tahoma" w:hAnsi="Tahoma" w:cs="Tahoma"/>
      <w:sz w:val="24"/>
    </w:rPr>
  </w:style>
  <w:style w:type="paragraph" w:customStyle="1" w:styleId="173">
    <w:name w:val="标准段落"/>
    <w:basedOn w:val="1"/>
    <w:qFormat/>
    <w:uiPriority w:val="0"/>
    <w:pPr>
      <w:tabs>
        <w:tab w:val="left" w:pos="709"/>
      </w:tabs>
      <w:topLinePunct/>
      <w:autoSpaceDE w:val="0"/>
      <w:autoSpaceDN w:val="0"/>
      <w:spacing w:beforeLines="50" w:line="360" w:lineRule="auto"/>
      <w:ind w:firstLine="640" w:firstLineChars="200"/>
      <w:jc w:val="left"/>
    </w:pPr>
    <w:rPr>
      <w:rFonts w:ascii="仿宋_GB2312" w:hAnsi="宋体" w:eastAsia="仿宋_GB2312" w:cs="仿宋_GB2312"/>
      <w:sz w:val="32"/>
      <w:szCs w:val="32"/>
    </w:rPr>
  </w:style>
  <w:style w:type="paragraph" w:customStyle="1" w:styleId="174">
    <w:name w:val="Char3 Char Char Char"/>
    <w:basedOn w:val="1"/>
    <w:qFormat/>
    <w:uiPriority w:val="0"/>
    <w:pPr>
      <w:widowControl/>
      <w:spacing w:after="160" w:line="240" w:lineRule="exact"/>
      <w:jc w:val="left"/>
    </w:pPr>
    <w:rPr>
      <w:szCs w:val="21"/>
    </w:rPr>
  </w:style>
  <w:style w:type="paragraph" w:customStyle="1" w:styleId="175">
    <w:name w:val="Char"/>
    <w:basedOn w:val="1"/>
    <w:uiPriority w:val="0"/>
  </w:style>
  <w:style w:type="paragraph" w:customStyle="1" w:styleId="176">
    <w:name w:val="样式 标题 3标题 3 Char第二层条h33Bold Headbh章标题1小标题level_3PIM 3..."/>
    <w:basedOn w:val="5"/>
    <w:uiPriority w:val="0"/>
    <w:pPr>
      <w:tabs>
        <w:tab w:val="left" w:pos="720"/>
      </w:tabs>
      <w:adjustRightInd w:val="0"/>
      <w:snapToGrid w:val="0"/>
      <w:spacing w:before="0" w:after="0" w:line="360" w:lineRule="auto"/>
    </w:pPr>
    <w:rPr>
      <w:rFonts w:ascii="黑体" w:hAnsi="宋体" w:eastAsia="黑体" w:cs="黑体"/>
      <w:b w:val="0"/>
      <w:bCs w:val="0"/>
      <w:color w:val="000000"/>
      <w:kern w:val="0"/>
      <w:sz w:val="28"/>
      <w:szCs w:val="28"/>
    </w:rPr>
  </w:style>
  <w:style w:type="paragraph" w:customStyle="1" w:styleId="177">
    <w:name w:val="_Style 35"/>
    <w:basedOn w:val="1"/>
    <w:qFormat/>
    <w:uiPriority w:val="0"/>
    <w:pPr>
      <w:widowControl/>
      <w:spacing w:after="160" w:line="240" w:lineRule="exact"/>
      <w:jc w:val="left"/>
    </w:pPr>
    <w:rPr>
      <w:szCs w:val="21"/>
    </w:rPr>
  </w:style>
  <w:style w:type="paragraph" w:customStyle="1" w:styleId="178">
    <w:name w:val="_Style 18"/>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8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FF0000"/>
      <w:kern w:val="0"/>
      <w:sz w:val="16"/>
      <w:szCs w:val="16"/>
    </w:rPr>
  </w:style>
  <w:style w:type="paragraph" w:customStyle="1" w:styleId="183">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184">
    <w:name w:val="WPSOffice手动目录 1"/>
    <w:qFormat/>
    <w:uiPriority w:val="0"/>
    <w:rPr>
      <w:rFonts w:ascii="Times New Roman" w:hAnsi="Times New Roman" w:eastAsia="宋体" w:cs="Times New Roman"/>
      <w:lang w:val="en-US" w:eastAsia="zh-CN" w:bidi="ar-SA"/>
    </w:rPr>
  </w:style>
  <w:style w:type="paragraph" w:customStyle="1" w:styleId="185">
    <w:name w:val="列出段落1"/>
    <w:basedOn w:val="1"/>
    <w:qFormat/>
    <w:uiPriority w:val="34"/>
    <w:pPr>
      <w:ind w:firstLine="420" w:firstLineChars="200"/>
    </w:pPr>
  </w:style>
  <w:style w:type="paragraph" w:customStyle="1" w:styleId="186">
    <w:name w:val="_Style 80"/>
    <w:basedOn w:val="1"/>
    <w:next w:val="1"/>
    <w:qFormat/>
    <w:uiPriority w:val="0"/>
  </w:style>
  <w:style w:type="paragraph" w:customStyle="1" w:styleId="187">
    <w:name w:val="0"/>
    <w:basedOn w:val="1"/>
    <w:qFormat/>
    <w:uiPriority w:val="0"/>
    <w:pPr>
      <w:widowControl/>
    </w:pPr>
    <w:rPr>
      <w:kern w:val="0"/>
      <w:sz w:val="24"/>
    </w:rPr>
  </w:style>
  <w:style w:type="paragraph" w:customStyle="1" w:styleId="188">
    <w:name w:val="列出段落111"/>
    <w:basedOn w:val="1"/>
    <w:qFormat/>
    <w:uiPriority w:val="34"/>
    <w:pPr>
      <w:ind w:firstLine="420" w:firstLineChars="200"/>
    </w:pPr>
  </w:style>
  <w:style w:type="paragraph" w:customStyle="1" w:styleId="189">
    <w:name w:val="修订1"/>
    <w:semiHidden/>
    <w:qFormat/>
    <w:uiPriority w:val="99"/>
    <w:rPr>
      <w:rFonts w:ascii="Times New Roman" w:hAnsi="Times New Roman" w:eastAsia="宋体" w:cs="Times New Roman"/>
      <w:kern w:val="2"/>
      <w:sz w:val="21"/>
      <w:lang w:val="en-US" w:eastAsia="zh-CN" w:bidi="ar-SA"/>
    </w:rPr>
  </w:style>
  <w:style w:type="paragraph" w:customStyle="1" w:styleId="190">
    <w:name w:val="规范正文"/>
    <w:basedOn w:val="1"/>
    <w:qFormat/>
    <w:uiPriority w:val="0"/>
    <w:pPr>
      <w:tabs>
        <w:tab w:val="left" w:pos="360"/>
        <w:tab w:val="left" w:pos="900"/>
      </w:tabs>
      <w:adjustRightInd w:val="0"/>
      <w:spacing w:beforeLines="50" w:line="360" w:lineRule="auto"/>
      <w:ind w:left="360" w:hanging="360"/>
    </w:pPr>
    <w:rPr>
      <w:szCs w:val="21"/>
    </w:rPr>
  </w:style>
  <w:style w:type="paragraph" w:customStyle="1" w:styleId="1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2">
    <w:name w:val="p0"/>
    <w:basedOn w:val="1"/>
    <w:qFormat/>
    <w:uiPriority w:val="0"/>
    <w:pPr>
      <w:widowControl/>
    </w:pPr>
    <w:rPr>
      <w:kern w:val="0"/>
      <w:szCs w:val="21"/>
    </w:rPr>
  </w:style>
  <w:style w:type="paragraph" w:customStyle="1" w:styleId="19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4">
    <w:name w:val="Char Char Char Char Char Char Char Char Char Char"/>
    <w:basedOn w:val="1"/>
    <w:qFormat/>
    <w:uiPriority w:val="0"/>
    <w:rPr>
      <w:rFonts w:ascii="仿宋_GB2312" w:eastAsia="仿宋_GB2312" w:cs="仿宋_GB2312"/>
      <w:b/>
      <w:bCs/>
      <w:sz w:val="32"/>
      <w:szCs w:val="32"/>
    </w:rPr>
  </w:style>
  <w:style w:type="paragraph" w:styleId="195">
    <w:name w:val="List Paragraph"/>
    <w:basedOn w:val="1"/>
    <w:qFormat/>
    <w:uiPriority w:val="34"/>
    <w:pPr>
      <w:ind w:firstLine="420" w:firstLineChars="200"/>
    </w:pPr>
  </w:style>
  <w:style w:type="paragraph" w:customStyle="1" w:styleId="196">
    <w:name w:val="Test2"/>
    <w:basedOn w:val="4"/>
    <w:qFormat/>
    <w:uiPriority w:val="0"/>
    <w:pPr>
      <w:widowControl/>
      <w:adjustRightInd w:val="0"/>
      <w:snapToGrid w:val="0"/>
      <w:spacing w:before="360" w:after="360" w:line="240" w:lineRule="atLeast"/>
      <w:jc w:val="left"/>
    </w:pPr>
    <w:rPr>
      <w:rFonts w:ascii="宋体" w:eastAsia="宋体" w:cs="宋体"/>
      <w:kern w:val="0"/>
      <w:sz w:val="28"/>
      <w:szCs w:val="28"/>
    </w:rPr>
  </w:style>
  <w:style w:type="paragraph" w:customStyle="1" w:styleId="197">
    <w:name w:val="p16"/>
    <w:basedOn w:val="1"/>
    <w:qFormat/>
    <w:uiPriority w:val="0"/>
    <w:pPr>
      <w:widowControl/>
    </w:pPr>
    <w:rPr>
      <w:rFonts w:ascii="宋体" w:hAnsi="宋体" w:cs="宋体"/>
      <w:b/>
      <w:bCs/>
      <w:color w:val="000000"/>
      <w:kern w:val="0"/>
      <w:szCs w:val="21"/>
    </w:rPr>
  </w:style>
  <w:style w:type="paragraph" w:customStyle="1" w:styleId="198">
    <w:name w:val="fonttit2"/>
    <w:basedOn w:val="1"/>
    <w:qFormat/>
    <w:uiPriority w:val="0"/>
    <w:pPr>
      <w:widowControl/>
      <w:spacing w:before="100" w:beforeAutospacing="1" w:after="100" w:afterAutospacing="1" w:line="480" w:lineRule="atLeast"/>
      <w:jc w:val="left"/>
    </w:pPr>
    <w:rPr>
      <w:rFonts w:ascii="宋体" w:hAnsi="宋体" w:cs="宋体"/>
      <w:color w:val="737373"/>
      <w:kern w:val="0"/>
      <w:sz w:val="24"/>
    </w:rPr>
  </w:style>
  <w:style w:type="paragraph" w:customStyle="1" w:styleId="19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1">
    <w:name w:val="Char11"/>
    <w:basedOn w:val="1"/>
    <w:qFormat/>
    <w:uiPriority w:val="0"/>
    <w:rPr>
      <w:szCs w:val="21"/>
    </w:rPr>
  </w:style>
  <w:style w:type="paragraph" w:customStyle="1" w:styleId="202">
    <w:name w:val="xl25"/>
    <w:basedOn w:val="1"/>
    <w:uiPriority w:val="0"/>
    <w:pPr>
      <w:widowControl/>
      <w:spacing w:before="100" w:beforeAutospacing="1" w:after="100" w:afterAutospacing="1"/>
      <w:jc w:val="center"/>
    </w:pPr>
    <w:rPr>
      <w:rFonts w:ascii="楷体_GB2312" w:hAnsi="宋体" w:eastAsia="楷体_GB2312" w:cs="楷体_GB2312"/>
      <w:kern w:val="0"/>
      <w:sz w:val="24"/>
    </w:rPr>
  </w:style>
  <w:style w:type="paragraph" w:customStyle="1" w:styleId="20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16"/>
      <w:szCs w:val="16"/>
    </w:rPr>
  </w:style>
  <w:style w:type="paragraph" w:customStyle="1" w:styleId="2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05">
    <w:name w:val="Char Char1 Char Char Char"/>
    <w:basedOn w:val="1"/>
    <w:qFormat/>
    <w:uiPriority w:val="0"/>
    <w:rPr>
      <w:rFonts w:ascii="仿宋_GB2312" w:eastAsia="仿宋_GB2312" w:cs="仿宋_GB2312"/>
      <w:b/>
      <w:bCs/>
      <w:sz w:val="32"/>
      <w:szCs w:val="32"/>
    </w:rPr>
  </w:style>
  <w:style w:type="paragraph" w:customStyle="1" w:styleId="20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207">
    <w:name w:val="Char Char Char Char11"/>
    <w:basedOn w:val="1"/>
    <w:qFormat/>
    <w:uiPriority w:val="0"/>
    <w:pPr>
      <w:widowControl/>
      <w:spacing w:after="160" w:line="240" w:lineRule="exact"/>
      <w:jc w:val="left"/>
    </w:pPr>
    <w:rPr>
      <w:rFonts w:ascii="Arial" w:hAnsi="Arial" w:cs="Arial"/>
      <w:b/>
      <w:bCs/>
      <w:kern w:val="0"/>
      <w:sz w:val="24"/>
      <w:lang w:eastAsia="en-US"/>
    </w:rPr>
  </w:style>
  <w:style w:type="paragraph" w:customStyle="1" w:styleId="2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rPr>
  </w:style>
  <w:style w:type="paragraph" w:customStyle="1" w:styleId="209">
    <w:name w:val="Char Char Char Char1"/>
    <w:basedOn w:val="1"/>
    <w:qFormat/>
    <w:uiPriority w:val="0"/>
    <w:pPr>
      <w:widowControl/>
      <w:spacing w:after="160" w:line="240" w:lineRule="exact"/>
      <w:jc w:val="left"/>
    </w:pPr>
    <w:rPr>
      <w:rFonts w:ascii="Arial" w:hAnsi="Arial" w:cs="Arial"/>
      <w:b/>
      <w:bCs/>
      <w:kern w:val="0"/>
      <w:sz w:val="24"/>
      <w:lang w:eastAsia="en-US"/>
    </w:rPr>
  </w:style>
  <w:style w:type="paragraph" w:customStyle="1" w:styleId="210">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11">
    <w:name w:val="Char Char1 Char Char Char Char Char Char"/>
    <w:basedOn w:val="1"/>
    <w:qFormat/>
    <w:uiPriority w:val="0"/>
    <w:rPr>
      <w:rFonts w:ascii="仿宋_GB2312" w:eastAsia="仿宋_GB2312" w:cs="仿宋_GB2312"/>
      <w:b/>
      <w:bCs/>
      <w:sz w:val="32"/>
      <w:szCs w:val="32"/>
    </w:rPr>
  </w:style>
  <w:style w:type="paragraph" w:customStyle="1" w:styleId="212">
    <w:name w:val="Char Char Char Char Char Char Char Char Char Char1"/>
    <w:basedOn w:val="1"/>
    <w:qFormat/>
    <w:uiPriority w:val="0"/>
    <w:rPr>
      <w:rFonts w:ascii="仿宋_GB2312" w:eastAsia="仿宋_GB2312" w:cs="仿宋_GB2312"/>
      <w:b/>
      <w:bCs/>
      <w:sz w:val="32"/>
      <w:szCs w:val="32"/>
    </w:rPr>
  </w:style>
  <w:style w:type="paragraph" w:customStyle="1" w:styleId="213">
    <w:name w:val="样式 首行缩进:  2 字符"/>
    <w:basedOn w:val="1"/>
    <w:qFormat/>
    <w:uiPriority w:val="0"/>
    <w:pPr>
      <w:snapToGrid w:val="0"/>
      <w:spacing w:line="360" w:lineRule="auto"/>
    </w:pPr>
    <w:rPr>
      <w:rFonts w:ascii="仿宋_GB2312" w:hAnsi="宋体" w:eastAsia="仿宋_GB2312" w:cs="仿宋_GB2312"/>
      <w:color w:val="000000"/>
      <w:kern w:val="0"/>
      <w:sz w:val="28"/>
      <w:szCs w:val="28"/>
    </w:rPr>
  </w:style>
  <w:style w:type="paragraph" w:customStyle="1" w:styleId="214">
    <w:name w:val="Char1"/>
    <w:basedOn w:val="1"/>
    <w:qFormat/>
    <w:uiPriority w:val="0"/>
    <w:rPr>
      <w:rFonts w:ascii="仿宋_GB2312" w:eastAsia="仿宋_GB2312" w:cs="仿宋_GB2312"/>
      <w:b/>
      <w:bCs/>
      <w:sz w:val="32"/>
      <w:szCs w:val="32"/>
    </w:rPr>
  </w:style>
  <w:style w:type="paragraph" w:customStyle="1" w:styleId="215">
    <w:name w:val="_Style 52"/>
    <w:basedOn w:val="1"/>
    <w:qFormat/>
    <w:uiPriority w:val="0"/>
    <w:pPr>
      <w:widowControl/>
      <w:spacing w:after="160" w:line="240" w:lineRule="exact"/>
      <w:jc w:val="left"/>
    </w:pPr>
    <w:rPr>
      <w:szCs w:val="21"/>
    </w:rPr>
  </w:style>
  <w:style w:type="paragraph" w:customStyle="1" w:styleId="21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7">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18">
    <w:name w:val="Char2 Char Char Char"/>
    <w:basedOn w:val="1"/>
    <w:qFormat/>
    <w:uiPriority w:val="0"/>
    <w:rPr>
      <w:rFonts w:ascii="仿宋_GB2312" w:eastAsia="仿宋_GB2312" w:cs="仿宋_GB2312"/>
      <w:b/>
      <w:bCs/>
      <w:sz w:val="32"/>
      <w:szCs w:val="32"/>
    </w:rPr>
  </w:style>
  <w:style w:type="paragraph" w:customStyle="1" w:styleId="219">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Char2"/>
    <w:basedOn w:val="1"/>
    <w:qFormat/>
    <w:uiPriority w:val="0"/>
    <w:rPr>
      <w:rFonts w:ascii="仿宋_GB2312" w:eastAsia="仿宋_GB2312" w:cs="仿宋_GB2312"/>
      <w:b/>
      <w:bCs/>
      <w:sz w:val="32"/>
      <w:szCs w:val="32"/>
    </w:rPr>
  </w:style>
  <w:style w:type="paragraph" w:customStyle="1" w:styleId="2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Char Char Char Char Char Char Char Char Char Char Char Char Char"/>
    <w:basedOn w:val="1"/>
    <w:qFormat/>
    <w:uiPriority w:val="0"/>
  </w:style>
  <w:style w:type="paragraph" w:customStyle="1" w:styleId="224">
    <w:name w:val="4"/>
    <w:basedOn w:val="1"/>
    <w:next w:val="25"/>
    <w:qFormat/>
    <w:uiPriority w:val="0"/>
    <w:pPr>
      <w:spacing w:after="120" w:line="480" w:lineRule="auto"/>
      <w:ind w:left="200" w:leftChars="200"/>
    </w:pPr>
    <w:rPr>
      <w:sz w:val="24"/>
    </w:rPr>
  </w:style>
  <w:style w:type="paragraph" w:customStyle="1" w:styleId="2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6">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Char Char Char"/>
    <w:basedOn w:val="1"/>
    <w:qFormat/>
    <w:uiPriority w:val="0"/>
    <w:rPr>
      <w:rFonts w:ascii="Tahoma" w:hAnsi="Tahoma"/>
      <w:sz w:val="24"/>
      <w:szCs w:val="20"/>
    </w:rPr>
  </w:style>
  <w:style w:type="paragraph" w:customStyle="1" w:styleId="228">
    <w:name w:val="部分1"/>
    <w:basedOn w:val="1"/>
    <w:qFormat/>
    <w:uiPriority w:val="0"/>
    <w:pPr>
      <w:keepNext/>
      <w:pageBreakBefore/>
      <w:tabs>
        <w:tab w:val="left" w:pos="720"/>
      </w:tabs>
      <w:spacing w:line="360" w:lineRule="auto"/>
      <w:jc w:val="center"/>
      <w:outlineLvl w:val="0"/>
    </w:pPr>
    <w:rPr>
      <w:rFonts w:eastAsia="黑体"/>
      <w:b/>
      <w:bCs/>
      <w:kern w:val="44"/>
      <w:sz w:val="36"/>
      <w:szCs w:val="36"/>
    </w:rPr>
  </w:style>
  <w:style w:type="paragraph" w:customStyle="1" w:styleId="229">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Char Char110"/>
    <w:basedOn w:val="1"/>
    <w:qFormat/>
    <w:uiPriority w:val="0"/>
    <w:pPr>
      <w:widowControl/>
      <w:spacing w:after="160" w:line="240" w:lineRule="exact"/>
      <w:jc w:val="left"/>
    </w:pPr>
    <w:rPr>
      <w:rFonts w:eastAsia="仿宋_GB2312"/>
      <w:sz w:val="28"/>
      <w:szCs w:val="28"/>
    </w:rPr>
  </w:style>
  <w:style w:type="paragraph" w:customStyle="1" w:styleId="2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2">
    <w:name w:val="Char Char Char Char2"/>
    <w:basedOn w:val="1"/>
    <w:qFormat/>
    <w:uiPriority w:val="0"/>
    <w:rPr>
      <w:rFonts w:ascii="Tahoma" w:hAnsi="Tahoma" w:cs="Tahoma"/>
      <w:sz w:val="24"/>
    </w:rPr>
  </w:style>
  <w:style w:type="paragraph" w:customStyle="1" w:styleId="233">
    <w:name w:val="List Paragraph1"/>
    <w:basedOn w:val="1"/>
    <w:qFormat/>
    <w:uiPriority w:val="0"/>
    <w:pPr>
      <w:ind w:firstLine="420" w:firstLineChars="200"/>
    </w:pPr>
    <w:rPr>
      <w:szCs w:val="22"/>
    </w:rPr>
  </w:style>
  <w:style w:type="paragraph" w:customStyle="1" w:styleId="2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默认段落字体 Para Char"/>
    <w:basedOn w:val="1"/>
    <w:qFormat/>
    <w:uiPriority w:val="0"/>
    <w:rPr>
      <w:rFonts w:ascii="Tahoma" w:hAnsi="Tahoma" w:cs="Tahoma"/>
      <w:sz w:val="24"/>
    </w:rPr>
  </w:style>
  <w:style w:type="paragraph" w:customStyle="1" w:styleId="236">
    <w:name w:val="默认段落字体 Para Char Char Char Char Char Char Char"/>
    <w:basedOn w:val="1"/>
    <w:qFormat/>
    <w:uiPriority w:val="0"/>
    <w:rPr>
      <w:rFonts w:eastAsia="仿宋_GB2312"/>
      <w:sz w:val="28"/>
      <w:szCs w:val="28"/>
    </w:rPr>
  </w:style>
  <w:style w:type="paragraph" w:customStyle="1" w:styleId="237">
    <w:name w:val="Char1 Char Char Char"/>
    <w:basedOn w:val="1"/>
    <w:qFormat/>
    <w:uiPriority w:val="0"/>
    <w:rPr>
      <w:rFonts w:ascii="仿宋_GB2312" w:eastAsia="仿宋_GB2312" w:cs="仿宋_GB2312"/>
      <w:b/>
      <w:bCs/>
      <w:sz w:val="32"/>
      <w:szCs w:val="32"/>
    </w:rPr>
  </w:style>
  <w:style w:type="paragraph" w:customStyle="1" w:styleId="238">
    <w:name w:val="表正文"/>
    <w:qFormat/>
    <w:uiPriority w:val="0"/>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239">
    <w:name w:val="Char Char1 Char Char Char1"/>
    <w:basedOn w:val="1"/>
    <w:qFormat/>
    <w:uiPriority w:val="0"/>
    <w:rPr>
      <w:rFonts w:ascii="仿宋_GB2312" w:eastAsia="仿宋_GB2312" w:cs="仿宋_GB2312"/>
      <w:b/>
      <w:bCs/>
      <w:sz w:val="32"/>
      <w:szCs w:val="32"/>
    </w:rPr>
  </w:style>
  <w:style w:type="paragraph" w:customStyle="1" w:styleId="240">
    <w:name w:val="Char Char1"/>
    <w:basedOn w:val="1"/>
    <w:qFormat/>
    <w:uiPriority w:val="0"/>
    <w:pPr>
      <w:widowControl/>
      <w:spacing w:after="160" w:line="240" w:lineRule="exact"/>
      <w:jc w:val="left"/>
    </w:pPr>
    <w:rPr>
      <w:rFonts w:eastAsia="仿宋_GB2312"/>
      <w:sz w:val="28"/>
    </w:rPr>
  </w:style>
  <w:style w:type="paragraph" w:customStyle="1" w:styleId="24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table" w:customStyle="1" w:styleId="242">
    <w:name w:val="网格型1"/>
    <w:basedOn w:val="4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3">
    <w:name w:val="font71"/>
    <w:basedOn w:val="43"/>
    <w:qFormat/>
    <w:uiPriority w:val="0"/>
    <w:rPr>
      <w:rFonts w:hint="eastAsia" w:ascii="宋体" w:hAnsi="宋体" w:eastAsia="宋体" w:cs="宋体"/>
      <w:color w:val="000000"/>
      <w:sz w:val="20"/>
      <w:szCs w:val="20"/>
      <w:u w:val="none"/>
    </w:rPr>
  </w:style>
  <w:style w:type="character" w:customStyle="1" w:styleId="244">
    <w:name w:val="font81"/>
    <w:basedOn w:val="43"/>
    <w:qFormat/>
    <w:uiPriority w:val="0"/>
    <w:rPr>
      <w:rFonts w:hint="eastAsia" w:ascii="宋体" w:hAnsi="宋体" w:eastAsia="宋体" w:cs="宋体"/>
      <w:b/>
      <w:bCs/>
      <w:color w:val="000000"/>
      <w:sz w:val="20"/>
      <w:szCs w:val="20"/>
      <w:u w:val="none"/>
    </w:rPr>
  </w:style>
  <w:style w:type="character" w:customStyle="1" w:styleId="245">
    <w:name w:val="font51"/>
    <w:basedOn w:val="43"/>
    <w:qFormat/>
    <w:uiPriority w:val="0"/>
    <w:rPr>
      <w:rFonts w:hint="eastAsia" w:ascii="宋体" w:hAnsi="宋体" w:eastAsia="宋体"/>
      <w:color w:val="000000"/>
      <w:sz w:val="21"/>
      <w:szCs w:val="21"/>
      <w:u w:val="none"/>
    </w:rPr>
  </w:style>
  <w:style w:type="character" w:customStyle="1" w:styleId="246">
    <w:name w:val="font61"/>
    <w:basedOn w:val="43"/>
    <w:qFormat/>
    <w:uiPriority w:val="0"/>
    <w:rPr>
      <w:rFonts w:hint="eastAsia" w:ascii="仿宋_GB2312" w:eastAsia="仿宋_GB2312"/>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132</Pages>
  <Words>10957</Words>
  <Characters>62458</Characters>
  <Lines>520</Lines>
  <Paragraphs>146</Paragraphs>
  <TotalTime>8</TotalTime>
  <ScaleCrop>false</ScaleCrop>
  <LinksUpToDate>false</LinksUpToDate>
  <CharactersWithSpaces>73269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2020-11-05T06:51:00Z</dcterms:created>
  <dc:creator>cms</dc:creator>
  <cp:lastModifiedBy>童小染</cp:lastModifiedBy>
  <cp:lastPrinted>2021-11-26T10:30:00Z</cp:lastPrinted>
  <dcterms:modified xsi:type="dcterms:W3CDTF">2021-12-01T06:11:28Z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DC38DA1D684D4748B43849A2A4FEA660</vt:lpwstr>
  </property>
</Properties>
</file>