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sz w:val="24"/>
        </w:rPr>
      </w:pPr>
    </w:p>
    <w:p>
      <w:pPr>
        <w:pStyle w:val="27"/>
        <w:ind w:left="0" w:leftChars="0" w:firstLine="0" w:firstLineChars="0"/>
        <w:jc w:val="center"/>
        <w:rPr>
          <w:rFonts w:hint="eastAsia" w:asciiTheme="minorEastAsia" w:hAnsiTheme="minorEastAsia" w:eastAsiaTheme="minorEastAsia" w:cstheme="minorEastAsia"/>
          <w:b/>
          <w:bCs/>
          <w:snapToGrid w:val="0"/>
          <w:kern w:val="2"/>
          <w:sz w:val="44"/>
          <w:szCs w:val="44"/>
          <w:lang w:val="en-US" w:eastAsia="zh-CN" w:bidi="ar-SA"/>
        </w:rPr>
      </w:pPr>
      <w:r>
        <w:rPr>
          <w:rFonts w:hint="eastAsia" w:asciiTheme="minorEastAsia" w:hAnsiTheme="minorEastAsia" w:eastAsiaTheme="minorEastAsia" w:cstheme="minorEastAsia"/>
          <w:b/>
          <w:bCs/>
          <w:snapToGrid w:val="0"/>
          <w:kern w:val="2"/>
          <w:sz w:val="44"/>
          <w:szCs w:val="44"/>
          <w:lang w:val="en-US" w:eastAsia="zh-CN" w:bidi="ar-SA"/>
        </w:rPr>
        <w:t>2024-2025年桐庐经济开发区绿地养护项目</w:t>
      </w:r>
    </w:p>
    <w:p>
      <w:pPr>
        <w:pStyle w:val="28"/>
        <w:rPr>
          <w:rFonts w:hint="eastAsia" w:asciiTheme="minorEastAsia" w:hAnsiTheme="minorEastAsia" w:eastAsiaTheme="minorEastAsia" w:cstheme="minorEastAsia"/>
        </w:rPr>
      </w:pPr>
    </w:p>
    <w:p>
      <w:pPr>
        <w:snapToGrid w:val="0"/>
        <w:spacing w:line="360" w:lineRule="auto"/>
        <w:jc w:val="center"/>
        <w:rPr>
          <w:rFonts w:hint="eastAsia" w:asciiTheme="minorEastAsia" w:hAnsiTheme="minorEastAsia" w:eastAsiaTheme="minorEastAsia" w:cstheme="minorEastAsia"/>
          <w:sz w:val="48"/>
          <w:szCs w:val="48"/>
        </w:rPr>
      </w:pPr>
      <w:r>
        <w:rPr>
          <w:rFonts w:hint="eastAsia" w:asciiTheme="minorEastAsia" w:hAnsiTheme="minorEastAsia" w:eastAsiaTheme="minorEastAsia" w:cstheme="minorEastAsia"/>
          <w:snapToGrid w:val="0"/>
          <w:sz w:val="48"/>
          <w:szCs w:val="48"/>
        </w:rPr>
        <w:t>竞争性磋商文件</w:t>
      </w:r>
    </w:p>
    <w:p>
      <w:pPr>
        <w:adjustRightInd/>
        <w:spacing w:line="360" w:lineRule="auto"/>
        <w:jc w:val="center"/>
        <w:rPr>
          <w:rFonts w:hint="eastAsia" w:asciiTheme="minorEastAsia" w:hAnsiTheme="minorEastAsia" w:eastAsiaTheme="minorEastAsia" w:cstheme="minorEastAsia"/>
          <w:bCs/>
          <w:sz w:val="44"/>
          <w:szCs w:val="44"/>
        </w:rPr>
      </w:pPr>
      <w:r>
        <w:rPr>
          <w:rFonts w:hint="eastAsia" w:asciiTheme="minorEastAsia" w:hAnsiTheme="minorEastAsia" w:eastAsiaTheme="minorEastAsia" w:cstheme="minorEastAsia"/>
          <w:bCs/>
          <w:sz w:val="44"/>
          <w:szCs w:val="44"/>
        </w:rPr>
        <w:t xml:space="preserve"> （电子招投标）</w:t>
      </w:r>
    </w:p>
    <w:p>
      <w:pPr>
        <w:pStyle w:val="26"/>
        <w:rPr>
          <w:rFonts w:hint="eastAsia" w:asciiTheme="minorEastAsia" w:hAnsiTheme="minorEastAsia" w:eastAsiaTheme="minorEastAsia" w:cstheme="minorEastAsia"/>
        </w:rPr>
      </w:pPr>
    </w:p>
    <w:p>
      <w:pPr>
        <w:snapToGrid w:val="0"/>
        <w:spacing w:line="360" w:lineRule="auto"/>
        <w:jc w:val="center"/>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编号</w:t>
      </w:r>
      <w:r>
        <w:rPr>
          <w:rFonts w:hint="eastAsia" w:asciiTheme="minorEastAsia" w:hAnsiTheme="minorEastAsia" w:eastAsiaTheme="minorEastAsia" w:cstheme="minorEastAsia"/>
          <w:sz w:val="30"/>
          <w:szCs w:val="30"/>
          <w:lang w:eastAsia="zh-CN"/>
        </w:rPr>
        <w:t>：HZSJS2024-TLZFCG002</w:t>
      </w:r>
    </w:p>
    <w:p>
      <w:pPr>
        <w:snapToGrid w:val="0"/>
        <w:spacing w:line="360" w:lineRule="auto"/>
        <w:jc w:val="center"/>
        <w:rPr>
          <w:rFonts w:hint="eastAsia" w:asciiTheme="minorEastAsia" w:hAnsiTheme="minorEastAsia" w:eastAsiaTheme="minorEastAsia" w:cstheme="minorEastAsia"/>
          <w:sz w:val="30"/>
          <w:szCs w:val="30"/>
        </w:rPr>
      </w:pPr>
    </w:p>
    <w:p>
      <w:pPr>
        <w:adjustRightInd/>
        <w:spacing w:line="360" w:lineRule="auto"/>
        <w:rPr>
          <w:rFonts w:hint="eastAsia" w:asciiTheme="minorEastAsia" w:hAnsiTheme="minorEastAsia" w:eastAsiaTheme="minorEastAsia" w:cstheme="minorEastAsia"/>
          <w:sz w:val="28"/>
          <w:szCs w:val="20"/>
        </w:rPr>
      </w:pPr>
    </w:p>
    <w:p>
      <w:pPr>
        <w:spacing w:line="36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 xml:space="preserve"> </w:t>
      </w:r>
    </w:p>
    <w:p>
      <w:pPr>
        <w:pStyle w:val="8"/>
        <w:ind w:left="0" w:firstLine="0"/>
        <w:rPr>
          <w:rFonts w:hint="eastAsia" w:asciiTheme="minorEastAsia" w:hAnsiTheme="minorEastAsia" w:eastAsiaTheme="minorEastAsia" w:cstheme="minorEastAsia"/>
        </w:rPr>
      </w:pPr>
    </w:p>
    <w:p>
      <w:pPr>
        <w:rPr>
          <w:rFonts w:hint="eastAsia"/>
        </w:rPr>
      </w:pPr>
    </w:p>
    <w:p>
      <w:pPr>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rPr>
          <w:rFonts w:hint="eastAsia"/>
        </w:rPr>
      </w:pPr>
    </w:p>
    <w:p>
      <w:pPr>
        <w:pStyle w:val="4"/>
        <w:rPr>
          <w:rFonts w:hint="eastAsia"/>
        </w:rPr>
      </w:pPr>
    </w:p>
    <w:p>
      <w:pPr>
        <w:pStyle w:val="4"/>
        <w:rPr>
          <w:rFonts w:hint="eastAsia"/>
        </w:rPr>
      </w:pPr>
    </w:p>
    <w:p>
      <w:pPr>
        <w:pStyle w:val="8"/>
        <w:rPr>
          <w:rFonts w:hint="eastAsia" w:asciiTheme="minorEastAsia" w:hAnsiTheme="minorEastAsia" w:eastAsiaTheme="minorEastAsia" w:cstheme="minorEastAsia"/>
        </w:rPr>
      </w:pPr>
    </w:p>
    <w:p>
      <w:pPr>
        <w:snapToGrid w:val="0"/>
        <w:spacing w:line="480" w:lineRule="auto"/>
        <w:ind w:firstLine="640" w:firstLineChars="200"/>
        <w:jc w:val="both"/>
        <w:rPr>
          <w:rFonts w:hint="eastAsia" w:ascii="宋体" w:hAnsi="宋体" w:eastAsia="宋体" w:cs="宋体"/>
          <w:sz w:val="20"/>
          <w:szCs w:val="22"/>
          <w:lang w:eastAsia="zh-CN"/>
        </w:rPr>
      </w:pPr>
      <w:r>
        <w:rPr>
          <w:rFonts w:hint="eastAsia" w:ascii="宋体" w:hAnsi="宋体" w:eastAsia="宋体" w:cs="宋体"/>
          <w:color w:val="000000" w:themeColor="text1"/>
          <w:sz w:val="32"/>
          <w:szCs w:val="32"/>
          <w14:textFill>
            <w14:solidFill>
              <w14:schemeClr w14:val="tx1"/>
            </w14:solidFill>
          </w14:textFill>
        </w:rPr>
        <w:t>采</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购</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人（盖</w:t>
      </w:r>
      <w:r>
        <w:rPr>
          <w:rFonts w:hint="eastAsia" w:ascii="宋体" w:hAnsi="宋体" w:eastAsia="宋体" w:cs="宋体"/>
          <w:bCs/>
          <w:color w:val="000000" w:themeColor="text1"/>
          <w:sz w:val="32"/>
          <w:szCs w:val="32"/>
          <w14:textFill>
            <w14:solidFill>
              <w14:schemeClr w14:val="tx1"/>
            </w14:solidFill>
          </w14:textFill>
        </w:rPr>
        <w:t>公章）：</w:t>
      </w:r>
      <w:r>
        <w:rPr>
          <w:rFonts w:hint="eastAsia" w:ascii="宋体" w:hAnsi="宋体" w:cs="宋体"/>
          <w:bCs/>
          <w:color w:val="000000" w:themeColor="text1"/>
          <w:sz w:val="32"/>
          <w:szCs w:val="32"/>
          <w:lang w:eastAsia="zh-CN"/>
          <w14:textFill>
            <w14:solidFill>
              <w14:schemeClr w14:val="tx1"/>
            </w14:solidFill>
          </w14:textFill>
        </w:rPr>
        <w:t>桐庐县企业服务中心</w:t>
      </w:r>
    </w:p>
    <w:p>
      <w:pPr>
        <w:spacing w:line="480" w:lineRule="auto"/>
        <w:ind w:firstLine="640" w:firstLineChars="200"/>
        <w:jc w:val="both"/>
        <w:rPr>
          <w:rFonts w:hint="eastAsia"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采购代理</w:t>
      </w:r>
      <w:r>
        <w:rPr>
          <w:rFonts w:hint="eastAsia" w:ascii="宋体" w:hAnsi="宋体" w:eastAsia="宋体" w:cs="宋体"/>
          <w:color w:val="000000" w:themeColor="text1"/>
          <w:sz w:val="32"/>
          <w:szCs w:val="32"/>
          <w14:textFill>
            <w14:solidFill>
              <w14:schemeClr w14:val="tx1"/>
            </w14:solidFill>
          </w14:textFill>
        </w:rPr>
        <w:t>（盖公章）</w:t>
      </w:r>
      <w:r>
        <w:rPr>
          <w:rFonts w:hint="eastAsia" w:ascii="宋体" w:hAnsi="宋体" w:eastAsia="宋体" w:cs="宋体"/>
          <w:bCs/>
          <w:color w:val="000000" w:themeColor="text1"/>
          <w:sz w:val="32"/>
          <w:szCs w:val="32"/>
          <w14:textFill>
            <w14:solidFill>
              <w14:schemeClr w14:val="tx1"/>
            </w14:solidFill>
          </w14:textFill>
        </w:rPr>
        <w:t>：</w:t>
      </w:r>
      <w:r>
        <w:rPr>
          <w:rFonts w:hint="eastAsia" w:ascii="宋体" w:hAnsi="宋体" w:cs="宋体"/>
          <w:bCs/>
          <w:color w:val="000000" w:themeColor="text1"/>
          <w:sz w:val="32"/>
          <w:szCs w:val="32"/>
          <w:lang w:eastAsia="zh-CN"/>
          <w14:textFill>
            <w14:solidFill>
              <w14:schemeClr w14:val="tx1"/>
            </w14:solidFill>
          </w14:textFill>
        </w:rPr>
        <w:t>杭州市建设工程管理集团有限公司</w:t>
      </w:r>
    </w:p>
    <w:p>
      <w:pPr>
        <w:snapToGrid w:val="0"/>
        <w:spacing w:line="480" w:lineRule="auto"/>
        <w:jc w:val="center"/>
        <w:rPr>
          <w:rFonts w:hint="eastAsia" w:ascii="宋体" w:hAnsi="宋体" w:eastAsia="宋体" w:cs="宋体"/>
          <w:bCs/>
          <w:color w:val="000000" w:themeColor="text1"/>
          <w:sz w:val="32"/>
          <w:szCs w:val="32"/>
          <w14:textFill>
            <w14:solidFill>
              <w14:schemeClr w14:val="tx1"/>
            </w14:solidFill>
          </w14:textFill>
        </w:rPr>
      </w:pPr>
    </w:p>
    <w:p>
      <w:pPr>
        <w:snapToGrid w:val="0"/>
        <w:spacing w:line="480" w:lineRule="auto"/>
        <w:jc w:val="center"/>
        <w:rPr>
          <w:rFonts w:hint="eastAsia" w:ascii="宋体" w:hAnsi="宋体" w:eastAsia="宋体" w:cs="宋体"/>
          <w:bCs/>
          <w:color w:val="000000" w:themeColor="text1"/>
          <w:sz w:val="32"/>
          <w:szCs w:val="32"/>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二〇二</w:t>
      </w:r>
      <w:r>
        <w:rPr>
          <w:rFonts w:hint="eastAsia" w:ascii="宋体" w:hAnsi="宋体" w:eastAsia="宋体" w:cs="宋体"/>
          <w:bCs/>
          <w:color w:val="000000" w:themeColor="text1"/>
          <w:sz w:val="32"/>
          <w:szCs w:val="32"/>
          <w:lang w:val="en-US" w:eastAsia="zh-CN"/>
          <w14:textFill>
            <w14:solidFill>
              <w14:schemeClr w14:val="tx1"/>
            </w14:solidFill>
          </w14:textFill>
        </w:rPr>
        <w:t>四</w:t>
      </w:r>
      <w:r>
        <w:rPr>
          <w:rFonts w:hint="eastAsia" w:ascii="宋体" w:hAnsi="宋体" w:eastAsia="宋体" w:cs="宋体"/>
          <w:bCs/>
          <w:color w:val="000000" w:themeColor="text1"/>
          <w:sz w:val="32"/>
          <w:szCs w:val="32"/>
          <w14:textFill>
            <w14:solidFill>
              <w14:schemeClr w14:val="tx1"/>
            </w14:solidFill>
          </w14:textFill>
        </w:rPr>
        <w:t>年</w:t>
      </w:r>
      <w:r>
        <w:rPr>
          <w:rFonts w:hint="eastAsia" w:ascii="宋体" w:hAnsi="宋体" w:cs="宋体"/>
          <w:bCs/>
          <w:color w:val="000000" w:themeColor="text1"/>
          <w:sz w:val="32"/>
          <w:szCs w:val="32"/>
          <w:lang w:val="en-US" w:eastAsia="zh-CN"/>
          <w14:textFill>
            <w14:solidFill>
              <w14:schemeClr w14:val="tx1"/>
            </w14:solidFill>
          </w14:textFill>
        </w:rPr>
        <w:t>四</w:t>
      </w:r>
      <w:r>
        <w:rPr>
          <w:rFonts w:hint="eastAsia" w:ascii="宋体" w:hAnsi="宋体" w:eastAsia="宋体" w:cs="宋体"/>
          <w:bCs/>
          <w:color w:val="000000" w:themeColor="text1"/>
          <w:sz w:val="32"/>
          <w:szCs w:val="32"/>
          <w14:textFill>
            <w14:solidFill>
              <w14:schemeClr w14:val="tx1"/>
            </w14:solidFill>
          </w14:textFill>
        </w:rPr>
        <w:t>月</w:t>
      </w:r>
    </w:p>
    <w:p>
      <w:pPr>
        <w:pStyle w:val="3"/>
        <w:rPr>
          <w:rFonts w:hint="eastAsia"/>
        </w:rPr>
      </w:pPr>
    </w:p>
    <w:p>
      <w:pPr>
        <w:spacing w:line="360" w:lineRule="auto"/>
        <w:jc w:val="center"/>
        <w:rPr>
          <w:rFonts w:hint="eastAsia"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目  录</w:t>
      </w:r>
    </w:p>
    <w:p>
      <w:pPr>
        <w:spacing w:line="360" w:lineRule="auto"/>
        <w:rPr>
          <w:rFonts w:hint="eastAsia" w:asciiTheme="minorEastAsia" w:hAnsiTheme="minorEastAsia" w:eastAsiaTheme="minorEastAsia" w:cstheme="minorEastAsia"/>
          <w:sz w:val="32"/>
          <w:szCs w:val="32"/>
        </w:rPr>
      </w:pPr>
    </w:p>
    <w:p>
      <w:pPr>
        <w:spacing w:line="360" w:lineRule="auto"/>
        <w:rPr>
          <w:rFonts w:hint="eastAsia" w:asciiTheme="minorEastAsia" w:hAnsiTheme="minorEastAsia" w:eastAsiaTheme="minorEastAsia" w:cstheme="minorEastAsia"/>
          <w:sz w:val="32"/>
          <w:szCs w:val="32"/>
        </w:rPr>
      </w:pPr>
    </w:p>
    <w:p>
      <w:pPr>
        <w:spacing w:line="360" w:lineRule="auto"/>
        <w:ind w:firstLine="1280" w:firstLineChars="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第一部分      竞争性磋商公告</w:t>
      </w:r>
    </w:p>
    <w:p>
      <w:pPr>
        <w:spacing w:line="360" w:lineRule="auto"/>
        <w:ind w:firstLine="1280" w:firstLineChars="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第二部分      磋商供应商须知</w:t>
      </w:r>
    </w:p>
    <w:p>
      <w:pPr>
        <w:spacing w:line="360" w:lineRule="auto"/>
        <w:ind w:firstLine="1280" w:firstLineChars="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第三部分      采购需求</w:t>
      </w:r>
    </w:p>
    <w:p>
      <w:pPr>
        <w:spacing w:line="360" w:lineRule="auto"/>
        <w:ind w:firstLine="1280" w:firstLineChars="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第四部分      评标办法</w:t>
      </w:r>
    </w:p>
    <w:p>
      <w:pPr>
        <w:spacing w:line="360" w:lineRule="auto"/>
        <w:ind w:firstLine="1280" w:firstLineChars="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第五部分      拟签订的合同文本</w:t>
      </w:r>
    </w:p>
    <w:p>
      <w:pPr>
        <w:spacing w:line="360" w:lineRule="auto"/>
        <w:ind w:firstLine="1280" w:firstLineChars="4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第六部分      应提交的有关格式范例</w:t>
      </w:r>
    </w:p>
    <w:p>
      <w:pPr>
        <w:spacing w:line="360" w:lineRule="auto"/>
        <w:ind w:firstLine="1280" w:firstLineChars="400"/>
        <w:rPr>
          <w:rFonts w:hint="eastAsia" w:asciiTheme="minorEastAsia" w:hAnsiTheme="minorEastAsia" w:eastAsiaTheme="minorEastAsia" w:cstheme="minorEastAsia"/>
          <w:color w:val="auto"/>
          <w:sz w:val="32"/>
          <w:szCs w:val="32"/>
          <w:highlight w:val="none"/>
        </w:rPr>
      </w:pPr>
      <w:bookmarkStart w:id="0" w:name="_Hlt91233176"/>
      <w:bookmarkEnd w:id="0"/>
      <w:bookmarkStart w:id="1" w:name="_Toc91899869"/>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eastAsia="zh-CN"/>
        </w:rPr>
        <w:t>七</w:t>
      </w:r>
      <w:r>
        <w:rPr>
          <w:rFonts w:hint="eastAsia" w:asciiTheme="minorEastAsia" w:hAnsiTheme="minorEastAsia" w:eastAsiaTheme="minorEastAsia" w:cstheme="minorEastAsia"/>
          <w:color w:val="auto"/>
          <w:sz w:val="32"/>
          <w:szCs w:val="32"/>
          <w:highlight w:val="none"/>
        </w:rPr>
        <w:t>部分      最后报价格式</w:t>
      </w: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ind w:firstLine="549" w:firstLineChars="229"/>
        <w:rPr>
          <w:rFonts w:hint="eastAsia" w:asciiTheme="minorEastAsia" w:hAnsiTheme="minorEastAsia" w:eastAsiaTheme="minorEastAsia" w:cstheme="minorEastAsia"/>
          <w:sz w:val="24"/>
        </w:rPr>
      </w:pPr>
    </w:p>
    <w:p>
      <w:pPr>
        <w:spacing w:line="360" w:lineRule="auto"/>
        <w:rPr>
          <w:rFonts w:hint="eastAsia" w:asciiTheme="minorEastAsia" w:hAnsiTheme="minorEastAsia" w:eastAsiaTheme="minorEastAsia" w:cstheme="minorEastAsia"/>
          <w:sz w:val="24"/>
        </w:rPr>
      </w:pPr>
    </w:p>
    <w:bookmarkEnd w:id="1"/>
    <w:p>
      <w:pPr>
        <w:adjustRightInd/>
        <w:spacing w:line="360" w:lineRule="auto"/>
        <w:jc w:val="center"/>
        <w:outlineLvl w:val="0"/>
        <w:rPr>
          <w:rFonts w:hint="eastAsia" w:asciiTheme="minorEastAsia" w:hAnsiTheme="minorEastAsia" w:eastAsiaTheme="minorEastAsia" w:cstheme="minorEastAsia"/>
          <w:b/>
          <w:sz w:val="36"/>
          <w:szCs w:val="20"/>
        </w:rPr>
        <w:sectPr>
          <w:footerReference r:id="rId4" w:type="first"/>
          <w:headerReference r:id="rId3" w:type="default"/>
          <w:pgSz w:w="11906" w:h="16838"/>
          <w:pgMar w:top="1417" w:right="1587" w:bottom="1417" w:left="1587" w:header="851" w:footer="992" w:gutter="0"/>
          <w:pgNumType w:start="1"/>
          <w:cols w:space="720" w:num="1"/>
          <w:docGrid w:linePitch="312" w:charSpace="0"/>
        </w:sectPr>
      </w:pPr>
      <w:bookmarkStart w:id="2" w:name="_Hlt74649545"/>
      <w:bookmarkEnd w:id="2"/>
      <w:bookmarkStart w:id="3" w:name="_Hlt74707423"/>
      <w:bookmarkEnd w:id="3"/>
      <w:bookmarkStart w:id="4" w:name="_Hlt74728647"/>
      <w:bookmarkEnd w:id="4"/>
      <w:bookmarkStart w:id="5" w:name="_Hlt74729822"/>
      <w:bookmarkEnd w:id="5"/>
      <w:bookmarkStart w:id="6" w:name="第二部分"/>
      <w:bookmarkStart w:id="7" w:name="_Toc91899870"/>
      <w:bookmarkStart w:id="8" w:name="_Toc91899871"/>
    </w:p>
    <w:p>
      <w:pPr>
        <w:adjustRightInd/>
        <w:spacing w:line="360" w:lineRule="auto"/>
        <w:jc w:val="center"/>
        <w:outlineLvl w:val="0"/>
        <w:rPr>
          <w:rFonts w:hint="eastAsia" w:asciiTheme="minorEastAsia" w:hAnsiTheme="minorEastAsia" w:eastAsiaTheme="minorEastAsia" w:cstheme="minorEastAsia"/>
          <w:b/>
          <w:sz w:val="36"/>
          <w:szCs w:val="20"/>
        </w:rPr>
      </w:pPr>
      <w:r>
        <w:rPr>
          <w:rFonts w:hint="eastAsia" w:asciiTheme="minorEastAsia" w:hAnsiTheme="minorEastAsia" w:eastAsiaTheme="minorEastAsia" w:cstheme="minorEastAsia"/>
          <w:b/>
          <w:sz w:val="36"/>
          <w:szCs w:val="20"/>
        </w:rPr>
        <w:t>第一部分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lang w:eastAsia="zh-CN"/>
        </w:rPr>
        <w:t>2024-2025年桐庐经济开发区绿地养护项目</w:t>
      </w:r>
      <w:r>
        <w:rPr>
          <w:rFonts w:hint="eastAsia" w:asciiTheme="minorEastAsia" w:hAnsiTheme="minorEastAsia" w:eastAsiaTheme="minorEastAsia" w:cstheme="minorEastAsia"/>
          <w:sz w:val="24"/>
        </w:rPr>
        <w:t>的潜在供应商应在政采云平台（</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"https://www.zcygov.cn/）获取（下载）招标文件，并于2021年" </w:instrText>
      </w:r>
      <w:r>
        <w:rPr>
          <w:rFonts w:hint="eastAsia" w:asciiTheme="minorEastAsia" w:hAnsiTheme="minorEastAsia" w:eastAsiaTheme="minorEastAsia" w:cstheme="minorEastAsia"/>
        </w:rPr>
        <w:fldChar w:fldCharType="separate"/>
      </w:r>
      <w:r>
        <w:rPr>
          <w:rStyle w:val="78"/>
          <w:rFonts w:hint="eastAsia" w:asciiTheme="minorEastAsia" w:hAnsiTheme="minorEastAsia" w:eastAsiaTheme="minorEastAsia" w:cstheme="minorEastAsia"/>
          <w:snapToGrid/>
          <w:color w:val="auto"/>
          <w:kern w:val="2"/>
          <w:sz w:val="24"/>
          <w:szCs w:val="24"/>
        </w:rPr>
        <w:t>https://www.zcygov.cn/）获取（下载）竞争性磋商文件，并于</w:t>
      </w:r>
      <w:r>
        <w:rPr>
          <w:rFonts w:hint="eastAsia" w:asciiTheme="minorEastAsia" w:hAnsiTheme="minorEastAsia" w:eastAsiaTheme="minorEastAsia" w:cstheme="minorEastAsia"/>
          <w:color w:val="FF0000"/>
          <w:sz w:val="24"/>
          <w:u w:val="single"/>
          <w:lang w:eastAsia="zh-CN"/>
        </w:rPr>
        <w:t>2024年</w:t>
      </w:r>
      <w:r>
        <w:rPr>
          <w:rFonts w:hint="eastAsia" w:asciiTheme="minorEastAsia" w:hAnsiTheme="minorEastAsia" w:eastAsiaTheme="minorEastAsia" w:cstheme="minorEastAsia"/>
          <w:color w:val="FF0000"/>
          <w:sz w:val="24"/>
          <w:u w:val="single"/>
          <w:lang w:val="en-US" w:eastAsia="zh-CN"/>
        </w:rPr>
        <w:t>4</w:t>
      </w:r>
      <w:r>
        <w:rPr>
          <w:rFonts w:hint="eastAsia" w:asciiTheme="minorEastAsia" w:hAnsiTheme="minorEastAsia" w:eastAsiaTheme="minorEastAsia" w:cstheme="minorEastAsia"/>
          <w:color w:val="FF0000"/>
          <w:sz w:val="24"/>
          <w:u w:val="single"/>
          <w:lang w:eastAsia="zh-CN"/>
        </w:rPr>
        <w:t>月</w:t>
      </w:r>
      <w:r>
        <w:rPr>
          <w:rFonts w:hint="eastAsia" w:asciiTheme="minorEastAsia" w:hAnsiTheme="minorEastAsia" w:eastAsiaTheme="minorEastAsia" w:cstheme="minorEastAsia"/>
          <w:color w:val="FF0000"/>
          <w:sz w:val="24"/>
          <w:u w:val="single"/>
          <w:lang w:val="en-US" w:eastAsia="zh-CN"/>
        </w:rPr>
        <w:t>15</w:t>
      </w:r>
      <w:r>
        <w:rPr>
          <w:rFonts w:hint="eastAsia" w:asciiTheme="minorEastAsia" w:hAnsiTheme="minorEastAsia" w:eastAsiaTheme="minorEastAsia" w:cstheme="minorEastAsia"/>
          <w:color w:val="FF0000"/>
          <w:sz w:val="24"/>
          <w:u w:val="single"/>
          <w:lang w:eastAsia="zh-CN"/>
        </w:rPr>
        <w:t>日</w:t>
      </w:r>
      <w:r>
        <w:rPr>
          <w:rFonts w:hint="eastAsia" w:asciiTheme="minorEastAsia" w:hAnsiTheme="minorEastAsia" w:eastAsiaTheme="minorEastAsia" w:cstheme="minorEastAsia"/>
          <w:color w:val="FF0000"/>
          <w:sz w:val="24"/>
          <w:u w:val="single"/>
          <w:lang w:val="en-US" w:eastAsia="zh-CN"/>
        </w:rPr>
        <w:t>10</w:t>
      </w:r>
      <w:r>
        <w:rPr>
          <w:rFonts w:hint="eastAsia" w:asciiTheme="minorEastAsia" w:hAnsiTheme="minorEastAsia" w:eastAsiaTheme="minorEastAsia" w:cstheme="minorEastAsia"/>
          <w:color w:val="FF0000"/>
          <w:sz w:val="24"/>
          <w:u w:val="single"/>
          <w:lang w:eastAsia="zh-CN"/>
        </w:rPr>
        <w:t>点</w:t>
      </w:r>
      <w:r>
        <w:rPr>
          <w:rFonts w:hint="eastAsia" w:asciiTheme="minorEastAsia" w:hAnsiTheme="minorEastAsia" w:eastAsiaTheme="minorEastAsia" w:cstheme="minorEastAsia"/>
          <w:color w:val="FF0000"/>
          <w:sz w:val="24"/>
          <w:u w:val="single"/>
          <w:lang w:val="en-US" w:eastAsia="zh-CN"/>
        </w:rPr>
        <w:t>30</w:t>
      </w:r>
      <w:r>
        <w:rPr>
          <w:rFonts w:hint="eastAsia" w:asciiTheme="minorEastAsia" w:hAnsiTheme="minorEastAsia" w:eastAsiaTheme="minorEastAsia" w:cstheme="minorEastAsia"/>
          <w:color w:val="FF0000"/>
          <w:sz w:val="24"/>
          <w:u w:val="single"/>
          <w:lang w:eastAsia="zh-CN"/>
        </w:rPr>
        <w:t>分00秒</w:t>
      </w:r>
      <w:r>
        <w:rPr>
          <w:rFonts w:hint="eastAsia" w:asciiTheme="minorEastAsia" w:hAnsiTheme="minorEastAsia" w:eastAsiaTheme="minorEastAsia" w:cstheme="minorEastAsia"/>
          <w:bCs/>
          <w:color w:val="FF0000"/>
          <w:sz w:val="24"/>
          <w:u w:val="single"/>
        </w:rPr>
        <w:fldChar w:fldCharType="end"/>
      </w:r>
      <w:r>
        <w:rPr>
          <w:rFonts w:hint="eastAsia" w:asciiTheme="minorEastAsia" w:hAnsiTheme="minorEastAsia" w:eastAsiaTheme="minorEastAsia" w:cstheme="minorEastAsia"/>
          <w:bCs/>
          <w:sz w:val="24"/>
        </w:rPr>
        <w:t>（北京时间）前</w:t>
      </w:r>
      <w:r>
        <w:rPr>
          <w:rFonts w:hint="eastAsia" w:asciiTheme="minorEastAsia" w:hAnsiTheme="minorEastAsia" w:eastAsiaTheme="minorEastAsia" w:cstheme="minorEastAsia"/>
          <w:sz w:val="24"/>
        </w:rPr>
        <w:t>递交（上传）磋商响应文件。</w:t>
      </w:r>
    </w:p>
    <w:p>
      <w:pPr>
        <w:keepNext w:val="0"/>
        <w:keepLines w:val="0"/>
        <w:pageBreakBefore w:val="0"/>
        <w:widowControl w:val="0"/>
        <w:kinsoku/>
        <w:wordWrap/>
        <w:overflowPunct/>
        <w:topLinePunct w:val="0"/>
        <w:autoSpaceDE/>
        <w:autoSpaceDN/>
        <w:bidi w:val="0"/>
        <w:adjustRightInd w:val="0"/>
        <w:snapToGrid/>
        <w:spacing w:before="157" w:beforeLines="50" w:line="360" w:lineRule="auto"/>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一、项目基本情况                                            </w:t>
      </w:r>
    </w:p>
    <w:p>
      <w:pPr>
        <w:spacing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sz w:val="24"/>
        </w:rPr>
        <w:t>项目编号：</w:t>
      </w:r>
      <w:r>
        <w:rPr>
          <w:rFonts w:hint="eastAsia" w:asciiTheme="minorEastAsia" w:hAnsiTheme="minorEastAsia" w:eastAsiaTheme="minorEastAsia" w:cstheme="minorEastAsia"/>
          <w:bCs/>
          <w:color w:val="000000"/>
          <w:sz w:val="24"/>
          <w:lang w:eastAsia="zh-CN"/>
        </w:rPr>
        <w:t>HZSJS2024-TLZFCG002</w:t>
      </w:r>
    </w:p>
    <w:p>
      <w:pPr>
        <w:spacing w:line="360" w:lineRule="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sz w:val="24"/>
        </w:rPr>
        <w:t xml:space="preserve"> 项目名称：</w:t>
      </w:r>
      <w:r>
        <w:rPr>
          <w:rFonts w:hint="eastAsia" w:asciiTheme="minorEastAsia" w:hAnsiTheme="minorEastAsia" w:eastAsiaTheme="minorEastAsia" w:cstheme="minorEastAsia"/>
          <w:sz w:val="24"/>
          <w:lang w:eastAsia="zh-CN"/>
        </w:rPr>
        <w:t>2024-2025年桐庐经济开发区绿地养护项目</w:t>
      </w:r>
    </w:p>
    <w:p>
      <w:pPr>
        <w:spacing w:line="360" w:lineRule="auto"/>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highlight w:val="none"/>
        </w:rPr>
        <w:t xml:space="preserve">  </w:t>
      </w:r>
      <w:r>
        <w:rPr>
          <w:rFonts w:hint="eastAsia" w:asciiTheme="minorEastAsia" w:hAnsiTheme="minorEastAsia" w:eastAsiaTheme="minorEastAsia" w:cstheme="minorEastAsia"/>
          <w:b/>
          <w:sz w:val="24"/>
          <w:highlight w:val="none"/>
        </w:rPr>
        <w:t xml:space="preserve"> 预算金额（元）：</w:t>
      </w:r>
      <w:bookmarkStart w:id="450" w:name="_GoBack"/>
      <w:bookmarkEnd w:id="450"/>
      <w:r>
        <w:rPr>
          <w:rFonts w:hint="eastAsia" w:asciiTheme="minorEastAsia" w:hAnsiTheme="minorEastAsia" w:eastAsiaTheme="minorEastAsia" w:cstheme="minorEastAsia"/>
          <w:b w:val="0"/>
          <w:bCs/>
          <w:sz w:val="24"/>
          <w:highlight w:val="none"/>
          <w:lang w:val="en-US" w:eastAsia="zh-CN"/>
        </w:rPr>
        <w:t>11219241</w:t>
      </w:r>
    </w:p>
    <w:p>
      <w:pPr>
        <w:spacing w:line="360" w:lineRule="auto"/>
        <w:ind w:firstLine="480"/>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b/>
          <w:sz w:val="24"/>
          <w:highlight w:val="none"/>
        </w:rPr>
        <w:t>最高限价（元）：</w:t>
      </w:r>
      <w:r>
        <w:rPr>
          <w:rFonts w:hint="eastAsia" w:asciiTheme="minorEastAsia" w:hAnsiTheme="minorEastAsia" w:eastAsiaTheme="minorEastAsia" w:cstheme="minorEastAsia"/>
          <w:sz w:val="24"/>
          <w:highlight w:val="none"/>
          <w:lang w:val="en-US" w:eastAsia="zh-CN"/>
        </w:rPr>
        <w:t>11219241</w:t>
      </w:r>
    </w:p>
    <w:p>
      <w:pPr>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采购需求：</w:t>
      </w:r>
      <w:r>
        <w:rPr>
          <w:rFonts w:hint="eastAsia" w:asciiTheme="minorEastAsia" w:hAnsiTheme="minorEastAsia" w:eastAsiaTheme="minorEastAsia" w:cstheme="minorEastAsia"/>
          <w:sz w:val="24"/>
        </w:rPr>
        <w:t xml:space="preserve"> </w:t>
      </w:r>
      <w:r>
        <w:rPr>
          <w:rFonts w:hint="eastAsia" w:ascii="宋体" w:hAnsi="宋体" w:eastAsia="宋体" w:cs="宋体"/>
          <w:sz w:val="24"/>
        </w:rPr>
        <w:t>详见</w:t>
      </w:r>
      <w:r>
        <w:rPr>
          <w:rFonts w:hint="eastAsia" w:ascii="宋体" w:hAnsi="宋体" w:eastAsia="宋体" w:cs="宋体"/>
          <w:sz w:val="24"/>
          <w:lang w:val="en-US" w:eastAsia="zh-CN"/>
        </w:rPr>
        <w:t>第三部分</w:t>
      </w:r>
      <w:r>
        <w:rPr>
          <w:rFonts w:hint="eastAsia" w:ascii="宋体" w:hAnsi="宋体" w:eastAsia="宋体" w:cs="宋体"/>
          <w:sz w:val="24"/>
        </w:rPr>
        <w:t>采购需求</w:t>
      </w:r>
    </w:p>
    <w:p>
      <w:pPr>
        <w:pStyle w:val="18"/>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color w:val="auto"/>
          <w:sz w:val="24"/>
        </w:rPr>
        <w:t>本项目接受联合体投标：</w:t>
      </w:r>
      <w:sdt>
        <w:sdtPr>
          <w:rPr>
            <w:rFonts w:hint="eastAsia" w:asciiTheme="minorEastAsia" w:hAnsiTheme="minorEastAsia" w:eastAsiaTheme="minorEastAsia" w:cstheme="minorEastAsia"/>
            <w:color w:val="auto"/>
            <w:kern w:val="0"/>
            <w:sz w:val="24"/>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rPr>
        </w:sdtEndPr>
        <w:sdtContent>
          <w:r>
            <w:rPr>
              <w:rFonts w:hint="eastAsia" w:asciiTheme="minorEastAsia" w:hAnsiTheme="minorEastAsia" w:eastAsiaTheme="minorEastAsia" w:cstheme="minorEastAsia"/>
              <w:color w:val="auto"/>
              <w:kern w:val="0"/>
              <w:sz w:val="24"/>
            </w:rPr>
            <w:t>☐</w:t>
          </w:r>
        </w:sdtContent>
      </w:sdt>
      <w:r>
        <w:rPr>
          <w:rFonts w:hint="eastAsia" w:asciiTheme="minorEastAsia" w:hAnsiTheme="minorEastAsia" w:eastAsiaTheme="minorEastAsia" w:cstheme="minorEastAsia"/>
          <w:b/>
          <w:color w:val="auto"/>
          <w:sz w:val="24"/>
        </w:rPr>
        <w:t>是，</w:t>
      </w:r>
      <w:sdt>
        <w:sdtPr>
          <w:rPr>
            <w:rFonts w:hint="eastAsia" w:asciiTheme="minorEastAsia" w:hAnsiTheme="minorEastAsia" w:eastAsiaTheme="minorEastAsia" w:cstheme="minorEastAsia"/>
            <w:color w:val="auto"/>
            <w:kern w:val="0"/>
            <w:sz w:val="24"/>
          </w:rPr>
          <w:id w:val="-1765526721"/>
          <w14:checkbox>
            <w14:checked w14:val="1"/>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rPr>
        </w:sdtEndPr>
        <w:sdtContent>
          <w:r>
            <w:rPr>
              <w:rFonts w:hint="eastAsia" w:ascii="Wingdings" w:hAnsi="Wingdings" w:eastAsiaTheme="minorEastAsia" w:cstheme="minorEastAsia"/>
              <w:snapToGrid w:val="0"/>
              <w:color w:val="auto"/>
              <w:kern w:val="0"/>
              <w:sz w:val="24"/>
              <w:szCs w:val="20"/>
              <w:lang w:val="en-US" w:eastAsia="zh-CN" w:bidi="ar-SA"/>
            </w:rPr>
            <w:t>þ</w:t>
          </w:r>
        </w:sdtContent>
      </w:sdt>
      <w:r>
        <w:rPr>
          <w:rFonts w:hint="eastAsia" w:asciiTheme="minorEastAsia" w:hAnsiTheme="minorEastAsia" w:eastAsiaTheme="minorEastAsia" w:cstheme="minorEastAsia"/>
          <w:b/>
          <w:color w:val="auto"/>
          <w:sz w:val="24"/>
        </w:rPr>
        <w:t>否</w:t>
      </w:r>
      <w:r>
        <w:rPr>
          <w:rFonts w:hint="eastAsia" w:asciiTheme="minorEastAsia" w:hAnsiTheme="minorEastAsia" w:eastAsiaTheme="minorEastAsia" w:cstheme="minorEastAsia"/>
          <w:color w:val="auto"/>
          <w:kern w:val="0"/>
          <w:sz w:val="24"/>
        </w:rPr>
        <w:t>。</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二、申请人的资格要求：</w:t>
      </w:r>
    </w:p>
    <w:p>
      <w:pPr>
        <w:spacing w:line="360" w:lineRule="auto"/>
        <w:ind w:firstLine="480"/>
        <w:rPr>
          <w:rFonts w:hint="eastAsia" w:asciiTheme="minorEastAsia" w:hAnsiTheme="minorEastAsia" w:eastAsiaTheme="minorEastAsia" w:cstheme="minorEastAsia"/>
          <w:snapToGrid w:val="0"/>
          <w:kern w:val="28"/>
          <w:sz w:val="24"/>
          <w:szCs w:val="20"/>
        </w:rPr>
      </w:pPr>
      <w:r>
        <w:rPr>
          <w:rFonts w:hint="eastAsia" w:asciiTheme="minorEastAsia" w:hAnsiTheme="minorEastAsia" w:eastAsiaTheme="minorEastAsia" w:cs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2.落实政府采购政策需满足的资格要求：</w:t>
      </w:r>
      <w:r>
        <w:rPr>
          <w:rFonts w:hint="eastAsia" w:asciiTheme="minorEastAsia" w:hAnsiTheme="minorEastAsia" w:eastAsiaTheme="minorEastAsia" w:cstheme="minorEastAsia"/>
          <w:sz w:val="24"/>
          <w:lang w:eastAsia="zh-CN"/>
        </w:rPr>
        <w:t>无；</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拟磋商响应方必须是在中华人民共和国境内注册，且能提供本招标须知相适应的技术服务内容（包括供应能力、售后服务等）的供应商以及个体工商户、个人独资企业、合伙企业。总公司所设立的区域性分支机构（分公司），必须获得总公司（总机构）授权；</w:t>
      </w:r>
    </w:p>
    <w:p>
      <w:pPr>
        <w:pStyle w:val="55"/>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5.本项目的特定资格要求：</w:t>
      </w:r>
      <w:r>
        <w:rPr>
          <w:rFonts w:hint="eastAsia" w:asciiTheme="minorEastAsia" w:hAnsiTheme="minorEastAsia" w:eastAsiaTheme="minorEastAsia" w:cstheme="minorEastAsia"/>
          <w:b/>
          <w:bCs/>
          <w:sz w:val="24"/>
          <w:lang w:val="en-US" w:eastAsia="zh-CN"/>
        </w:rPr>
        <w:t>无</w:t>
      </w:r>
      <w:r>
        <w:rPr>
          <w:rFonts w:hint="eastAsia" w:asciiTheme="minorEastAsia" w:hAnsiTheme="minorEastAsia" w:eastAsiaTheme="minorEastAsia" w:cstheme="minorEastAsia"/>
          <w:b/>
          <w:bCs/>
          <w:sz w:val="24"/>
        </w:rPr>
        <w:t>。</w:t>
      </w:r>
    </w:p>
    <w:p>
      <w:pPr>
        <w:rPr>
          <w:rFonts w:hint="eastAsia" w:asciiTheme="minorEastAsia" w:hAnsiTheme="minorEastAsia" w:eastAsiaTheme="minorEastAsia" w:cstheme="minorEastAsia"/>
        </w:rPr>
      </w:pP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三、获取竞争性磋商文件</w:t>
      </w:r>
    </w:p>
    <w:p>
      <w:pPr>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时间：</w:t>
      </w:r>
      <w:r>
        <w:rPr>
          <w:rFonts w:hint="eastAsia" w:asciiTheme="minorEastAsia" w:hAnsiTheme="minorEastAsia" w:eastAsiaTheme="minorEastAsia" w:cstheme="minorEastAsia"/>
          <w:sz w:val="24"/>
        </w:rPr>
        <w:t>/至</w:t>
      </w:r>
      <w:r>
        <w:rPr>
          <w:rFonts w:hint="eastAsia" w:asciiTheme="minorEastAsia" w:hAnsiTheme="minorEastAsia" w:eastAsiaTheme="minorEastAsia" w:cstheme="minorEastAsia"/>
          <w:color w:val="FF0000"/>
          <w:sz w:val="24"/>
          <w:u w:val="single"/>
          <w:lang w:eastAsia="zh-CN"/>
        </w:rPr>
        <w:t>2024年</w:t>
      </w:r>
      <w:r>
        <w:rPr>
          <w:rFonts w:hint="eastAsia" w:asciiTheme="minorEastAsia" w:hAnsiTheme="minorEastAsia" w:eastAsiaTheme="minorEastAsia" w:cstheme="minorEastAsia"/>
          <w:color w:val="FF0000"/>
          <w:sz w:val="24"/>
          <w:u w:val="single"/>
          <w:lang w:val="en-US" w:eastAsia="zh-CN"/>
        </w:rPr>
        <w:t>4</w:t>
      </w:r>
      <w:r>
        <w:rPr>
          <w:rFonts w:hint="eastAsia" w:asciiTheme="minorEastAsia" w:hAnsiTheme="minorEastAsia" w:eastAsiaTheme="minorEastAsia" w:cstheme="minorEastAsia"/>
          <w:color w:val="FF0000"/>
          <w:sz w:val="24"/>
          <w:u w:val="single"/>
          <w:lang w:eastAsia="zh-CN"/>
        </w:rPr>
        <w:t>月</w:t>
      </w:r>
      <w:r>
        <w:rPr>
          <w:rFonts w:hint="eastAsia" w:asciiTheme="minorEastAsia" w:hAnsiTheme="minorEastAsia" w:eastAsiaTheme="minorEastAsia" w:cstheme="minorEastAsia"/>
          <w:color w:val="FF0000"/>
          <w:sz w:val="24"/>
          <w:u w:val="single"/>
          <w:lang w:val="en-US" w:eastAsia="zh-CN"/>
        </w:rPr>
        <w:t>15</w:t>
      </w:r>
      <w:r>
        <w:rPr>
          <w:rFonts w:hint="eastAsia" w:asciiTheme="minorEastAsia" w:hAnsiTheme="minorEastAsia" w:eastAsiaTheme="minorEastAsia" w:cstheme="minorEastAsia"/>
          <w:color w:val="FF0000"/>
          <w:sz w:val="24"/>
          <w:u w:val="single"/>
          <w:lang w:eastAsia="zh-CN"/>
        </w:rPr>
        <w:t>日</w:t>
      </w:r>
      <w:r>
        <w:rPr>
          <w:rFonts w:hint="eastAsia" w:asciiTheme="minorEastAsia" w:hAnsiTheme="minorEastAsia" w:eastAsiaTheme="minorEastAsia" w:cstheme="minorEastAsia"/>
          <w:color w:val="FF0000"/>
          <w:sz w:val="24"/>
          <w:u w:val="single"/>
          <w:lang w:val="en-US" w:eastAsia="zh-CN"/>
        </w:rPr>
        <w:t>10</w:t>
      </w:r>
      <w:r>
        <w:rPr>
          <w:rFonts w:hint="eastAsia" w:asciiTheme="minorEastAsia" w:hAnsiTheme="minorEastAsia" w:eastAsiaTheme="minorEastAsia" w:cstheme="minorEastAsia"/>
          <w:color w:val="FF0000"/>
          <w:sz w:val="24"/>
          <w:u w:val="single"/>
          <w:lang w:eastAsia="zh-CN"/>
        </w:rPr>
        <w:t>点</w:t>
      </w:r>
      <w:r>
        <w:rPr>
          <w:rFonts w:hint="eastAsia" w:asciiTheme="minorEastAsia" w:hAnsiTheme="minorEastAsia" w:eastAsiaTheme="minorEastAsia" w:cstheme="minorEastAsia"/>
          <w:color w:val="FF0000"/>
          <w:sz w:val="24"/>
          <w:u w:val="single"/>
          <w:lang w:val="en-US" w:eastAsia="zh-CN"/>
        </w:rPr>
        <w:t>30</w:t>
      </w:r>
      <w:r>
        <w:rPr>
          <w:rFonts w:hint="eastAsia" w:asciiTheme="minorEastAsia" w:hAnsiTheme="minorEastAsia" w:eastAsiaTheme="minorEastAsia" w:cstheme="minorEastAsia"/>
          <w:color w:val="FF0000"/>
          <w:sz w:val="24"/>
          <w:u w:val="single"/>
          <w:lang w:eastAsia="zh-CN"/>
        </w:rPr>
        <w:t>分00秒</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sz w:val="24"/>
        </w:rPr>
        <w:t>每天上午00:00至12:00 ，下午12:00至23:59（北京时间，线上获取法定节假日均可，线下获取文件法定节假日除外）</w:t>
      </w:r>
    </w:p>
    <w:p>
      <w:pPr>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地点（网址）：</w:t>
      </w:r>
      <w:r>
        <w:rPr>
          <w:rFonts w:hint="eastAsia" w:asciiTheme="minorEastAsia" w:hAnsiTheme="minorEastAsia" w:eastAsiaTheme="minorEastAsia" w:cstheme="minorEastAsia"/>
          <w:sz w:val="24"/>
        </w:rPr>
        <w:t xml:space="preserve">政采云平台（https://www.zcygov.cn/） </w:t>
      </w:r>
    </w:p>
    <w:p>
      <w:pPr>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方式：</w:t>
      </w:r>
      <w:r>
        <w:rPr>
          <w:rFonts w:hint="eastAsia" w:asciiTheme="minorEastAsia" w:hAnsiTheme="minorEastAsia" w:eastAsiaTheme="minorEastAsia" w:cstheme="minorEastAsia"/>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售价（元）：</w:t>
      </w:r>
      <w:r>
        <w:rPr>
          <w:rFonts w:hint="eastAsia" w:asciiTheme="minorEastAsia" w:hAnsiTheme="minorEastAsia" w:eastAsiaTheme="minorEastAsia" w:cstheme="minorEastAsia"/>
          <w:sz w:val="24"/>
        </w:rPr>
        <w:t xml:space="preserve">0 </w:t>
      </w:r>
      <w:r>
        <w:rPr>
          <w:rFonts w:hint="eastAsia" w:asciiTheme="minorEastAsia" w:hAnsiTheme="minorEastAsia" w:eastAsiaTheme="minorEastAsia" w:cstheme="minorEastAsia"/>
          <w:sz w:val="24"/>
        </w:rPr>
        <w:tab/>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四、提交磋商响应文件截止时间、开标时间和地点</w:t>
      </w:r>
    </w:p>
    <w:p>
      <w:pPr>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提交磋商响应文件截止时间：</w:t>
      </w:r>
      <w:r>
        <w:rPr>
          <w:rFonts w:hint="eastAsia" w:asciiTheme="minorEastAsia" w:hAnsiTheme="minorEastAsia" w:eastAsiaTheme="minorEastAsia" w:cstheme="minorEastAsia"/>
          <w:color w:val="FF0000"/>
          <w:sz w:val="24"/>
          <w:u w:val="single"/>
          <w:lang w:eastAsia="zh-CN"/>
        </w:rPr>
        <w:t>2024年</w:t>
      </w:r>
      <w:r>
        <w:rPr>
          <w:rFonts w:hint="eastAsia" w:asciiTheme="minorEastAsia" w:hAnsiTheme="minorEastAsia" w:eastAsiaTheme="minorEastAsia" w:cstheme="minorEastAsia"/>
          <w:color w:val="FF0000"/>
          <w:sz w:val="24"/>
          <w:u w:val="single"/>
          <w:lang w:val="en-US" w:eastAsia="zh-CN"/>
        </w:rPr>
        <w:t>4</w:t>
      </w:r>
      <w:r>
        <w:rPr>
          <w:rFonts w:hint="eastAsia" w:asciiTheme="minorEastAsia" w:hAnsiTheme="minorEastAsia" w:eastAsiaTheme="minorEastAsia" w:cstheme="minorEastAsia"/>
          <w:color w:val="FF0000"/>
          <w:sz w:val="24"/>
          <w:u w:val="single"/>
          <w:lang w:eastAsia="zh-CN"/>
        </w:rPr>
        <w:t>月</w:t>
      </w:r>
      <w:r>
        <w:rPr>
          <w:rFonts w:hint="eastAsia" w:asciiTheme="minorEastAsia" w:hAnsiTheme="minorEastAsia" w:eastAsiaTheme="minorEastAsia" w:cstheme="minorEastAsia"/>
          <w:color w:val="FF0000"/>
          <w:sz w:val="24"/>
          <w:u w:val="single"/>
          <w:lang w:val="en-US" w:eastAsia="zh-CN"/>
        </w:rPr>
        <w:t>15</w:t>
      </w:r>
      <w:r>
        <w:rPr>
          <w:rFonts w:hint="eastAsia" w:asciiTheme="minorEastAsia" w:hAnsiTheme="minorEastAsia" w:eastAsiaTheme="minorEastAsia" w:cstheme="minorEastAsia"/>
          <w:color w:val="FF0000"/>
          <w:sz w:val="24"/>
          <w:u w:val="single"/>
          <w:lang w:eastAsia="zh-CN"/>
        </w:rPr>
        <w:t>日</w:t>
      </w:r>
      <w:r>
        <w:rPr>
          <w:rFonts w:hint="eastAsia" w:asciiTheme="minorEastAsia" w:hAnsiTheme="minorEastAsia" w:eastAsiaTheme="minorEastAsia" w:cstheme="minorEastAsia"/>
          <w:color w:val="FF0000"/>
          <w:sz w:val="24"/>
          <w:u w:val="single"/>
          <w:lang w:val="en-US" w:eastAsia="zh-CN"/>
        </w:rPr>
        <w:t>10</w:t>
      </w:r>
      <w:r>
        <w:rPr>
          <w:rFonts w:hint="eastAsia" w:asciiTheme="minorEastAsia" w:hAnsiTheme="minorEastAsia" w:eastAsiaTheme="minorEastAsia" w:cstheme="minorEastAsia"/>
          <w:color w:val="FF0000"/>
          <w:sz w:val="24"/>
          <w:u w:val="single"/>
          <w:lang w:eastAsia="zh-CN"/>
        </w:rPr>
        <w:t>点</w:t>
      </w:r>
      <w:r>
        <w:rPr>
          <w:rFonts w:hint="eastAsia" w:asciiTheme="minorEastAsia" w:hAnsiTheme="minorEastAsia" w:eastAsiaTheme="minorEastAsia" w:cstheme="minorEastAsia"/>
          <w:color w:val="FF0000"/>
          <w:sz w:val="24"/>
          <w:u w:val="single"/>
          <w:lang w:val="en-US" w:eastAsia="zh-CN"/>
        </w:rPr>
        <w:t>30</w:t>
      </w:r>
      <w:r>
        <w:rPr>
          <w:rFonts w:hint="eastAsia" w:asciiTheme="minorEastAsia" w:hAnsiTheme="minorEastAsia" w:eastAsiaTheme="minorEastAsia" w:cstheme="minorEastAsia"/>
          <w:color w:val="FF0000"/>
          <w:sz w:val="24"/>
          <w:u w:val="single"/>
          <w:lang w:eastAsia="zh-CN"/>
        </w:rPr>
        <w:t>分00秒</w:t>
      </w:r>
      <w:r>
        <w:rPr>
          <w:rFonts w:hint="eastAsia" w:asciiTheme="minorEastAsia" w:hAnsiTheme="minorEastAsia" w:eastAsiaTheme="minorEastAsia" w:cstheme="minorEastAsia"/>
          <w:sz w:val="24"/>
        </w:rPr>
        <w:t>（北京时间）</w:t>
      </w:r>
    </w:p>
    <w:p>
      <w:pPr>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投标地点（网址）：</w:t>
      </w:r>
      <w:r>
        <w:rPr>
          <w:rFonts w:hint="eastAsia" w:asciiTheme="minorEastAsia" w:hAnsiTheme="minorEastAsia" w:eastAsiaTheme="minorEastAsia" w:cstheme="minorEastAsia"/>
          <w:sz w:val="24"/>
        </w:rPr>
        <w:t xml:space="preserve">政采云平台（https://www.zcygov.cn/） </w:t>
      </w:r>
    </w:p>
    <w:p>
      <w:pPr>
        <w:spacing w:line="360" w:lineRule="auto"/>
        <w:ind w:firstLine="482" w:firstLineChars="200"/>
        <w:rPr>
          <w:rFonts w:hint="eastAsia" w:asciiTheme="minorEastAsia" w:hAnsiTheme="minorEastAsia" w:eastAsiaTheme="minorEastAsia" w:cstheme="minorEastAsia"/>
          <w:bCs/>
          <w:sz w:val="24"/>
          <w:u w:val="single"/>
          <w:lang w:eastAsia="zh-CN"/>
        </w:rPr>
      </w:pPr>
      <w:r>
        <w:rPr>
          <w:rFonts w:hint="eastAsia" w:asciiTheme="minorEastAsia" w:hAnsiTheme="minorEastAsia" w:eastAsiaTheme="minorEastAsia" w:cstheme="minorEastAsia"/>
          <w:b/>
          <w:sz w:val="24"/>
        </w:rPr>
        <w:t>开标时间：</w:t>
      </w:r>
      <w:r>
        <w:rPr>
          <w:rFonts w:hint="eastAsia" w:asciiTheme="minorEastAsia" w:hAnsiTheme="minorEastAsia" w:eastAsiaTheme="minorEastAsia" w:cstheme="minorEastAsia"/>
          <w:color w:val="FF0000"/>
          <w:sz w:val="24"/>
          <w:u w:val="single"/>
          <w:lang w:eastAsia="zh-CN"/>
        </w:rPr>
        <w:t>2024年</w:t>
      </w:r>
      <w:r>
        <w:rPr>
          <w:rFonts w:hint="eastAsia" w:asciiTheme="minorEastAsia" w:hAnsiTheme="minorEastAsia" w:eastAsiaTheme="minorEastAsia" w:cstheme="minorEastAsia"/>
          <w:color w:val="FF0000"/>
          <w:sz w:val="24"/>
          <w:u w:val="single"/>
          <w:lang w:val="en-US" w:eastAsia="zh-CN"/>
        </w:rPr>
        <w:t>4</w:t>
      </w:r>
      <w:r>
        <w:rPr>
          <w:rFonts w:hint="eastAsia" w:asciiTheme="minorEastAsia" w:hAnsiTheme="minorEastAsia" w:eastAsiaTheme="minorEastAsia" w:cstheme="minorEastAsia"/>
          <w:color w:val="FF0000"/>
          <w:sz w:val="24"/>
          <w:u w:val="single"/>
          <w:lang w:eastAsia="zh-CN"/>
        </w:rPr>
        <w:t>月</w:t>
      </w:r>
      <w:r>
        <w:rPr>
          <w:rFonts w:hint="eastAsia" w:asciiTheme="minorEastAsia" w:hAnsiTheme="minorEastAsia" w:eastAsiaTheme="minorEastAsia" w:cstheme="minorEastAsia"/>
          <w:color w:val="FF0000"/>
          <w:sz w:val="24"/>
          <w:u w:val="single"/>
          <w:lang w:val="en-US" w:eastAsia="zh-CN"/>
        </w:rPr>
        <w:t>15</w:t>
      </w:r>
      <w:r>
        <w:rPr>
          <w:rFonts w:hint="eastAsia" w:asciiTheme="minorEastAsia" w:hAnsiTheme="minorEastAsia" w:eastAsiaTheme="minorEastAsia" w:cstheme="minorEastAsia"/>
          <w:color w:val="FF0000"/>
          <w:sz w:val="24"/>
          <w:u w:val="single"/>
          <w:lang w:eastAsia="zh-CN"/>
        </w:rPr>
        <w:t>日</w:t>
      </w:r>
      <w:r>
        <w:rPr>
          <w:rFonts w:hint="eastAsia" w:asciiTheme="minorEastAsia" w:hAnsiTheme="minorEastAsia" w:eastAsiaTheme="minorEastAsia" w:cstheme="minorEastAsia"/>
          <w:color w:val="FF0000"/>
          <w:sz w:val="24"/>
          <w:u w:val="single"/>
          <w:lang w:val="en-US" w:eastAsia="zh-CN"/>
        </w:rPr>
        <w:t>10</w:t>
      </w:r>
      <w:r>
        <w:rPr>
          <w:rFonts w:hint="eastAsia" w:asciiTheme="minorEastAsia" w:hAnsiTheme="minorEastAsia" w:eastAsiaTheme="minorEastAsia" w:cstheme="minorEastAsia"/>
          <w:color w:val="FF0000"/>
          <w:sz w:val="24"/>
          <w:u w:val="single"/>
          <w:lang w:eastAsia="zh-CN"/>
        </w:rPr>
        <w:t>点</w:t>
      </w:r>
      <w:r>
        <w:rPr>
          <w:rFonts w:hint="eastAsia" w:asciiTheme="minorEastAsia" w:hAnsiTheme="minorEastAsia" w:eastAsiaTheme="minorEastAsia" w:cstheme="minorEastAsia"/>
          <w:color w:val="FF0000"/>
          <w:sz w:val="24"/>
          <w:u w:val="single"/>
          <w:lang w:val="en-US" w:eastAsia="zh-CN"/>
        </w:rPr>
        <w:t>30</w:t>
      </w:r>
      <w:r>
        <w:rPr>
          <w:rFonts w:hint="eastAsia" w:asciiTheme="minorEastAsia" w:hAnsiTheme="minorEastAsia" w:eastAsiaTheme="minorEastAsia" w:cstheme="minorEastAsia"/>
          <w:color w:val="FF0000"/>
          <w:sz w:val="24"/>
          <w:u w:val="single"/>
          <w:lang w:eastAsia="zh-CN"/>
        </w:rPr>
        <w:t>分00秒</w:t>
      </w:r>
    </w:p>
    <w:p>
      <w:pPr>
        <w:spacing w:line="360" w:lineRule="auto"/>
        <w:ind w:firstLine="482"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开标地点（网址）：</w:t>
      </w:r>
      <w:r>
        <w:rPr>
          <w:rFonts w:hint="eastAsia" w:asciiTheme="minorEastAsia" w:hAnsiTheme="minorEastAsia" w:eastAsiaTheme="minorEastAsia" w:cstheme="minorEastAsia"/>
          <w:sz w:val="24"/>
        </w:rPr>
        <w:t>政采云平台（https://www.zcygov.cn/）</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五、公告期限 </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自本公告发布之日起3个工作日。</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textAlignment w:val="auto"/>
        <w:rPr>
          <w:rFonts w:hint="eastAsia"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lang w:val="en-US" w:eastAsia="zh-CN"/>
        </w:rPr>
        <w:t>六</w:t>
      </w:r>
      <w:r>
        <w:rPr>
          <w:rFonts w:hint="eastAsia" w:asciiTheme="minorEastAsia" w:hAnsiTheme="minorEastAsia" w:eastAsiaTheme="minorEastAsia" w:cstheme="minorEastAsia"/>
          <w:b/>
          <w:bCs w:val="0"/>
          <w:sz w:val="24"/>
        </w:rPr>
        <w:t>、</w:t>
      </w:r>
      <w:r>
        <w:rPr>
          <w:rFonts w:hint="eastAsia" w:asciiTheme="minorEastAsia" w:hAnsiTheme="minorEastAsia" w:eastAsiaTheme="minorEastAsia" w:cstheme="minorEastAsia"/>
          <w:b/>
          <w:bCs w:val="0"/>
          <w:sz w:val="24"/>
          <w:lang w:val="en-US" w:eastAsia="zh-CN"/>
        </w:rPr>
        <w:t>供应商确认方式</w:t>
      </w:r>
      <w:r>
        <w:rPr>
          <w:rFonts w:hint="eastAsia" w:asciiTheme="minorEastAsia" w:hAnsiTheme="minorEastAsia" w:eastAsiaTheme="minorEastAsia" w:cstheme="minorEastAsia"/>
          <w:b/>
          <w:bCs w:val="0"/>
          <w:sz w:val="24"/>
        </w:rPr>
        <w:t xml:space="preserve"> </w:t>
      </w:r>
    </w:p>
    <w:p>
      <w:pPr>
        <w:spacing w:line="360" w:lineRule="auto"/>
        <w:ind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采购人和评审专家书面推荐</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七</w:t>
      </w:r>
      <w:r>
        <w:rPr>
          <w:rFonts w:hint="eastAsia" w:asciiTheme="minorEastAsia" w:hAnsiTheme="minorEastAsia" w:eastAsiaTheme="minorEastAsia" w:cstheme="minorEastAsia"/>
          <w:b/>
          <w:sz w:val="24"/>
        </w:rPr>
        <w:t>、其他补充事宜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认为竞争性磋商文件使自己的权益受到损害的，可以自获取竞争性磋商文件之日或者竞争性磋商公告期限届满之日（公告期限届满后获取竞争性磋商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其他事项：（1）需要落实的政府采购政策：包括节约资源、保护环境、支持创新、促进中小企业发展等。详见竞争性磋商文件的第二部分总则。（2）电子招投标的说明：①电子招投标：本项目以数据电文形式，依托“政府采购云平台（www.zcygov.cn）”进行招投标活动，不接受纸质磋商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竞争性磋商文件的获取：使用账号登录或者使用CA登录政采云平台；进入“项目采购”应用，在获取采购文件菜单中选择项目，获取竞争性磋商文件；④磋商响应文件的制作：在“政采云电子交易客户端”中完成“填写基本信息”、“导入磋商响应文件”、“标书关联”、“标书检查”、“电子签名”、“生成电子标书”等操作；⑤采购人、采购机构将依托政采云平台完成本项目的电子交易活动，平台不接受未按上述方式获取竞争性磋商文件的供应商进行投标活动； ⑥对未按上述方式获取竞争性磋商文件的供应商对该文件提出的质疑，采购人或采购代理机构将不予处理；⑦不提供竞争性磋商文件纸质版；⑧磋商响应文件的传输递交：供应商在投标截止时间前将加密的磋商响应文件上传至政府采购云平台，还可以在投标截止时间前直接提交或者以邮政快递方式递交备份磋商响应文件1份。备份磋商响应文件的制作、存储、密封详见竞争性磋商文件第二部分第15点—“备份磋商响应文件”；⑨磋商响应文件的解密：供应商按照平台提示和竞争性磋商文件的规定在半小时内完成在线解密。通过“政府采购云平台”上传递交的磋商响应文件无法按时解密，投标供应商递交了备份磋商响应文件的，以备份磋商响应文件为依据，否则视为磋商响应文件撤回。通过“政府采购云平台”上传递交的磋商响应文件已按时解密的，备份磋商响应文件自动失效。供应商仅提交备份磋商响应文件，没有在电子交易平台传输递交磋商响应文件的，投标无效；⑩具体操作指南：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360" w:lineRule="auto"/>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八</w:t>
      </w:r>
      <w:r>
        <w:rPr>
          <w:rFonts w:hint="eastAsia" w:asciiTheme="minorEastAsia" w:hAnsiTheme="minorEastAsia" w:eastAsiaTheme="minorEastAsia" w:cstheme="minorEastAsia"/>
          <w:b/>
          <w:sz w:val="24"/>
        </w:rPr>
        <w:t>、对本次采购提出询问、质疑、投诉，请按以下方式联系</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cstheme="minorEastAsia"/>
          <w:sz w:val="24"/>
        </w:rPr>
        <w:t xml:space="preserve">   </w:t>
      </w:r>
      <w:r>
        <w:rPr>
          <w:rFonts w:asciiTheme="minorEastAsia" w:hAnsiTheme="minorEastAsia" w:eastAsiaTheme="minorEastAsia"/>
          <w:sz w:val="24"/>
        </w:rPr>
        <w:t xml:space="preserve">  1.采购人信息</w:t>
      </w:r>
    </w:p>
    <w:p>
      <w:pPr>
        <w:snapToGrid w:val="0"/>
        <w:spacing w:line="360" w:lineRule="auto"/>
        <w:ind w:firstLine="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 xml:space="preserve">采购单位：桐庐县企业服务中心        </w:t>
      </w:r>
    </w:p>
    <w:p>
      <w:pPr>
        <w:snapToGrid w:val="0"/>
        <w:spacing w:line="360" w:lineRule="auto"/>
        <w:ind w:firstLine="480"/>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地址：浙江省杭州市桐庐县桐庐经济开发区洋洲南路 199 号</w:t>
      </w:r>
    </w:p>
    <w:p>
      <w:pPr>
        <w:snapToGrid w:val="0"/>
        <w:spacing w:line="360" w:lineRule="auto"/>
        <w:ind w:firstLine="480"/>
        <w:rPr>
          <w:rFonts w:hint="eastAsia"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联系人：许津榕       联系电话：13858159737</w:t>
      </w:r>
    </w:p>
    <w:p>
      <w:pPr>
        <w:snapToGrid w:val="0"/>
        <w:spacing w:line="360" w:lineRule="auto"/>
        <w:rPr>
          <w:rFonts w:hint="eastAsia"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项目联系人（询问）：</w:t>
      </w:r>
      <w:r>
        <w:rPr>
          <w:rFonts w:hint="eastAsia" w:asciiTheme="minorEastAsia" w:hAnsiTheme="minorEastAsia" w:eastAsiaTheme="minorEastAsia"/>
          <w:color w:val="auto"/>
          <w:sz w:val="24"/>
          <w:highlight w:val="none"/>
          <w:lang w:val="en-US" w:eastAsia="zh-CN"/>
        </w:rPr>
        <w:t xml:space="preserve">方宇峰    </w:t>
      </w:r>
      <w:r>
        <w:rPr>
          <w:rFonts w:hint="eastAsia" w:asciiTheme="minorEastAsia" w:hAnsiTheme="minorEastAsia" w:eastAsiaTheme="minorEastAsia"/>
          <w:color w:val="auto"/>
          <w:sz w:val="24"/>
          <w:highlight w:val="none"/>
        </w:rPr>
        <w:t xml:space="preserve"> </w:t>
      </w:r>
    </w:p>
    <w:p>
      <w:pPr>
        <w:snapToGrid w:val="0"/>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color w:val="auto"/>
          <w:sz w:val="24"/>
          <w:highlight w:val="none"/>
        </w:rPr>
        <w:t>项目联系方式（询问）：</w:t>
      </w:r>
      <w:r>
        <w:rPr>
          <w:rFonts w:hint="eastAsia" w:asciiTheme="minorEastAsia" w:hAnsiTheme="minorEastAsia" w:eastAsiaTheme="minorEastAsia"/>
          <w:color w:val="auto"/>
          <w:sz w:val="24"/>
          <w:highlight w:val="none"/>
          <w:lang w:val="en-US" w:eastAsia="zh-CN"/>
        </w:rPr>
        <w:t xml:space="preserve">13732273888   </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sz w:val="24"/>
          <w:highlight w:val="none"/>
        </w:rPr>
        <w:t xml:space="preserve">    </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2.采购代理机构信息            </w:t>
      </w:r>
    </w:p>
    <w:p>
      <w:pPr>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名称：杭州市建设工程管理集团有限公司</w:t>
      </w:r>
    </w:p>
    <w:p>
      <w:pPr>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地址：桐庐县迎春南路555号米兰商厦2幢2单元1804室</w:t>
      </w:r>
    </w:p>
    <w:p>
      <w:pPr>
        <w:snapToGrid w:val="0"/>
        <w:spacing w:line="360" w:lineRule="auto"/>
        <w:rPr>
          <w:rFonts w:asciiTheme="minorEastAsia" w:hAnsiTheme="minorEastAsia" w:eastAsiaTheme="minorEastAsia"/>
          <w:sz w:val="24"/>
        </w:rPr>
      </w:pPr>
      <w:r>
        <w:rPr>
          <w:rFonts w:asciiTheme="minorEastAsia" w:hAnsiTheme="minorEastAsia" w:eastAsiaTheme="minorEastAsia"/>
          <w:sz w:val="24"/>
        </w:rPr>
        <w:t xml:space="preserve">  </w:t>
      </w:r>
      <w:r>
        <w:rPr>
          <w:rFonts w:hint="default" w:asciiTheme="minorEastAsia" w:hAnsiTheme="minorEastAsia" w:eastAsiaTheme="minorEastAsia"/>
          <w:sz w:val="24"/>
          <w:lang w:val="en-US"/>
        </w:rPr>
        <w:t xml:space="preserve"> </w:t>
      </w:r>
      <w:r>
        <w:rPr>
          <w:rFonts w:asciiTheme="minorEastAsia" w:hAnsiTheme="minorEastAsia" w:eastAsiaTheme="minorEastAsia"/>
          <w:sz w:val="24"/>
        </w:rPr>
        <w:t xml:space="preserve"> 联系人（询问）：</w:t>
      </w:r>
      <w:r>
        <w:rPr>
          <w:rFonts w:hint="eastAsia" w:asciiTheme="minorEastAsia" w:hAnsiTheme="minorEastAsia" w:eastAsiaTheme="minorEastAsia"/>
          <w:sz w:val="24"/>
        </w:rPr>
        <w:t>杜含婷</w:t>
      </w:r>
      <w:r>
        <w:rPr>
          <w:rFonts w:asciiTheme="minorEastAsia" w:hAnsiTheme="minorEastAsia" w:eastAsiaTheme="minorEastAsia"/>
          <w:sz w:val="24"/>
        </w:rPr>
        <w:t xml:space="preserve">    联系方式（询问）：</w:t>
      </w:r>
      <w:r>
        <w:rPr>
          <w:rFonts w:hint="eastAsia" w:asciiTheme="minorEastAsia" w:hAnsiTheme="minorEastAsia" w:eastAsiaTheme="minorEastAsia"/>
          <w:sz w:val="24"/>
        </w:rPr>
        <w:t>13346182186</w:t>
      </w:r>
    </w:p>
    <w:p>
      <w:pPr>
        <w:snapToGrid w:val="0"/>
        <w:spacing w:line="360" w:lineRule="auto"/>
        <w:rPr>
          <w:rFonts w:asciiTheme="minorEastAsia" w:hAnsiTheme="minorEastAsia" w:eastAsiaTheme="minorEastAsia"/>
          <w:sz w:val="24"/>
        </w:rPr>
      </w:pPr>
      <w:r>
        <w:rPr>
          <w:rFonts w:asciiTheme="minorEastAsia" w:hAnsiTheme="minorEastAsia" w:eastAsiaTheme="minorEastAsia"/>
          <w:sz w:val="24"/>
        </w:rPr>
        <w:t xml:space="preserve">    质疑联系人：</w:t>
      </w:r>
      <w:r>
        <w:rPr>
          <w:rFonts w:hint="eastAsia" w:asciiTheme="minorEastAsia" w:hAnsiTheme="minorEastAsia" w:eastAsiaTheme="minorEastAsia"/>
          <w:sz w:val="24"/>
        </w:rPr>
        <w:t>邵明微</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质疑联系方式：</w:t>
      </w:r>
      <w:r>
        <w:rPr>
          <w:rFonts w:hint="eastAsia" w:asciiTheme="minorEastAsia" w:hAnsiTheme="minorEastAsia" w:eastAsiaTheme="minorEastAsia"/>
          <w:sz w:val="24"/>
        </w:rPr>
        <w:t>0571-64217000</w:t>
      </w:r>
    </w:p>
    <w:p>
      <w:pPr>
        <w:snapToGrid w:val="0"/>
        <w:spacing w:line="360" w:lineRule="auto"/>
        <w:rPr>
          <w:rFonts w:hint="eastAsia"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同级政府采购监督管理部门            </w:t>
      </w:r>
    </w:p>
    <w:p>
      <w:pPr>
        <w:snapToGrid w:val="0"/>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名称：桐庐县财政局、浙江省政府采购行政裁决服务中心（杭州）</w:t>
      </w:r>
    </w:p>
    <w:p>
      <w:pPr>
        <w:snapToGrid w:val="0"/>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地址：杭州市上城区四季青街道新业路市民之家G03办公室（快递仅限ems或顺丰）</w:t>
      </w:r>
    </w:p>
    <w:p>
      <w:pPr>
        <w:snapToGrid w:val="0"/>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传真： /</w:t>
      </w:r>
    </w:p>
    <w:p>
      <w:pPr>
        <w:snapToGrid w:val="0"/>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联系人 ：朱女士、王女士</w:t>
      </w:r>
    </w:p>
    <w:p>
      <w:pPr>
        <w:snapToGrid w:val="0"/>
        <w:spacing w:line="360" w:lineRule="auto"/>
        <w:rPr>
          <w:rFonts w:hint="eastAsia" w:asciiTheme="minorEastAsia" w:hAnsiTheme="minorEastAsia" w:eastAsiaTheme="minorEastAsia"/>
          <w:sz w:val="24"/>
        </w:rPr>
      </w:pPr>
      <w:r>
        <w:rPr>
          <w:rFonts w:hint="eastAsia" w:asciiTheme="minorEastAsia" w:hAnsiTheme="minorEastAsia" w:eastAsiaTheme="minorEastAsia"/>
          <w:sz w:val="24"/>
        </w:rPr>
        <w:t xml:space="preserve">监督投诉电话：0571-85252453       </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w:t>
      </w:r>
      <w:r>
        <w:rPr>
          <w:rFonts w:asciiTheme="minorEastAsia" w:hAnsiTheme="minorEastAsia" w:eastAsiaTheme="minorEastAsia"/>
          <w:sz w:val="24"/>
        </w:rPr>
        <w:t>400-881-7190获取热线服务帮助。</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spacing w:line="360" w:lineRule="auto"/>
        <w:ind w:firstLine="480" w:firstLineChars="200"/>
        <w:rPr>
          <w:rFonts w:hint="eastAsia" w:asciiTheme="minorEastAsia" w:hAnsiTheme="minorEastAsia" w:eastAsiaTheme="minorEastAsia" w:cstheme="minorEastAsia"/>
          <w:sz w:val="24"/>
        </w:rPr>
      </w:pPr>
    </w:p>
    <w:p>
      <w:pPr>
        <w:pStyle w:val="37"/>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 xml:space="preserve">                              </w:t>
      </w:r>
    </w:p>
    <w:p>
      <w:pPr>
        <w:adjustRightInd/>
        <w:spacing w:line="360" w:lineRule="auto"/>
        <w:jc w:val="center"/>
        <w:outlineLvl w:val="0"/>
        <w:rPr>
          <w:rFonts w:hint="eastAsia" w:asciiTheme="minorEastAsia" w:hAnsiTheme="minorEastAsia" w:eastAsiaTheme="minorEastAsia" w:cstheme="minorEastAsia"/>
          <w:b/>
          <w:sz w:val="36"/>
          <w:szCs w:val="20"/>
        </w:rPr>
      </w:pPr>
    </w:p>
    <w:p>
      <w:pPr>
        <w:pStyle w:val="3"/>
        <w:rPr>
          <w:rFonts w:hint="eastAsia" w:asciiTheme="minorEastAsia" w:hAnsiTheme="minorEastAsia" w:eastAsiaTheme="minorEastAsia" w:cstheme="minorEastAsia"/>
          <w:b/>
          <w:sz w:val="36"/>
          <w:szCs w:val="20"/>
        </w:rPr>
      </w:pPr>
    </w:p>
    <w:p>
      <w:pPr>
        <w:rPr>
          <w:rFonts w:hint="eastAsia" w:asciiTheme="minorEastAsia" w:hAnsiTheme="minorEastAsia" w:eastAsiaTheme="minorEastAsia" w:cstheme="minorEastAsia"/>
          <w:b/>
          <w:sz w:val="36"/>
          <w:szCs w:val="20"/>
        </w:rPr>
      </w:pPr>
    </w:p>
    <w:p>
      <w:pPr>
        <w:pStyle w:val="3"/>
        <w:rPr>
          <w:rFonts w:hint="eastAsia" w:asciiTheme="minorEastAsia" w:hAnsiTheme="minorEastAsia" w:eastAsiaTheme="minorEastAsia" w:cstheme="minorEastAsia"/>
          <w:b/>
          <w:sz w:val="36"/>
          <w:szCs w:val="20"/>
        </w:rPr>
      </w:pPr>
    </w:p>
    <w:p>
      <w:pPr>
        <w:rPr>
          <w:rFonts w:hint="eastAsia" w:asciiTheme="minorEastAsia" w:hAnsiTheme="minorEastAsia" w:eastAsiaTheme="minorEastAsia" w:cstheme="minorEastAsia"/>
          <w:b/>
          <w:sz w:val="36"/>
          <w:szCs w:val="20"/>
        </w:rPr>
      </w:pPr>
    </w:p>
    <w:p>
      <w:pPr>
        <w:pStyle w:val="3"/>
        <w:rPr>
          <w:rFonts w:hint="eastAsia" w:asciiTheme="minorEastAsia" w:hAnsiTheme="minorEastAsia" w:eastAsiaTheme="minorEastAsia" w:cstheme="minorEastAsia"/>
          <w:b/>
          <w:sz w:val="36"/>
          <w:szCs w:val="20"/>
        </w:rPr>
      </w:pPr>
    </w:p>
    <w:p>
      <w:pPr>
        <w:rPr>
          <w:rFonts w:hint="eastAsia" w:asciiTheme="minorEastAsia" w:hAnsiTheme="minorEastAsia" w:eastAsiaTheme="minorEastAsia" w:cstheme="minorEastAsia"/>
          <w:b/>
          <w:sz w:val="36"/>
          <w:szCs w:val="20"/>
        </w:rPr>
      </w:pPr>
    </w:p>
    <w:p>
      <w:pPr>
        <w:pStyle w:val="3"/>
        <w:rPr>
          <w:rFonts w:hint="eastAsia" w:asciiTheme="minorEastAsia" w:hAnsiTheme="minorEastAsia" w:eastAsiaTheme="minorEastAsia" w:cstheme="minorEastAsia"/>
          <w:b/>
          <w:sz w:val="36"/>
          <w:szCs w:val="20"/>
        </w:rPr>
      </w:pPr>
    </w:p>
    <w:p>
      <w:pPr>
        <w:pStyle w:val="3"/>
        <w:ind w:left="0" w:leftChars="0" w:firstLine="0" w:firstLineChars="0"/>
        <w:rPr>
          <w:rFonts w:hint="eastAsia" w:asciiTheme="minorEastAsia" w:hAnsiTheme="minorEastAsia" w:eastAsiaTheme="minorEastAsia" w:cstheme="minorEastAsia"/>
          <w:b/>
          <w:sz w:val="36"/>
          <w:szCs w:val="20"/>
        </w:rPr>
      </w:pPr>
    </w:p>
    <w:p>
      <w:pPr>
        <w:pStyle w:val="4"/>
        <w:rPr>
          <w:rFonts w:hint="eastAsia"/>
        </w:rPr>
      </w:pPr>
    </w:p>
    <w:p>
      <w:pPr>
        <w:pStyle w:val="4"/>
        <w:rPr>
          <w:rFonts w:hint="eastAsia"/>
        </w:rPr>
      </w:pPr>
    </w:p>
    <w:p>
      <w:pPr>
        <w:adjustRightInd/>
        <w:spacing w:line="360" w:lineRule="auto"/>
        <w:jc w:val="center"/>
        <w:outlineLvl w:val="0"/>
        <w:rPr>
          <w:rFonts w:hint="eastAsia" w:asciiTheme="minorEastAsia" w:hAnsiTheme="minorEastAsia" w:eastAsiaTheme="minorEastAsia" w:cstheme="minorEastAsia"/>
          <w:b/>
          <w:sz w:val="36"/>
          <w:szCs w:val="20"/>
        </w:rPr>
      </w:pPr>
    </w:p>
    <w:p>
      <w:pPr>
        <w:adjustRightInd/>
        <w:spacing w:line="360" w:lineRule="auto"/>
        <w:jc w:val="center"/>
        <w:outlineLvl w:val="0"/>
        <w:rPr>
          <w:rFonts w:hint="eastAsia" w:asciiTheme="minorEastAsia" w:hAnsiTheme="minorEastAsia" w:eastAsiaTheme="minorEastAsia" w:cstheme="minorEastAsia"/>
          <w:b/>
          <w:sz w:val="36"/>
          <w:szCs w:val="20"/>
        </w:rPr>
      </w:pPr>
    </w:p>
    <w:p>
      <w:pPr>
        <w:adjustRightInd/>
        <w:spacing w:line="360" w:lineRule="auto"/>
        <w:jc w:val="center"/>
        <w:outlineLvl w:val="0"/>
        <w:rPr>
          <w:rFonts w:hint="eastAsia" w:asciiTheme="minorEastAsia" w:hAnsiTheme="minorEastAsia" w:eastAsiaTheme="minorEastAsia" w:cstheme="minorEastAsia"/>
          <w:b/>
          <w:sz w:val="36"/>
          <w:szCs w:val="20"/>
        </w:rPr>
      </w:pPr>
      <w:r>
        <w:rPr>
          <w:rFonts w:hint="eastAsia" w:asciiTheme="minorEastAsia" w:hAnsiTheme="minorEastAsia" w:eastAsiaTheme="minorEastAsia" w:cstheme="minorEastAsia"/>
          <w:b/>
          <w:sz w:val="36"/>
          <w:szCs w:val="20"/>
        </w:rPr>
        <w:t>第二部分</w:t>
      </w:r>
      <w:bookmarkEnd w:id="6"/>
      <w:r>
        <w:rPr>
          <w:rFonts w:hint="eastAsia" w:asciiTheme="minorEastAsia" w:hAnsiTheme="minorEastAsia" w:eastAsiaTheme="minorEastAsia" w:cstheme="minorEastAsia"/>
          <w:b/>
          <w:sz w:val="36"/>
          <w:szCs w:val="20"/>
        </w:rPr>
        <w:t xml:space="preserve"> 磋商供应商须知</w:t>
      </w:r>
      <w:bookmarkEnd w:id="7"/>
    </w:p>
    <w:p>
      <w:pPr>
        <w:snapToGrid w:val="0"/>
        <w:spacing w:line="360" w:lineRule="auto"/>
        <w:jc w:val="center"/>
        <w:rPr>
          <w:rFonts w:hint="eastAsia" w:asciiTheme="minorEastAsia" w:hAnsiTheme="minorEastAsia" w:eastAsiaTheme="minorEastAsia" w:cstheme="minorEastAsia"/>
          <w:b/>
          <w:sz w:val="32"/>
          <w:szCs w:val="20"/>
        </w:rPr>
      </w:pPr>
      <w:r>
        <w:rPr>
          <w:rFonts w:hint="eastAsia" w:asciiTheme="minorEastAsia" w:hAnsiTheme="minorEastAsia" w:eastAsiaTheme="minorEastAsia" w:cstheme="minorEastAsia"/>
          <w:b/>
          <w:sz w:val="32"/>
          <w:szCs w:val="20"/>
        </w:rPr>
        <w:t>前附表</w:t>
      </w:r>
    </w:p>
    <w:tbl>
      <w:tblPr>
        <w:tblStyle w:val="6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事项</w:t>
            </w:r>
          </w:p>
        </w:tc>
        <w:tc>
          <w:tcPr>
            <w:tcW w:w="661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7" w:hRule="atLeast"/>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报价要求</w:t>
            </w:r>
          </w:p>
        </w:tc>
        <w:tc>
          <w:tcPr>
            <w:tcW w:w="661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有关本项目实施所需的所有费用（含税费）均计入报价。</w:t>
            </w:r>
            <w:r>
              <w:rPr>
                <w:rFonts w:hint="eastAsia" w:asciiTheme="minorEastAsia" w:hAnsiTheme="minorEastAsia" w:eastAsiaTheme="minorEastAsia" w:cstheme="minorEastAsia"/>
                <w:sz w:val="24"/>
              </w:rPr>
              <w:t>开标一览表（</w:t>
            </w:r>
            <w:r>
              <w:rPr>
                <w:rFonts w:hint="eastAsia" w:asciiTheme="minorEastAsia" w:hAnsiTheme="minorEastAsia" w:eastAsiaTheme="minorEastAsia" w:cstheme="minorEastAsia"/>
                <w:sz w:val="24"/>
                <w:lang w:val="en-US" w:eastAsia="zh-CN"/>
              </w:rPr>
              <w:t>二次</w:t>
            </w:r>
            <w:r>
              <w:rPr>
                <w:rFonts w:hint="eastAsia" w:asciiTheme="minorEastAsia" w:hAnsiTheme="minorEastAsia" w:eastAsiaTheme="minorEastAsia" w:cstheme="minorEastAsia"/>
                <w:sz w:val="24"/>
              </w:rPr>
              <w:t>报价表）是报价的唯一载体</w:t>
            </w:r>
            <w:r>
              <w:rPr>
                <w:rFonts w:hint="eastAsia" w:asciiTheme="minorEastAsia" w:hAnsiTheme="minorEastAsia" w:eastAsiaTheme="minorEastAsia" w:cstheme="minorEastAsia"/>
                <w:kern w:val="0"/>
                <w:sz w:val="24"/>
                <w:lang w:val="zh-CN"/>
              </w:rPr>
              <w:t>。磋商响应文件中价格全部采用人民币报价。竞争性磋商文件未列明，而供应商认为必需的费用也需列入报价。</w:t>
            </w:r>
          </w:p>
          <w:p>
            <w:pPr>
              <w:snapToGrid w:val="0"/>
              <w:spacing w:line="360" w:lineRule="auto"/>
              <w:jc w:val="left"/>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投标报价出现下列情形的，投标无效：</w:t>
            </w:r>
          </w:p>
          <w:p>
            <w:pPr>
              <w:snapToGrid w:val="0"/>
              <w:spacing w:line="360" w:lineRule="auto"/>
              <w:ind w:firstLine="241" w:firstLineChars="100"/>
              <w:jc w:val="left"/>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磋商响应文件出现不是唯一的、有选择性投标报价的；</w:t>
            </w:r>
          </w:p>
          <w:p>
            <w:pPr>
              <w:snapToGrid w:val="0"/>
              <w:spacing w:line="360" w:lineRule="auto"/>
              <w:ind w:firstLine="241" w:firstLineChars="1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b/>
                <w:kern w:val="0"/>
                <w:sz w:val="24"/>
                <w:lang w:val="zh-CN"/>
              </w:rPr>
              <w:t>投标报价超过竞争性磋商文件中规定的预算金额或者最高限价的;</w:t>
            </w:r>
          </w:p>
          <w:p>
            <w:pPr>
              <w:spacing w:line="360" w:lineRule="auto"/>
              <w:ind w:firstLine="241" w:firstLineChars="1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rPr>
              <w:t>报价明显低于其他通过符合性审查供应商的报价，有可能影响服务质量或者不能诚信履约的，未能按要求提供书面说明或者提交相关证明材料证明其报价合理性的</w:t>
            </w:r>
            <w:r>
              <w:rPr>
                <w:rFonts w:hint="eastAsia" w:asciiTheme="minorEastAsia" w:hAnsiTheme="minorEastAsia" w:eastAsiaTheme="minorEastAsia" w:cstheme="minorEastAsia"/>
                <w:b/>
                <w:sz w:val="24"/>
                <w:szCs w:val="21"/>
              </w:rPr>
              <w:t>;</w:t>
            </w:r>
          </w:p>
          <w:p>
            <w:pPr>
              <w:spacing w:line="360" w:lineRule="auto"/>
              <w:ind w:firstLine="241"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kern w:val="0"/>
                <w:sz w:val="24"/>
              </w:rPr>
              <w:t>供应商对根据修正原则修正后的报价不确认的</w:t>
            </w:r>
            <w:r>
              <w:rPr>
                <w:rFonts w:hint="eastAsia" w:asciiTheme="minorEastAsia" w:hAnsiTheme="minorEastAsia" w:eastAsiaTheme="minorEastAsia" w:cs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19"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分包</w:t>
            </w:r>
          </w:p>
        </w:tc>
        <w:tc>
          <w:tcPr>
            <w:tcW w:w="66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4" w:hRule="atLeast"/>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供应商应当提供的投标文件</w:t>
            </w:r>
          </w:p>
        </w:tc>
        <w:tc>
          <w:tcPr>
            <w:tcW w:w="661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（1）资格证明文件：见竞争性磋商文件第二部分11.1。</w:t>
            </w:r>
          </w:p>
          <w:p>
            <w:pPr>
              <w:spacing w:line="360" w:lineRule="auto"/>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kern w:val="0"/>
                <w:sz w:val="24"/>
                <w:lang w:val="zh-CN"/>
              </w:rPr>
              <w:t>供应商未提供有效的资格证明文件的，视为供应商不具备竞争性磋商文件中规定的资格要求，投标无效。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0" w:hRule="atLeast"/>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Theme="minorEastAsia" w:hAnsiTheme="minorEastAsia" w:eastAsiaTheme="minorEastAsia" w:cs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rPr>
            </w:pPr>
          </w:p>
        </w:tc>
        <w:tc>
          <w:tcPr>
            <w:tcW w:w="661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（2）商务技术文件：见竞争性磋商文件第二部分11.2。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8" w:hRule="atLeast"/>
        </w:trPr>
        <w:tc>
          <w:tcPr>
            <w:tcW w:w="629" w:type="dxa"/>
            <w:vMerge w:val="continue"/>
            <w:tcBorders>
              <w:left w:val="single" w:color="auto" w:sz="4" w:space="0"/>
              <w:bottom w:val="single" w:color="auto" w:sz="4" w:space="0"/>
              <w:right w:val="single" w:color="auto" w:sz="4" w:space="0"/>
            </w:tcBorders>
          </w:tcPr>
          <w:p>
            <w:pPr>
              <w:spacing w:line="360" w:lineRule="auto"/>
              <w:rPr>
                <w:rFonts w:hint="eastAsia" w:asciiTheme="minorEastAsia" w:hAnsiTheme="minorEastAsia" w:eastAsiaTheme="minorEastAsia" w:cstheme="minorEastAsia"/>
              </w:rPr>
            </w:pPr>
          </w:p>
        </w:tc>
        <w:tc>
          <w:tcPr>
            <w:tcW w:w="1843" w:type="dxa"/>
            <w:vMerge w:val="continue"/>
            <w:tcBorders>
              <w:left w:val="single" w:color="auto" w:sz="4"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rPr>
            </w:pPr>
          </w:p>
        </w:tc>
        <w:tc>
          <w:tcPr>
            <w:tcW w:w="661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（3）报价文件：见竞争性磋商文件第二部分11.3。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开标前答疑会或现场考察</w:t>
            </w:r>
          </w:p>
        </w:tc>
        <w:tc>
          <w:tcPr>
            <w:tcW w:w="66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szCs w:val="20"/>
              </w:rPr>
            </w:pPr>
            <w:r>
              <w:rPr>
                <w:rFonts w:hint="eastAsia" w:asciiTheme="minorEastAsia" w:hAnsiTheme="minorEastAsia" w:eastAsiaTheme="minorEastAsia" w:cstheme="min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sz w:val="24"/>
              </w:rPr>
              <w:t>方案讲解演示</w:t>
            </w:r>
          </w:p>
        </w:tc>
        <w:tc>
          <w:tcPr>
            <w:tcW w:w="66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项目属性与核心产品</w:t>
            </w:r>
          </w:p>
        </w:tc>
        <w:tc>
          <w:tcPr>
            <w:tcW w:w="66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91"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采购标的对应的中小企业划分标准所属行业</w:t>
            </w:r>
          </w:p>
        </w:tc>
        <w:tc>
          <w:tcPr>
            <w:tcW w:w="661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left="21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采购标的：</w:t>
            </w:r>
            <w:r>
              <w:rPr>
                <w:rFonts w:hint="eastAsia" w:asciiTheme="minorEastAsia" w:hAnsiTheme="minorEastAsia" w:eastAsiaTheme="minorEastAsia" w:cstheme="minorEastAsia"/>
                <w:kern w:val="0"/>
                <w:sz w:val="24"/>
                <w:u w:val="single"/>
                <w:lang w:val="zh-CN" w:eastAsia="zh-CN"/>
              </w:rPr>
              <w:t>2024-2025年桐庐经济开发区绿地养护项目</w:t>
            </w:r>
            <w:r>
              <w:rPr>
                <w:rFonts w:hint="eastAsia" w:asciiTheme="minorEastAsia" w:hAnsiTheme="minorEastAsia" w:eastAsiaTheme="minorEastAsia" w:cstheme="minorEastAsia"/>
                <w:kern w:val="0"/>
                <w:sz w:val="24"/>
                <w:u w:val="single"/>
                <w:lang w:eastAsia="zh-CN"/>
              </w:rPr>
              <w:t xml:space="preserve"> </w:t>
            </w:r>
            <w:r>
              <w:rPr>
                <w:rFonts w:hint="eastAsia" w:asciiTheme="minorEastAsia" w:hAnsiTheme="minorEastAsia" w:eastAsiaTheme="minorEastAsia" w:cstheme="minorEastAsia"/>
                <w:kern w:val="0"/>
                <w:sz w:val="24"/>
              </w:rPr>
              <w:t>，</w:t>
            </w:r>
          </w:p>
          <w:p>
            <w:pPr>
              <w:snapToGrid w:val="0"/>
              <w:spacing w:line="360" w:lineRule="auto"/>
              <w:ind w:left="210"/>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kern w:val="0"/>
                <w:sz w:val="24"/>
              </w:rPr>
              <w:t>所属行业：</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u w:val="single"/>
                <w:lang w:eastAsia="zh-CN"/>
              </w:rPr>
              <w:t>服务</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行业；</w:t>
            </w:r>
          </w:p>
          <w:p>
            <w:pPr>
              <w:spacing w:line="360" w:lineRule="auto"/>
              <w:ind w:firstLine="24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lang w:eastAsia="zh-CN"/>
              </w:rPr>
              <w:t>备注：</w:t>
            </w:r>
            <w:r>
              <w:rPr>
                <w:rFonts w:hint="eastAsia" w:asciiTheme="minorEastAsia" w:hAnsiTheme="minorEastAsia" w:eastAsiaTheme="minorEastAsia" w:cstheme="minorEastAsia"/>
                <w:color w:val="auto"/>
                <w:sz w:val="24"/>
              </w:rPr>
              <w:t xml:space="preserve">本项目非专门面向中小企业，价格扣除：根据财政部发布的《政府采购促进中小企业发展暂行办法》规定，对于经主管预算单位统筹后未预留份额专门面向中小企业采购的采购项目，以及预留份额项目中的非预留部分采购包，采购人、采购代理机构应当对符合本办法规定的小微企业报价给予 </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0%的</w:t>
            </w:r>
            <w:r>
              <w:rPr>
                <w:rFonts w:hint="eastAsia" w:asciiTheme="minorEastAsia" w:hAnsiTheme="minorEastAsia" w:eastAsiaTheme="minorEastAsia" w:cstheme="minorEastAsia"/>
                <w:color w:val="auto"/>
                <w:sz w:val="24"/>
                <w:lang w:eastAsia="zh-CN"/>
              </w:rPr>
              <w:t>优惠</w:t>
            </w:r>
            <w:r>
              <w:rPr>
                <w:rFonts w:hint="eastAsia" w:asciiTheme="minorEastAsia" w:hAnsiTheme="minorEastAsia" w:eastAsiaTheme="minorEastAsia" w:cstheme="minorEastAsia"/>
                <w:color w:val="auto"/>
                <w:sz w:val="24"/>
              </w:rPr>
              <w:t>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rPr>
            </w:pPr>
          </w:p>
          <w:p>
            <w:pPr>
              <w:snapToGrid w:val="0"/>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备份磋商响应文件送达地点和签收人员 </w:t>
            </w:r>
          </w:p>
        </w:tc>
        <w:tc>
          <w:tcPr>
            <w:tcW w:w="6611" w:type="dxa"/>
            <w:tcBorders>
              <w:top w:val="single" w:color="000000" w:sz="8" w:space="0"/>
              <w:left w:val="single" w:color="000000" w:sz="2" w:space="0"/>
              <w:bottom w:val="single" w:color="000000" w:sz="8" w:space="0"/>
              <w:right w:val="single" w:color="000000" w:sz="8" w:space="0"/>
            </w:tcBorders>
            <w:vAlign w:val="center"/>
          </w:tcPr>
          <w:p>
            <w:pPr>
              <w:pStyle w:val="37"/>
              <w:spacing w:line="360" w:lineRule="auto"/>
              <w:rPr>
                <w:rFonts w:cs="仿宋_GB2312" w:asciiTheme="minorEastAsia" w:hAnsiTheme="minorEastAsia" w:eastAsiaTheme="minorEastAsia"/>
                <w:sz w:val="24"/>
                <w:szCs w:val="24"/>
              </w:rPr>
            </w:pPr>
            <w:r>
              <w:rPr>
                <w:rFonts w:hint="eastAsia" w:cs="Times New Roman" w:asciiTheme="minorEastAsia" w:hAnsiTheme="minorEastAsia" w:eastAsiaTheme="minorEastAsia"/>
                <w:kern w:val="28"/>
                <w:sz w:val="24"/>
                <w:szCs w:val="24"/>
              </w:rPr>
              <w:t>备份投标文件送达地点：桐庐县迎春南路555号米兰商厦2幢2单元1804室；备份投标文件签收人员联系电话：杜含婷，13346182186</w:t>
            </w:r>
            <w:r>
              <w:rPr>
                <w:rFonts w:hint="eastAsia" w:cs="仿宋_GB2312" w:asciiTheme="minorEastAsia" w:hAnsiTheme="minorEastAsia" w:eastAsiaTheme="minorEastAsia"/>
                <w:sz w:val="24"/>
                <w:szCs w:val="24"/>
              </w:rPr>
              <w:t>。</w:t>
            </w:r>
          </w:p>
          <w:p>
            <w:pPr>
              <w:pStyle w:val="37"/>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采购人、采购机构不强制或变相强制投标人提交备份投标文件。</w:t>
            </w:r>
          </w:p>
          <w:p>
            <w:pPr>
              <w:pStyle w:val="37"/>
              <w:spacing w:line="360" w:lineRule="auto"/>
              <w:rPr>
                <w:rFonts w:hint="eastAsia" w:asciiTheme="minorEastAsia" w:hAnsiTheme="minorEastAsia" w:eastAsiaTheme="minorEastAsia" w:cstheme="minorEastAsia"/>
                <w:kern w:val="28"/>
                <w:sz w:val="24"/>
              </w:rPr>
            </w:pPr>
            <w:r>
              <w:rPr>
                <w:rFonts w:hint="eastAsia" w:cs="仿宋_GB2312" w:asciiTheme="minorEastAsia" w:hAnsiTheme="minorEastAsia" w:eastAsiaTheme="minorEastAsia"/>
                <w:b/>
                <w:sz w:val="24"/>
                <w:szCs w:val="24"/>
              </w:rPr>
              <w:t>备注：</w:t>
            </w:r>
            <w:r>
              <w:rPr>
                <w:rFonts w:cs="仿宋_GB2312" w:asciiTheme="minorEastAsia" w:hAnsiTheme="minorEastAsia" w:eastAsiaTheme="minorEastAsia"/>
                <w:b/>
                <w:sz w:val="24"/>
                <w:szCs w:val="24"/>
              </w:rPr>
              <w:t>“电子备份投标文件”应当密封包装，并在包装上标注采购项目编号、项目名称、响应单位名称等并加盖公章（详见第六章投标文件格式）。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81" w:hRule="atLeast"/>
        </w:trPr>
        <w:tc>
          <w:tcPr>
            <w:tcW w:w="62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合同签订</w:t>
            </w:r>
          </w:p>
        </w:tc>
        <w:tc>
          <w:tcPr>
            <w:tcW w:w="66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与中标人应当在《中标通知书》发出之日起30日内签订政府采购合同。同时，采购代理机构对合同内容进行审查，如发现与采购结果和投标承诺内容不一致的，应予以纠正。中标人拖延、拒签合同的,将被取消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80" w:hRule="atLeast"/>
        </w:trPr>
        <w:tc>
          <w:tcPr>
            <w:tcW w:w="62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0</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履约保证金</w:t>
            </w:r>
          </w:p>
        </w:tc>
        <w:tc>
          <w:tcPr>
            <w:tcW w:w="66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中标人在签订合同时按合同总金额的</w:t>
            </w:r>
            <w:r>
              <w:rPr>
                <w:rFonts w:hint="eastAsia" w:asciiTheme="minorEastAsia" w:hAnsiTheme="minorEastAsia" w:eastAsiaTheme="minorEastAsia" w:cstheme="minorEastAsia"/>
                <w:sz w:val="24"/>
                <w:lang w:val="en-US" w:eastAsia="zh-CN"/>
              </w:rPr>
              <w:t>0.1</w:t>
            </w:r>
            <w:r>
              <w:rPr>
                <w:rFonts w:hint="eastAsia" w:asciiTheme="minorEastAsia" w:hAnsiTheme="minorEastAsia" w:eastAsiaTheme="minorEastAsia" w:cstheme="minorEastAsia"/>
                <w:sz w:val="24"/>
                <w:lang w:val="zh-CN"/>
              </w:rPr>
              <w:t>%向采购单位交纳履约保函或保证金。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64" w:hRule="atLeast"/>
        </w:trPr>
        <w:tc>
          <w:tcPr>
            <w:tcW w:w="62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1</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代理服务费</w:t>
            </w:r>
          </w:p>
        </w:tc>
        <w:tc>
          <w:tcPr>
            <w:tcW w:w="66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2"/>
                <w:szCs w:val="22"/>
              </w:rPr>
            </w:pPr>
            <w:r>
              <w:rPr>
                <w:rFonts w:hint="eastAsia" w:ascii="宋体" w:hAnsi="宋体" w:eastAsia="宋体" w:cs="宋体"/>
                <w:b w:val="0"/>
                <w:bCs w:val="0"/>
                <w:kern w:val="28"/>
                <w:sz w:val="22"/>
                <w:szCs w:val="22"/>
                <w:lang w:val="en-US" w:eastAsia="zh-CN" w:bidi="ar-SA"/>
              </w:rPr>
              <w:t>本次采购的招标代理服务费：</w:t>
            </w:r>
            <w:r>
              <w:rPr>
                <w:rFonts w:hint="eastAsia" w:ascii="宋体" w:hAnsi="宋体" w:cs="宋体"/>
                <w:b w:val="0"/>
                <w:bCs w:val="0"/>
                <w:kern w:val="28"/>
                <w:sz w:val="22"/>
                <w:szCs w:val="22"/>
                <w:lang w:val="en-US" w:eastAsia="zh-CN" w:bidi="ar-SA"/>
              </w:rPr>
              <w:t>46000元</w:t>
            </w:r>
            <w:r>
              <w:rPr>
                <w:rFonts w:hint="eastAsia" w:ascii="宋体" w:hAnsi="宋体" w:eastAsia="宋体" w:cs="宋体"/>
                <w:b w:val="0"/>
                <w:bCs w:val="0"/>
                <w:kern w:val="28"/>
                <w:sz w:val="22"/>
                <w:szCs w:val="22"/>
                <w:lang w:val="en-US" w:eastAsia="zh-CN" w:bidi="ar-SA"/>
              </w:rPr>
              <w:t>。以上费用由中标单位在领取中标通知书时，一次性支付给代理公司，上述费用应含在投标报价中（不得单独列项），投标人在投标报价让利中考虑上述费用。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2</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解释权</w:t>
            </w:r>
          </w:p>
        </w:tc>
        <w:tc>
          <w:tcPr>
            <w:tcW w:w="66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本竞争性磋商文件的解释权属于采购人。</w:t>
            </w:r>
          </w:p>
        </w:tc>
      </w:tr>
      <w:bookmarkEnd w:id="8"/>
    </w:tbl>
    <w:p>
      <w:pPr>
        <w:adjustRightInd/>
        <w:spacing w:line="360" w:lineRule="auto"/>
        <w:jc w:val="center"/>
        <w:outlineLvl w:val="0"/>
        <w:rPr>
          <w:rFonts w:hint="eastAsia" w:asciiTheme="minorEastAsia" w:hAnsiTheme="minorEastAsia" w:eastAsiaTheme="minorEastAsia" w:cstheme="minorEastAsia"/>
          <w:b/>
          <w:sz w:val="32"/>
          <w:szCs w:val="20"/>
        </w:rPr>
      </w:pPr>
      <w:bookmarkStart w:id="9" w:name="_Toc164416483"/>
      <w:bookmarkStart w:id="10" w:name="第三部分"/>
      <w:r>
        <w:rPr>
          <w:rFonts w:hint="eastAsia" w:asciiTheme="minorEastAsia" w:hAnsiTheme="minorEastAsia" w:eastAsiaTheme="minorEastAsia" w:cstheme="minorEastAsia"/>
          <w:b/>
          <w:sz w:val="32"/>
          <w:szCs w:val="20"/>
        </w:rPr>
        <w:t>一、总则</w:t>
      </w:r>
    </w:p>
    <w:p>
      <w:pPr>
        <w:snapToGrid w:val="0"/>
        <w:spacing w:line="360" w:lineRule="auto"/>
        <w:ind w:firstLine="361" w:firstLineChars="150"/>
        <w:jc w:val="left"/>
        <w:outlineLvl w:val="1"/>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 适用范围</w:t>
      </w:r>
    </w:p>
    <w:p>
      <w:pPr>
        <w:snapToGrid w:val="0"/>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本竞争性磋商文件适用于该项目的招标、投标、开标、资格审查及信用信息查询、评标、定标、合同、验收等行为（法律、法规另有规定的，从其规定）。</w:t>
      </w:r>
    </w:p>
    <w:p>
      <w:pPr>
        <w:adjustRightInd/>
        <w:spacing w:line="360" w:lineRule="auto"/>
        <w:outlineLvl w:val="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2.定义</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 “采购人”系指竞争性磋商公告中载明的本项目的采购人。</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 “采购机构”系指竞争性磋商公告中载明的本项目的采购机构。</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 “供应商”系指是指响应招标、参加投标竞争的法人、其他组织或者自然人。</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2.6“电子交易平台”是指本项目政府采购活动所依托的政府采购云平台（https://www.zcygov.cn/）。</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2.7 “▲” 系指实质性要求条款，“★”系产品采购项目中单一产品或核心产品，“</w:t>
      </w:r>
      <w:sdt>
        <w:sdtPr>
          <w:rPr>
            <w:rFonts w:hint="eastAsia" w:asciiTheme="minorEastAsia" w:hAnsiTheme="minorEastAsia" w:eastAsiaTheme="minorEastAsia" w:cstheme="minorEastAsia"/>
            <w:kern w:val="0"/>
            <w:sz w:val="24"/>
          </w:rPr>
          <w:id w:val="512970236"/>
          <w14:checkbox>
            <w14:checked w14:val="1"/>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 系指适用本项目的要求，“</w:t>
      </w:r>
      <w:sdt>
        <w:sdtPr>
          <w:rPr>
            <w:rFonts w:hint="eastAsia" w:asciiTheme="minorEastAsia" w:hAnsiTheme="minorEastAsia" w:eastAsiaTheme="minorEastAsia" w:cstheme="minorEastAsia"/>
            <w:kern w:val="0"/>
            <w:sz w:val="24"/>
          </w:rPr>
          <w:id w:val="404888855"/>
          <w14:checkbox>
            <w14:checked w14:val="0"/>
            <w14:checkedState w14:val="00FE" w14:font="Wingdings"/>
            <w14:uncheckedState w14:val="2610" w14:font="MS Gothic"/>
          </w14:checkbox>
        </w:sdtPr>
        <w:sdtEndPr>
          <w:rPr>
            <w:rFonts w:hint="eastAsia" w:asciiTheme="minorEastAsia" w:hAnsiTheme="minorEastAsia" w:eastAsiaTheme="minorEastAsia" w:cstheme="minorEastAsia"/>
            <w:kern w:val="0"/>
            <w:sz w:val="24"/>
          </w:rPr>
        </w:sdtEndPr>
        <w:sdtContent>
          <w:r>
            <w:rPr>
              <w:rFonts w:hint="eastAsia" w:asciiTheme="minorEastAsia" w:hAnsiTheme="minorEastAsia" w:eastAsiaTheme="minorEastAsia" w:cstheme="minorEastAsia"/>
              <w:kern w:val="0"/>
              <w:sz w:val="24"/>
            </w:rPr>
            <w:t>☐</w:t>
          </w:r>
        </w:sdtContent>
      </w:sdt>
      <w:r>
        <w:rPr>
          <w:rFonts w:hint="eastAsia" w:asciiTheme="minorEastAsia" w:hAnsiTheme="minorEastAsia" w:eastAsiaTheme="minorEastAsia" w:cstheme="minorEastAsia"/>
          <w:sz w:val="24"/>
        </w:rPr>
        <w:t>” 系指不适用本项目的要求。</w:t>
      </w:r>
    </w:p>
    <w:p>
      <w:pPr>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b/>
          <w:sz w:val="24"/>
        </w:rPr>
        <w:t>采购项目需要落实的政府采购政策</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 支持绿色发展</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3.2.2 修缮、装修类项目采购建材的，采购人应将绿色建筑和绿色建材性能、指标等作为实质性条件纳入招标文件和合同。</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3.3支持中小企业发展</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符合中小企业划分标准的个体工商户，在政府采购活动中视同中小企业。</w:t>
      </w:r>
    </w:p>
    <w:p>
      <w:pPr>
        <w:widowControl/>
        <w:spacing w:line="360" w:lineRule="auto"/>
        <w:ind w:firstLine="720" w:firstLineChars="3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Cs/>
          <w:sz w:val="24"/>
        </w:rPr>
        <w:t>3.3.2</w:t>
      </w:r>
      <w:r>
        <w:rPr>
          <w:rFonts w:hint="eastAsia" w:asciiTheme="minorEastAsia" w:hAnsiTheme="minorEastAsia" w:eastAsiaTheme="minorEastAsia" w:cstheme="minorEastAsia"/>
          <w:kern w:val="0"/>
          <w:sz w:val="24"/>
        </w:rPr>
        <w:t>在政府采购活动中，投标人提供的货物、工程或者服务符合下列情形的，享受中小企业扶持政策：</w:t>
      </w:r>
    </w:p>
    <w:p>
      <w:pPr>
        <w:widowControl/>
        <w:spacing w:line="360" w:lineRule="auto"/>
        <w:ind w:firstLine="720" w:firstLineChars="3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3.3.2.1在货物采购项目中，货物由中小企业制造，即货物由中小企业生产且使用该中小企业商号或者注册商标；</w:t>
      </w:r>
    </w:p>
    <w:p>
      <w:pPr>
        <w:widowControl/>
        <w:spacing w:line="360" w:lineRule="auto"/>
        <w:ind w:firstLine="720" w:firstLineChars="3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3.3.2.2在工程采购项目中，工程由中小企业承建，即工程施工单位为中小企业；</w:t>
      </w:r>
    </w:p>
    <w:p>
      <w:pPr>
        <w:widowControl/>
        <w:spacing w:line="360" w:lineRule="auto"/>
        <w:ind w:firstLine="720" w:firstLineChars="3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3.4</w:t>
      </w:r>
      <w:r>
        <w:rPr>
          <w:rFonts w:hint="eastAsia" w:asciiTheme="minorEastAsia" w:hAnsiTheme="minorEastAsia" w:eastAsiaTheme="minorEastAsia" w:cstheme="minorEastAsia"/>
          <w:bCs/>
          <w:sz w:val="24"/>
        </w:rPr>
        <w:t>支持创新发展</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3.4.1 采购人优先采购被认定为首台套产品和“制造精品”的自主创新产品。</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4. 询问、质疑、投诉</w:t>
      </w:r>
    </w:p>
    <w:p>
      <w:pPr>
        <w:autoSpaceDE w:val="0"/>
        <w:autoSpaceDN w:val="0"/>
        <w:spacing w:line="360" w:lineRule="auto"/>
        <w:ind w:firstLine="240" w:firstLineChars="1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4.1供应商询问</w:t>
      </w:r>
    </w:p>
    <w:p>
      <w:pPr>
        <w:autoSpaceDE w:val="0"/>
        <w:autoSpaceDN w:val="0"/>
        <w:spacing w:line="360" w:lineRule="auto"/>
        <w:ind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4.2供应商质疑</w:t>
      </w:r>
    </w:p>
    <w:p>
      <w:pPr>
        <w:pStyle w:val="37"/>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4.2</w:t>
      </w:r>
      <w:r>
        <w:rPr>
          <w:rFonts w:hint="eastAsia" w:asciiTheme="minorEastAsia" w:hAnsiTheme="minorEastAsia" w:eastAsiaTheme="minorEastAsia" w:cstheme="minorEastAsia"/>
          <w:sz w:val="24"/>
        </w:rPr>
        <w:t>.1提出质疑的供应商应当是参与所质疑项目采购活动的供应商。潜在供应商已依法获取其可质疑的竞争性磋商文件的，可以对该文件提出质疑。</w:t>
      </w:r>
    </w:p>
    <w:p>
      <w:pPr>
        <w:pStyle w:val="37"/>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4.2</w:t>
      </w:r>
      <w:r>
        <w:rPr>
          <w:rFonts w:hint="eastAsia" w:asciiTheme="minorEastAsia" w:hAnsiTheme="minorEastAsia" w:eastAsiaTheme="minorEastAsia" w:cstheme="minorEastAsia"/>
          <w:sz w:val="24"/>
        </w:rPr>
        <w:t>.2供应商认为竞争性磋商文件、采购过程和中标结果使自己的权益受到损害的，可以在知道或者应知其权益受到损害之日起七个工作日内，以书面形式向采购人或者采购机构提出质疑，否则，采购人或者采购机构不予受理：</w:t>
      </w:r>
    </w:p>
    <w:p>
      <w:pPr>
        <w:pStyle w:val="18"/>
        <w:spacing w:line="360" w:lineRule="auto"/>
        <w:ind w:firstLine="480" w:firstLineChars="200"/>
        <w:rPr>
          <w:rFonts w:hint="eastAsia" w:asciiTheme="minorEastAsia" w:hAnsiTheme="minorEastAsia" w:eastAsiaTheme="minorEastAsia" w:cstheme="minorEastAsia"/>
          <w:snapToGrid/>
          <w:color w:val="auto"/>
          <w:kern w:val="2"/>
          <w:sz w:val="24"/>
        </w:rPr>
      </w:pPr>
      <w:r>
        <w:rPr>
          <w:rFonts w:hint="eastAsia" w:asciiTheme="minorEastAsia" w:hAnsiTheme="minorEastAsia" w:eastAsiaTheme="minorEastAsia" w:cstheme="minorEastAsia"/>
          <w:snapToGrid/>
          <w:color w:val="auto"/>
          <w:kern w:val="2"/>
          <w:sz w:val="24"/>
        </w:rPr>
        <w:t>4.2.2.1对竞争性磋商文件提出质疑的，质疑期限为供应商获得竞争性磋商文件之日或者竞争性磋商文件公告期限届满之日起计算。</w:t>
      </w:r>
    </w:p>
    <w:p>
      <w:pPr>
        <w:pStyle w:val="37"/>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4.2.2.2对采购过程提出质疑的，质疑期限为各采购程序环节结束之日起计算。对同一采购程序环节的质疑，供应商须一次性提出。</w:t>
      </w:r>
    </w:p>
    <w:p>
      <w:pPr>
        <w:pStyle w:val="37"/>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4.2.2.3对采购结果提出质疑的，质疑期限自采购结果公告期限届满之日起计算。</w:t>
      </w:r>
    </w:p>
    <w:p>
      <w:pPr>
        <w:pStyle w:val="37"/>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w:t>
      </w:r>
      <w:r>
        <w:rPr>
          <w:rFonts w:hint="eastAsia" w:asciiTheme="minorEastAsia" w:hAnsiTheme="minorEastAsia" w:eastAsiaTheme="minorEastAsia" w:cstheme="minorEastAsia"/>
          <w:sz w:val="24"/>
        </w:rPr>
        <w:t>供应商提出质疑应当提交质疑函和必要的证明材料。质疑函应当包括下列内容：</w:t>
      </w:r>
    </w:p>
    <w:p>
      <w:pPr>
        <w:pStyle w:val="37"/>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4.2.3.1供应商的姓名或者名称、地址、邮编、联系人及联系电话；</w:t>
      </w:r>
    </w:p>
    <w:p>
      <w:pPr>
        <w:pStyle w:val="37"/>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4.2.3.2质疑项目的名称、编号；</w:t>
      </w:r>
    </w:p>
    <w:p>
      <w:pPr>
        <w:pStyle w:val="37"/>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w:t>
      </w:r>
      <w:r>
        <w:rPr>
          <w:rFonts w:hint="eastAsia" w:asciiTheme="minorEastAsia" w:hAnsiTheme="minorEastAsia" w:eastAsiaTheme="minorEastAsia" w:cstheme="minorEastAsia"/>
          <w:kern w:val="0"/>
          <w:sz w:val="24"/>
        </w:rPr>
        <w:t>3</w:t>
      </w:r>
      <w:r>
        <w:rPr>
          <w:rFonts w:hint="eastAsia" w:asciiTheme="minorEastAsia" w:hAnsiTheme="minorEastAsia" w:eastAsiaTheme="minorEastAsia" w:cstheme="minorEastAsia"/>
          <w:kern w:val="0"/>
          <w:sz w:val="24"/>
          <w:lang w:val="zh-CN"/>
        </w:rPr>
        <w:t>具体、明确的质疑事项和与质疑事项相关的请求；</w:t>
      </w:r>
    </w:p>
    <w:p>
      <w:pPr>
        <w:pStyle w:val="37"/>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4.2.3.4事实依据；</w:t>
      </w:r>
    </w:p>
    <w:p>
      <w:pPr>
        <w:pStyle w:val="37"/>
        <w:spacing w:line="360" w:lineRule="auto"/>
        <w:ind w:firstLine="240" w:firstLineChars="1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4.2.3.5必要的法律依据；</w:t>
      </w:r>
    </w:p>
    <w:p>
      <w:pPr>
        <w:pStyle w:val="37"/>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4.2.3.6提出质疑的日期。</w:t>
      </w:r>
    </w:p>
    <w:p>
      <w:pPr>
        <w:pStyle w:val="888"/>
        <w:snapToGrid w:val="0"/>
        <w:spacing w:before="0" w:beforeAutospacing="0" w:after="0" w:afterAutospacing="0" w:line="360" w:lineRule="auto"/>
        <w:ind w:firstLine="403"/>
        <w:contextualSpacing/>
        <w:rPr>
          <w:rFonts w:hint="eastAsia" w:asciiTheme="minorEastAsia" w:hAnsiTheme="minorEastAsia" w:eastAsiaTheme="minorEastAsia" w:cstheme="minorEastAsia"/>
        </w:rPr>
      </w:pPr>
      <w:r>
        <w:rPr>
          <w:rFonts w:hint="eastAsia" w:asciiTheme="minorEastAsia" w:hAnsiTheme="minorEastAsia" w:eastAsiaTheme="minorEastAsia" w:cstheme="minorEastAsia"/>
        </w:rPr>
        <w:t>供应商提交的质疑函需一式三份。供应商为自然人的，应当由本人签字；供应商为法人或者其他组织的，应当由法定代表人、主要负责人，或者其授权代表签字或者盖章，并加盖公章。</w:t>
      </w:r>
    </w:p>
    <w:p>
      <w:pPr>
        <w:pStyle w:val="888"/>
        <w:snapToGrid w:val="0"/>
        <w:spacing w:after="240" w:afterAutospacing="0" w:line="360" w:lineRule="auto"/>
        <w:ind w:firstLine="400"/>
        <w:contextualSpacing/>
        <w:rPr>
          <w:rFonts w:hint="eastAsia" w:asciiTheme="minorEastAsia" w:hAnsiTheme="minorEastAsia" w:eastAsiaTheme="minorEastAsia" w:cstheme="minorEastAsia"/>
        </w:rPr>
      </w:pPr>
      <w:r>
        <w:rPr>
          <w:rFonts w:hint="eastAsia" w:asciiTheme="minorEastAsia" w:hAnsiTheme="minorEastAsia" w:eastAsiaTheme="minorEastAsia" w:cstheme="minorEastAsia"/>
        </w:rPr>
        <w:t>质疑函范本及制作说明详见附件2。</w:t>
      </w:r>
    </w:p>
    <w:p>
      <w:pPr>
        <w:pStyle w:val="888"/>
        <w:snapToGrid w:val="0"/>
        <w:spacing w:after="240" w:afterAutospacing="0" w:line="360" w:lineRule="auto"/>
        <w:ind w:firstLine="400"/>
        <w:contextualSpacing/>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4.2</w:t>
      </w:r>
      <w:r>
        <w:rPr>
          <w:rFonts w:hint="eastAsia" w:asciiTheme="minorEastAsia" w:hAnsiTheme="minorEastAsia" w:eastAsiaTheme="minorEastAsia" w:cstheme="minorEastAsia"/>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napToGrid w:val="0"/>
        <w:spacing w:after="240" w:afterAutospacing="0" w:line="360" w:lineRule="auto"/>
        <w:ind w:firstLine="400"/>
        <w:contextualSpacing/>
        <w:rPr>
          <w:rFonts w:hint="eastAsia" w:asciiTheme="minorEastAsia" w:hAnsiTheme="minorEastAsia" w:eastAsiaTheme="minorEastAsia" w:cstheme="minorEastAsia"/>
        </w:rPr>
      </w:pPr>
      <w:r>
        <w:rPr>
          <w:rFonts w:hint="eastAsia" w:asciiTheme="minorEastAsia" w:hAnsiTheme="minorEastAsia" w:eastAsiaTheme="minorEastAsia" w:cstheme="minorEastAsia"/>
          <w:lang w:val="zh-CN"/>
        </w:rPr>
        <w:t>4.2</w:t>
      </w:r>
      <w:r>
        <w:rPr>
          <w:rFonts w:hint="eastAsia" w:asciiTheme="minorEastAsia" w:hAnsiTheme="minorEastAsia" w:eastAsiaTheme="minorEastAsia" w:cstheme="minorEastAsia"/>
        </w:rPr>
        <w:t>.5询问或者质疑事项可能影响采购结果的，采购人应当暂停签订合同，已经签订合同的，应当中止履行合同。</w:t>
      </w:r>
    </w:p>
    <w:p>
      <w:pPr>
        <w:pStyle w:val="888"/>
        <w:snapToGrid w:val="0"/>
        <w:spacing w:after="240" w:afterAutospacing="0" w:line="360" w:lineRule="auto"/>
        <w:ind w:firstLine="400"/>
        <w:contextualSpacing/>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4.3供应商投诉</w:t>
      </w:r>
    </w:p>
    <w:p>
      <w:pPr>
        <w:pStyle w:val="888"/>
        <w:snapToGrid w:val="0"/>
        <w:spacing w:after="240" w:afterAutospacing="0" w:line="360" w:lineRule="auto"/>
        <w:ind w:firstLine="400"/>
        <w:contextualSpacing/>
        <w:rPr>
          <w:rFonts w:hint="eastAsia" w:asciiTheme="minorEastAsia" w:hAnsiTheme="minorEastAsia" w:eastAsiaTheme="minorEastAsia" w:cstheme="minorEastAsia"/>
        </w:rPr>
      </w:pPr>
      <w:r>
        <w:rPr>
          <w:rFonts w:hint="eastAsia" w:asciiTheme="minorEastAsia" w:hAnsiTheme="minorEastAsia" w:eastAsiaTheme="minorEastAsia" w:cstheme="minorEastAsia"/>
        </w:rPr>
        <w:t>4.3.1质疑供应商对采购人、采购机构的答复不满意或者采购人、采购机构未在规定的时间内作出答复的，可以在答复期满后十五个工作日内向同级政府采购监督管理部门提出投诉。</w:t>
      </w:r>
    </w:p>
    <w:p>
      <w:pPr>
        <w:pStyle w:val="888"/>
        <w:snapToGrid w:val="0"/>
        <w:spacing w:after="240" w:afterAutospacing="0" w:line="360" w:lineRule="auto"/>
        <w:ind w:firstLine="400"/>
        <w:contextualSpacing/>
        <w:rPr>
          <w:rFonts w:hint="eastAsia" w:asciiTheme="minorEastAsia" w:hAnsiTheme="minorEastAsia" w:eastAsiaTheme="minorEastAsia" w:cstheme="minorEastAsia"/>
        </w:rPr>
      </w:pPr>
      <w:r>
        <w:rPr>
          <w:rFonts w:hint="eastAsia" w:asciiTheme="minorEastAsia" w:hAnsiTheme="minorEastAsia" w:eastAsiaTheme="minorEastAsia" w:cstheme="minorEastAsia"/>
        </w:rPr>
        <w:t>4.3.</w:t>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rPr>
        <w:t>供应商投诉的事项不得超出已质疑事项的范围，基于质疑答复内容提出的投诉事项除外。</w:t>
      </w:r>
    </w:p>
    <w:p>
      <w:pPr>
        <w:pStyle w:val="888"/>
        <w:snapToGrid w:val="0"/>
        <w:spacing w:after="240" w:afterAutospacing="0" w:line="360" w:lineRule="auto"/>
        <w:ind w:firstLine="400"/>
        <w:contextualSpacing/>
        <w:rPr>
          <w:rFonts w:hint="eastAsia" w:asciiTheme="minorEastAsia" w:hAnsiTheme="minorEastAsia" w:eastAsiaTheme="minorEastAsia" w:cstheme="minorEastAsia"/>
        </w:rPr>
      </w:pPr>
      <w:r>
        <w:rPr>
          <w:rFonts w:hint="eastAsia" w:asciiTheme="minorEastAsia" w:hAnsiTheme="minorEastAsia" w:eastAsiaTheme="minorEastAsia" w:cstheme="minorEastAsia"/>
        </w:rPr>
        <w:t>4.3.3供应商投诉应当有明确的请求和必要的证明材料。</w:t>
      </w:r>
    </w:p>
    <w:p>
      <w:pPr>
        <w:pStyle w:val="888"/>
        <w:snapToGrid w:val="0"/>
        <w:spacing w:after="240" w:afterAutospacing="0" w:line="360" w:lineRule="auto"/>
        <w:ind w:firstLine="400"/>
        <w:contextualSpacing/>
        <w:rPr>
          <w:rFonts w:hint="eastAsia" w:asciiTheme="minorEastAsia" w:hAnsiTheme="minorEastAsia" w:eastAsiaTheme="minorEastAsia" w:cstheme="minorEastAsia"/>
        </w:rPr>
      </w:pPr>
      <w:r>
        <w:rPr>
          <w:rFonts w:hint="eastAsia" w:asciiTheme="minorEastAsia" w:hAnsiTheme="minorEastAsia" w:eastAsiaTheme="minorEastAsia" w:cstheme="minorEastAsia"/>
        </w:rPr>
        <w:t>4.3.4以联合体形式参加政府采购活动的，其投诉应当由组成联合体的所有供应商共同提出。</w:t>
      </w:r>
    </w:p>
    <w:p>
      <w:pPr>
        <w:pStyle w:val="888"/>
        <w:snapToGrid w:val="0"/>
        <w:spacing w:after="240" w:afterAutospacing="0" w:line="360" w:lineRule="auto"/>
        <w:ind w:firstLine="400"/>
        <w:contextualSpacing/>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rPr>
        <w:t>投诉书范本及制作说明详见附件3。</w:t>
      </w:r>
    </w:p>
    <w:p>
      <w:pPr>
        <w:adjustRightInd/>
        <w:spacing w:line="360" w:lineRule="auto"/>
        <w:jc w:val="center"/>
        <w:outlineLvl w:val="0"/>
        <w:rPr>
          <w:rFonts w:hint="eastAsia" w:asciiTheme="minorEastAsia" w:hAnsiTheme="minorEastAsia" w:eastAsiaTheme="minorEastAsia" w:cstheme="minorEastAsia"/>
          <w:b/>
          <w:sz w:val="32"/>
          <w:szCs w:val="20"/>
        </w:rPr>
      </w:pPr>
      <w:r>
        <w:rPr>
          <w:rFonts w:hint="eastAsia" w:asciiTheme="minorEastAsia" w:hAnsiTheme="minorEastAsia" w:eastAsiaTheme="minorEastAsia" w:cstheme="minorEastAsia"/>
          <w:b/>
          <w:sz w:val="32"/>
          <w:szCs w:val="20"/>
        </w:rPr>
        <w:t xml:space="preserve">      二、竞争性磋商文件的构成、澄清、修改</w:t>
      </w:r>
    </w:p>
    <w:p>
      <w:pPr>
        <w:pStyle w:val="3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5．竞争性磋商文件的构成</w:t>
      </w:r>
    </w:p>
    <w:p>
      <w:pPr>
        <w:pStyle w:val="37"/>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竞争性磋商文件包括下列文件及附件：</w:t>
      </w:r>
    </w:p>
    <w:p>
      <w:pPr>
        <w:pStyle w:val="37"/>
        <w:tabs>
          <w:tab w:val="left" w:pos="840"/>
        </w:tabs>
        <w:spacing w:line="36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5.1.1竞争性磋商公告；</w:t>
      </w:r>
    </w:p>
    <w:p>
      <w:pPr>
        <w:pStyle w:val="37"/>
        <w:tabs>
          <w:tab w:val="left" w:pos="840"/>
        </w:tabs>
        <w:spacing w:line="36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5.1.2磋商供应商须知；</w:t>
      </w:r>
    </w:p>
    <w:p>
      <w:pPr>
        <w:pStyle w:val="37"/>
        <w:tabs>
          <w:tab w:val="left" w:pos="840"/>
        </w:tabs>
        <w:spacing w:line="36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5.1.3采购需求；</w:t>
      </w:r>
    </w:p>
    <w:p>
      <w:pPr>
        <w:pStyle w:val="37"/>
        <w:tabs>
          <w:tab w:val="left" w:pos="840"/>
        </w:tabs>
        <w:spacing w:line="36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5.1.4评标办法；</w:t>
      </w:r>
    </w:p>
    <w:p>
      <w:pPr>
        <w:pStyle w:val="37"/>
        <w:tabs>
          <w:tab w:val="left" w:pos="840"/>
        </w:tabs>
        <w:spacing w:line="36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5.1.5拟签订的合同文本；</w:t>
      </w:r>
    </w:p>
    <w:p>
      <w:pPr>
        <w:pStyle w:val="37"/>
        <w:tabs>
          <w:tab w:val="left" w:pos="840"/>
        </w:tabs>
        <w:spacing w:line="36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5.1.6</w:t>
      </w:r>
      <w:r>
        <w:rPr>
          <w:rFonts w:hint="eastAsia" w:asciiTheme="minorEastAsia" w:hAnsiTheme="minorEastAsia" w:eastAsiaTheme="minorEastAsia" w:cstheme="minorEastAsia"/>
          <w:sz w:val="24"/>
          <w:szCs w:val="24"/>
        </w:rPr>
        <w:t>应提交的有关格式范例。</w:t>
      </w:r>
    </w:p>
    <w:p>
      <w:pPr>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5.2与本项目有关的</w:t>
      </w:r>
      <w:r>
        <w:rPr>
          <w:rFonts w:hint="eastAsia" w:asciiTheme="minorEastAsia" w:hAnsiTheme="minorEastAsia" w:eastAsiaTheme="minorEastAsia" w:cstheme="minorEastAsia"/>
          <w:bCs/>
          <w:sz w:val="24"/>
        </w:rPr>
        <w:t>澄清或者修改的内容为竞争性磋商文件的组成部分</w:t>
      </w:r>
      <w:r>
        <w:rPr>
          <w:rFonts w:hint="eastAsia" w:asciiTheme="minorEastAsia" w:hAnsiTheme="minorEastAsia" w:eastAsiaTheme="minorEastAsia" w:cstheme="minorEastAsia"/>
          <w:sz w:val="24"/>
        </w:rPr>
        <w:t>。</w:t>
      </w:r>
    </w:p>
    <w:p>
      <w:pPr>
        <w:pStyle w:val="3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6. 竞争性磋商文件的澄清、修改</w:t>
      </w:r>
    </w:p>
    <w:p>
      <w:pPr>
        <w:pStyle w:val="132"/>
        <w:snapToGrid w:val="0"/>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6.1已获取竞争性磋商文件的潜在供应商，若有问题需要澄清，应于投标截止时间前，以书面形式向采购机构提出。</w:t>
      </w:r>
    </w:p>
    <w:p>
      <w:pPr>
        <w:pStyle w:val="132"/>
        <w:snapToGrid w:val="0"/>
        <w:spacing w:before="0" w:after="240"/>
        <w:ind w:firstLine="4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rPr>
        <w:t>6.2 采购机构对竞争性磋商文件进行澄清或修改的，将同时通过电子交易平台通知已获取竞争性磋商文件的潜在供应商。依法应当公告的，将按规定公告，同时视情况延长投标截止时间和开标时间。该澄清或者修改的内容为竞争性磋商文件的组成部分。</w:t>
      </w:r>
    </w:p>
    <w:p>
      <w:pPr>
        <w:adjustRightInd/>
        <w:spacing w:line="360" w:lineRule="auto"/>
        <w:jc w:val="center"/>
        <w:outlineLvl w:val="0"/>
        <w:rPr>
          <w:rFonts w:hint="eastAsia" w:asciiTheme="minorEastAsia" w:hAnsiTheme="minorEastAsia" w:eastAsiaTheme="minorEastAsia" w:cstheme="minorEastAsia"/>
          <w:b/>
          <w:sz w:val="30"/>
          <w:szCs w:val="20"/>
        </w:rPr>
      </w:pPr>
      <w:r>
        <w:rPr>
          <w:rFonts w:hint="eastAsia" w:asciiTheme="minorEastAsia" w:hAnsiTheme="minorEastAsia" w:eastAsiaTheme="minorEastAsia" w:cstheme="minorEastAsia"/>
          <w:b/>
          <w:sz w:val="30"/>
          <w:szCs w:val="20"/>
        </w:rPr>
        <w:t>三、磋商响应</w:t>
      </w:r>
    </w:p>
    <w:p>
      <w:pPr>
        <w:pStyle w:val="3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 竞争性磋商文件的获取</w:t>
      </w:r>
    </w:p>
    <w:p>
      <w:pPr>
        <w:spacing w:line="360" w:lineRule="auto"/>
        <w:ind w:firstLine="480" w:firstLineChars="200"/>
        <w:rPr>
          <w:rFonts w:hint="eastAsia" w:asciiTheme="minorEastAsia" w:hAnsiTheme="minorEastAsia" w:eastAsiaTheme="minorEastAsia" w:cstheme="minorEastAsia"/>
          <w:snapToGrid w:val="0"/>
          <w:kern w:val="28"/>
          <w:sz w:val="24"/>
        </w:rPr>
      </w:pPr>
      <w:r>
        <w:rPr>
          <w:rFonts w:hint="eastAsia" w:asciiTheme="minorEastAsia" w:hAnsiTheme="minorEastAsia" w:eastAsiaTheme="minorEastAsia" w:cstheme="minorEastAsia"/>
          <w:snapToGrid w:val="0"/>
          <w:kern w:val="28"/>
          <w:sz w:val="24"/>
        </w:rPr>
        <w:t>详见竞争性磋商公告中获取竞争性磋商文件的时间期限、地点、方式及竞争性磋商文件售价。</w:t>
      </w:r>
    </w:p>
    <w:p>
      <w:pPr>
        <w:pStyle w:val="3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8.开标前答疑会或现场考察</w:t>
      </w:r>
    </w:p>
    <w:p>
      <w:pPr>
        <w:pStyle w:val="37"/>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采购人组织潜在供应商现场考察或者召开开标前答疑会的，潜在供应商按第二部分供应商须知前附表的规定参加现场考察或者开标前答疑会。</w:t>
      </w:r>
    </w:p>
    <w:p>
      <w:pPr>
        <w:pStyle w:val="37"/>
        <w:spacing w:line="360" w:lineRule="auto"/>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kern w:val="28"/>
          <w:sz w:val="24"/>
          <w:szCs w:val="24"/>
        </w:rPr>
        <w:t>9.磋商保证金</w:t>
      </w:r>
    </w:p>
    <w:p>
      <w:pPr>
        <w:pStyle w:val="18"/>
        <w:spacing w:line="360" w:lineRule="auto"/>
        <w:ind w:firstLine="470" w:firstLineChars="196"/>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本项目不需缴纳磋商保证金。</w:t>
      </w:r>
    </w:p>
    <w:p>
      <w:pPr>
        <w:pStyle w:val="3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10. 磋商响应文件的语言</w:t>
      </w:r>
    </w:p>
    <w:p>
      <w:pPr>
        <w:autoSpaceDE w:val="0"/>
        <w:autoSpaceDN w:val="0"/>
        <w:spacing w:line="360" w:lineRule="auto"/>
        <w:ind w:firstLine="480" w:firstLineChars="200"/>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磋商响应文件及供应商与采购有关的来往通知、函件和文件均应使用中文。</w:t>
      </w:r>
    </w:p>
    <w:p>
      <w:pPr>
        <w:pStyle w:val="3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11. 磋商响应文件的组成</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11.1</w:t>
      </w:r>
      <w:r>
        <w:rPr>
          <w:rFonts w:hint="eastAsia" w:asciiTheme="minorEastAsia" w:hAnsiTheme="minorEastAsia" w:eastAsiaTheme="minorEastAsia" w:cstheme="minorEastAsia"/>
          <w:b/>
          <w:sz w:val="24"/>
        </w:rPr>
        <w:t>资格文件</w:t>
      </w:r>
      <w:r>
        <w:rPr>
          <w:rFonts w:hint="eastAsia" w:asciiTheme="minorEastAsia" w:hAnsiTheme="minorEastAsia" w:eastAsiaTheme="minorEastAsia" w:cstheme="minorEastAsia"/>
          <w:sz w:val="24"/>
        </w:rPr>
        <w:t>：</w:t>
      </w:r>
    </w:p>
    <w:p>
      <w:pPr>
        <w:snapToGrid w:val="0"/>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11.1.1符合参加政府采购活动应当具备的一般条件的承诺函；</w:t>
      </w:r>
    </w:p>
    <w:p>
      <w:pPr>
        <w:snapToGrid w:val="0"/>
        <w:spacing w:line="360" w:lineRule="auto"/>
        <w:ind w:firstLine="720" w:firstLineChars="300"/>
        <w:rPr>
          <w:rFonts w:hint="eastAsia"/>
        </w:rPr>
      </w:pPr>
      <w:r>
        <w:rPr>
          <w:rFonts w:hint="eastAsia" w:asciiTheme="minorEastAsia" w:hAnsiTheme="minorEastAsia" w:eastAsiaTheme="minorEastAsia" w:cstheme="minorEastAsia"/>
          <w:sz w:val="24"/>
        </w:rPr>
        <w:t>11.1.</w:t>
      </w:r>
      <w:r>
        <w:rPr>
          <w:rFonts w:hint="eastAsia" w:asciiTheme="minorEastAsia" w:hAnsiTheme="minorEastAsia" w:eastAsiaTheme="minorEastAsia" w:cstheme="minorEastAsia"/>
          <w:sz w:val="24"/>
          <w:lang w:val="en-US" w:eastAsia="zh-CN"/>
        </w:rPr>
        <w:t>2营业执照。</w:t>
      </w:r>
    </w:p>
    <w:p>
      <w:pPr>
        <w:snapToGrid w:val="0"/>
        <w:spacing w:line="360" w:lineRule="auto"/>
        <w:ind w:firstLine="482" w:firstLineChars="200"/>
        <w:rPr>
          <w:rFonts w:hint="eastAsia"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11.</w:t>
      </w:r>
      <w:r>
        <w:rPr>
          <w:rFonts w:hint="eastAsia" w:asciiTheme="minorEastAsia" w:hAnsiTheme="minorEastAsia" w:eastAsiaTheme="minorEastAsia" w:cstheme="minorEastAsia"/>
          <w:b/>
          <w:bCs/>
          <w:sz w:val="24"/>
        </w:rPr>
        <w:t>2</w:t>
      </w:r>
      <w:r>
        <w:rPr>
          <w:rFonts w:hint="eastAsia" w:asciiTheme="minorEastAsia" w:hAnsiTheme="minorEastAsia" w:eastAsiaTheme="minorEastAsia" w:cstheme="minorEastAsia"/>
          <w:b/>
          <w:bCs/>
          <w:sz w:val="24"/>
          <w:lang w:val="zh-CN"/>
        </w:rPr>
        <w:t xml:space="preserve">  </w:t>
      </w:r>
      <w:r>
        <w:rPr>
          <w:rFonts w:hint="eastAsia" w:asciiTheme="minorEastAsia" w:hAnsiTheme="minorEastAsia" w:eastAsiaTheme="minorEastAsia" w:cstheme="minorEastAsia"/>
          <w:b/>
          <w:bCs/>
          <w:sz w:val="24"/>
        </w:rPr>
        <w:t>商务技术</w:t>
      </w:r>
      <w:r>
        <w:rPr>
          <w:rFonts w:hint="eastAsia" w:asciiTheme="minorEastAsia" w:hAnsiTheme="minorEastAsia" w:eastAsiaTheme="minorEastAsia" w:cstheme="minorEastAsia"/>
          <w:b/>
          <w:bCs/>
          <w:sz w:val="24"/>
          <w:lang w:val="zh-CN"/>
        </w:rPr>
        <w:t>文件：</w:t>
      </w:r>
    </w:p>
    <w:p>
      <w:pPr>
        <w:snapToGrid w:val="0"/>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11.2.1投标函；</w:t>
      </w:r>
      <w:r>
        <w:rPr>
          <w:rFonts w:hint="eastAsia" w:asciiTheme="minorEastAsia" w:hAnsiTheme="minorEastAsia" w:eastAsiaTheme="minorEastAsia" w:cstheme="minorEastAsia"/>
          <w:sz w:val="24"/>
          <w:lang w:val="zh-CN"/>
        </w:rPr>
        <w:t xml:space="preserve"> </w:t>
      </w:r>
    </w:p>
    <w:p>
      <w:pPr>
        <w:snapToGrid w:val="0"/>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11.2.2授权委托书或法定代表人（单位负责人、自然人本人）身份证明；</w:t>
      </w:r>
    </w:p>
    <w:p>
      <w:pPr>
        <w:snapToGrid w:val="0"/>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11.2.3符合性审查资料；</w:t>
      </w:r>
    </w:p>
    <w:p>
      <w:pPr>
        <w:snapToGrid w:val="0"/>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11.2.</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评标标准相应的商务技术资料；</w:t>
      </w:r>
    </w:p>
    <w:p>
      <w:pPr>
        <w:snapToGrid w:val="0"/>
        <w:spacing w:line="360" w:lineRule="auto"/>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11.2.</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商务技术偏离表；</w:t>
      </w:r>
    </w:p>
    <w:p>
      <w:pPr>
        <w:snapToGrid w:val="0"/>
        <w:spacing w:line="360" w:lineRule="auto"/>
        <w:ind w:firstLine="720" w:firstLineChars="300"/>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w:t>
      </w: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lang w:val="zh-CN"/>
        </w:rPr>
        <w:t>政府采购供应商廉洁自律承诺书；</w:t>
      </w:r>
    </w:p>
    <w:p>
      <w:pPr>
        <w:snapToGrid w:val="0"/>
        <w:spacing w:line="360" w:lineRule="auto"/>
        <w:ind w:firstLine="480" w:firstLineChars="200"/>
        <w:rPr>
          <w:rFonts w:hint="eastAsia" w:asciiTheme="minorEastAsia" w:hAnsiTheme="minorEastAsia" w:eastAsiaTheme="minorEastAsia" w:cstheme="minorEastAsia"/>
          <w:sz w:val="24"/>
          <w:u w:val="single"/>
          <w:lang w:val="zh-CN"/>
        </w:rPr>
      </w:pPr>
      <w:r>
        <w:rPr>
          <w:rFonts w:hint="eastAsia" w:asciiTheme="minorEastAsia" w:hAnsiTheme="minorEastAsia" w:eastAsiaTheme="minorEastAsia" w:cstheme="minorEastAsia"/>
          <w:kern w:val="0"/>
          <w:sz w:val="24"/>
          <w:lang w:val="zh-CN"/>
        </w:rPr>
        <w:t>11.</w:t>
      </w:r>
      <w:r>
        <w:rPr>
          <w:rFonts w:hint="eastAsia" w:asciiTheme="minorEastAsia" w:hAnsiTheme="minorEastAsia" w:eastAsiaTheme="minorEastAsia" w:cstheme="minorEastAsia"/>
          <w:kern w:val="0"/>
          <w:sz w:val="24"/>
        </w:rPr>
        <w:t>3</w:t>
      </w:r>
      <w:r>
        <w:rPr>
          <w:rFonts w:hint="eastAsia" w:asciiTheme="minorEastAsia" w:hAnsiTheme="minorEastAsia" w:eastAsiaTheme="minorEastAsia" w:cstheme="minorEastAsia"/>
          <w:b/>
          <w:sz w:val="24"/>
        </w:rPr>
        <w:t>报价文件：</w:t>
      </w:r>
      <w:r>
        <w:rPr>
          <w:rFonts w:hint="eastAsia" w:asciiTheme="minorEastAsia" w:hAnsiTheme="minorEastAsia" w:eastAsiaTheme="minorEastAsia" w:cstheme="minorEastAsia"/>
          <w:sz w:val="24"/>
        </w:rPr>
        <w:t xml:space="preserve"> </w:t>
      </w:r>
    </w:p>
    <w:p>
      <w:pPr>
        <w:snapToGrid w:val="0"/>
        <w:spacing w:line="360" w:lineRule="auto"/>
        <w:ind w:firstLine="960" w:firstLineChars="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11.3.1开标一览表（报价表）；</w:t>
      </w:r>
    </w:p>
    <w:p>
      <w:pPr>
        <w:spacing w:line="360" w:lineRule="auto"/>
        <w:ind w:firstLine="723" w:firstLineChars="3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磋商响应文件含有采购人不能接受的附加条件的，投标无效；</w:t>
      </w:r>
    </w:p>
    <w:p>
      <w:pPr>
        <w:spacing w:line="360" w:lineRule="auto"/>
        <w:ind w:firstLine="723" w:firstLineChars="300"/>
        <w:rPr>
          <w:rFonts w:hint="eastAsia" w:asciiTheme="minorEastAsia" w:hAnsiTheme="minorEastAsia" w:eastAsiaTheme="minorEastAsia" w:cstheme="minorEastAsia"/>
          <w:b/>
          <w:sz w:val="24"/>
          <w:szCs w:val="21"/>
        </w:rPr>
      </w:pPr>
      <w:r>
        <w:rPr>
          <w:rFonts w:hint="eastAsia" w:asciiTheme="minorEastAsia" w:hAnsiTheme="minorEastAsia" w:eastAsiaTheme="minorEastAsia" w:cstheme="minorEastAsia"/>
          <w:b/>
          <w:sz w:val="24"/>
        </w:rPr>
        <w:t>供应商提供虚假材料投标的，投标无效。</w:t>
      </w:r>
    </w:p>
    <w:p>
      <w:pPr>
        <w:pStyle w:val="132"/>
        <w:snapToGrid w:val="0"/>
        <w:spacing w:before="0"/>
        <w:ind w:firstLine="0" w:firstLineChars="0"/>
        <w:outlineLvl w:val="0"/>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12</w:t>
      </w:r>
      <w:r>
        <w:rPr>
          <w:rFonts w:hint="eastAsia" w:asciiTheme="minorEastAsia" w:hAnsiTheme="minorEastAsia" w:eastAsiaTheme="minorEastAsia" w:cstheme="minorEastAsia"/>
          <w:b/>
          <w:kern w:val="0"/>
          <w:szCs w:val="24"/>
          <w:lang w:val="zh-CN"/>
        </w:rPr>
        <w:t xml:space="preserve">. </w:t>
      </w:r>
      <w:r>
        <w:rPr>
          <w:rFonts w:hint="eastAsia" w:asciiTheme="minorEastAsia" w:hAnsiTheme="minorEastAsia" w:eastAsiaTheme="minorEastAsia" w:cstheme="minorEastAsia"/>
          <w:b/>
          <w:szCs w:val="24"/>
        </w:rPr>
        <w:t>磋商响应文件的编制</w:t>
      </w:r>
    </w:p>
    <w:p>
      <w:pPr>
        <w:spacing w:line="360" w:lineRule="auto"/>
        <w:ind w:firstLine="480"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kern w:val="0"/>
          <w:sz w:val="24"/>
          <w:lang w:val="zh-CN"/>
        </w:rPr>
        <w:t>12.1磋商响应文件分为资格文件、商务技术文件、报价文件三部分。各供应商在编制磋商响应文件时请按照竞争性磋商文件第六部分规定的格式进行，混乱的编排导致磋商响应文件被误读或磋商小组查找不到有效文件是供应商的风险。</w:t>
      </w:r>
    </w:p>
    <w:p>
      <w:pPr>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12.2供应商进行电子投标应安装客户端软件—“政采云电子交易客户端”，并按照竞争性磋商文件和电子交易平台的要求编制并加密磋商响应文件。供应商未按规定加密的磋商响应文件，电子交易平台将拒收并提示。</w:t>
      </w:r>
    </w:p>
    <w:p>
      <w:pPr>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13.磋商响应文件的签署、盖章</w:t>
      </w:r>
    </w:p>
    <w:p>
      <w:pPr>
        <w:pStyle w:val="132"/>
        <w:snapToGrid w:val="0"/>
        <w:spacing w:before="0"/>
        <w:ind w:firstLine="480"/>
        <w:rPr>
          <w:rFonts w:hint="eastAsia" w:asciiTheme="minorEastAsia" w:hAnsiTheme="minorEastAsia" w:eastAsiaTheme="minorEastAsia" w:cstheme="minorEastAsia"/>
          <w:b/>
        </w:rPr>
      </w:pPr>
      <w:r>
        <w:rPr>
          <w:rFonts w:hint="eastAsia" w:asciiTheme="minorEastAsia" w:hAnsiTheme="minorEastAsia" w:eastAsiaTheme="minorEastAsia" w:cstheme="minorEastAsia"/>
          <w:szCs w:val="24"/>
        </w:rPr>
        <w:t>13.1磋商响应文件按照竞争性磋商文件第六部分格式要</w:t>
      </w:r>
      <w:r>
        <w:rPr>
          <w:rFonts w:hint="eastAsia" w:asciiTheme="minorEastAsia" w:hAnsiTheme="minorEastAsia" w:eastAsiaTheme="minorEastAsia" w:cstheme="minorEastAsia"/>
        </w:rPr>
        <w:t>求进行签署、盖章。</w:t>
      </w:r>
      <w:r>
        <w:rPr>
          <w:rFonts w:hint="eastAsia" w:asciiTheme="minorEastAsia" w:hAnsiTheme="minorEastAsia" w:eastAsiaTheme="minorEastAsia" w:cstheme="minorEastAsia"/>
          <w:b/>
        </w:rPr>
        <w:t>▲供应商的磋商响应文件未按照竞争性磋商文件要求签署、盖章的，其投标无效</w:t>
      </w:r>
      <w:r>
        <w:rPr>
          <w:rFonts w:hint="eastAsia" w:asciiTheme="minorEastAsia" w:hAnsiTheme="minorEastAsia" w:eastAsiaTheme="minorEastAsia" w:cstheme="minorEastAsia"/>
          <w:szCs w:val="24"/>
        </w:rPr>
        <w:t>。</w:t>
      </w:r>
    </w:p>
    <w:p>
      <w:pPr>
        <w:pStyle w:val="132"/>
        <w:snapToGrid w:val="0"/>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13.2为确保网上操作合法、有效和安全，供应商应当在投标截止时间前完成在“政府采购云平台”的身份认证，确保在电子投标过程中能够对相关数据电文进行加密和使用电子签名。</w:t>
      </w:r>
    </w:p>
    <w:p>
      <w:pPr>
        <w:pStyle w:val="132"/>
        <w:snapToGrid w:val="0"/>
        <w:spacing w:before="0"/>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none"/>
        </w:rPr>
        <w:t>13.</w:t>
      </w:r>
      <w:r>
        <w:rPr>
          <w:rFonts w:hint="eastAsia" w:asciiTheme="minorEastAsia" w:hAnsiTheme="minorEastAsia" w:eastAsiaTheme="minorEastAsia" w:cstheme="minorEastAsia"/>
          <w:highlight w:val="none"/>
          <w:lang w:val="en-US" w:eastAsia="zh-CN"/>
        </w:rPr>
        <w:t>3</w:t>
      </w:r>
      <w:r>
        <w:rPr>
          <w:rFonts w:hint="eastAsia" w:asciiTheme="minorEastAsia" w:hAnsiTheme="minorEastAsia" w:eastAsiaTheme="minorEastAsia" w:cstheme="minorEastAsia"/>
          <w:highlight w:val="none"/>
        </w:rPr>
        <w:t>竞争性磋商文件对磋商响应文件签</w:t>
      </w:r>
      <w:r>
        <w:rPr>
          <w:rFonts w:hint="eastAsia" w:asciiTheme="minorEastAsia" w:hAnsiTheme="minorEastAsia" w:eastAsiaTheme="minorEastAsia" w:cstheme="minorEastAsia"/>
        </w:rPr>
        <w:t>署、盖章的要求适用于电子签名。</w:t>
      </w:r>
    </w:p>
    <w:p>
      <w:pPr>
        <w:pStyle w:val="132"/>
        <w:spacing w:before="0"/>
        <w:ind w:firstLine="0" w:firstLineChars="0"/>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14. 磋商响应文件的提交、补充、修改、撤回</w:t>
      </w:r>
    </w:p>
    <w:p>
      <w:pPr>
        <w:pStyle w:val="132"/>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14.1 供应商应当在投标截止时间前完成磋商响应文件的传输递交，并可以补充、修改或者撤回磋商响应文件。补充或者修改磋商响应文件的，应当先行撤回原文件，补充、修改后重新传输递交。投标截止时间前未完成传输的，视为撤回磋商响应文件。投标截止时间后递交的磋商响应文件，电子交易平台将拒收。</w:t>
      </w:r>
    </w:p>
    <w:p>
      <w:pPr>
        <w:pStyle w:val="132"/>
        <w:spacing w:before="0"/>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14.2电子交易平台收到磋商响应文件，将妥善保存并</w:t>
      </w:r>
      <w:r>
        <w:rPr>
          <w:rFonts w:hint="eastAsia" w:asciiTheme="minorEastAsia" w:hAnsiTheme="minorEastAsia" w:eastAsiaTheme="minorEastAsia" w:cstheme="minorEastAsia"/>
          <w:szCs w:val="24"/>
          <w:lang w:eastAsia="zh-CN"/>
        </w:rPr>
        <w:t>及</w:t>
      </w:r>
      <w:r>
        <w:rPr>
          <w:rFonts w:hint="eastAsia" w:asciiTheme="minorEastAsia" w:hAnsiTheme="minorEastAsia" w:eastAsiaTheme="minorEastAsia" w:cstheme="minorEastAsia"/>
          <w:szCs w:val="24"/>
        </w:rPr>
        <w:t>时向供应商发出确认回执通知。在投标截止时间前，除供应商补充、修改或者撤回磋商响应文件外，任何单位和个人不得解密或提取磋商响应文件。</w:t>
      </w:r>
    </w:p>
    <w:p>
      <w:pPr>
        <w:pStyle w:val="132"/>
        <w:spacing w:before="0"/>
        <w:ind w:firstLine="4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24"/>
        </w:rPr>
        <w:t>14.3采购人、采购机构可以视情况延长磋商响应文件提交的截止时间。在上述情况下，采购机构与供应商以前在投标截止期方面的全部权利、责任和义务，将适用于延长至新的投标截止期。</w:t>
      </w:r>
    </w:p>
    <w:p>
      <w:pPr>
        <w:pStyle w:val="37"/>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15.备份磋商响应文件</w:t>
      </w:r>
    </w:p>
    <w:p>
      <w:pPr>
        <w:pStyle w:val="37"/>
        <w:spacing w:line="360" w:lineRule="auto"/>
        <w:ind w:firstLine="360"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 xml:space="preserve"> 15.1供应商在电子交易平台传输递交磋商响应文件后，还可以在投标截止时间前直接提交或者以邮政快递方式递交备份磋商响应文件1份，</w:t>
      </w:r>
      <w:r>
        <w:rPr>
          <w:rFonts w:hint="eastAsia" w:asciiTheme="minorEastAsia" w:hAnsiTheme="minorEastAsia" w:eastAsiaTheme="minorEastAsia" w:cstheme="minorEastAsia"/>
          <w:b/>
          <w:sz w:val="24"/>
          <w:szCs w:val="24"/>
        </w:rPr>
        <w:t>但采购人、采购机构不强制或变相强制供应商提交备份磋商响应文件。</w:t>
      </w:r>
    </w:p>
    <w:p>
      <w:pPr>
        <w:pStyle w:val="37"/>
        <w:spacing w:line="360" w:lineRule="auto"/>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15.2备份磋商响应文件须在“政采云投标客户端”制作生成，并储存在</w:t>
      </w:r>
      <w:r>
        <w:rPr>
          <w:rFonts w:hint="eastAsia" w:asciiTheme="minorEastAsia" w:hAnsiTheme="minorEastAsia" w:eastAsiaTheme="minorEastAsia" w:cstheme="minorEastAsia"/>
          <w:sz w:val="24"/>
        </w:rPr>
        <w:t>DVD光盘或U盘</w:t>
      </w:r>
      <w:r>
        <w:rPr>
          <w:rFonts w:hint="eastAsia" w:asciiTheme="minorEastAsia" w:hAnsiTheme="minorEastAsia" w:eastAsiaTheme="minorEastAsia" w:cstheme="minorEastAsia"/>
          <w:sz w:val="24"/>
          <w:szCs w:val="24"/>
        </w:rPr>
        <w:t>中。备份磋商响应文件应当密封包装并在包装上加盖公章并注明投标</w:t>
      </w:r>
      <w:r>
        <w:rPr>
          <w:rFonts w:hint="eastAsia" w:asciiTheme="minorEastAsia" w:hAnsiTheme="minorEastAsia" w:eastAsiaTheme="minorEastAsia" w:cstheme="minorEastAsia"/>
          <w:sz w:val="24"/>
          <w:szCs w:val="24"/>
          <w:u w:val="single"/>
          <w:lang w:eastAsia="zh-CN"/>
        </w:rPr>
        <w:t>2024-2025年桐庐经济开发区绿地养护项目</w:t>
      </w:r>
      <w:r>
        <w:rPr>
          <w:rFonts w:hint="eastAsia" w:asciiTheme="minorEastAsia" w:hAnsiTheme="minorEastAsia" w:eastAsiaTheme="minorEastAsia" w:cstheme="minorEastAsia"/>
          <w:sz w:val="24"/>
          <w:szCs w:val="24"/>
        </w:rPr>
        <w:t>，供应商名称(联合体投标的，包装物封面需注明联合体投标，并注明联合体成员各方的名称和联合协议中约定的牵头人的名称)。</w:t>
      </w:r>
      <w:r>
        <w:rPr>
          <w:rFonts w:hint="eastAsia" w:asciiTheme="minorEastAsia" w:hAnsiTheme="minorEastAsia" w:eastAsiaTheme="minorEastAsia" w:cstheme="minorEastAsia"/>
          <w:b/>
          <w:sz w:val="24"/>
        </w:rPr>
        <w:t>不符合上述制作、</w:t>
      </w:r>
      <w:r>
        <w:rPr>
          <w:rFonts w:hint="eastAsia" w:asciiTheme="minorEastAsia" w:hAnsiTheme="minorEastAsia" w:eastAsiaTheme="minorEastAsia" w:cstheme="minorEastAsia"/>
          <w:b/>
          <w:sz w:val="24"/>
          <w:szCs w:val="24"/>
        </w:rPr>
        <w:t>存储、密封规定的备份磋商响应文件将被视为无效或者被拒绝接收。</w:t>
      </w:r>
    </w:p>
    <w:p>
      <w:pPr>
        <w:pStyle w:val="37"/>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15.3直接提交备份磋商响应文件的，供应商应于投标截止时间前在竞争性磋商公告中载明的开标地点将备份磋商响应文件提交给采购机构，采购机构将拒绝接受逾期送达的备份磋商响应文件。</w:t>
      </w:r>
    </w:p>
    <w:p>
      <w:pPr>
        <w:pStyle w:val="37"/>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15.4以邮政快递方式递交备份磋商响应文件的，供应商应先将备份磋商响应文件按要求密封和标记，再进行邮政快递包装后邮寄。备份磋商响应文件须在投标截止时间之前送达</w:t>
      </w:r>
      <w:r>
        <w:rPr>
          <w:rFonts w:hint="eastAsia" w:asciiTheme="minorEastAsia" w:hAnsiTheme="minorEastAsia" w:eastAsiaTheme="minorEastAsia" w:cstheme="minorEastAsia"/>
          <w:snapToGrid/>
          <w:sz w:val="24"/>
          <w:szCs w:val="24"/>
        </w:rPr>
        <w:t>竞争性磋商文件第二部分供应商须知前附表规定的备份磋商响应文件送达地点；</w:t>
      </w:r>
      <w:r>
        <w:rPr>
          <w:rFonts w:hint="eastAsia" w:asciiTheme="minorEastAsia" w:hAnsiTheme="minorEastAsia" w:eastAsiaTheme="minorEastAsia" w:cstheme="minorEastAsia"/>
          <w:sz w:val="24"/>
          <w:szCs w:val="24"/>
        </w:rPr>
        <w:t>送达时间以签收人签收时间为准。采购机构将拒绝接受逾期送达的备份磋商响应文件。邮寄过程中，电子备份磋商响应文件发生泄露、遗失、损坏或延期送达等情况的，由供应商自行负责。</w:t>
      </w:r>
    </w:p>
    <w:p>
      <w:pPr>
        <w:pStyle w:val="37"/>
        <w:spacing w:line="360" w:lineRule="auto"/>
        <w:ind w:firstLine="479" w:firstLineChars="19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15.5供应商仅提交备份磋商响应文件，没有在电子交易平台传输递交磋商响应文件的，投标无效。</w:t>
      </w:r>
    </w:p>
    <w:p>
      <w:pPr>
        <w:pStyle w:val="132"/>
        <w:spacing w:before="0"/>
        <w:ind w:firstLine="0" w:firstLineChars="0"/>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16.磋商响应文件的无效处理</w:t>
      </w:r>
    </w:p>
    <w:p>
      <w:pPr>
        <w:pStyle w:val="29"/>
        <w:spacing w:line="360" w:lineRule="auto"/>
        <w:ind w:firstLine="360" w:firstLineChars="1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有竞争性磋商文件第四部分</w:t>
      </w:r>
      <w:r>
        <w:rPr>
          <w:rFonts w:hint="eastAsia" w:asciiTheme="minorEastAsia" w:hAnsiTheme="minorEastAsia" w:eastAsiaTheme="minorEastAsia" w:cstheme="minorEastAsia"/>
        </w:rPr>
        <w:t>第13项规定</w:t>
      </w:r>
      <w:r>
        <w:rPr>
          <w:rFonts w:hint="eastAsia" w:asciiTheme="minorEastAsia" w:hAnsiTheme="minorEastAsia" w:eastAsiaTheme="minorEastAsia" w:cstheme="minorEastAsia"/>
          <w:szCs w:val="21"/>
        </w:rPr>
        <w:t>的情形之一的，投标无效：</w:t>
      </w:r>
    </w:p>
    <w:p>
      <w:pPr>
        <w:pStyle w:val="132"/>
        <w:spacing w:before="0"/>
        <w:ind w:firstLine="0" w:firstLineChars="0"/>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17.投标有效期</w:t>
      </w:r>
    </w:p>
    <w:p>
      <w:pPr>
        <w:spacing w:line="360" w:lineRule="auto"/>
        <w:ind w:firstLine="480" w:firstLineChars="200"/>
        <w:rPr>
          <w:rFonts w:hint="eastAsia" w:asciiTheme="minorEastAsia" w:hAnsiTheme="minorEastAsia" w:eastAsiaTheme="minorEastAsia" w:cstheme="minorEastAsia"/>
          <w:b/>
          <w:sz w:val="24"/>
          <w:szCs w:val="21"/>
        </w:rPr>
      </w:pPr>
      <w:r>
        <w:rPr>
          <w:rFonts w:hint="eastAsia" w:asciiTheme="minorEastAsia" w:hAnsiTheme="minorEastAsia" w:eastAsiaTheme="minorEastAsia" w:cstheme="minorEastAsia"/>
          <w:sz w:val="24"/>
          <w:szCs w:val="20"/>
        </w:rPr>
        <w:t>17.1投标有效期为从提交磋商响应文件的截止之日起90天。▲</w:t>
      </w:r>
      <w:r>
        <w:rPr>
          <w:rFonts w:hint="eastAsia" w:asciiTheme="minorEastAsia" w:hAnsiTheme="minorEastAsia" w:eastAsiaTheme="minorEastAsia" w:cstheme="minorEastAsia"/>
          <w:b/>
          <w:sz w:val="24"/>
          <w:szCs w:val="20"/>
        </w:rPr>
        <w:t>供应商的磋商响应文件中承</w:t>
      </w:r>
      <w:r>
        <w:rPr>
          <w:rFonts w:hint="eastAsia" w:asciiTheme="minorEastAsia" w:hAnsiTheme="minorEastAsia" w:eastAsiaTheme="minorEastAsia" w:cstheme="minorEastAsia"/>
          <w:b/>
          <w:sz w:val="24"/>
          <w:szCs w:val="21"/>
        </w:rPr>
        <w:t>诺的投标有效期少于竞争性磋商文件中载明的投标有效期的，投标无效。</w:t>
      </w:r>
    </w:p>
    <w:p>
      <w:pPr>
        <w:pStyle w:val="132"/>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17.2磋商响应文件合格投递后，自投标截止日期起，在投标有效期内有效。</w:t>
      </w:r>
    </w:p>
    <w:p>
      <w:pPr>
        <w:pStyle w:val="132"/>
        <w:spacing w:before="0" w:after="240"/>
        <w:ind w:firstLine="480"/>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rPr>
        <w:t>17.3在原定投标有效期满之前，如果出现特殊情况，采购机构可以以书面形式通知供应商延长投标有效期。供应商同意延长的，不得要求或被允许修改其磋商响应文件，供应商拒绝延长的，其投标无效。</w:t>
      </w:r>
    </w:p>
    <w:p>
      <w:pPr>
        <w:pStyle w:val="132"/>
        <w:spacing w:before="0"/>
        <w:ind w:firstLine="1928" w:firstLineChars="600"/>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b/>
          <w:sz w:val="32"/>
        </w:rPr>
        <w:t>四、开标、资格审查与信用信息查询</w:t>
      </w:r>
    </w:p>
    <w:p>
      <w:pPr>
        <w:pStyle w:val="556"/>
        <w:spacing w:before="0" w:line="360" w:lineRule="auto"/>
        <w:ind w:left="0" w:firstLine="241" w:firstLineChars="100"/>
        <w:contextualSpacing/>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szCs w:val="24"/>
        </w:rPr>
        <w:t>18.开标</w:t>
      </w:r>
      <w:r>
        <w:rPr>
          <w:rFonts w:hint="eastAsia" w:asciiTheme="minorEastAsia" w:hAnsiTheme="minorEastAsia" w:eastAsiaTheme="minorEastAsia" w:cstheme="minorEastAsia"/>
          <w:sz w:val="24"/>
        </w:rPr>
        <w:t xml:space="preserve"> </w:t>
      </w:r>
    </w:p>
    <w:p>
      <w:pPr>
        <w:pStyle w:val="556"/>
        <w:spacing w:before="0" w:line="360" w:lineRule="auto"/>
        <w:ind w:left="0" w:firstLine="480" w:firstLineChars="200"/>
        <w:contextualSpacing/>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18.1采购机构按照竞争性磋商文件规定的时间通过电子交易平台组织开标，所有供应商均应当准时在线参加。</w:t>
      </w:r>
      <w:r>
        <w:rPr>
          <w:rFonts w:hint="eastAsia" w:asciiTheme="minorEastAsia" w:hAnsiTheme="minorEastAsia" w:eastAsiaTheme="minorEastAsia" w:cstheme="minorEastAsia"/>
          <w:b/>
          <w:bCs/>
          <w:sz w:val="24"/>
        </w:rPr>
        <w:t>供应商不足3家的，不得开标。</w:t>
      </w:r>
    </w:p>
    <w:p>
      <w:pPr>
        <w:pStyle w:val="556"/>
        <w:spacing w:before="0" w:line="360" w:lineRule="auto"/>
        <w:ind w:left="0" w:firstLine="240" w:firstLineChars="100"/>
        <w:contextualSpacing/>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18.2开标时，电子交易平台按开标时间自动提取所有磋商响应文件。采购机构依托电子交易平台发起开始解密指令，供应商按照平台提示和竞争性磋商文件的规定在半小时内完成在线解密。</w:t>
      </w:r>
    </w:p>
    <w:p>
      <w:pPr>
        <w:pStyle w:val="556"/>
        <w:spacing w:before="0" w:line="360" w:lineRule="auto"/>
        <w:ind w:left="0" w:firstLine="240" w:firstLineChars="100"/>
        <w:contextualSpacing/>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　18.3</w:t>
      </w:r>
      <w:r>
        <w:rPr>
          <w:rFonts w:hint="eastAsia" w:asciiTheme="minorEastAsia" w:hAnsiTheme="minorEastAsia" w:eastAsiaTheme="minorEastAsia" w:cstheme="minorEastAsia"/>
          <w:b/>
          <w:sz w:val="24"/>
        </w:rPr>
        <w:t>磋商响应文件未按时解密，供应商提供了备份磋商响应文件的，以备份磋商响应文件作为依据，否则视为磋商响应文件撤回。磋商响应文件已按时解密的，备份磋商响应文件自动失效。</w:t>
      </w:r>
    </w:p>
    <w:p>
      <w:pPr>
        <w:keepNext w:val="0"/>
        <w:keepLines w:val="0"/>
        <w:pageBreakBefore w:val="0"/>
        <w:widowControl/>
        <w:kinsoku/>
        <w:wordWrap/>
        <w:overflowPunct/>
        <w:topLinePunct w:val="0"/>
        <w:autoSpaceDE/>
        <w:autoSpaceDN/>
        <w:bidi w:val="0"/>
        <w:adjustRightInd w:val="0"/>
        <w:snapToGrid/>
        <w:spacing w:before="100" w:beforeAutospacing="1" w:after="120" w:line="240" w:lineRule="auto"/>
        <w:jc w:val="left"/>
        <w:textAlignment w:val="auto"/>
        <w:rPr>
          <w:rFonts w:hint="eastAsia" w:asciiTheme="minorEastAsia" w:hAnsiTheme="minorEastAsia" w:eastAsiaTheme="minorEastAsia" w:cstheme="minorEastAsia"/>
          <w:b/>
          <w:sz w:val="24"/>
          <w:szCs w:val="20"/>
        </w:rPr>
      </w:pPr>
      <w:r>
        <w:rPr>
          <w:rFonts w:hint="eastAsia" w:asciiTheme="minorEastAsia" w:hAnsiTheme="minorEastAsia" w:eastAsiaTheme="minorEastAsia" w:cstheme="minorEastAsia"/>
          <w:b/>
          <w:sz w:val="24"/>
          <w:szCs w:val="20"/>
        </w:rPr>
        <w:t>　19、资格审查</w:t>
      </w:r>
    </w:p>
    <w:p>
      <w:pPr>
        <w:pStyle w:val="132"/>
        <w:spacing w:before="0"/>
        <w:ind w:firstLine="48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19.1开标后，采购人或采购机构将依法对供应商的资格进行审查。</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19.2</w:t>
      </w:r>
      <w:r>
        <w:rPr>
          <w:rFonts w:hint="eastAsia" w:asciiTheme="minorEastAsia" w:hAnsiTheme="minorEastAsia" w:eastAsiaTheme="minorEastAsia" w:cstheme="minorEastAsia"/>
          <w:sz w:val="24"/>
        </w:rPr>
        <w:t>采购人或采购机构依据法律法规和竞争性磋商文件的规定，对供应商的基本资格条件、特定资格条件进行审查。</w:t>
      </w:r>
    </w:p>
    <w:p>
      <w:pPr>
        <w:pStyle w:val="132"/>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4"/>
        </w:rPr>
        <w:t>19.3供应商未按照竞争性磋商文件要求提供与</w:t>
      </w:r>
      <w:r>
        <w:rPr>
          <w:rFonts w:hint="eastAsia" w:asciiTheme="minorEastAsia" w:hAnsiTheme="minorEastAsia" w:eastAsiaTheme="minorEastAsia" w:cstheme="minorEastAsia"/>
        </w:rPr>
        <w:t>基本资格条件、特定资格条件相应的</w:t>
      </w:r>
      <w:r>
        <w:rPr>
          <w:rFonts w:hint="eastAsia" w:asciiTheme="minorEastAsia" w:hAnsiTheme="minorEastAsia" w:eastAsiaTheme="minorEastAsia" w:cstheme="minorEastAsia"/>
          <w:kern w:val="0"/>
          <w:szCs w:val="24"/>
        </w:rPr>
        <w:t>有效资格证明材料的，视为</w:t>
      </w:r>
      <w:r>
        <w:rPr>
          <w:rFonts w:hint="eastAsia" w:asciiTheme="minorEastAsia" w:hAnsiTheme="minorEastAsia" w:eastAsiaTheme="minorEastAsia" w:cstheme="minorEastAsia"/>
        </w:rPr>
        <w:t>供应商不具备竞争性磋商文件中规定的资格要求，其投标无效。</w:t>
      </w:r>
    </w:p>
    <w:p>
      <w:pPr>
        <w:pStyle w:val="132"/>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4"/>
        </w:rPr>
        <w:t>19.</w:t>
      </w:r>
      <w:r>
        <w:rPr>
          <w:rFonts w:hint="eastAsia" w:asciiTheme="minorEastAsia" w:hAnsiTheme="minorEastAsia" w:eastAsiaTheme="minorEastAsia" w:cstheme="minorEastAsia"/>
        </w:rPr>
        <w:t>4对未通过资格审查的供应商，采购人或采购机构告知其未通过的原因。</w:t>
      </w:r>
    </w:p>
    <w:p>
      <w:pPr>
        <w:pStyle w:val="132"/>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Cs w:val="24"/>
        </w:rPr>
        <w:t>19.</w:t>
      </w:r>
      <w:r>
        <w:rPr>
          <w:rFonts w:hint="eastAsia" w:asciiTheme="minorEastAsia" w:hAnsiTheme="minorEastAsia" w:eastAsiaTheme="minorEastAsia" w:cstheme="minorEastAsia"/>
        </w:rPr>
        <w:t>5</w:t>
      </w:r>
      <w:r>
        <w:rPr>
          <w:rFonts w:hint="eastAsia" w:asciiTheme="minorEastAsia" w:hAnsiTheme="minorEastAsia" w:eastAsiaTheme="minorEastAsia" w:cstheme="minorEastAsia"/>
          <w:b/>
          <w:bCs/>
        </w:rPr>
        <w:t>合格供应商不足3家的，不再评标。</w:t>
      </w:r>
    </w:p>
    <w:p>
      <w:pPr>
        <w:pStyle w:val="132"/>
        <w:spacing w:before="0"/>
        <w:ind w:firstLine="0" w:firstLineChars="0"/>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20、信用信息查询</w:t>
      </w:r>
    </w:p>
    <w:p>
      <w:pPr>
        <w:pStyle w:val="132"/>
        <w:spacing w:before="0"/>
        <w:ind w:firstLine="495" w:firstLineChars="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20.1信用信息查询渠道及截止时间：采购机构将通过“信用中国”网站(www.creditchina.gov.cn)、中国政府采购网(www.ccgp.gov.cn)渠道查询供应商投标截止时间当天的信用记录。</w:t>
      </w:r>
    </w:p>
    <w:p>
      <w:pPr>
        <w:pStyle w:val="132"/>
        <w:spacing w:before="0"/>
        <w:ind w:firstLine="495" w:firstLineChars="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20.2信用信息查询记录和证据留存的具体方式：现场查询的供应商的信用记录、查询结果经确认后将与采购文件一起存档。</w:t>
      </w:r>
    </w:p>
    <w:p>
      <w:pPr>
        <w:pStyle w:val="132"/>
        <w:spacing w:before="0"/>
        <w:ind w:firstLine="495" w:firstLineChars="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20.3信用信息的使用规则：经查询列入失信被执行人名单、重大税收违法案件当事人名单、政府采购严重违法失信行为记录名单的供应商将被拒绝参与政府采购活动。</w:t>
      </w:r>
    </w:p>
    <w:p>
      <w:pPr>
        <w:pStyle w:val="132"/>
        <w:spacing w:before="0" w:after="240"/>
        <w:ind w:firstLine="48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heme="minorEastAsia" w:hAnsiTheme="minorEastAsia" w:eastAsiaTheme="minorEastAsia" w:cstheme="minorEastAsia"/>
        </w:rPr>
        <w:t>。</w:t>
      </w:r>
    </w:p>
    <w:p>
      <w:pPr>
        <w:snapToGrid w:val="0"/>
        <w:spacing w:line="360" w:lineRule="auto"/>
        <w:jc w:val="center"/>
        <w:outlineLvl w:val="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五、评标</w:t>
      </w:r>
    </w:p>
    <w:p>
      <w:pPr>
        <w:pStyle w:val="132"/>
        <w:snapToGrid w:val="0"/>
        <w:spacing w:before="0" w:after="240"/>
        <w:ind w:firstLine="0" w:firstLineChars="0"/>
        <w:rPr>
          <w:rFonts w:hint="eastAsia" w:asciiTheme="minorEastAsia" w:hAnsiTheme="minorEastAsia" w:eastAsiaTheme="minorEastAsia" w:cstheme="minorEastAsia"/>
          <w:b/>
        </w:rPr>
      </w:pPr>
      <w:bookmarkStart w:id="11" w:name="_Toc91899903"/>
      <w:r>
        <w:rPr>
          <w:rFonts w:hint="eastAsia" w:asciiTheme="minorEastAsia" w:hAnsiTheme="minorEastAsia" w:eastAsiaTheme="minorEastAsia" w:cstheme="minorEastAsia"/>
          <w:b/>
        </w:rPr>
        <w:t>21.</w:t>
      </w:r>
      <w:r>
        <w:rPr>
          <w:rFonts w:hint="eastAsia" w:asciiTheme="minorEastAsia" w:hAnsiTheme="minorEastAsia" w:eastAsiaTheme="minorEastAsia" w:cstheme="minorEastAsia"/>
        </w:rPr>
        <w:t xml:space="preserve"> 竞争性磋商小组将根据磋商文件和有关规定，履行评标工作职责，并按照评标方法及评分标准，全面衡量各投标供应商对招标文件的响应情况。对实质上响应磋商文件的投标供应商，按照评审因素的量化指标排出推荐中标的投标人的先后顺序，并按顺序提出授标建议。</w:t>
      </w:r>
      <w:r>
        <w:rPr>
          <w:rFonts w:hint="eastAsia" w:asciiTheme="minorEastAsia" w:hAnsiTheme="minorEastAsia" w:eastAsiaTheme="minorEastAsia" w:cstheme="minorEastAsia"/>
          <w:b/>
        </w:rPr>
        <w:t>详见招标文件第四部分评标办法</w:t>
      </w:r>
    </w:p>
    <w:p>
      <w:pPr>
        <w:snapToGrid w:val="0"/>
        <w:spacing w:line="360" w:lineRule="auto"/>
        <w:jc w:val="center"/>
        <w:outlineLvl w:val="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六、定标</w:t>
      </w:r>
    </w:p>
    <w:p>
      <w:pPr>
        <w:pStyle w:val="29"/>
        <w:spacing w:line="360" w:lineRule="auto"/>
        <w:ind w:left="479" w:hanging="479" w:hangingChars="19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22. 确定中标供应商</w:t>
      </w:r>
    </w:p>
    <w:p>
      <w:pPr>
        <w:pStyle w:val="132"/>
        <w:snapToGrid w:val="0"/>
        <w:spacing w:before="0"/>
        <w:ind w:firstLine="480"/>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szCs w:val="24"/>
        </w:rPr>
        <w:t>采购人将自收到评审报告之日起5个工作日内通过电子交易平台在评审报告推荐的中标候选人中按顺序确定中标供应商。</w:t>
      </w:r>
    </w:p>
    <w:p>
      <w:pPr>
        <w:pStyle w:val="132"/>
        <w:snapToGrid w:val="0"/>
        <w:spacing w:before="0"/>
        <w:ind w:firstLine="0" w:firstLineChars="0"/>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rPr>
        <w:t>23. 中标通知与中标结果公告</w:t>
      </w:r>
    </w:p>
    <w:p>
      <w:pPr>
        <w:widowControl/>
        <w:spacing w:line="360" w:lineRule="auto"/>
        <w:ind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23.1自中标人确定之日起2个工作日内，采购机构通过电子交易平台向中标人发出中标通知书，同时编制发布采购结果公告。采购机构也可以以纸质形式进行中标通知。</w:t>
      </w:r>
    </w:p>
    <w:p>
      <w:pPr>
        <w:widowControl/>
        <w:spacing w:line="360" w:lineRule="auto"/>
        <w:ind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23.2中标结果公告内容包括采购人及其委托的采购机构的名称、地址、联系方式，</w:t>
      </w:r>
      <w:r>
        <w:rPr>
          <w:rFonts w:hint="eastAsia" w:asciiTheme="minorEastAsia" w:hAnsiTheme="minorEastAsia" w:eastAsiaTheme="minorEastAsia" w:cstheme="minorEastAsia"/>
          <w:sz w:val="24"/>
          <w:lang w:eastAsia="zh-CN"/>
        </w:rPr>
        <w:t>2024-2025年桐庐经济开发区绿地养护项目</w:t>
      </w:r>
      <w:r>
        <w:rPr>
          <w:rFonts w:hint="eastAsia" w:asciiTheme="minorEastAsia" w:hAnsiTheme="minorEastAsia" w:eastAsiaTheme="minorEastAsia" w:cstheme="minorEastAsia"/>
          <w:sz w:val="24"/>
        </w:rPr>
        <w:t>和项目编号，中标人名称、地址和中标金额，主要中标标的的名称、数量、单价、服务要求，开标记录、未中标情况说明、中标公告期限以及评审专家名单、评分汇总及明细。</w:t>
      </w:r>
    </w:p>
    <w:p>
      <w:pPr>
        <w:widowControl/>
        <w:spacing w:after="240" w:line="360" w:lineRule="auto"/>
        <w:ind w:firstLine="482"/>
        <w:jc w:val="left"/>
        <w:rPr>
          <w:rFonts w:hint="eastAsia" w:asciiTheme="minorEastAsia" w:hAnsiTheme="minorEastAsia" w:eastAsiaTheme="minorEastAsia" w:cstheme="minorEastAsia"/>
          <w:b/>
          <w:sz w:val="32"/>
          <w:highlight w:val="none"/>
        </w:rPr>
      </w:pPr>
      <w:r>
        <w:rPr>
          <w:rFonts w:hint="eastAsia" w:asciiTheme="minorEastAsia" w:hAnsiTheme="minorEastAsia" w:eastAsiaTheme="minorEastAsia" w:cstheme="minorEastAsia"/>
          <w:sz w:val="24"/>
          <w:highlight w:val="none"/>
        </w:rPr>
        <w:t>23.</w:t>
      </w: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rPr>
        <w:t>公告期限为1个工作日。</w:t>
      </w:r>
    </w:p>
    <w:p>
      <w:pPr>
        <w:snapToGrid w:val="0"/>
        <w:spacing w:line="360" w:lineRule="auto"/>
        <w:ind w:left="120" w:leftChars="57" w:firstLine="482" w:firstLineChars="150"/>
        <w:jc w:val="center"/>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b/>
          <w:sz w:val="32"/>
        </w:rPr>
        <w:t>七、合同授予</w:t>
      </w:r>
    </w:p>
    <w:p>
      <w:pPr>
        <w:pStyle w:val="29"/>
        <w:spacing w:line="360" w:lineRule="auto"/>
        <w:ind w:left="479" w:hanging="479" w:hangingChars="19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 xml:space="preserve">24. </w:t>
      </w:r>
      <w:r>
        <w:rPr>
          <w:rFonts w:hint="eastAsia" w:asciiTheme="minorEastAsia" w:hAnsiTheme="minorEastAsia" w:eastAsiaTheme="minorEastAsia" w:cstheme="minorEastAsia"/>
        </w:rPr>
        <w:t>合同主要条款详见第五部分拟签订的合同文本。</w:t>
      </w:r>
    </w:p>
    <w:p>
      <w:pPr>
        <w:pStyle w:val="29"/>
        <w:spacing w:line="360" w:lineRule="auto"/>
        <w:ind w:left="479" w:hanging="479" w:hangingChars="19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25. 合同的签订</w:t>
      </w:r>
    </w:p>
    <w:p>
      <w:pPr>
        <w:widowControl/>
        <w:spacing w:line="360" w:lineRule="auto"/>
        <w:ind w:firstLine="48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25.1</w:t>
      </w:r>
      <w:r>
        <w:rPr>
          <w:rFonts w:hint="eastAsia" w:asciiTheme="minorEastAsia" w:hAnsiTheme="minorEastAsia" w:eastAsiaTheme="minorEastAsia" w:cstheme="minorEastAsia"/>
          <w:kern w:val="0"/>
          <w:sz w:val="24"/>
        </w:rPr>
        <w:t xml:space="preserve"> 采购人与中标人应当通过电子交易平台在中标通知书发出之日起三十日内，按照竞争性磋商文件确定的事项签订政府采购合同，并在合同签订之日起2个工作日内依法发布合同公告。</w:t>
      </w:r>
    </w:p>
    <w:p>
      <w:pPr>
        <w:pStyle w:val="132"/>
        <w:snapToGrid w:val="0"/>
        <w:spacing w:before="0"/>
        <w:ind w:firstLine="480"/>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25.3如签订合同并生效后，供应商无故拒绝或延期，除按照合同条款处理外，列入不良行为记录一次，并给予通报。</w:t>
      </w:r>
    </w:p>
    <w:p>
      <w:pPr>
        <w:pStyle w:val="132"/>
        <w:snapToGrid w:val="0"/>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25.5采购合同由采购人与中标供应商根据竞争性磋商文件、磋商响应文件等内容通过政府采购电子交易平台在线签订，自动备案。</w:t>
      </w:r>
    </w:p>
    <w:p>
      <w:pPr>
        <w:pStyle w:val="29"/>
        <w:spacing w:line="360" w:lineRule="auto"/>
        <w:ind w:left="479" w:hanging="479" w:hangingChars="19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26. 履约保证金</w:t>
      </w:r>
    </w:p>
    <w:p>
      <w:pPr>
        <w:tabs>
          <w:tab w:val="left" w:pos="0"/>
        </w:tabs>
        <w:spacing w:line="360" w:lineRule="auto"/>
        <w:ind w:firstLine="482"/>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kern w:val="0"/>
          <w:sz w:val="24"/>
        </w:rPr>
        <w:t>拟签订的合同文本要求中标供应商提交履约保证金的，供应商应当以支票、汇票、本票或者金融机构、担保机构出具的保函等非现金形式提交</w:t>
      </w:r>
      <w:r>
        <w:rPr>
          <w:rFonts w:hint="eastAsia" w:asciiTheme="minorEastAsia" w:hAnsiTheme="minorEastAsia" w:eastAsiaTheme="minorEastAsia" w:cstheme="minorEastAsia"/>
          <w:sz w:val="24"/>
        </w:rPr>
        <w:t>。履约保证金的数额</w:t>
      </w:r>
      <w:r>
        <w:rPr>
          <w:rFonts w:hint="eastAsia" w:asciiTheme="minorEastAsia" w:hAnsiTheme="minorEastAsia" w:eastAsiaTheme="minorEastAsia" w:cstheme="minorEastAsia"/>
          <w:sz w:val="24"/>
          <w:lang w:val="en-US" w:eastAsia="zh-CN"/>
        </w:rPr>
        <w:t>为</w:t>
      </w:r>
      <w:r>
        <w:rPr>
          <w:rFonts w:hint="eastAsia" w:asciiTheme="minorEastAsia" w:hAnsiTheme="minorEastAsia" w:eastAsiaTheme="minorEastAsia" w:cstheme="minorEastAsia"/>
          <w:sz w:val="24"/>
        </w:rPr>
        <w:t>政府采购合同金额的</w:t>
      </w:r>
      <w:r>
        <w:rPr>
          <w:rFonts w:hint="eastAsia" w:asciiTheme="minorEastAsia" w:hAnsiTheme="minorEastAsia" w:eastAsiaTheme="minorEastAsia" w:cstheme="minorEastAsia"/>
          <w:sz w:val="24"/>
          <w:lang w:val="en-US" w:eastAsia="zh-CN"/>
        </w:rPr>
        <w:t>0.1</w:t>
      </w:r>
      <w:r>
        <w:rPr>
          <w:rFonts w:hint="eastAsia" w:asciiTheme="minorEastAsia" w:hAnsiTheme="minorEastAsia" w:eastAsiaTheme="minorEastAsia" w:cstheme="minorEastAsia"/>
          <w:sz w:val="24"/>
        </w:rPr>
        <w:t>%。鼓励和支持供应商以银行、保险公司出具的保函形式提供履约保证金。</w:t>
      </w:r>
      <w:r>
        <w:rPr>
          <w:rFonts w:hint="eastAsia" w:asciiTheme="minorEastAsia" w:hAnsiTheme="minorEastAsia" w:eastAsiaTheme="minorEastAsia" w:cstheme="minorEastAsia"/>
          <w:b/>
          <w:sz w:val="24"/>
        </w:rPr>
        <w:t>采购人不得拒收履约保函。</w:t>
      </w:r>
    </w:p>
    <w:p>
      <w:pPr>
        <w:snapToGrid w:val="0"/>
        <w:spacing w:line="360" w:lineRule="auto"/>
        <w:ind w:firstLine="3357" w:firstLineChars="1045"/>
        <w:rPr>
          <w:rFonts w:hint="eastAsia" w:asciiTheme="minorEastAsia" w:hAnsiTheme="minorEastAsia" w:eastAsiaTheme="minorEastAsia" w:cstheme="minorEastAsia"/>
          <w:b/>
          <w:sz w:val="32"/>
        </w:rPr>
      </w:pPr>
    </w:p>
    <w:p>
      <w:pPr>
        <w:snapToGri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32"/>
        </w:rPr>
        <w:t>八、电子交易活动的中止</w:t>
      </w:r>
    </w:p>
    <w:p>
      <w:pPr>
        <w:pStyle w:val="132"/>
        <w:snapToGrid w:val="0"/>
        <w:spacing w:before="0"/>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2</w:t>
      </w:r>
      <w:r>
        <w:rPr>
          <w:rFonts w:hint="eastAsia" w:asciiTheme="minorEastAsia" w:hAnsiTheme="minorEastAsia" w:eastAsiaTheme="minorEastAsia" w:cstheme="minorEastAsia"/>
          <w:b/>
          <w:bCs/>
          <w:szCs w:val="24"/>
        </w:rPr>
        <w:t>7.</w:t>
      </w:r>
      <w:r>
        <w:rPr>
          <w:rFonts w:hint="eastAsia" w:asciiTheme="minorEastAsia" w:hAnsiTheme="minorEastAsia" w:eastAsiaTheme="minorEastAsia" w:cstheme="minorEastAsia"/>
          <w:b/>
          <w:szCs w:val="24"/>
        </w:rPr>
        <w:t xml:space="preserve"> 电子交易活动的中止。</w:t>
      </w:r>
      <w:r>
        <w:rPr>
          <w:rFonts w:hint="eastAsia" w:asciiTheme="minorEastAsia" w:hAnsiTheme="minorEastAsia" w:eastAsiaTheme="minorEastAsia" w:cstheme="minorEastAsia"/>
        </w:rPr>
        <w:t>采购过程中出现以下情形，导致电子交易平台无法正常运行，或者无法保证电子交易的公平、公正和安全时，采购机构可中止电子交易活动：</w:t>
      </w:r>
    </w:p>
    <w:p>
      <w:pPr>
        <w:pStyle w:val="132"/>
        <w:snapToGrid w:val="0"/>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27.1电子交易平台发生故障而无法登录访问的； </w:t>
      </w:r>
    </w:p>
    <w:p>
      <w:pPr>
        <w:pStyle w:val="132"/>
        <w:snapToGrid w:val="0"/>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27.2电子交易平台应用或数据库出现错误，不能进行正常操作的；</w:t>
      </w:r>
    </w:p>
    <w:p>
      <w:pPr>
        <w:pStyle w:val="132"/>
        <w:snapToGrid w:val="0"/>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27.3电子交易平台发现严重安全漏洞，有潜在泄密危险的；</w:t>
      </w:r>
    </w:p>
    <w:p>
      <w:pPr>
        <w:pStyle w:val="132"/>
        <w:snapToGrid w:val="0"/>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27.4病毒发作导致不能进行正常操作的； </w:t>
      </w:r>
    </w:p>
    <w:p>
      <w:pPr>
        <w:pStyle w:val="132"/>
        <w:snapToGrid w:val="0"/>
        <w:spacing w:before="0"/>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27.5其他无法保证电子交易的公平、公正和安全的情况。</w:t>
      </w:r>
    </w:p>
    <w:p>
      <w:pPr>
        <w:pStyle w:val="132"/>
        <w:snapToGrid w:val="0"/>
        <w:spacing w:before="0" w:after="240"/>
        <w:ind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b/>
          <w:sz w:val="32"/>
        </w:rPr>
        <w:t>九、验收</w:t>
      </w:r>
    </w:p>
    <w:p>
      <w:pPr>
        <w:pStyle w:val="29"/>
        <w:spacing w:line="360" w:lineRule="auto"/>
        <w:ind w:firstLine="0" w:firstLineChars="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29.验收</w:t>
      </w:r>
    </w:p>
    <w:p>
      <w:pPr>
        <w:tabs>
          <w:tab w:val="left" w:pos="0"/>
        </w:tabs>
        <w:spacing w:line="360" w:lineRule="auto"/>
        <w:ind w:firstLine="48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hint="eastAsia" w:asciiTheme="minorEastAsia" w:hAnsiTheme="minorEastAsia" w:eastAsiaTheme="minorEastAsia" w:cstheme="minorEastAsia"/>
          <w:kern w:val="0"/>
          <w:sz w:val="24"/>
        </w:rPr>
        <w:sectPr>
          <w:footerReference r:id="rId5" w:type="default"/>
          <w:pgSz w:w="11906" w:h="16838"/>
          <w:pgMar w:top="1417" w:right="1587" w:bottom="1417" w:left="1587" w:header="851" w:footer="992" w:gutter="0"/>
          <w:pgNumType w:fmt="decimal" w:start="1"/>
          <w:cols w:space="720" w:num="1"/>
          <w:docGrid w:linePitch="312" w:charSpace="0"/>
        </w:sectPr>
      </w:pPr>
      <w:bookmarkStart w:id="12" w:name="_Hlt68057669"/>
      <w:bookmarkEnd w:id="12"/>
      <w:bookmarkStart w:id="13" w:name="_Hlt74729768"/>
      <w:bookmarkEnd w:id="13"/>
      <w:bookmarkStart w:id="14" w:name="_Hlt74714665"/>
      <w:bookmarkEnd w:id="14"/>
      <w:bookmarkStart w:id="15" w:name="_Hlt68073093"/>
      <w:bookmarkEnd w:id="15"/>
      <w:bookmarkStart w:id="16" w:name="_Hlt75236290"/>
      <w:bookmarkEnd w:id="16"/>
      <w:bookmarkStart w:id="17" w:name="_Hlt68072998"/>
      <w:bookmarkEnd w:id="17"/>
      <w:bookmarkStart w:id="18" w:name="_Hlt68403820"/>
      <w:bookmarkEnd w:id="18"/>
      <w:bookmarkStart w:id="19" w:name="_Hlt68072990"/>
      <w:bookmarkEnd w:id="19"/>
      <w:bookmarkStart w:id="20" w:name="_Hlt75236101"/>
      <w:bookmarkEnd w:id="20"/>
      <w:bookmarkStart w:id="21" w:name="_Hlt75236011"/>
      <w:bookmarkEnd w:id="21"/>
      <w:bookmarkStart w:id="22" w:name="_Hlt74707468"/>
      <w:bookmarkEnd w:id="22"/>
      <w:bookmarkStart w:id="23" w:name="_Hlt74730295"/>
      <w:bookmarkEnd w:id="23"/>
    </w:p>
    <w:bookmarkEnd w:id="9"/>
    <w:bookmarkEnd w:id="10"/>
    <w:p>
      <w:pPr>
        <w:spacing w:line="360" w:lineRule="auto"/>
        <w:jc w:val="center"/>
        <w:outlineLvl w:val="0"/>
        <w:rPr>
          <w:rFonts w:hint="eastAsia" w:asciiTheme="minorEastAsia" w:hAnsiTheme="minorEastAsia" w:eastAsiaTheme="minorEastAsia" w:cstheme="minorEastAsia"/>
          <w:b/>
          <w:sz w:val="36"/>
          <w:szCs w:val="36"/>
        </w:rPr>
      </w:pPr>
      <w:bookmarkStart w:id="24" w:name="第四部分"/>
      <w:r>
        <w:rPr>
          <w:rFonts w:hint="eastAsia" w:asciiTheme="minorEastAsia" w:hAnsiTheme="minorEastAsia" w:eastAsiaTheme="minorEastAsia" w:cstheme="minorEastAsia"/>
          <w:b/>
          <w:sz w:val="36"/>
          <w:szCs w:val="36"/>
        </w:rPr>
        <w:t>第三部分   采购需求</w:t>
      </w:r>
    </w:p>
    <w:p>
      <w:pPr>
        <w:pStyle w:val="37"/>
        <w:numPr>
          <w:ilvl w:val="0"/>
          <w:numId w:val="0"/>
        </w:numPr>
        <w:snapToGrid w:val="0"/>
        <w:spacing w:beforeLines="0" w:afterLines="0" w:line="360" w:lineRule="auto"/>
        <w:ind w:left="420" w:leftChars="0" w:firstLine="480" w:firstLineChars="200"/>
        <w:jc w:val="left"/>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本项目为2024-2025年桐庐经济开发区服务期</w:t>
      </w:r>
      <w:r>
        <w:rPr>
          <w:rFonts w:hint="eastAsia"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年的绿地养护采购项目，中标单位需要完成对应标项区块中所有绿地</w:t>
      </w:r>
      <w:r>
        <w:rPr>
          <w:rFonts w:hint="eastAsia" w:ascii="宋体" w:hAnsi="宋体" w:eastAsia="宋体" w:cs="宋体"/>
          <w:color w:val="000000"/>
          <w:sz w:val="24"/>
          <w:szCs w:val="24"/>
          <w:lang w:val="en-US" w:eastAsia="zh-CN"/>
        </w:rPr>
        <w:t>养护工作</w:t>
      </w:r>
      <w:r>
        <w:rPr>
          <w:rFonts w:hint="eastAsia" w:ascii="宋体" w:hAnsi="宋体" w:eastAsia="宋体" w:cs="宋体"/>
          <w:color w:val="auto"/>
          <w:kern w:val="2"/>
          <w:sz w:val="24"/>
          <w:szCs w:val="24"/>
          <w:highlight w:val="none"/>
          <w:lang w:val="en-US" w:eastAsia="zh-CN" w:bidi="ar-SA"/>
        </w:rPr>
        <w:t>（工作范围包括但不限于区块内</w:t>
      </w:r>
      <w:r>
        <w:rPr>
          <w:rFonts w:hint="eastAsia" w:ascii="宋体" w:hAnsi="宋体" w:eastAsia="宋体" w:cs="宋体"/>
          <w:color w:val="000000"/>
          <w:sz w:val="24"/>
          <w:szCs w:val="24"/>
        </w:rPr>
        <w:t>黑麦草</w:t>
      </w:r>
      <w:r>
        <w:rPr>
          <w:rFonts w:hint="eastAsia" w:ascii="宋体" w:hAnsi="宋体" w:eastAsia="宋体" w:cs="宋体"/>
          <w:color w:val="000000"/>
          <w:sz w:val="24"/>
          <w:szCs w:val="24"/>
          <w:lang w:eastAsia="zh-CN"/>
        </w:rPr>
        <w:t>，</w:t>
      </w:r>
      <w:r>
        <w:rPr>
          <w:rFonts w:hint="eastAsia" w:ascii="宋体" w:hAnsi="宋体" w:eastAsia="宋体" w:cs="宋体"/>
          <w:color w:val="auto"/>
          <w:kern w:val="2"/>
          <w:sz w:val="24"/>
          <w:szCs w:val="24"/>
          <w:highlight w:val="none"/>
          <w:lang w:val="en-US" w:eastAsia="zh-CN" w:bidi="ar-SA"/>
        </w:rPr>
        <w:t>所有树木（普通、特殊、珍</w:t>
      </w:r>
      <w:r>
        <w:rPr>
          <w:rFonts w:hint="eastAsia" w:hAnsi="宋体" w:cs="宋体"/>
          <w:color w:val="auto"/>
          <w:kern w:val="2"/>
          <w:sz w:val="24"/>
          <w:szCs w:val="24"/>
          <w:highlight w:val="none"/>
          <w:lang w:val="en-US" w:eastAsia="zh-CN" w:bidi="ar-SA"/>
        </w:rPr>
        <w:t>稀</w:t>
      </w:r>
      <w:r>
        <w:rPr>
          <w:rFonts w:hint="eastAsia" w:ascii="宋体" w:hAnsi="宋体" w:eastAsia="宋体" w:cs="宋体"/>
          <w:color w:val="auto"/>
          <w:kern w:val="2"/>
          <w:sz w:val="24"/>
          <w:szCs w:val="24"/>
          <w:highlight w:val="none"/>
          <w:lang w:val="en-US" w:eastAsia="zh-CN" w:bidi="ar-SA"/>
        </w:rPr>
        <w:t>等树木），</w:t>
      </w:r>
      <w:r>
        <w:rPr>
          <w:rFonts w:hint="eastAsia" w:ascii="宋体" w:hAnsi="宋体" w:eastAsia="宋体" w:cs="宋体"/>
          <w:color w:val="000000"/>
          <w:sz w:val="24"/>
          <w:szCs w:val="24"/>
        </w:rPr>
        <w:t>马尼拉</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乔、灌木</w:t>
      </w:r>
      <w:r>
        <w:rPr>
          <w:rFonts w:hint="eastAsia" w:ascii="宋体" w:hAnsi="宋体" w:eastAsia="宋体" w:cs="宋体"/>
          <w:color w:val="000000"/>
          <w:sz w:val="24"/>
          <w:szCs w:val="24"/>
          <w:lang w:val="en-US" w:eastAsia="zh-CN"/>
        </w:rPr>
        <w:t>以及相应施化肥、撒农药、播草籽等工作</w:t>
      </w:r>
      <w:r>
        <w:rPr>
          <w:rFonts w:hint="eastAsia" w:ascii="宋体" w:hAnsi="宋体" w:eastAsia="宋体" w:cs="宋体"/>
          <w:color w:val="auto"/>
          <w:kern w:val="2"/>
          <w:sz w:val="24"/>
          <w:szCs w:val="24"/>
          <w:highlight w:val="none"/>
          <w:lang w:val="en-US" w:eastAsia="zh-CN" w:bidi="ar-SA"/>
        </w:rPr>
        <w:t>）</w:t>
      </w:r>
    </w:p>
    <w:p>
      <w:pPr>
        <w:spacing w:line="360" w:lineRule="auto"/>
        <w:rPr>
          <w:rFonts w:hint="eastAsia" w:ascii="宋体" w:hAnsi="宋体" w:eastAsia="宋体" w:cs="宋体"/>
          <w:b/>
          <w:sz w:val="24"/>
          <w:szCs w:val="24"/>
          <w:lang w:val="en-US" w:eastAsia="zh-CN"/>
        </w:rPr>
      </w:pPr>
    </w:p>
    <w:p>
      <w:pPr>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1、养护清单</w:t>
      </w:r>
    </w:p>
    <w:p>
      <w:pPr>
        <w:pStyle w:val="27"/>
        <w:spacing w:line="360" w:lineRule="auto"/>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梅林路-董家路（含梅林桥、梅林路）、国道-滨江路（含滩头、三桥）区块</w:t>
      </w:r>
      <w:r>
        <w:rPr>
          <w:rFonts w:hint="eastAsia" w:ascii="宋体" w:hAnsi="宋体" w:cs="宋体"/>
          <w:b/>
          <w:bCs/>
          <w:sz w:val="24"/>
          <w:szCs w:val="24"/>
          <w:lang w:val="en-US" w:eastAsia="zh-CN"/>
        </w:rPr>
        <w:t>（含滨江路园路保洁工作）</w:t>
      </w:r>
    </w:p>
    <w:p>
      <w:pPr>
        <w:rPr>
          <w:rFonts w:hint="eastAsia" w:ascii="宋体" w:hAnsi="宋体" w:eastAsia="宋体" w:cs="宋体"/>
          <w:sz w:val="24"/>
          <w:szCs w:val="24"/>
          <w:lang w:val="en-US" w:eastAsia="zh-CN"/>
        </w:rPr>
      </w:pPr>
    </w:p>
    <w:tbl>
      <w:tblPr>
        <w:tblStyle w:val="64"/>
        <w:tblW w:w="7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0"/>
        <w:gridCol w:w="1600"/>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地段名称</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大致</w:t>
            </w:r>
            <w:r>
              <w:rPr>
                <w:rFonts w:hint="eastAsia" w:ascii="宋体" w:hAnsi="宋体" w:eastAsia="宋体" w:cs="宋体"/>
                <w:b/>
                <w:bCs/>
                <w:i w:val="0"/>
                <w:iCs w:val="0"/>
                <w:color w:val="000000"/>
                <w:kern w:val="0"/>
                <w:sz w:val="24"/>
                <w:szCs w:val="24"/>
                <w:u w:val="none"/>
                <w:lang w:val="en-US" w:eastAsia="zh-CN" w:bidi="ar"/>
              </w:rPr>
              <w:t>面积（㎡）</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养护级别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国道（梅林路-董家路）区块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175689</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春江路（梅林路-董家路）区块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13656</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白云源路（梅林路-董家路）区块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24638</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姚家路（洋洲路-宝心路）区块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23189</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洋洲路（春江路-国道）</w:t>
            </w:r>
            <w:r>
              <w:rPr>
                <w:rFonts w:hint="eastAsia" w:ascii="宋体" w:hAnsi="宋体" w:cs="宋体"/>
                <w:i w:val="0"/>
                <w:iCs w:val="0"/>
                <w:color w:val="000000"/>
                <w:kern w:val="0"/>
                <w:sz w:val="22"/>
                <w:szCs w:val="22"/>
                <w:u w:val="none"/>
                <w:lang w:val="en-US" w:eastAsia="zh-CN" w:bidi="ar"/>
              </w:rPr>
              <w:t>周边</w:t>
            </w:r>
            <w:r>
              <w:rPr>
                <w:rFonts w:hint="eastAsia" w:ascii="宋体" w:hAnsi="宋体" w:eastAsia="宋体" w:cs="宋体"/>
                <w:i w:val="0"/>
                <w:iCs w:val="0"/>
                <w:color w:val="000000"/>
                <w:kern w:val="0"/>
                <w:sz w:val="22"/>
                <w:szCs w:val="22"/>
                <w:u w:val="none"/>
                <w:lang w:val="en-US" w:eastAsia="zh-CN" w:bidi="ar"/>
              </w:rPr>
              <w:t>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6</w:t>
            </w:r>
            <w:r>
              <w:rPr>
                <w:rFonts w:hint="eastAsia" w:ascii="宋体" w:hAnsi="宋体" w:eastAsia="宋体" w:cs="宋体"/>
                <w:i w:val="0"/>
                <w:iCs w:val="0"/>
                <w:color w:val="000000"/>
                <w:kern w:val="0"/>
                <w:sz w:val="22"/>
                <w:szCs w:val="22"/>
                <w:u w:val="none"/>
                <w:lang w:val="en-US" w:eastAsia="zh-CN" w:bidi="ar"/>
              </w:rPr>
              <w:t>44</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东兴路（春江路-国道）区块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8177</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下洋洲路（春江路-白云源路）区块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495</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宝心路（春江路-国道）区块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3048</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董家路（滨江路-国道）区块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2205</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滨江路（滩头-三桥）区块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104070</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黄潦溪公园</w:t>
            </w:r>
            <w:r>
              <w:rPr>
                <w:rFonts w:hint="eastAsia" w:ascii="宋体" w:hAnsi="宋体" w:eastAsia="宋体" w:cs="宋体"/>
                <w:sz w:val="24"/>
                <w:szCs w:val="24"/>
                <w:lang w:val="en-US" w:eastAsia="zh-CN"/>
              </w:rPr>
              <w:t>区块</w:t>
            </w:r>
            <w:r>
              <w:rPr>
                <w:rFonts w:hint="eastAsia" w:ascii="宋体" w:hAnsi="宋体" w:eastAsia="宋体" w:cs="宋体"/>
                <w:i w:val="0"/>
                <w:iCs w:val="0"/>
                <w:color w:val="000000"/>
                <w:kern w:val="0"/>
                <w:sz w:val="22"/>
                <w:szCs w:val="22"/>
                <w:u w:val="none"/>
                <w:lang w:val="en-US" w:eastAsia="zh-CN" w:bidi="ar"/>
              </w:rPr>
              <w:t>总面积约60636㎡-水面积约25638㎡</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34998</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约393809</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45"/>
        <w:rPr>
          <w:rFonts w:hint="eastAsia" w:ascii="宋体" w:hAnsi="宋体" w:eastAsia="宋体" w:cs="宋体"/>
          <w:lang w:val="en-US" w:eastAsia="zh-CN"/>
        </w:rPr>
      </w:pPr>
      <w:r>
        <w:rPr>
          <w:rFonts w:hint="eastAsia" w:ascii="宋体" w:hAnsi="宋体" w:eastAsia="宋体" w:cs="宋体"/>
          <w:lang w:val="en-US" w:eastAsia="zh-CN"/>
        </w:rPr>
        <w:t xml:space="preserve">      </w:t>
      </w:r>
    </w:p>
    <w:tbl>
      <w:tblPr>
        <w:tblStyle w:val="64"/>
        <w:tblW w:w="71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52"/>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行道树</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春江路（梅林路-董家路）区块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瑶琳路（梅林路-洋洲路）区块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白云源路（梅林路-董家路）区块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云栖路（石马路-东兴路）区块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阆苑路（梅林路-东兴路）区块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滨江路（梅林路-三桥）区块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洪家山路区块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姚家路区块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梅林路（春江路-国道）区块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桑园路（春江路-国道）区块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三达路（春江路-白云源路）区块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宝心路（春江路-国道）区块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求是路（春江路-国道）区块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紫郡路区块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下洋洲路区块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赵家路区块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董家路（滨江路-国道）区块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滩头路（滨江路-国道）区块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国道（梅林路-董家路）区块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洋洲路（春江路-国道）区块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东兴路（春江路-国道）区块</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5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约</w:t>
            </w:r>
            <w:r>
              <w:rPr>
                <w:rFonts w:hint="eastAsia" w:ascii="宋体" w:hAnsi="宋体" w:eastAsia="宋体" w:cs="宋体"/>
                <w:i w:val="0"/>
                <w:iCs w:val="0"/>
                <w:color w:val="000000"/>
                <w:kern w:val="0"/>
                <w:sz w:val="22"/>
                <w:szCs w:val="22"/>
                <w:u w:val="none"/>
                <w:lang w:val="en-US" w:eastAsia="zh-CN" w:bidi="ar"/>
              </w:rPr>
              <w:t>4633</w:t>
            </w:r>
          </w:p>
        </w:tc>
      </w:tr>
    </w:tbl>
    <w:p>
      <w:pPr>
        <w:pStyle w:val="27"/>
        <w:spacing w:line="360" w:lineRule="auto"/>
        <w:ind w:firstLine="210"/>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pStyle w:val="27"/>
        <w:ind w:firstLine="21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董家路-江源路、滨江路-城南路、董家路-江源路、滨江路-桐常线区块</w:t>
      </w:r>
    </w:p>
    <w:tbl>
      <w:tblPr>
        <w:tblStyle w:val="64"/>
        <w:tblpPr w:leftFromText="180" w:rightFromText="180" w:vertAnchor="text" w:horzAnchor="page" w:tblpXSpec="center" w:tblpY="206"/>
        <w:tblOverlap w:val="never"/>
        <w:tblW w:w="76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20"/>
        <w:gridCol w:w="1598"/>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地段名称</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大致</w:t>
            </w:r>
            <w:r>
              <w:rPr>
                <w:rFonts w:hint="eastAsia" w:ascii="宋体" w:hAnsi="宋体" w:eastAsia="宋体" w:cs="宋体"/>
                <w:b/>
                <w:bCs/>
                <w:i w:val="0"/>
                <w:iCs w:val="0"/>
                <w:color w:val="000000"/>
                <w:kern w:val="0"/>
                <w:sz w:val="24"/>
                <w:szCs w:val="24"/>
                <w:u w:val="none"/>
                <w:lang w:val="en-US" w:eastAsia="zh-CN" w:bidi="ar"/>
              </w:rPr>
              <w:t>面积（㎡）</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养护级别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董家路（国道-城南路）区块</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2400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马家路（国道-城南路）区块</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3185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城南路（宝心路-凤川大道）区块</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11950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春江路（董家路-发展路）区块</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7702</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国道（董家路-江源路）区块</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194540</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白云源路（董家路-马家路）区块</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凤川大道（春江路-环镇北路）区块</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43579</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大源溪区块</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50396</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马家溪公园</w:t>
            </w:r>
            <w:r>
              <w:rPr>
                <w:rFonts w:hint="eastAsia" w:ascii="宋体" w:hAnsi="宋体" w:eastAsia="宋体" w:cs="宋体"/>
                <w:sz w:val="24"/>
                <w:szCs w:val="24"/>
                <w:lang w:val="en-US" w:eastAsia="zh-CN"/>
              </w:rPr>
              <w:t>区块</w:t>
            </w:r>
            <w:r>
              <w:rPr>
                <w:rFonts w:hint="eastAsia" w:ascii="宋体" w:hAnsi="宋体" w:eastAsia="宋体" w:cs="宋体"/>
                <w:i w:val="0"/>
                <w:iCs w:val="0"/>
                <w:color w:val="000000"/>
                <w:kern w:val="0"/>
                <w:sz w:val="22"/>
                <w:szCs w:val="22"/>
                <w:u w:val="none"/>
                <w:lang w:val="en-US" w:eastAsia="zh-CN" w:bidi="ar"/>
              </w:rPr>
              <w:t>总面积约26918-水面积约4350㎡</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22568</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4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1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约336635</w:t>
            </w: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tbl>
      <w:tblPr>
        <w:tblStyle w:val="64"/>
        <w:tblpPr w:leftFromText="180" w:rightFromText="180" w:vertAnchor="text" w:horzAnchor="page" w:tblpX="2215" w:tblpY="7165"/>
        <w:tblOverlap w:val="never"/>
        <w:tblW w:w="77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72"/>
        <w:gridCol w:w="2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行道树</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董家路（国道-城南路）区块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马家路（滨江路-城南路）区块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春江路（董家路-发展路）区块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城南路（董家路-凤川大道）区块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董家支路（1-2）区块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国道（董家路-大源溪路）区块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凤川大道（春江路-桐常线）区块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鹁鸪岭路区块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柴梅路区块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凤旺路区块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大源溪路区块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陈山路区块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兴宁西路区块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凤翔路区块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凤龙路区块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龙隐路区块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环镇北路区块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港边路区块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江源路区块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舒川路区块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天鹤路区块</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4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约</w:t>
            </w:r>
            <w:r>
              <w:rPr>
                <w:rFonts w:hint="eastAsia" w:ascii="宋体" w:hAnsi="宋体" w:eastAsia="宋体" w:cs="宋体"/>
                <w:i w:val="0"/>
                <w:iCs w:val="0"/>
                <w:color w:val="000000"/>
                <w:kern w:val="0"/>
                <w:sz w:val="22"/>
                <w:szCs w:val="22"/>
                <w:u w:val="none"/>
                <w:lang w:val="en-US" w:eastAsia="zh-CN" w:bidi="ar"/>
              </w:rPr>
              <w:t>5005</w:t>
            </w:r>
          </w:p>
        </w:tc>
      </w:tr>
    </w:tbl>
    <w:p>
      <w:pPr>
        <w:pStyle w:val="27"/>
        <w:spacing w:line="360" w:lineRule="auto"/>
        <w:ind w:firstLine="210"/>
        <w:rPr>
          <w:rFonts w:hint="eastAsia" w:ascii="宋体" w:hAnsi="宋体" w:eastAsia="宋体" w:cs="宋体"/>
          <w:b/>
          <w:bCs/>
          <w:sz w:val="24"/>
          <w:szCs w:val="24"/>
          <w:lang w:val="en-US" w:eastAsia="zh-CN"/>
        </w:rPr>
      </w:pPr>
    </w:p>
    <w:p>
      <w:pPr>
        <w:pStyle w:val="28"/>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6"/>
        <w:rPr>
          <w:rFonts w:hint="eastAsia" w:ascii="宋体" w:hAnsi="宋体" w:eastAsia="宋体" w:cs="宋体"/>
          <w:b/>
          <w:bCs/>
          <w:sz w:val="24"/>
          <w:szCs w:val="24"/>
          <w:lang w:val="en-US" w:eastAsia="zh-CN"/>
        </w:rPr>
      </w:pPr>
    </w:p>
    <w:p>
      <w:pPr>
        <w:pStyle w:val="27"/>
        <w:rPr>
          <w:rFonts w:hint="eastAsia" w:ascii="宋体" w:hAnsi="宋体" w:eastAsia="宋体" w:cs="宋体"/>
          <w:b/>
          <w:bCs/>
          <w:sz w:val="24"/>
          <w:szCs w:val="24"/>
          <w:lang w:val="en-US" w:eastAsia="zh-CN"/>
        </w:rPr>
      </w:pPr>
    </w:p>
    <w:p>
      <w:pPr>
        <w:pStyle w:val="28"/>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6"/>
        <w:rPr>
          <w:rFonts w:hint="eastAsia" w:ascii="宋体" w:hAnsi="宋体" w:eastAsia="宋体" w:cs="宋体"/>
          <w:b/>
          <w:bCs/>
          <w:sz w:val="24"/>
          <w:szCs w:val="24"/>
          <w:lang w:val="en-US" w:eastAsia="zh-CN"/>
        </w:rPr>
      </w:pPr>
    </w:p>
    <w:p>
      <w:pPr>
        <w:pStyle w:val="27"/>
        <w:rPr>
          <w:rFonts w:hint="eastAsia" w:ascii="宋体" w:hAnsi="宋体" w:eastAsia="宋体" w:cs="宋体"/>
          <w:b/>
          <w:bCs/>
          <w:sz w:val="24"/>
          <w:szCs w:val="24"/>
          <w:lang w:val="en-US" w:eastAsia="zh-CN"/>
        </w:rPr>
      </w:pPr>
    </w:p>
    <w:p>
      <w:pPr>
        <w:pStyle w:val="28"/>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6"/>
        <w:rPr>
          <w:rFonts w:hint="eastAsia" w:ascii="宋体" w:hAnsi="宋体" w:eastAsia="宋体" w:cs="宋体"/>
          <w:b/>
          <w:bCs/>
          <w:sz w:val="24"/>
          <w:szCs w:val="24"/>
          <w:lang w:val="en-US" w:eastAsia="zh-CN"/>
        </w:rPr>
      </w:pPr>
    </w:p>
    <w:p>
      <w:pPr>
        <w:pStyle w:val="27"/>
        <w:rPr>
          <w:rFonts w:hint="eastAsia" w:ascii="宋体" w:hAnsi="宋体" w:eastAsia="宋体" w:cs="宋体"/>
          <w:b/>
          <w:bCs/>
          <w:sz w:val="24"/>
          <w:szCs w:val="24"/>
          <w:lang w:val="en-US" w:eastAsia="zh-CN"/>
        </w:rPr>
      </w:pPr>
    </w:p>
    <w:p>
      <w:pPr>
        <w:pStyle w:val="28"/>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6"/>
        <w:rPr>
          <w:rFonts w:hint="eastAsia" w:ascii="宋体" w:hAnsi="宋体" w:eastAsia="宋体" w:cs="宋体"/>
          <w:b/>
          <w:bCs/>
          <w:sz w:val="24"/>
          <w:szCs w:val="24"/>
          <w:lang w:val="en-US" w:eastAsia="zh-CN"/>
        </w:rPr>
      </w:pPr>
    </w:p>
    <w:p>
      <w:pPr>
        <w:pStyle w:val="27"/>
        <w:rPr>
          <w:rFonts w:hint="eastAsia" w:ascii="宋体" w:hAnsi="宋体" w:eastAsia="宋体" w:cs="宋体"/>
          <w:b/>
          <w:bCs/>
          <w:sz w:val="24"/>
          <w:szCs w:val="24"/>
          <w:lang w:val="en-US" w:eastAsia="zh-CN"/>
        </w:rPr>
      </w:pPr>
    </w:p>
    <w:p>
      <w:pPr>
        <w:pStyle w:val="28"/>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26"/>
        <w:rPr>
          <w:rFonts w:hint="eastAsia" w:ascii="宋体" w:hAnsi="宋体" w:eastAsia="宋体" w:cs="宋体"/>
          <w:b/>
          <w:bCs/>
          <w:sz w:val="24"/>
          <w:szCs w:val="24"/>
          <w:lang w:val="en-US" w:eastAsia="zh-CN"/>
        </w:rPr>
      </w:pPr>
    </w:p>
    <w:p>
      <w:pPr>
        <w:pStyle w:val="27"/>
        <w:rPr>
          <w:rFonts w:hint="eastAsia" w:ascii="宋体" w:hAnsi="宋体" w:eastAsia="宋体" w:cs="宋体"/>
          <w:b/>
          <w:bCs/>
          <w:sz w:val="24"/>
          <w:szCs w:val="24"/>
          <w:lang w:val="en-US" w:eastAsia="zh-CN"/>
        </w:rPr>
      </w:pPr>
    </w:p>
    <w:p>
      <w:pPr>
        <w:pStyle w:val="28"/>
        <w:rPr>
          <w:rFonts w:hint="eastAsia" w:ascii="宋体" w:hAnsi="宋体" w:eastAsia="宋体" w:cs="宋体"/>
          <w:b/>
          <w:bCs/>
          <w:sz w:val="24"/>
          <w:szCs w:val="24"/>
          <w:lang w:val="en-US" w:eastAsia="zh-CN"/>
        </w:rPr>
      </w:pPr>
    </w:p>
    <w:p>
      <w:pPr>
        <w:pStyle w:val="28"/>
        <w:rPr>
          <w:rFonts w:hint="eastAsia"/>
          <w:lang w:val="en-US" w:eastAsia="zh-CN"/>
        </w:rPr>
      </w:pPr>
    </w:p>
    <w:p>
      <w:pPr>
        <w:pStyle w:val="27"/>
        <w:spacing w:line="360" w:lineRule="auto"/>
        <w:ind w:firstLine="21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董家路-金西路、国道-童巴线区块</w:t>
      </w:r>
    </w:p>
    <w:p>
      <w:pPr>
        <w:rPr>
          <w:rFonts w:hint="eastAsia" w:ascii="宋体" w:hAnsi="宋体" w:eastAsia="宋体" w:cs="宋体"/>
          <w:lang w:val="en-US" w:eastAsia="zh-CN"/>
        </w:rPr>
      </w:pPr>
    </w:p>
    <w:tbl>
      <w:tblPr>
        <w:tblStyle w:val="64"/>
        <w:tblW w:w="69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
        <w:gridCol w:w="3623"/>
        <w:gridCol w:w="1599"/>
        <w:gridCol w:w="91"/>
        <w:gridCol w:w="1599"/>
        <w:gridCol w:w="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4"/>
                <w:szCs w:val="24"/>
                <w:u w:val="none"/>
                <w:lang w:val="en-US" w:eastAsia="zh-CN" w:bidi="ar"/>
              </w:rPr>
              <w:t>地段名称</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b/>
                <w:bCs/>
                <w:i w:val="0"/>
                <w:iCs w:val="0"/>
                <w:color w:val="000000"/>
                <w:kern w:val="0"/>
                <w:sz w:val="24"/>
                <w:szCs w:val="24"/>
                <w:u w:val="none"/>
                <w:lang w:val="en-US" w:eastAsia="zh-CN" w:bidi="ar"/>
              </w:rPr>
              <w:t>大致</w:t>
            </w:r>
            <w:r>
              <w:rPr>
                <w:rFonts w:hint="eastAsia" w:ascii="宋体" w:hAnsi="宋体" w:eastAsia="宋体" w:cs="宋体"/>
                <w:b/>
                <w:bCs/>
                <w:i w:val="0"/>
                <w:iCs w:val="0"/>
                <w:color w:val="000000"/>
                <w:kern w:val="0"/>
                <w:sz w:val="24"/>
                <w:szCs w:val="24"/>
                <w:u w:val="none"/>
                <w:lang w:val="en-US" w:eastAsia="zh-CN" w:bidi="ar"/>
              </w:rPr>
              <w:t>面积（㎡）</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4"/>
                <w:szCs w:val="24"/>
                <w:u w:val="none"/>
                <w:lang w:val="en-US" w:eastAsia="zh-CN" w:bidi="ar"/>
              </w:rPr>
              <w:t>养护级别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石珠路（梅林路-宝心路）区块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12869</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广丰路区块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10971</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站前广场区块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49362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站前路区块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4596</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梅林路区块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37233</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宝心路区块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8723</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求是路（国道-岩桥路）区块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岩桥路区块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江南养生文化村区块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七里山路（含学校四周）区块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凯旋路区块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金牛村中药基地区块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粉黛乱子基地区块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21242</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城南路（梅林路-宝心路）区块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大青山体公园区块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63200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花园总部区块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3396</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石珠路区块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1800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山体公园、山下绿地区块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10980</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梅林一弄区块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3645"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石珠村口（城南路转入外）区块</w:t>
            </w:r>
          </w:p>
        </w:tc>
        <w:tc>
          <w:tcPr>
            <w:tcW w:w="1690"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620"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3645"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90" w:type="dxa"/>
            <w:gridSpan w:val="2"/>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约281167</w:t>
            </w:r>
          </w:p>
        </w:tc>
        <w:tc>
          <w:tcPr>
            <w:tcW w:w="1620" w:type="dxa"/>
            <w:gridSpan w:val="2"/>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6912" w:type="dxa"/>
            <w:gridSpan w:val="4"/>
            <w:tcBorders>
              <w:top w:val="nil"/>
              <w:left w:val="nil"/>
              <w:bottom w:val="single" w:color="auto" w:sz="4" w:space="0"/>
              <w:right w:val="nil"/>
            </w:tcBorders>
            <w:shd w:val="clear" w:color="auto" w:fill="auto"/>
            <w:noWrap/>
            <w:vAlign w:val="center"/>
          </w:tcPr>
          <w:p>
            <w:pPr>
              <w:jc w:val="center"/>
              <w:rPr>
                <w:rFonts w:hint="eastAsia" w:ascii="宋体" w:hAnsi="宋体" w:eastAsia="宋体" w:cs="宋体"/>
                <w:b/>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45"/>
              <w:rPr>
                <w:rFonts w:hint="eastAsia" w:ascii="宋体" w:hAnsi="宋体" w:eastAsia="宋体" w:cs="宋体"/>
                <w:b/>
                <w:bCs/>
                <w:i w:val="0"/>
                <w:iCs w:val="0"/>
                <w:color w:val="000000"/>
                <w:sz w:val="24"/>
                <w:szCs w:val="24"/>
                <w:u w:val="none"/>
              </w:rPr>
            </w:pPr>
            <w:r>
              <w:rPr>
                <w:rFonts w:hint="eastAsia" w:ascii="宋体" w:hAnsi="宋体" w:eastAsia="宋体" w:cs="宋体"/>
                <w:lang w:val="en-US" w:eastAsia="zh-CN"/>
              </w:rPr>
              <w:t xml:space="preserve">       </w:t>
            </w:r>
            <w:r>
              <w:rPr>
                <w:rFonts w:hint="eastAsia" w:ascii="宋体" w:hAnsi="宋体" w:eastAsia="宋体" w:cs="宋体"/>
                <w:b/>
                <w:bCs/>
                <w:i w:val="0"/>
                <w:iCs w:val="0"/>
                <w:color w:val="000000"/>
                <w:kern w:val="0"/>
                <w:sz w:val="24"/>
                <w:szCs w:val="24"/>
                <w:u w:val="none"/>
                <w:lang w:val="en-US" w:eastAsia="zh-CN" w:bidi="ar"/>
              </w:rPr>
              <w:t>行道树</w:t>
            </w:r>
          </w:p>
        </w:tc>
        <w:tc>
          <w:tcPr>
            <w:tcW w:w="1690"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梅林路区块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城南路（梅林路-宝心路）区块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桑园路（含梅林一弄）区块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宝心路（国道-城南路）区块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岩桥路区块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求是路区块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七里山路区块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石珠路区块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大奇山路（国道-高速桥）区块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金圣路区块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尹家路（含支路）区块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3号路（含江南养生文化村）区块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高荷路区块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童巴线区块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凯旋路区块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明吾路（城南路-下城路出头）区块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洋洲路区块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广丰路区块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站东路区块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站前路区块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站西路区块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金西路区块</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22" w:type="dxa"/>
          <w:wAfter w:w="21" w:type="dxa"/>
          <w:trHeight w:val="500" w:hRule="atLeast"/>
          <w:jc w:val="center"/>
        </w:trPr>
        <w:tc>
          <w:tcPr>
            <w:tcW w:w="52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约</w:t>
            </w:r>
            <w:r>
              <w:rPr>
                <w:rFonts w:hint="eastAsia" w:ascii="宋体" w:hAnsi="宋体" w:eastAsia="宋体" w:cs="宋体"/>
                <w:i w:val="0"/>
                <w:iCs w:val="0"/>
                <w:color w:val="000000"/>
                <w:kern w:val="0"/>
                <w:sz w:val="22"/>
                <w:szCs w:val="22"/>
                <w:u w:val="none"/>
                <w:lang w:val="en-US" w:eastAsia="zh-CN" w:bidi="ar"/>
              </w:rPr>
              <w:t>3909</w:t>
            </w:r>
          </w:p>
        </w:tc>
      </w:tr>
    </w:tbl>
    <w:p>
      <w:pPr>
        <w:pStyle w:val="45"/>
        <w:rPr>
          <w:rFonts w:hint="eastAsia" w:ascii="宋体" w:hAnsi="宋体" w:eastAsia="宋体" w:cs="宋体"/>
          <w:b/>
          <w:bCs/>
          <w:sz w:val="28"/>
          <w:szCs w:val="28"/>
          <w:highlight w:val="yellow"/>
          <w:lang w:val="en-US" w:eastAsia="zh-CN"/>
        </w:rPr>
      </w:pPr>
    </w:p>
    <w:p>
      <w:pPr>
        <w:pStyle w:val="45"/>
        <w:rPr>
          <w:rFonts w:hint="eastAsia" w:ascii="宋体" w:hAnsi="宋体" w:eastAsia="宋体" w:cs="宋体"/>
          <w:b/>
          <w:bCs/>
          <w:sz w:val="28"/>
          <w:szCs w:val="28"/>
          <w:highlight w:val="yellow"/>
          <w:lang w:val="en-US" w:eastAsia="zh-CN"/>
        </w:rPr>
      </w:pPr>
    </w:p>
    <w:p>
      <w:pPr>
        <w:pStyle w:val="45"/>
        <w:rPr>
          <w:rFonts w:hint="eastAsia" w:ascii="宋体" w:hAnsi="宋体" w:eastAsia="宋体" w:cs="宋体"/>
          <w:b/>
          <w:bCs/>
          <w:sz w:val="24"/>
          <w:szCs w:val="24"/>
          <w:highlight w:val="yellow"/>
          <w:lang w:val="en-US" w:eastAsia="zh-CN"/>
        </w:rPr>
      </w:pPr>
    </w:p>
    <w:p>
      <w:pPr>
        <w:pStyle w:val="45"/>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highlight w:val="yellow"/>
          <w:lang w:val="en-US" w:eastAsia="zh-CN"/>
        </w:rPr>
        <w:t>注：</w:t>
      </w:r>
    </w:p>
    <w:p>
      <w:pPr>
        <w:pStyle w:val="45"/>
        <w:rPr>
          <w:rFonts w:hint="default" w:ascii="宋体" w:hAnsi="宋体" w:eastAsia="宋体" w:cs="宋体"/>
          <w:b/>
          <w:bCs/>
          <w:sz w:val="24"/>
          <w:szCs w:val="24"/>
          <w:highlight w:val="yellow"/>
          <w:lang w:val="en-US" w:eastAsia="zh-CN"/>
        </w:rPr>
      </w:pPr>
      <w:r>
        <w:rPr>
          <w:rFonts w:hint="eastAsia" w:ascii="宋体" w:hAnsi="宋体" w:eastAsia="宋体" w:cs="宋体"/>
          <w:b/>
          <w:bCs/>
          <w:sz w:val="24"/>
          <w:szCs w:val="24"/>
          <w:highlight w:val="yellow"/>
          <w:lang w:val="en-US" w:eastAsia="zh-CN"/>
        </w:rPr>
        <w:t>①以上各区块面积以及行道树数量仅供参考，具体以实际面积及数量为准，按实结算。一级养护单价最高限价为11元/㎡/年，二级养护单价最高限价为9元/㎡/年，三级养护单价最高限价为7元/㎡/年，行道树养护单价最高限价为100元/株/年。</w:t>
      </w:r>
    </w:p>
    <w:p>
      <w:pPr>
        <w:pStyle w:val="45"/>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highlight w:val="yellow"/>
          <w:lang w:val="en-US" w:eastAsia="zh-CN"/>
        </w:rPr>
        <w:t>②绿地现状以实际为准（不保活），投标单位中标后需保证区块绿地养护标准达到采购文件要求。</w:t>
      </w:r>
    </w:p>
    <w:p>
      <w:pPr>
        <w:pStyle w:val="45"/>
        <w:rPr>
          <w:rFonts w:hint="default" w:ascii="宋体" w:hAnsi="宋体" w:eastAsia="宋体" w:cs="宋体"/>
          <w:b/>
          <w:bCs/>
          <w:sz w:val="24"/>
          <w:szCs w:val="24"/>
          <w:highlight w:val="yellow"/>
          <w:lang w:val="en-US" w:eastAsia="zh-CN"/>
        </w:rPr>
      </w:pPr>
      <w:r>
        <w:rPr>
          <w:rFonts w:hint="eastAsia" w:ascii="宋体" w:hAnsi="宋体" w:eastAsia="宋体" w:cs="宋体"/>
          <w:b/>
          <w:bCs/>
          <w:sz w:val="24"/>
          <w:szCs w:val="24"/>
          <w:highlight w:val="yellow"/>
          <w:lang w:val="en-US" w:eastAsia="zh-CN"/>
        </w:rPr>
        <w:t>③本项目部分区块[如国道（求实路-马家路）、石珠路、宝兴路等]的部分绿地及行道树若仍在原施工单位质保期的，无需中标单位提供绿化养护服务，对应绿化养护费用将扣回，原质保期结束中标单位提供绿化养护服务后再进行计费。</w:t>
      </w:r>
    </w:p>
    <w:p>
      <w:pPr>
        <w:pStyle w:val="45"/>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highlight w:val="yellow"/>
          <w:lang w:val="en-US" w:eastAsia="zh-CN"/>
        </w:rPr>
        <w:t>④养护期内单标项区块绿地总面积增加或减少1000平方米以内，行道树总数量增加或减少200株以内，结算总价皆不作调整，超过以上标准后按中标单价根据实际增减数量进行调整。</w:t>
      </w:r>
    </w:p>
    <w:p>
      <w:pPr>
        <w:pStyle w:val="45"/>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highlight w:val="yellow"/>
          <w:lang w:val="en-US" w:eastAsia="zh-CN"/>
        </w:rPr>
        <w:t>⑤本项目暂列金</w:t>
      </w:r>
      <w:r>
        <w:rPr>
          <w:rFonts w:hint="eastAsia" w:ascii="宋体" w:hAnsi="宋体" w:cs="宋体"/>
          <w:b/>
          <w:bCs/>
          <w:sz w:val="24"/>
          <w:szCs w:val="24"/>
          <w:highlight w:val="yellow"/>
          <w:lang w:val="en-US" w:eastAsia="zh-CN"/>
        </w:rPr>
        <w:t>100万元</w:t>
      </w:r>
      <w:r>
        <w:rPr>
          <w:rFonts w:hint="eastAsia" w:ascii="宋体" w:hAnsi="宋体" w:eastAsia="宋体" w:cs="宋体"/>
          <w:b/>
          <w:bCs/>
          <w:sz w:val="24"/>
          <w:szCs w:val="24"/>
          <w:highlight w:val="yellow"/>
          <w:lang w:val="en-US" w:eastAsia="zh-CN"/>
        </w:rPr>
        <w:t>为招标单位预防风险准备（移树、补苗等工作），最终是否结算按实际发生并以招标单位签证单为准。</w:t>
      </w:r>
    </w:p>
    <w:p>
      <w:pPr>
        <w:pStyle w:val="45"/>
        <w:rPr>
          <w:rFonts w:hint="eastAsia" w:ascii="宋体" w:hAnsi="宋体" w:eastAsia="宋体" w:cs="宋体"/>
          <w:b/>
          <w:bCs/>
          <w:sz w:val="24"/>
          <w:szCs w:val="24"/>
          <w:highlight w:val="yellow"/>
          <w:lang w:val="en-US" w:eastAsia="zh-CN"/>
        </w:rPr>
      </w:pPr>
      <w:r>
        <w:rPr>
          <w:rFonts w:hint="eastAsia" w:ascii="宋体" w:hAnsi="宋体" w:eastAsia="宋体" w:cs="宋体"/>
          <w:b/>
          <w:bCs/>
          <w:sz w:val="24"/>
          <w:szCs w:val="24"/>
          <w:highlight w:val="yellow"/>
          <w:lang w:val="en-US" w:eastAsia="zh-CN"/>
        </w:rPr>
        <w:t>投标单位自行探勘现场考虑上述风险进行报价。</w:t>
      </w:r>
      <w:bookmarkStart w:id="25" w:name="_Toc73549079"/>
      <w:bookmarkStart w:id="26" w:name="_Toc73549139"/>
      <w:bookmarkStart w:id="27" w:name="_Toc73457986"/>
    </w:p>
    <w:p>
      <w:pPr>
        <w:pStyle w:val="45"/>
        <w:rPr>
          <w:rFonts w:hint="eastAsia" w:ascii="宋体" w:hAnsi="宋体" w:eastAsia="宋体" w:cs="宋体"/>
          <w:b/>
          <w:sz w:val="24"/>
          <w:szCs w:val="24"/>
        </w:rPr>
      </w:pPr>
      <w:r>
        <w:rPr>
          <w:rFonts w:hint="eastAsia" w:ascii="宋体" w:hAnsi="宋体" w:eastAsia="宋体" w:cs="宋体"/>
          <w:b/>
          <w:sz w:val="24"/>
          <w:szCs w:val="24"/>
        </w:rPr>
        <w:t>2、养护标准</w:t>
      </w:r>
      <w:bookmarkEnd w:id="25"/>
      <w:bookmarkEnd w:id="26"/>
      <w:bookmarkEnd w:id="27"/>
    </w:p>
    <w:p>
      <w:pPr>
        <w:snapToGrid w:val="0"/>
        <w:spacing w:line="360" w:lineRule="auto"/>
        <w:rPr>
          <w:rFonts w:hint="eastAsia" w:ascii="宋体" w:hAnsi="宋体" w:eastAsia="宋体" w:cs="宋体"/>
          <w:sz w:val="24"/>
          <w:szCs w:val="24"/>
        </w:rPr>
      </w:pPr>
      <w:bookmarkStart w:id="28" w:name="_Toc72322590"/>
      <w:bookmarkStart w:id="29" w:name="_Toc73457987"/>
      <w:r>
        <w:rPr>
          <w:rFonts w:hint="eastAsia" w:ascii="宋体" w:hAnsi="宋体" w:eastAsia="宋体" w:cs="宋体"/>
          <w:sz w:val="24"/>
          <w:szCs w:val="24"/>
        </w:rPr>
        <w:t>2.1各级树木养护标准</w:t>
      </w:r>
      <w:bookmarkEnd w:id="28"/>
      <w:bookmarkEnd w:id="29"/>
    </w:p>
    <w:tbl>
      <w:tblPr>
        <w:tblStyle w:val="64"/>
        <w:tblpPr w:leftFromText="180" w:rightFromText="180" w:vertAnchor="text" w:tblpX="-274" w:tblpY="1"/>
        <w:tblOverlap w:val="never"/>
        <w:tblW w:w="1038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4"/>
        <w:gridCol w:w="2513"/>
        <w:gridCol w:w="2691"/>
        <w:gridCol w:w="3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tblCellSpacing w:w="0" w:type="dxa"/>
        </w:trPr>
        <w:tc>
          <w:tcPr>
            <w:tcW w:w="1904" w:type="dxa"/>
          </w:tcPr>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735965" cy="897255"/>
                      <wp:effectExtent l="3810" t="3175" r="22225" b="13970"/>
                      <wp:wrapNone/>
                      <wp:docPr id="3" name="直线 4"/>
                      <wp:cNvGraphicFramePr/>
                      <a:graphic xmlns:a="http://schemas.openxmlformats.org/drawingml/2006/main">
                        <a:graphicData uri="http://schemas.microsoft.com/office/word/2010/wordprocessingShape">
                          <wps:wsp>
                            <wps:cNvCnPr/>
                            <wps:spPr>
                              <a:xfrm flipH="1" flipV="1">
                                <a:off x="0" y="0"/>
                                <a:ext cx="735965" cy="8972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x y;margin-left:0pt;margin-top:0.8pt;height:70.65pt;width:57.95pt;z-index:251659264;mso-width-relative:page;mso-height-relative:page;" filled="f" stroked="t" coordsize="21600,21600" o:gfxdata="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3aos9IAAAAGAQAADwAAAAAAAAABACAAAAAiAAAAZHJzL2Rvd25yZXYueG1sUEsBAhQA&#10;FAAAAAgAh07iQKxQhr74AQAA8wMAAA4AAAAAAAAAAQAgAAAAIQEAAGRycy9lMm9Eb2MueG1sUEsF&#10;BgAAAAAGAAYAWQEAAIsFAAAAAA==&#10;">
                      <v:fill on="f" focussize="0,0"/>
                      <v:stroke color="#000000" joinstyle="round"/>
                      <v:imagedata o:title=""/>
                      <o:lock v:ext="edit" aspectratio="f"/>
                    </v:line>
                  </w:pict>
                </mc:Fallback>
              </mc:AlternateContent>
            </w:r>
            <w:r>
              <w:rPr>
                <w:rFonts w:hint="eastAsia" w:ascii="宋体" w:hAnsi="宋体" w:eastAsia="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1212215" cy="519430"/>
                      <wp:effectExtent l="1905" t="4445" r="5080" b="9525"/>
                      <wp:wrapNone/>
                      <wp:docPr id="4" name="直线 5"/>
                      <wp:cNvGraphicFramePr/>
                      <a:graphic xmlns:a="http://schemas.openxmlformats.org/drawingml/2006/main">
                        <a:graphicData uri="http://schemas.microsoft.com/office/word/2010/wordprocessingShape">
                          <wps:wsp>
                            <wps:cNvCnPr/>
                            <wps:spPr>
                              <a:xfrm>
                                <a:off x="0" y="0"/>
                                <a:ext cx="1212215" cy="5194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0.55pt;height:40.9pt;width:95.45pt;z-index:251660288;mso-width-relative:page;mso-height-relative:page;" filled="f" stroked="t" coordsize="21600,21600" o:gfxdata="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aq1M7T&#10;AAAABQEAAA8AAAAAAAAAAQAgAAAAIgAAAGRycy9kb3ducmV2LnhtbFBLAQIUABQAAAAIAIdO4kCY&#10;6OVU7AEAAOADAAAOAAAAAAAAAAEAIAAAACIBAABkcnMvZTJvRG9jLnhtbFBLBQYAAAAABgAGAFkB&#10;AACABQAAAAA=&#10;">
                      <v:fill on="f" focussize="0,0"/>
                      <v:stroke color="#000000" joinstyle="round"/>
                      <v:imagedata o:title=""/>
                      <o:lock v:ext="edit" aspectratio="f"/>
                    </v:line>
                  </w:pict>
                </mc:Fallback>
              </mc:AlternateContent>
            </w:r>
            <w:r>
              <w:rPr>
                <w:rFonts w:hint="eastAsia" w:ascii="宋体" w:hAnsi="宋体" w:eastAsia="宋体" w:cs="宋体"/>
                <w:sz w:val="24"/>
                <w:szCs w:val="24"/>
              </w:rPr>
              <w:t>   分级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标准</w:t>
            </w:r>
          </w:p>
          <w:p>
            <w:pPr>
              <w:spacing w:line="360" w:lineRule="auto"/>
              <w:rPr>
                <w:rFonts w:hint="eastAsia" w:ascii="宋体" w:hAnsi="宋体" w:eastAsia="宋体" w:cs="宋体"/>
                <w:sz w:val="24"/>
                <w:szCs w:val="24"/>
              </w:rPr>
            </w:pPr>
            <w:r>
              <w:rPr>
                <w:rFonts w:hint="eastAsia" w:ascii="宋体" w:hAnsi="宋体" w:eastAsia="宋体" w:cs="宋体"/>
                <w:sz w:val="24"/>
                <w:szCs w:val="24"/>
              </w:rPr>
              <w:t>类别</w:t>
            </w:r>
          </w:p>
        </w:tc>
        <w:tc>
          <w:tcPr>
            <w:tcW w:w="251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一级标准</w:t>
            </w:r>
          </w:p>
        </w:tc>
        <w:tc>
          <w:tcPr>
            <w:tcW w:w="269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二级标准</w:t>
            </w:r>
          </w:p>
        </w:tc>
        <w:tc>
          <w:tcPr>
            <w:tcW w:w="327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生长势</w:t>
            </w:r>
          </w:p>
        </w:tc>
        <w:tc>
          <w:tcPr>
            <w:tcW w:w="2513"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好</w:t>
            </w:r>
          </w:p>
        </w:tc>
        <w:tc>
          <w:tcPr>
            <w:tcW w:w="269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正常</w:t>
            </w:r>
          </w:p>
        </w:tc>
        <w:tc>
          <w:tcPr>
            <w:tcW w:w="327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基本正常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叶片</w:t>
            </w:r>
          </w:p>
        </w:tc>
        <w:tc>
          <w:tcPr>
            <w:tcW w:w="2513" w:type="dxa"/>
            <w:vAlign w:val="center"/>
          </w:tcPr>
          <w:p>
            <w:pPr>
              <w:rPr>
                <w:rFonts w:hint="eastAsia" w:ascii="宋体" w:hAnsi="宋体" w:eastAsia="宋体" w:cs="宋体"/>
                <w:sz w:val="24"/>
                <w:szCs w:val="24"/>
              </w:rPr>
            </w:pPr>
            <w:r>
              <w:rPr>
                <w:rFonts w:hint="eastAsia" w:ascii="宋体" w:hAnsi="宋体" w:eastAsia="宋体" w:cs="宋体"/>
                <w:sz w:val="24"/>
                <w:szCs w:val="24"/>
              </w:rPr>
              <w:t>健壮，在正常条件下不黄叶，不焦叶，不卷叶，不落叶。</w:t>
            </w:r>
          </w:p>
        </w:tc>
        <w:tc>
          <w:tcPr>
            <w:tcW w:w="2691" w:type="dxa"/>
            <w:vAlign w:val="center"/>
          </w:tcPr>
          <w:p>
            <w:pPr>
              <w:rPr>
                <w:rFonts w:hint="eastAsia" w:ascii="宋体" w:hAnsi="宋体" w:eastAsia="宋体" w:cs="宋体"/>
                <w:sz w:val="24"/>
                <w:szCs w:val="24"/>
              </w:rPr>
            </w:pPr>
            <w:r>
              <w:rPr>
                <w:rFonts w:hint="eastAsia" w:ascii="宋体" w:hAnsi="宋体" w:eastAsia="宋体" w:cs="宋体"/>
                <w:sz w:val="24"/>
                <w:szCs w:val="24"/>
              </w:rPr>
              <w:t>正常，较严重黄叶，焦叶，卷叶的株数在2%以下。</w:t>
            </w:r>
          </w:p>
        </w:tc>
        <w:tc>
          <w:tcPr>
            <w:tcW w:w="3272" w:type="dxa"/>
            <w:vAlign w:val="center"/>
          </w:tcPr>
          <w:p>
            <w:pPr>
              <w:rPr>
                <w:rFonts w:hint="eastAsia" w:ascii="宋体" w:hAnsi="宋体" w:eastAsia="宋体" w:cs="宋体"/>
                <w:sz w:val="24"/>
                <w:szCs w:val="24"/>
              </w:rPr>
            </w:pPr>
            <w:r>
              <w:rPr>
                <w:rFonts w:hint="eastAsia" w:ascii="宋体" w:hAnsi="宋体" w:eastAsia="宋体" w:cs="宋体"/>
                <w:sz w:val="24"/>
                <w:szCs w:val="24"/>
              </w:rPr>
              <w:t>基本正常，较严重黄叶，焦叶，卷叶的株数在10%以下。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枝干</w:t>
            </w:r>
          </w:p>
        </w:tc>
        <w:tc>
          <w:tcPr>
            <w:tcW w:w="2513" w:type="dxa"/>
            <w:vAlign w:val="center"/>
          </w:tcPr>
          <w:p>
            <w:pPr>
              <w:rPr>
                <w:rFonts w:hint="eastAsia" w:ascii="宋体" w:hAnsi="宋体" w:eastAsia="宋体" w:cs="宋体"/>
                <w:sz w:val="24"/>
                <w:szCs w:val="24"/>
              </w:rPr>
            </w:pPr>
            <w:r>
              <w:rPr>
                <w:rFonts w:hint="eastAsia" w:ascii="宋体" w:hAnsi="宋体" w:eastAsia="宋体" w:cs="宋体"/>
                <w:sz w:val="24"/>
                <w:szCs w:val="24"/>
              </w:rPr>
              <w:t>健壮，无明显枯枝死杈。</w:t>
            </w:r>
          </w:p>
        </w:tc>
        <w:tc>
          <w:tcPr>
            <w:tcW w:w="2691" w:type="dxa"/>
            <w:vAlign w:val="center"/>
          </w:tcPr>
          <w:p>
            <w:pPr>
              <w:rPr>
                <w:rFonts w:hint="eastAsia" w:ascii="宋体" w:hAnsi="宋体" w:eastAsia="宋体" w:cs="宋体"/>
                <w:sz w:val="24"/>
                <w:szCs w:val="24"/>
              </w:rPr>
            </w:pPr>
            <w:r>
              <w:rPr>
                <w:rFonts w:hint="eastAsia" w:ascii="宋体" w:hAnsi="宋体" w:eastAsia="宋体" w:cs="宋体"/>
                <w:sz w:val="24"/>
                <w:szCs w:val="24"/>
              </w:rPr>
              <w:t>正常，无明显枯枝死杈。</w:t>
            </w:r>
          </w:p>
        </w:tc>
        <w:tc>
          <w:tcPr>
            <w:tcW w:w="3272" w:type="dxa"/>
            <w:vAlign w:val="center"/>
          </w:tcPr>
          <w:p>
            <w:pPr>
              <w:rPr>
                <w:rFonts w:hint="eastAsia" w:ascii="宋体" w:hAnsi="宋体" w:eastAsia="宋体" w:cs="宋体"/>
                <w:sz w:val="24"/>
                <w:szCs w:val="24"/>
              </w:rPr>
            </w:pPr>
            <w:r>
              <w:rPr>
                <w:rFonts w:hint="eastAsia" w:ascii="宋体" w:hAnsi="宋体" w:eastAsia="宋体" w:cs="宋体"/>
                <w:sz w:val="24"/>
                <w:szCs w:val="24"/>
              </w:rPr>
              <w:t>基本正常。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树冠</w:t>
            </w:r>
          </w:p>
        </w:tc>
        <w:tc>
          <w:tcPr>
            <w:tcW w:w="2513" w:type="dxa"/>
            <w:vAlign w:val="center"/>
          </w:tcPr>
          <w:p>
            <w:pPr>
              <w:rPr>
                <w:rFonts w:hint="eastAsia" w:ascii="宋体" w:hAnsi="宋体" w:eastAsia="宋体" w:cs="宋体"/>
                <w:sz w:val="24"/>
                <w:szCs w:val="24"/>
              </w:rPr>
            </w:pPr>
            <w:r>
              <w:rPr>
                <w:rFonts w:hint="eastAsia" w:ascii="宋体" w:hAnsi="宋体" w:eastAsia="宋体" w:cs="宋体"/>
                <w:sz w:val="24"/>
                <w:szCs w:val="24"/>
              </w:rPr>
              <w:t>完整美观，分枝点合适。内膛不乱，通风透光。</w:t>
            </w:r>
          </w:p>
        </w:tc>
        <w:tc>
          <w:tcPr>
            <w:tcW w:w="2691" w:type="dxa"/>
            <w:vAlign w:val="center"/>
          </w:tcPr>
          <w:p>
            <w:pPr>
              <w:rPr>
                <w:rFonts w:hint="eastAsia" w:ascii="宋体" w:hAnsi="宋体" w:eastAsia="宋体" w:cs="宋体"/>
                <w:sz w:val="24"/>
                <w:szCs w:val="24"/>
              </w:rPr>
            </w:pPr>
            <w:r>
              <w:rPr>
                <w:rFonts w:hint="eastAsia" w:ascii="宋体" w:hAnsi="宋体" w:eastAsia="宋体" w:cs="宋体"/>
                <w:sz w:val="24"/>
                <w:szCs w:val="24"/>
              </w:rPr>
              <w:t>基本完整，主侧枝分布均匀，通风透光。</w:t>
            </w:r>
          </w:p>
        </w:tc>
        <w:tc>
          <w:tcPr>
            <w:tcW w:w="3272" w:type="dxa"/>
            <w:vAlign w:val="center"/>
          </w:tcPr>
          <w:p>
            <w:pPr>
              <w:rPr>
                <w:rFonts w:hint="eastAsia" w:ascii="宋体" w:hAnsi="宋体" w:eastAsia="宋体" w:cs="宋体"/>
                <w:sz w:val="24"/>
                <w:szCs w:val="24"/>
              </w:rPr>
            </w:pPr>
            <w:r>
              <w:rPr>
                <w:rFonts w:hint="eastAsia" w:ascii="宋体" w:hAnsi="宋体" w:eastAsia="宋体" w:cs="宋体"/>
                <w:sz w:val="24"/>
                <w:szCs w:val="24"/>
              </w:rPr>
              <w:t>90%以上的树冠基本完整，有绿化效果。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病虫害控制</w:t>
            </w:r>
          </w:p>
        </w:tc>
        <w:tc>
          <w:tcPr>
            <w:tcW w:w="2513" w:type="dxa"/>
            <w:vAlign w:val="center"/>
          </w:tcPr>
          <w:p>
            <w:pPr>
              <w:rPr>
                <w:rFonts w:hint="eastAsia" w:ascii="宋体" w:hAnsi="宋体" w:eastAsia="宋体" w:cs="宋体"/>
                <w:sz w:val="24"/>
                <w:szCs w:val="24"/>
              </w:rPr>
            </w:pPr>
            <w:r>
              <w:rPr>
                <w:rFonts w:hint="eastAsia" w:ascii="宋体" w:hAnsi="宋体" w:eastAsia="宋体" w:cs="宋体"/>
                <w:sz w:val="24"/>
                <w:szCs w:val="24"/>
              </w:rPr>
              <w:t>基本无病虫害危害。食叶害虫危害的叶片每株不超过5%，刺吸性害虫危害的叶片每株不超过10%，无蛀干性害虫的活虫，活卵。</w:t>
            </w:r>
          </w:p>
        </w:tc>
        <w:tc>
          <w:tcPr>
            <w:tcW w:w="2691" w:type="dxa"/>
            <w:vAlign w:val="center"/>
          </w:tcPr>
          <w:p>
            <w:pPr>
              <w:rPr>
                <w:rFonts w:hint="eastAsia" w:ascii="宋体" w:hAnsi="宋体" w:eastAsia="宋体" w:cs="宋体"/>
                <w:sz w:val="24"/>
                <w:szCs w:val="24"/>
              </w:rPr>
            </w:pPr>
            <w:r>
              <w:rPr>
                <w:rFonts w:hint="eastAsia" w:ascii="宋体" w:hAnsi="宋体" w:eastAsia="宋体" w:cs="宋体"/>
                <w:sz w:val="24"/>
                <w:szCs w:val="24"/>
              </w:rPr>
              <w:t>病虫害危害未达到明显程度。食叶害虫危害的叶片每株不超过10%，刺吸性害虫危害的叶片每株不超过15%，蛀干性害虫危害的株数在2%以下。</w:t>
            </w:r>
          </w:p>
        </w:tc>
        <w:tc>
          <w:tcPr>
            <w:tcW w:w="3272" w:type="dxa"/>
            <w:vAlign w:val="center"/>
          </w:tcPr>
          <w:p>
            <w:pPr>
              <w:rPr>
                <w:rFonts w:hint="eastAsia" w:ascii="宋体" w:hAnsi="宋体" w:eastAsia="宋体" w:cs="宋体"/>
                <w:sz w:val="24"/>
                <w:szCs w:val="24"/>
              </w:rPr>
            </w:pPr>
            <w:r>
              <w:rPr>
                <w:rFonts w:hint="eastAsia" w:ascii="宋体" w:hAnsi="宋体" w:eastAsia="宋体" w:cs="宋体"/>
                <w:sz w:val="24"/>
                <w:szCs w:val="24"/>
              </w:rPr>
              <w:t>有病虫害控制措施。食叶害虫危害的叶片每株不超过20%，刺吸性害虫危害的叶片每株不超过25%，蛀干性害虫危害的株数在5%以下。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90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树穴</w:t>
            </w:r>
          </w:p>
        </w:tc>
        <w:tc>
          <w:tcPr>
            <w:tcW w:w="2513" w:type="dxa"/>
            <w:vAlign w:val="center"/>
          </w:tcPr>
          <w:p>
            <w:pPr>
              <w:rPr>
                <w:rFonts w:hint="eastAsia" w:ascii="宋体" w:hAnsi="宋体" w:eastAsia="宋体" w:cs="宋体"/>
                <w:sz w:val="24"/>
                <w:szCs w:val="24"/>
              </w:rPr>
            </w:pPr>
            <w:r>
              <w:rPr>
                <w:rFonts w:hint="eastAsia" w:ascii="宋体" w:hAnsi="宋体" w:eastAsia="宋体" w:cs="宋体"/>
                <w:sz w:val="24"/>
                <w:szCs w:val="24"/>
              </w:rPr>
              <w:t>有侧石，有平整盖板或种植地被植物，黄土不裸露。</w:t>
            </w:r>
          </w:p>
        </w:tc>
        <w:tc>
          <w:tcPr>
            <w:tcW w:w="2691" w:type="dxa"/>
            <w:vAlign w:val="center"/>
          </w:tcPr>
          <w:p>
            <w:pPr>
              <w:rPr>
                <w:rFonts w:hint="eastAsia" w:ascii="宋体" w:hAnsi="宋体" w:eastAsia="宋体" w:cs="宋体"/>
                <w:sz w:val="24"/>
                <w:szCs w:val="24"/>
              </w:rPr>
            </w:pPr>
            <w:r>
              <w:rPr>
                <w:rFonts w:hint="eastAsia" w:ascii="宋体" w:hAnsi="宋体" w:eastAsia="宋体" w:cs="宋体"/>
                <w:sz w:val="24"/>
                <w:szCs w:val="24"/>
              </w:rPr>
              <w:t>有平整盖板或种植地被植物，黄土不裸露。</w:t>
            </w:r>
          </w:p>
        </w:tc>
        <w:tc>
          <w:tcPr>
            <w:tcW w:w="3272" w:type="dxa"/>
            <w:vAlign w:val="center"/>
          </w:tcPr>
          <w:p>
            <w:pPr>
              <w:rPr>
                <w:rFonts w:hint="eastAsia" w:ascii="宋体" w:hAnsi="宋体" w:eastAsia="宋体" w:cs="宋体"/>
                <w:sz w:val="24"/>
                <w:szCs w:val="24"/>
              </w:rPr>
            </w:pPr>
            <w:r>
              <w:rPr>
                <w:rFonts w:hint="eastAsia" w:ascii="宋体" w:hAnsi="宋体" w:eastAsia="宋体" w:cs="宋体"/>
                <w:sz w:val="24"/>
                <w:szCs w:val="24"/>
              </w:rPr>
              <w:t>有较完整的覆盖。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904" w:type="dxa"/>
            <w:vAlign w:val="center"/>
          </w:tcPr>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其他</w:t>
            </w:r>
          </w:p>
        </w:tc>
        <w:tc>
          <w:tcPr>
            <w:tcW w:w="2513" w:type="dxa"/>
            <w:vAlign w:val="center"/>
          </w:tcPr>
          <w:p>
            <w:pPr>
              <w:rPr>
                <w:rFonts w:hint="eastAsia" w:ascii="宋体" w:hAnsi="宋体" w:eastAsia="宋体" w:cs="宋体"/>
                <w:sz w:val="24"/>
                <w:szCs w:val="24"/>
              </w:rPr>
            </w:pPr>
            <w:r>
              <w:rPr>
                <w:rFonts w:hint="eastAsia" w:ascii="宋体" w:hAnsi="宋体" w:eastAsia="宋体" w:cs="宋体"/>
                <w:sz w:val="24"/>
                <w:szCs w:val="24"/>
              </w:rPr>
              <w:t>无断桩，坏桩，桩位扎缚规范。有应急措施。</w:t>
            </w:r>
          </w:p>
        </w:tc>
        <w:tc>
          <w:tcPr>
            <w:tcW w:w="2691" w:type="dxa"/>
            <w:vAlign w:val="center"/>
          </w:tcPr>
          <w:p>
            <w:pPr>
              <w:rPr>
                <w:rFonts w:hint="eastAsia" w:ascii="宋体" w:hAnsi="宋体" w:eastAsia="宋体" w:cs="宋体"/>
                <w:sz w:val="24"/>
                <w:szCs w:val="24"/>
              </w:rPr>
            </w:pPr>
            <w:r>
              <w:rPr>
                <w:rFonts w:hint="eastAsia" w:ascii="宋体" w:hAnsi="宋体" w:eastAsia="宋体" w:cs="宋体"/>
                <w:sz w:val="24"/>
                <w:szCs w:val="24"/>
              </w:rPr>
              <w:t>基本无断桩，坏桩，桩位扎缚有效。有一定的应急措施。</w:t>
            </w:r>
          </w:p>
        </w:tc>
        <w:tc>
          <w:tcPr>
            <w:tcW w:w="3272" w:type="dxa"/>
            <w:vAlign w:val="center"/>
          </w:tcPr>
          <w:p>
            <w:pPr>
              <w:rPr>
                <w:rFonts w:hint="eastAsia" w:ascii="宋体" w:hAnsi="宋体" w:eastAsia="宋体" w:cs="宋体"/>
                <w:sz w:val="24"/>
                <w:szCs w:val="24"/>
              </w:rPr>
            </w:pPr>
            <w:r>
              <w:rPr>
                <w:rFonts w:hint="eastAsia" w:ascii="宋体" w:hAnsi="宋体" w:eastAsia="宋体" w:cs="宋体"/>
                <w:sz w:val="24"/>
                <w:szCs w:val="24"/>
              </w:rPr>
              <w:t>有一定的应急措施。</w:t>
            </w:r>
          </w:p>
        </w:tc>
      </w:tr>
    </w:tbl>
    <w:p>
      <w:pPr>
        <w:snapToGrid w:val="0"/>
        <w:spacing w:line="360" w:lineRule="auto"/>
        <w:rPr>
          <w:rFonts w:hint="eastAsia" w:ascii="宋体" w:hAnsi="宋体" w:eastAsia="宋体" w:cs="宋体"/>
          <w:sz w:val="24"/>
          <w:szCs w:val="24"/>
        </w:rPr>
      </w:pPr>
      <w:bookmarkStart w:id="30" w:name="_Toc73457988"/>
      <w:bookmarkStart w:id="31" w:name="_Toc72322591"/>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2.2各级绿地养护标准</w:t>
      </w:r>
      <w:bookmarkEnd w:id="30"/>
      <w:bookmarkEnd w:id="31"/>
    </w:p>
    <w:p>
      <w:pPr>
        <w:snapToGrid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（1）一级绿地养护标准：</w:t>
      </w:r>
      <w:r>
        <w:rPr>
          <w:rFonts w:hint="eastAsia" w:ascii="宋体" w:hAnsi="宋体" w:eastAsia="宋体" w:cs="宋体"/>
          <w:sz w:val="24"/>
          <w:szCs w:val="24"/>
        </w:rPr>
        <w:t>①植物长势旺盛、树形完美，植株保存率100%，体现景观特色；徒长枝不超过20 cm；色块无窜条（高度大于15 cm）；草坪覆盖率100%，无杂草，定期修剪，草高不得超过8cm，常绿草高不得超过6cm，生长季节不枯黄。②一年施肥不得少于2次，有机肥0.5㎏/㎡、进口复合肥0.075㎏/㎡。③食叶害虫危害的叶片每株（㎡）发生率不超过5%，刺吸性害虫危害的叶片每株（㎡）发生率不超过10%，无蛀干性害虫的活虫、活卵。④绿化设施修缮一年不得少于一次。⑤绿地垃圾15分钟内清理完毕。</w:t>
      </w:r>
    </w:p>
    <w:p>
      <w:pPr>
        <w:snapToGrid w:val="0"/>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（2）二级绿地养护标准：</w:t>
      </w:r>
      <w:r>
        <w:rPr>
          <w:rFonts w:hint="eastAsia" w:ascii="宋体" w:hAnsi="宋体" w:eastAsia="宋体" w:cs="宋体"/>
          <w:sz w:val="24"/>
          <w:szCs w:val="24"/>
        </w:rPr>
        <w:t>①植物生长势好，树形良好，黄叶、焦叶、卷叶的株数在2%以下，植株保存率100%，体现植物造景；徒长枝不超过20 cm；色块无窜条（高度大于20 cm）；草坪覆盖率大于95%，无大型和缠绕性、攀缘性杂草，零星区域的杂草控制在5cm以下，中心区不得有空秃现象、草高不得超过8cm，常绿草高不得超过6cm。②一年施肥不得少于2次，有机肥0.45㎏/㎡、进口复合肥0.065㎏/㎡。③食叶害虫危害的叶片每株（㎡）发生率不超过10%，刺吸性害虫危害的叶片每株（㎡）发生率不超过15%，蛀干性害虫危害的株数（㎡）在2%以下。④绿化设施修缮一年不得少于一次。⑤绿地垃圾0.5小时内清理完毕。</w:t>
      </w:r>
    </w:p>
    <w:p>
      <w:pPr>
        <w:snapToGrid w:val="0"/>
        <w:spacing w:line="360" w:lineRule="auto"/>
        <w:rPr>
          <w:rFonts w:hint="eastAsia" w:ascii="宋体" w:hAnsi="宋体" w:eastAsia="宋体" w:cs="宋体"/>
          <w:sz w:val="24"/>
          <w:szCs w:val="24"/>
        </w:rPr>
      </w:pPr>
      <w:r>
        <w:rPr>
          <w:rFonts w:hint="eastAsia" w:ascii="宋体" w:hAnsi="宋体" w:eastAsia="宋体" w:cs="宋体"/>
          <w:b/>
          <w:bCs/>
          <w:sz w:val="24"/>
          <w:szCs w:val="24"/>
        </w:rPr>
        <w:t xml:space="preserve">    （3）三级绿地养护标准：</w:t>
      </w:r>
      <w:r>
        <w:rPr>
          <w:rFonts w:hint="eastAsia" w:ascii="宋体" w:hAnsi="宋体" w:eastAsia="宋体" w:cs="宋体"/>
          <w:sz w:val="24"/>
          <w:szCs w:val="24"/>
        </w:rPr>
        <w:t>①植物生长势一般，黄叶、焦叶、卷叶的株数在10%以下，植株保存率不得少于98%；徒长枝不超过30 cm；色块无窜条（高度大于30 cm）；草坪覆盖率大于90%，无藤类杂草及大型杂草，中心区不得有空秃现象，草高不得超过10cm。②一年施肥不得少于2次，有机肥0.45㎏/㎡、进口复合肥0.060㎏/㎡。③食叶害虫危害的叶片每株（㎡）发生率不超过20%，刺吸性害虫危害的叶片每株（㎡）发生率不超过25%，蛀干性害虫危害的株（㎡）数在5%以下。④绿化设施修缮两年不得少于一次。⑤绿地垃圾1小时内清理完毕。</w:t>
      </w:r>
    </w:p>
    <w:p>
      <w:pPr>
        <w:snapToGrid w:val="0"/>
        <w:spacing w:line="360" w:lineRule="auto"/>
        <w:rPr>
          <w:rFonts w:hint="eastAsia" w:ascii="宋体" w:hAnsi="宋体" w:eastAsia="宋体" w:cs="宋体"/>
          <w:b/>
          <w:bCs/>
          <w:sz w:val="24"/>
          <w:szCs w:val="24"/>
        </w:rPr>
      </w:pPr>
      <w:bookmarkStart w:id="32" w:name="_Toc73549140"/>
      <w:bookmarkStart w:id="33" w:name="_Toc73549080"/>
      <w:bookmarkStart w:id="34" w:name="_Toc73457989"/>
      <w:bookmarkStart w:id="35" w:name="_Toc72322592"/>
      <w:r>
        <w:rPr>
          <w:rFonts w:hint="eastAsia" w:ascii="宋体" w:hAnsi="宋体" w:eastAsia="宋体" w:cs="宋体"/>
          <w:b/>
          <w:bCs/>
          <w:sz w:val="24"/>
          <w:szCs w:val="24"/>
        </w:rPr>
        <w:t>3、主要工作内容</w:t>
      </w:r>
      <w:bookmarkEnd w:id="32"/>
      <w:bookmarkEnd w:id="33"/>
      <w:bookmarkEnd w:id="34"/>
      <w:bookmarkEnd w:id="35"/>
    </w:p>
    <w:p>
      <w:pPr>
        <w:snapToGrid w:val="0"/>
        <w:spacing w:line="360" w:lineRule="auto"/>
        <w:rPr>
          <w:rFonts w:hint="eastAsia" w:ascii="宋体" w:hAnsi="宋体" w:eastAsia="宋体" w:cs="宋体"/>
          <w:bCs/>
          <w:sz w:val="24"/>
          <w:szCs w:val="24"/>
        </w:rPr>
      </w:pPr>
      <w:r>
        <w:rPr>
          <w:rFonts w:hint="eastAsia" w:ascii="宋体" w:hAnsi="宋体" w:eastAsia="宋体" w:cs="宋体"/>
          <w:sz w:val="24"/>
          <w:szCs w:val="24"/>
        </w:rPr>
        <w:t xml:space="preserve">  3.1</w:t>
      </w:r>
      <w:r>
        <w:rPr>
          <w:rFonts w:hint="eastAsia" w:ascii="宋体" w:hAnsi="宋体" w:eastAsia="宋体" w:cs="宋体"/>
          <w:bCs/>
          <w:sz w:val="24"/>
          <w:szCs w:val="24"/>
        </w:rPr>
        <w:t>日常养护。包括施肥、</w:t>
      </w:r>
      <w:r>
        <w:rPr>
          <w:rFonts w:hint="eastAsia" w:ascii="宋体" w:hAnsi="宋体" w:eastAsia="宋体" w:cs="宋体"/>
          <w:bCs/>
          <w:sz w:val="24"/>
          <w:szCs w:val="24"/>
          <w:lang w:val="en-US" w:eastAsia="zh-CN"/>
        </w:rPr>
        <w:t>撒农药、</w:t>
      </w:r>
      <w:r>
        <w:rPr>
          <w:rFonts w:hint="eastAsia" w:ascii="宋体" w:hAnsi="宋体" w:eastAsia="宋体" w:cs="宋体"/>
          <w:bCs/>
          <w:sz w:val="24"/>
          <w:szCs w:val="24"/>
        </w:rPr>
        <w:t>松土、</w:t>
      </w:r>
      <w:r>
        <w:rPr>
          <w:rFonts w:hint="eastAsia" w:ascii="宋体" w:hAnsi="宋体" w:eastAsia="宋体" w:cs="宋体"/>
          <w:bCs/>
          <w:sz w:val="24"/>
          <w:szCs w:val="24"/>
          <w:lang w:val="en-US" w:eastAsia="zh-CN"/>
        </w:rPr>
        <w:t>播草籽、</w:t>
      </w:r>
      <w:r>
        <w:rPr>
          <w:rFonts w:hint="eastAsia" w:ascii="宋体" w:hAnsi="宋体" w:eastAsia="宋体" w:cs="宋体"/>
          <w:bCs/>
          <w:sz w:val="24"/>
          <w:szCs w:val="24"/>
        </w:rPr>
        <w:t>浇水、修剪、绿地保洁、除草、绿化补种、刷白、绿化除尘、病虫害防治等。</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3.2绿地保洁。包括绿地内绿地保洁、水体保洁。垃圾清理每天不少于一次。绿植修剪后应及时清理。</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3.3设施维修保养。包括绿地内的坐凳、廊架、护栏、花箱等相关设施的日常保养、维修和保洁。设施保洁每周不少于一次。</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3.4日常巡查。包括每天对绿地至少巡查一次，确保绿地完好不缺失、没有黄土裸露、没有垃圾。</w:t>
      </w:r>
      <w:r>
        <w:rPr>
          <w:rFonts w:hint="eastAsia" w:ascii="宋体" w:hAnsi="宋体" w:eastAsia="宋体" w:cs="宋体"/>
          <w:sz w:val="24"/>
          <w:szCs w:val="24"/>
        </w:rPr>
        <w:t>如发现各类苗木缺株死株、绿地不完整、设施有被损、被盗等情况时，应及时向</w:t>
      </w:r>
      <w:r>
        <w:rPr>
          <w:rFonts w:hint="eastAsia" w:ascii="宋体" w:hAnsi="宋体" w:cs="宋体"/>
          <w:sz w:val="24"/>
          <w:szCs w:val="24"/>
          <w:lang w:eastAsia="zh-CN"/>
        </w:rPr>
        <w:t>招标单位</w:t>
      </w:r>
      <w:r>
        <w:rPr>
          <w:rFonts w:hint="eastAsia" w:ascii="宋体" w:hAnsi="宋体" w:eastAsia="宋体" w:cs="宋体"/>
          <w:sz w:val="24"/>
          <w:szCs w:val="24"/>
        </w:rPr>
        <w:t>汇报并立即进行补缺、恢复。</w:t>
      </w:r>
    </w:p>
    <w:p>
      <w:pPr>
        <w:snapToGrid w:val="0"/>
        <w:spacing w:line="360" w:lineRule="auto"/>
        <w:rPr>
          <w:rFonts w:hint="eastAsia" w:ascii="宋体" w:hAnsi="宋体" w:eastAsia="宋体" w:cs="宋体"/>
          <w:sz w:val="24"/>
          <w:szCs w:val="24"/>
        </w:rPr>
      </w:pPr>
      <w:r>
        <w:rPr>
          <w:rFonts w:hint="eastAsia" w:ascii="宋体" w:hAnsi="宋体" w:eastAsia="宋体" w:cs="宋体"/>
          <w:bCs/>
          <w:sz w:val="24"/>
          <w:szCs w:val="24"/>
        </w:rPr>
        <w:t xml:space="preserve">  3.5应急处置。包括绿地内积水处理、防台抗雪、防洪抗涝、节庆和重大活动等应急任务，以及应急物资储备等工作。</w:t>
      </w:r>
    </w:p>
    <w:p>
      <w:pPr>
        <w:snapToGrid w:val="0"/>
        <w:spacing w:line="360" w:lineRule="auto"/>
        <w:rPr>
          <w:rFonts w:hint="eastAsia" w:ascii="宋体" w:hAnsi="宋体" w:eastAsia="宋体" w:cs="宋体"/>
          <w:bCs/>
          <w:sz w:val="24"/>
          <w:szCs w:val="24"/>
        </w:rPr>
      </w:pPr>
      <w:r>
        <w:rPr>
          <w:rFonts w:hint="eastAsia" w:ascii="宋体" w:hAnsi="宋体" w:eastAsia="宋体" w:cs="宋体"/>
          <w:sz w:val="24"/>
          <w:szCs w:val="24"/>
        </w:rPr>
        <w:t xml:space="preserve">  3.6</w:t>
      </w:r>
      <w:r>
        <w:rPr>
          <w:rFonts w:hint="eastAsia" w:ascii="宋体" w:hAnsi="宋体" w:eastAsia="宋体" w:cs="宋体"/>
          <w:bCs/>
          <w:sz w:val="24"/>
          <w:szCs w:val="24"/>
        </w:rPr>
        <w:t>做好政府联动等投诉件或反映件的处理、及时整改等工作。</w:t>
      </w:r>
    </w:p>
    <w:p>
      <w:pPr>
        <w:snapToGrid w:val="0"/>
        <w:spacing w:line="360" w:lineRule="auto"/>
        <w:rPr>
          <w:rFonts w:hint="eastAsia" w:ascii="宋体" w:hAnsi="宋体" w:eastAsia="宋体" w:cs="宋体"/>
          <w:sz w:val="24"/>
          <w:szCs w:val="24"/>
        </w:rPr>
      </w:pPr>
      <w:r>
        <w:rPr>
          <w:rFonts w:hint="eastAsia" w:ascii="宋体" w:hAnsi="宋体" w:eastAsia="宋体" w:cs="宋体"/>
          <w:bCs/>
          <w:sz w:val="24"/>
          <w:szCs w:val="24"/>
        </w:rPr>
        <w:t xml:space="preserve">  3.7</w:t>
      </w:r>
      <w:r>
        <w:rPr>
          <w:rFonts w:hint="eastAsia" w:ascii="宋体" w:hAnsi="宋体" w:eastAsia="宋体" w:cs="宋体"/>
          <w:sz w:val="24"/>
          <w:szCs w:val="24"/>
        </w:rPr>
        <w:t>合同期内，因道路施工、绿化移交、项目施工等客观原因导致的绿化移植、补种工作。</w:t>
      </w:r>
    </w:p>
    <w:p>
      <w:pPr>
        <w:pStyle w:val="861"/>
        <w:snapToGrid w:val="0"/>
        <w:ind w:firstLine="0" w:firstLineChars="0"/>
        <w:rPr>
          <w:rFonts w:hint="eastAsia" w:ascii="宋体" w:hAnsi="宋体" w:eastAsia="宋体" w:cs="宋体"/>
          <w:bCs/>
          <w:sz w:val="24"/>
          <w:szCs w:val="24"/>
        </w:rPr>
      </w:pPr>
      <w:r>
        <w:rPr>
          <w:rFonts w:hint="eastAsia" w:ascii="宋体" w:hAnsi="宋体" w:eastAsia="宋体" w:cs="宋体"/>
          <w:sz w:val="24"/>
          <w:szCs w:val="24"/>
        </w:rPr>
        <w:t xml:space="preserve">  3.8</w:t>
      </w:r>
      <w:r>
        <w:rPr>
          <w:rFonts w:hint="eastAsia" w:ascii="宋体" w:hAnsi="宋体" w:eastAsia="宋体" w:cs="宋体"/>
          <w:sz w:val="24"/>
          <w:szCs w:val="24"/>
          <w:lang w:val="en-US" w:eastAsia="zh-CN"/>
        </w:rPr>
        <w:t>区块</w:t>
      </w:r>
      <w:r>
        <w:rPr>
          <w:rFonts w:hint="eastAsia" w:ascii="宋体" w:hAnsi="宋体" w:eastAsia="宋体" w:cs="宋体"/>
          <w:sz w:val="24"/>
          <w:szCs w:val="24"/>
        </w:rPr>
        <w:t>内的水域养护和保洁，包括</w:t>
      </w:r>
      <w:r>
        <w:rPr>
          <w:rFonts w:hint="eastAsia" w:ascii="宋体" w:hAnsi="宋体" w:eastAsia="宋体" w:cs="宋体"/>
          <w:bCs/>
          <w:sz w:val="24"/>
          <w:szCs w:val="24"/>
        </w:rPr>
        <w:t>垃圾、树枝、树叶、浮萍等水面漂浮物清理，水质保护工作。</w:t>
      </w:r>
    </w:p>
    <w:p>
      <w:pPr>
        <w:snapToGrid w:val="0"/>
        <w:spacing w:line="360" w:lineRule="auto"/>
        <w:rPr>
          <w:rFonts w:hint="eastAsia" w:ascii="宋体" w:hAnsi="宋体" w:eastAsia="宋体" w:cs="宋体"/>
          <w:b/>
          <w:bCs/>
          <w:sz w:val="24"/>
          <w:szCs w:val="24"/>
        </w:rPr>
      </w:pPr>
      <w:bookmarkStart w:id="36" w:name="_Toc73549141"/>
      <w:bookmarkStart w:id="37" w:name="_Toc73457990"/>
      <w:bookmarkStart w:id="38" w:name="_Toc72322593"/>
      <w:bookmarkStart w:id="39" w:name="_Toc73549081"/>
    </w:p>
    <w:p>
      <w:pPr>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二、招标要求</w:t>
      </w:r>
      <w:bookmarkEnd w:id="36"/>
      <w:bookmarkEnd w:id="37"/>
      <w:bookmarkEnd w:id="38"/>
      <w:bookmarkEnd w:id="39"/>
      <w:bookmarkStart w:id="40" w:name="_Toc73457991"/>
      <w:bookmarkStart w:id="41" w:name="_Toc72322594"/>
    </w:p>
    <w:p>
      <w:pPr>
        <w:snapToGrid w:val="0"/>
        <w:spacing w:line="360" w:lineRule="auto"/>
        <w:rPr>
          <w:rFonts w:hint="eastAsia" w:ascii="宋体" w:hAnsi="宋体" w:eastAsia="宋体" w:cs="宋体"/>
          <w:b/>
          <w:bCs/>
          <w:sz w:val="24"/>
          <w:szCs w:val="24"/>
        </w:rPr>
      </w:pPr>
      <w:bookmarkStart w:id="42" w:name="_Toc73549082"/>
      <w:bookmarkStart w:id="43" w:name="_Toc73549142"/>
      <w:r>
        <w:rPr>
          <w:rFonts w:hint="eastAsia" w:ascii="宋体" w:hAnsi="宋体" w:eastAsia="宋体" w:cs="宋体"/>
          <w:b/>
          <w:bCs/>
          <w:sz w:val="24"/>
          <w:szCs w:val="24"/>
        </w:rPr>
        <w:t>1、人员要求</w:t>
      </w:r>
      <w:bookmarkEnd w:id="40"/>
      <w:bookmarkEnd w:id="41"/>
      <w:bookmarkEnd w:id="42"/>
      <w:bookmarkEnd w:id="43"/>
    </w:p>
    <w:tbl>
      <w:tblPr>
        <w:tblStyle w:val="64"/>
        <w:tblW w:w="9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42"/>
        <w:gridCol w:w="1082"/>
        <w:gridCol w:w="6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96"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144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岗位名称</w:t>
            </w:r>
          </w:p>
        </w:tc>
        <w:tc>
          <w:tcPr>
            <w:tcW w:w="108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数量</w:t>
            </w:r>
          </w:p>
        </w:tc>
        <w:tc>
          <w:tcPr>
            <w:tcW w:w="6623"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96"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44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项目负责人</w:t>
            </w:r>
          </w:p>
        </w:tc>
        <w:tc>
          <w:tcPr>
            <w:tcW w:w="108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1人</w:t>
            </w:r>
          </w:p>
        </w:tc>
        <w:tc>
          <w:tcPr>
            <w:tcW w:w="6623" w:type="dxa"/>
            <w:vAlign w:val="center"/>
          </w:tcPr>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具有园林绿化专业中级及以上职称证书。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96"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144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技术负责人</w:t>
            </w:r>
          </w:p>
        </w:tc>
        <w:tc>
          <w:tcPr>
            <w:tcW w:w="108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1人</w:t>
            </w:r>
          </w:p>
        </w:tc>
        <w:tc>
          <w:tcPr>
            <w:tcW w:w="6623" w:type="dxa"/>
            <w:vAlign w:val="center"/>
          </w:tcPr>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具有园林绿化专业中级及以上职称证书。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96" w:type="dxa"/>
            <w:vAlign w:val="center"/>
          </w:tcPr>
          <w:p>
            <w:pPr>
              <w:snapToGrid w:val="0"/>
              <w:spacing w:line="360" w:lineRule="auto"/>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3</w:t>
            </w:r>
          </w:p>
        </w:tc>
        <w:tc>
          <w:tcPr>
            <w:tcW w:w="144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巡查人员</w:t>
            </w:r>
          </w:p>
        </w:tc>
        <w:tc>
          <w:tcPr>
            <w:tcW w:w="108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2人</w:t>
            </w:r>
          </w:p>
        </w:tc>
        <w:tc>
          <w:tcPr>
            <w:tcW w:w="6623" w:type="dxa"/>
            <w:vAlign w:val="center"/>
          </w:tcPr>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年龄在45周岁以下，能熟练驾驶汽车，具有一定养护管理工作经验。做好日常绿地破坏巡查管理工作</w:t>
            </w:r>
            <w:r>
              <w:rPr>
                <w:rFonts w:hint="eastAsia" w:ascii="宋体" w:hAnsi="宋体" w:cs="宋体"/>
                <w:bCs/>
                <w:sz w:val="24"/>
                <w:szCs w:val="24"/>
                <w:lang w:eastAsia="zh-CN"/>
              </w:rPr>
              <w:t>，</w:t>
            </w:r>
            <w:r>
              <w:rPr>
                <w:rFonts w:hint="eastAsia" w:ascii="宋体" w:hAnsi="宋体" w:cs="宋体"/>
                <w:bCs/>
                <w:sz w:val="24"/>
                <w:szCs w:val="24"/>
                <w:lang w:val="en-US" w:eastAsia="zh-CN"/>
              </w:rPr>
              <w:t>需有驾驶证</w:t>
            </w:r>
            <w:r>
              <w:rPr>
                <w:rFonts w:hint="eastAsia" w:ascii="宋体" w:hAnsi="宋体" w:eastAsia="宋体" w:cs="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96" w:type="dxa"/>
            <w:vAlign w:val="center"/>
          </w:tcPr>
          <w:p>
            <w:pPr>
              <w:snapToGrid w:val="0"/>
              <w:spacing w:line="360" w:lineRule="auto"/>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4</w:t>
            </w:r>
          </w:p>
        </w:tc>
        <w:tc>
          <w:tcPr>
            <w:tcW w:w="144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cs="宋体"/>
                <w:bCs/>
                <w:sz w:val="24"/>
                <w:szCs w:val="24"/>
                <w:lang w:val="en-US" w:eastAsia="zh-CN"/>
              </w:rPr>
              <w:t>其他人员</w:t>
            </w:r>
            <w:r>
              <w:rPr>
                <w:rFonts w:hint="eastAsia" w:ascii="宋体" w:hAnsi="宋体" w:eastAsia="宋体" w:cs="宋体"/>
                <w:bCs/>
                <w:sz w:val="24"/>
                <w:szCs w:val="24"/>
              </w:rPr>
              <w:t>要求</w:t>
            </w:r>
          </w:p>
        </w:tc>
        <w:tc>
          <w:tcPr>
            <w:tcW w:w="108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cs="宋体"/>
                <w:bCs/>
                <w:sz w:val="24"/>
                <w:szCs w:val="24"/>
                <w:lang w:val="en-US" w:eastAsia="zh-CN"/>
              </w:rPr>
              <w:t>86</w:t>
            </w:r>
            <w:r>
              <w:rPr>
                <w:rFonts w:hint="eastAsia" w:ascii="宋体" w:hAnsi="宋体" w:eastAsia="宋体" w:cs="宋体"/>
                <w:bCs/>
                <w:sz w:val="24"/>
                <w:szCs w:val="24"/>
              </w:rPr>
              <w:t>人</w:t>
            </w:r>
          </w:p>
        </w:tc>
        <w:tc>
          <w:tcPr>
            <w:tcW w:w="6623" w:type="dxa"/>
            <w:vAlign w:val="center"/>
          </w:tcPr>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拟投入本项目的专职安全员、现场管理员和其他养护作业人</w:t>
            </w:r>
          </w:p>
          <w:p>
            <w:pPr>
              <w:snapToGrid w:val="0"/>
              <w:spacing w:line="360" w:lineRule="auto"/>
              <w:rPr>
                <w:rFonts w:hint="eastAsia" w:ascii="宋体" w:hAnsi="宋体" w:eastAsia="宋体" w:cs="宋体"/>
                <w:bCs/>
                <w:color w:val="FF0000"/>
                <w:sz w:val="24"/>
                <w:szCs w:val="24"/>
                <w:lang w:eastAsia="zh-CN"/>
              </w:rPr>
            </w:pPr>
            <w:r>
              <w:rPr>
                <w:rFonts w:hint="eastAsia" w:ascii="宋体" w:hAnsi="宋体" w:eastAsia="宋体" w:cs="宋体"/>
                <w:bCs/>
                <w:sz w:val="24"/>
                <w:szCs w:val="24"/>
              </w:rPr>
              <w:t>员</w:t>
            </w:r>
            <w:r>
              <w:rPr>
                <w:rFonts w:hint="eastAsia" w:ascii="宋体" w:hAnsi="宋体" w:cs="宋体"/>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43" w:type="dxa"/>
            <w:gridSpan w:val="4"/>
            <w:vAlign w:val="center"/>
          </w:tcPr>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说明：1.</w:t>
            </w:r>
            <w:r>
              <w:rPr>
                <w:rFonts w:hint="eastAsia" w:ascii="宋体" w:hAnsi="宋体" w:cs="宋体"/>
                <w:bCs/>
                <w:sz w:val="24"/>
                <w:szCs w:val="24"/>
                <w:lang w:val="en-US" w:eastAsia="zh-CN"/>
              </w:rPr>
              <w:t>上述人员要求为</w:t>
            </w:r>
            <w:r>
              <w:rPr>
                <w:rFonts w:hint="eastAsia" w:ascii="宋体" w:hAnsi="宋体" w:eastAsia="宋体" w:cs="宋体"/>
                <w:bCs/>
                <w:sz w:val="24"/>
                <w:szCs w:val="24"/>
              </w:rPr>
              <w:t>最低要求</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投标单位</w:t>
            </w:r>
            <w:r>
              <w:rPr>
                <w:rFonts w:hint="eastAsia" w:ascii="宋体" w:hAnsi="宋体" w:cs="宋体"/>
                <w:bCs/>
                <w:sz w:val="24"/>
                <w:szCs w:val="24"/>
                <w:lang w:val="en-US" w:eastAsia="zh-CN"/>
              </w:rPr>
              <w:t>实行承诺制</w:t>
            </w:r>
            <w:r>
              <w:rPr>
                <w:rFonts w:hint="eastAsia" w:ascii="宋体" w:hAnsi="宋体" w:eastAsia="宋体" w:cs="宋体"/>
                <w:bCs/>
                <w:color w:val="auto"/>
                <w:sz w:val="24"/>
                <w:szCs w:val="24"/>
                <w:lang w:val="en-US" w:eastAsia="zh-CN"/>
              </w:rPr>
              <w:t>，</w:t>
            </w:r>
            <w:r>
              <w:rPr>
                <w:rFonts w:hint="eastAsia" w:ascii="宋体" w:hAnsi="宋体" w:eastAsia="宋体" w:cs="宋体"/>
                <w:b/>
                <w:bCs/>
                <w:color w:val="auto"/>
                <w:sz w:val="24"/>
                <w:szCs w:val="24"/>
              </w:rPr>
              <w:t>须</w:t>
            </w:r>
            <w:r>
              <w:rPr>
                <w:rFonts w:hint="eastAsia" w:ascii="宋体" w:hAnsi="宋体" w:cs="宋体"/>
                <w:b/>
                <w:bCs/>
                <w:color w:val="auto"/>
                <w:sz w:val="24"/>
                <w:szCs w:val="24"/>
                <w:lang w:val="en-US" w:eastAsia="zh-CN"/>
              </w:rPr>
              <w:t>在</w:t>
            </w:r>
            <w:r>
              <w:rPr>
                <w:rFonts w:hint="eastAsia" w:ascii="宋体" w:hAnsi="宋体" w:eastAsia="宋体" w:cs="宋体"/>
                <w:b/>
                <w:bCs/>
                <w:color w:val="auto"/>
                <w:sz w:val="24"/>
                <w:szCs w:val="24"/>
              </w:rPr>
              <w:t>中标公示结束后15天内配齐</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若未配齐则视同投标单位放弃中标资格</w:t>
            </w:r>
            <w:r>
              <w:rPr>
                <w:rFonts w:hint="eastAsia" w:ascii="宋体" w:hAnsi="宋体" w:cs="宋体"/>
                <w:b/>
                <w:bCs/>
                <w:color w:val="auto"/>
                <w:sz w:val="24"/>
                <w:szCs w:val="24"/>
                <w:lang w:eastAsia="zh-CN"/>
              </w:rPr>
              <w:t>。</w:t>
            </w:r>
            <w:r>
              <w:rPr>
                <w:rFonts w:hint="eastAsia" w:ascii="宋体" w:hAnsi="宋体" w:eastAsia="宋体" w:cs="宋体"/>
                <w:bCs/>
                <w:sz w:val="24"/>
                <w:szCs w:val="24"/>
              </w:rPr>
              <w:t>2.现场养护作业人员要求身体健康、无重大疾病、能胜任室外作业，并在上岗作业前为其办理保险，并将保险凭证交给发包人保管。</w:t>
            </w:r>
            <w:r>
              <w:rPr>
                <w:rFonts w:hint="eastAsia" w:ascii="宋体" w:hAnsi="宋体" w:eastAsia="宋体" w:cs="宋体"/>
                <w:b/>
                <w:bCs/>
                <w:sz w:val="24"/>
                <w:szCs w:val="24"/>
              </w:rPr>
              <w:t>在实际服务过程中，临时需增加</w:t>
            </w:r>
            <w:r>
              <w:rPr>
                <w:rFonts w:hint="eastAsia" w:ascii="宋体" w:hAnsi="宋体" w:eastAsia="宋体" w:cs="宋体"/>
                <w:b/>
                <w:bCs/>
                <w:sz w:val="24"/>
                <w:szCs w:val="24"/>
                <w:lang w:val="en-US" w:eastAsia="zh-CN"/>
              </w:rPr>
              <w:t>服务人员</w:t>
            </w:r>
            <w:r>
              <w:rPr>
                <w:rFonts w:hint="eastAsia" w:ascii="宋体" w:hAnsi="宋体" w:eastAsia="宋体" w:cs="宋体"/>
                <w:b/>
                <w:bCs/>
                <w:sz w:val="24"/>
                <w:szCs w:val="24"/>
              </w:rPr>
              <w:t>时，</w:t>
            </w:r>
            <w:r>
              <w:rPr>
                <w:rFonts w:hint="eastAsia" w:ascii="宋体" w:hAnsi="宋体" w:cs="宋体"/>
                <w:b/>
                <w:bCs/>
                <w:sz w:val="24"/>
                <w:szCs w:val="24"/>
                <w:lang w:eastAsia="zh-CN"/>
              </w:rPr>
              <w:t>中标单位</w:t>
            </w:r>
            <w:r>
              <w:rPr>
                <w:rFonts w:hint="eastAsia" w:ascii="宋体" w:hAnsi="宋体" w:eastAsia="宋体" w:cs="宋体"/>
                <w:b/>
                <w:bCs/>
                <w:sz w:val="24"/>
                <w:szCs w:val="24"/>
              </w:rPr>
              <w:t>必须做好配合工作。</w:t>
            </w:r>
          </w:p>
        </w:tc>
      </w:tr>
    </w:tbl>
    <w:p>
      <w:pPr>
        <w:rPr>
          <w:rFonts w:hint="eastAsia" w:ascii="宋体" w:hAnsi="宋体" w:eastAsia="宋体" w:cs="宋体"/>
          <w:b/>
          <w:bCs/>
          <w:sz w:val="24"/>
          <w:szCs w:val="24"/>
        </w:rPr>
      </w:pPr>
      <w:bookmarkStart w:id="44" w:name="_Toc72322595"/>
      <w:bookmarkStart w:id="45" w:name="_Toc73457992"/>
      <w:r>
        <w:rPr>
          <w:rFonts w:hint="eastAsia" w:ascii="宋体" w:hAnsi="宋体" w:eastAsia="宋体" w:cs="宋体"/>
          <w:b/>
          <w:bCs/>
          <w:sz w:val="24"/>
          <w:szCs w:val="24"/>
        </w:rPr>
        <w:br w:type="page"/>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2、设备要求</w:t>
      </w:r>
      <w:bookmarkEnd w:id="44"/>
      <w:bookmarkEnd w:id="45"/>
    </w:p>
    <w:tbl>
      <w:tblPr>
        <w:tblStyle w:val="64"/>
        <w:tblpPr w:leftFromText="180" w:rightFromText="180" w:vertAnchor="text" w:horzAnchor="page" w:tblpX="1210" w:tblpY="71"/>
        <w:tblOverlap w:val="never"/>
        <w:tblW w:w="974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1"/>
        <w:gridCol w:w="2762"/>
        <w:gridCol w:w="1559"/>
        <w:gridCol w:w="43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01"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762"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设备名称</w:t>
            </w:r>
          </w:p>
        </w:tc>
        <w:tc>
          <w:tcPr>
            <w:tcW w:w="155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数量（台）</w:t>
            </w:r>
          </w:p>
        </w:tc>
        <w:tc>
          <w:tcPr>
            <w:tcW w:w="432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响应要求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01"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276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草坪机</w:t>
            </w:r>
          </w:p>
        </w:tc>
        <w:tc>
          <w:tcPr>
            <w:tcW w:w="155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432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常驻现场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01"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276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高压喷药机</w:t>
            </w:r>
          </w:p>
        </w:tc>
        <w:tc>
          <w:tcPr>
            <w:tcW w:w="155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432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常驻现场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01"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276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吨及以上洒水车</w:t>
            </w:r>
          </w:p>
        </w:tc>
        <w:tc>
          <w:tcPr>
            <w:tcW w:w="155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432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常驻现场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01"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2762"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3吨及以上洒水车</w:t>
            </w:r>
          </w:p>
        </w:tc>
        <w:tc>
          <w:tcPr>
            <w:tcW w:w="1559" w:type="dxa"/>
            <w:vAlign w:val="center"/>
          </w:tcPr>
          <w:p>
            <w:pPr>
              <w:spacing w:line="360" w:lineRule="auto"/>
              <w:jc w:val="center"/>
              <w:rPr>
                <w:rFonts w:hint="eastAsia" w:ascii="宋体" w:hAnsi="宋体" w:eastAsia="宋体" w:cs="宋体"/>
                <w:bCs/>
                <w:sz w:val="24"/>
                <w:szCs w:val="24"/>
                <w:lang w:eastAsia="zh-CN"/>
              </w:rPr>
            </w:pPr>
            <w:r>
              <w:rPr>
                <w:rFonts w:hint="eastAsia" w:ascii="宋体" w:hAnsi="宋体" w:cs="宋体"/>
                <w:bCs/>
                <w:sz w:val="24"/>
                <w:szCs w:val="24"/>
                <w:lang w:val="en-US" w:eastAsia="zh-CN"/>
              </w:rPr>
              <w:t>1</w:t>
            </w:r>
          </w:p>
        </w:tc>
        <w:tc>
          <w:tcPr>
            <w:tcW w:w="432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常驻现场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01"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2762" w:type="dxa"/>
            <w:vAlign w:val="center"/>
          </w:tcPr>
          <w:p>
            <w:pPr>
              <w:snapToGrid w:val="0"/>
              <w:spacing w:line="360" w:lineRule="auto"/>
              <w:jc w:val="center"/>
              <w:rPr>
                <w:rFonts w:hint="eastAsia" w:ascii="宋体" w:hAnsi="宋体" w:eastAsia="宋体" w:cs="宋体"/>
                <w:bCs/>
                <w:sz w:val="24"/>
                <w:szCs w:val="24"/>
              </w:rPr>
            </w:pPr>
            <w:r>
              <w:rPr>
                <w:rFonts w:hint="eastAsia" w:ascii="宋体" w:hAnsi="宋体" w:eastAsia="宋体" w:cs="宋体"/>
                <w:sz w:val="24"/>
                <w:szCs w:val="24"/>
              </w:rPr>
              <w:t>绿篱机</w:t>
            </w:r>
          </w:p>
        </w:tc>
        <w:tc>
          <w:tcPr>
            <w:tcW w:w="155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432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常驻现场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01"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6</w:t>
            </w:r>
          </w:p>
        </w:tc>
        <w:tc>
          <w:tcPr>
            <w:tcW w:w="2762"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割灌机</w:t>
            </w:r>
          </w:p>
        </w:tc>
        <w:tc>
          <w:tcPr>
            <w:tcW w:w="155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432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常驻现场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01"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7</w:t>
            </w:r>
          </w:p>
        </w:tc>
        <w:tc>
          <w:tcPr>
            <w:tcW w:w="2762"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巡查车</w:t>
            </w:r>
          </w:p>
        </w:tc>
        <w:tc>
          <w:tcPr>
            <w:tcW w:w="155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432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常驻现场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101"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8</w:t>
            </w:r>
          </w:p>
        </w:tc>
        <w:tc>
          <w:tcPr>
            <w:tcW w:w="2762"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8米及以上登高车</w:t>
            </w:r>
          </w:p>
        </w:tc>
        <w:tc>
          <w:tcPr>
            <w:tcW w:w="1559"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4325" w:type="dxa"/>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常驻现场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747" w:type="dxa"/>
            <w:gridSpan w:val="4"/>
            <w:vAlign w:val="center"/>
          </w:tcPr>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说明：以上设置数量是</w:t>
            </w:r>
            <w:r>
              <w:rPr>
                <w:rFonts w:hint="eastAsia" w:ascii="宋体" w:hAnsi="宋体" w:cs="宋体"/>
                <w:b/>
                <w:bCs/>
                <w:sz w:val="24"/>
                <w:szCs w:val="24"/>
                <w:lang w:eastAsia="zh-CN"/>
              </w:rPr>
              <w:t>招标单位</w:t>
            </w:r>
            <w:r>
              <w:rPr>
                <w:rFonts w:hint="eastAsia" w:ascii="宋体" w:hAnsi="宋体" w:eastAsia="宋体" w:cs="宋体"/>
                <w:b/>
                <w:bCs/>
                <w:sz w:val="24"/>
                <w:szCs w:val="24"/>
              </w:rPr>
              <w:t>的</w:t>
            </w:r>
            <w:r>
              <w:rPr>
                <w:rFonts w:hint="eastAsia" w:ascii="宋体" w:hAnsi="宋体" w:eastAsia="宋体" w:cs="宋体"/>
                <w:b/>
                <w:bCs/>
                <w:color w:val="auto"/>
                <w:sz w:val="24"/>
                <w:szCs w:val="24"/>
              </w:rPr>
              <w:t>最低要求，</w:t>
            </w:r>
            <w:r>
              <w:rPr>
                <w:rFonts w:hint="eastAsia" w:ascii="宋体" w:hAnsi="宋体" w:eastAsia="宋体" w:cs="宋体"/>
                <w:bCs/>
                <w:sz w:val="24"/>
                <w:szCs w:val="24"/>
                <w:lang w:val="en-US" w:eastAsia="zh-CN"/>
              </w:rPr>
              <w:t>投标单位</w:t>
            </w:r>
            <w:r>
              <w:rPr>
                <w:rFonts w:hint="eastAsia" w:ascii="宋体" w:hAnsi="宋体" w:cs="宋体"/>
                <w:bCs/>
                <w:sz w:val="24"/>
                <w:szCs w:val="24"/>
                <w:lang w:val="en-US" w:eastAsia="zh-CN"/>
              </w:rPr>
              <w:t>实行承诺制</w:t>
            </w:r>
            <w:r>
              <w:rPr>
                <w:rFonts w:hint="eastAsia" w:ascii="宋体" w:hAnsi="宋体" w:eastAsia="宋体" w:cs="宋体"/>
                <w:bCs/>
                <w:color w:val="auto"/>
                <w:sz w:val="24"/>
                <w:szCs w:val="24"/>
                <w:lang w:val="en-US" w:eastAsia="zh-CN"/>
              </w:rPr>
              <w:t>，</w:t>
            </w:r>
            <w:r>
              <w:rPr>
                <w:rFonts w:hint="eastAsia" w:ascii="宋体" w:hAnsi="宋体" w:eastAsia="宋体" w:cs="宋体"/>
                <w:b/>
                <w:bCs/>
                <w:color w:val="auto"/>
                <w:sz w:val="24"/>
                <w:szCs w:val="24"/>
              </w:rPr>
              <w:t>须在中标公示结束后15天内配齐，若未配齐则视同投标单位放弃中标资格。</w:t>
            </w:r>
            <w:r>
              <w:rPr>
                <w:rFonts w:hint="eastAsia" w:ascii="宋体" w:hAnsi="宋体" w:eastAsia="宋体" w:cs="宋体"/>
                <w:b/>
                <w:bCs/>
                <w:sz w:val="24"/>
                <w:szCs w:val="24"/>
              </w:rPr>
              <w:t>在实际服务过程中，临时需增加设备投入时，</w:t>
            </w:r>
            <w:r>
              <w:rPr>
                <w:rFonts w:hint="eastAsia" w:ascii="宋体" w:hAnsi="宋体" w:cs="宋体"/>
                <w:b/>
                <w:bCs/>
                <w:sz w:val="24"/>
                <w:szCs w:val="24"/>
                <w:lang w:eastAsia="zh-CN"/>
              </w:rPr>
              <w:t>中标单位</w:t>
            </w:r>
            <w:r>
              <w:rPr>
                <w:rFonts w:hint="eastAsia" w:ascii="宋体" w:hAnsi="宋体" w:eastAsia="宋体" w:cs="宋体"/>
                <w:b/>
                <w:bCs/>
                <w:sz w:val="24"/>
                <w:szCs w:val="24"/>
              </w:rPr>
              <w:t>必须做好配合工作。</w:t>
            </w:r>
          </w:p>
        </w:tc>
      </w:tr>
    </w:tbl>
    <w:p>
      <w:pPr>
        <w:snapToGrid w:val="0"/>
        <w:spacing w:line="360" w:lineRule="auto"/>
        <w:rPr>
          <w:rFonts w:hint="eastAsia" w:ascii="宋体" w:hAnsi="宋体" w:eastAsia="宋体" w:cs="宋体"/>
          <w:b/>
          <w:bCs/>
          <w:sz w:val="24"/>
          <w:szCs w:val="24"/>
        </w:rPr>
      </w:pPr>
      <w:bookmarkStart w:id="46" w:name="_Toc73457993"/>
      <w:bookmarkStart w:id="47" w:name="_Toc72322596"/>
      <w:r>
        <w:rPr>
          <w:rFonts w:hint="eastAsia" w:ascii="宋体" w:hAnsi="宋体" w:eastAsia="宋体" w:cs="宋体"/>
          <w:b/>
          <w:bCs/>
          <w:sz w:val="24"/>
          <w:szCs w:val="24"/>
        </w:rPr>
        <w:t>3、主要工作要求</w:t>
      </w:r>
      <w:bookmarkEnd w:id="46"/>
      <w:bookmarkEnd w:id="47"/>
    </w:p>
    <w:p>
      <w:pPr>
        <w:snapToGrid w:val="0"/>
        <w:spacing w:line="360" w:lineRule="auto"/>
        <w:rPr>
          <w:rFonts w:hint="eastAsia" w:ascii="宋体" w:hAnsi="宋体" w:eastAsia="宋体" w:cs="宋体"/>
          <w:bCs/>
          <w:sz w:val="24"/>
          <w:szCs w:val="24"/>
        </w:rPr>
      </w:pPr>
      <w:r>
        <w:rPr>
          <w:rFonts w:hint="eastAsia" w:ascii="宋体" w:hAnsi="宋体" w:eastAsia="宋体" w:cs="宋体"/>
          <w:sz w:val="24"/>
          <w:szCs w:val="24"/>
        </w:rPr>
        <w:t xml:space="preserve">  3.1</w:t>
      </w:r>
      <w:r>
        <w:rPr>
          <w:rFonts w:hint="eastAsia" w:ascii="宋体" w:hAnsi="宋体" w:eastAsia="宋体" w:cs="宋体"/>
          <w:bCs/>
          <w:sz w:val="24"/>
          <w:szCs w:val="24"/>
        </w:rPr>
        <w:t>行道树和绿地乔木无缺株、死株，补植树品种、胸径、树高一致；树木支撑规范、统一、稳固，无断桩、坏桩，桩位扎缚规范化；树木修剪及时，无徒长枝、病虫枝、过密枝、枯枝、伤损枝；宿根植物及时翻种、断根、间删，无死株；行道树树穴土壤低于侧石，绿地乔木树穴无板结。对枯死的树木应连同根部在24小时内挖除，并在2天内补种完毕，补种苗木的规格、品种和原苗木基本相同，特殊情况无法补种原规格苗木，需经</w:t>
      </w:r>
      <w:r>
        <w:rPr>
          <w:rFonts w:hint="eastAsia" w:ascii="宋体" w:hAnsi="宋体" w:cs="宋体"/>
          <w:bCs/>
          <w:sz w:val="24"/>
          <w:szCs w:val="24"/>
          <w:lang w:eastAsia="zh-CN"/>
        </w:rPr>
        <w:t>招标单位</w:t>
      </w:r>
      <w:r>
        <w:rPr>
          <w:rFonts w:hint="eastAsia" w:ascii="宋体" w:hAnsi="宋体" w:eastAsia="宋体" w:cs="宋体"/>
          <w:bCs/>
          <w:sz w:val="24"/>
          <w:szCs w:val="24"/>
        </w:rPr>
        <w:t>同意。</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3.2绿篱、色块小灌木，无缺株、小道、混种及黄土裸露，补植灌木品种、规格一致，在24小时内完成；道路色块灌木定期修剪，切边清晰。</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3.3草坪生长繁茂、平整，土壤低于园路或侧石。暖季型草修剪一年不少于6次，冷季型草修剪一年不少于10次。树木周围和草坪边缘应及时切边。常绿草四季应保持绿色，无空秃、黄化现象。对被人为损坏和已发生病害的常绿草坪两天内切除调换，补种时确保草坪的美观和平整。摸清草坪地板结情况，及时对草坪地进行打孔处理，每年不少于一次。</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3.4掌握病虫害情况，防治措施有效；树皮开裂或有孔洞及时填补，冬季刷白工作规范到位。</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3.5乔木叶面及色块叶面无严重积尘；树上无杂物和晾晒衣物等情况；绿地内无垃圾、石块、果壳、枯枝落叶等杂物；白色污染物滞留绿地时间不超过半小时。</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3.6管理制度完善，养护管理人员配备到位；养护人员作业规范；管理人员巡查监管到位，无违章占绿情况。</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3.7有防台、抗雪、抗旱、保绿等应急预案及措施；档案资料完整，巡查记录、病虫害防治记录、绿地概况表等详尽。</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3.8绿地树木修剪、滚草、枯死枝的清理等绿地的垃圾当日清运完毕。</w:t>
      </w:r>
    </w:p>
    <w:p>
      <w:pPr>
        <w:snapToGrid w:val="0"/>
        <w:spacing w:line="360" w:lineRule="auto"/>
        <w:rPr>
          <w:rFonts w:hint="default" w:ascii="宋体" w:hAnsi="宋体" w:eastAsia="宋体" w:cs="宋体"/>
          <w:bCs/>
          <w:sz w:val="24"/>
          <w:szCs w:val="24"/>
          <w:lang w:val="en-US" w:eastAsia="zh-CN"/>
        </w:rPr>
      </w:pPr>
      <w:r>
        <w:rPr>
          <w:rFonts w:hint="eastAsia" w:ascii="宋体" w:hAnsi="宋体" w:eastAsia="宋体" w:cs="宋体"/>
          <w:bCs/>
          <w:sz w:val="24"/>
          <w:szCs w:val="24"/>
        </w:rPr>
        <w:t xml:space="preserve">  3.9</w:t>
      </w:r>
      <w:r>
        <w:rPr>
          <w:rFonts w:hint="eastAsia" w:ascii="宋体" w:hAnsi="宋体" w:eastAsia="宋体" w:cs="宋体"/>
          <w:b/>
          <w:bCs w:val="0"/>
          <w:sz w:val="24"/>
          <w:szCs w:val="24"/>
        </w:rPr>
        <w:t>绿地内水体无树枝、树叶、浮萍等水面漂浮物，水质符合相关要求。</w:t>
      </w:r>
      <w:r>
        <w:rPr>
          <w:rFonts w:hint="eastAsia" w:ascii="宋体" w:hAnsi="宋体" w:cs="宋体"/>
          <w:b/>
          <w:bCs w:val="0"/>
          <w:sz w:val="24"/>
          <w:szCs w:val="24"/>
          <w:lang w:val="en-US" w:eastAsia="zh-CN"/>
        </w:rPr>
        <w:t>除未来溪及金竹溪公园外，中标单位需做好区块内公园的垃圾桶、桌椅、景观灯等设施的维修工作，投标单位自行考虑上述内容进行综合报价。</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3.10落实专人建立养护管理工作台帐，制定全年及每月绿地养护工作计划，主要包括绿地的各类养护措施（如施肥、修剪、病虫害防治、植物浇水等）、养护质量及安全保证、养护应急管理预案（抗旱、抗涝、抗台、抗寒、抗雪等）、重点技术措施等。按要求每月25日前上报下个月日常养护计划，人员安排计划等。</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3.11规范管理、文明作业、自觉接受</w:t>
      </w:r>
      <w:r>
        <w:rPr>
          <w:rFonts w:hint="eastAsia" w:ascii="宋体" w:hAnsi="宋体" w:cs="宋体"/>
          <w:bCs/>
          <w:sz w:val="24"/>
          <w:szCs w:val="24"/>
          <w:lang w:eastAsia="zh-CN"/>
        </w:rPr>
        <w:t>招标单位</w:t>
      </w:r>
      <w:r>
        <w:rPr>
          <w:rFonts w:hint="eastAsia" w:ascii="宋体" w:hAnsi="宋体" w:eastAsia="宋体" w:cs="宋体"/>
          <w:bCs/>
          <w:sz w:val="24"/>
          <w:szCs w:val="24"/>
        </w:rPr>
        <w:t>及其上级各部门领导的检查和社会监督，对出现的问题要及时整改。及时处理县长热线、舆情信息等热线的反映的问题。</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 xml:space="preserve">  3.12作业时应严格遵守交通规则、遵守安全操作规程，作业时设置警示牌、安全警示锥等安全措施，作业人员上路作业时须统一穿戴安全反光背心。加强日常安全生产管理，确保职工人身安全。如遇各种意外事故发生由中标单位自行负责，并依照法律法规妥善处理（事故情况应及时书面告知</w:t>
      </w:r>
      <w:r>
        <w:rPr>
          <w:rFonts w:hint="eastAsia" w:ascii="宋体" w:hAnsi="宋体" w:cs="宋体"/>
          <w:bCs/>
          <w:sz w:val="24"/>
          <w:szCs w:val="24"/>
          <w:lang w:eastAsia="zh-CN"/>
        </w:rPr>
        <w:t>招标单位</w:t>
      </w:r>
      <w:r>
        <w:rPr>
          <w:rFonts w:hint="eastAsia" w:ascii="宋体" w:hAnsi="宋体" w:eastAsia="宋体" w:cs="宋体"/>
          <w:bCs/>
          <w:sz w:val="24"/>
          <w:szCs w:val="24"/>
        </w:rPr>
        <w:t>）。</w:t>
      </w:r>
    </w:p>
    <w:p>
      <w:pPr>
        <w:snapToGrid w:val="0"/>
        <w:spacing w:line="360" w:lineRule="auto"/>
        <w:rPr>
          <w:rFonts w:hint="eastAsia" w:ascii="宋体" w:hAnsi="宋体" w:eastAsia="宋体" w:cs="宋体"/>
          <w:sz w:val="24"/>
          <w:szCs w:val="24"/>
        </w:rPr>
      </w:pPr>
      <w:r>
        <w:rPr>
          <w:rFonts w:hint="eastAsia" w:ascii="宋体" w:hAnsi="宋体" w:eastAsia="宋体" w:cs="宋体"/>
          <w:bCs/>
          <w:sz w:val="24"/>
          <w:szCs w:val="24"/>
        </w:rPr>
        <w:t xml:space="preserve">  3.13建立日常巡查制度，巡查人员对所管辖的绿地每天巡查一次，发现问题及时整改。对进入绿地践踏、损坏绿化现象应及时予以制止，如遇严重损坏绿化行为应通知</w:t>
      </w:r>
      <w:r>
        <w:rPr>
          <w:rFonts w:hint="eastAsia" w:ascii="宋体" w:hAnsi="宋体" w:cs="宋体"/>
          <w:bCs/>
          <w:sz w:val="24"/>
          <w:szCs w:val="24"/>
          <w:lang w:eastAsia="zh-CN"/>
        </w:rPr>
        <w:t>招标单位</w:t>
      </w:r>
      <w:r>
        <w:rPr>
          <w:rFonts w:hint="eastAsia" w:ascii="宋体" w:hAnsi="宋体" w:eastAsia="宋体" w:cs="宋体"/>
          <w:bCs/>
          <w:sz w:val="24"/>
          <w:szCs w:val="24"/>
        </w:rPr>
        <w:t>。如果因</w:t>
      </w:r>
      <w:r>
        <w:rPr>
          <w:rFonts w:hint="eastAsia" w:ascii="宋体" w:hAnsi="宋体" w:cs="宋体"/>
          <w:bCs/>
          <w:sz w:val="24"/>
          <w:szCs w:val="24"/>
          <w:lang w:eastAsia="zh-CN"/>
        </w:rPr>
        <w:t>中标单位</w:t>
      </w:r>
      <w:r>
        <w:rPr>
          <w:rFonts w:hint="eastAsia" w:ascii="宋体" w:hAnsi="宋体" w:eastAsia="宋体" w:cs="宋体"/>
          <w:bCs/>
          <w:sz w:val="24"/>
          <w:szCs w:val="24"/>
        </w:rPr>
        <w:t>巡查工作不到位导致绿化被损坏，</w:t>
      </w:r>
      <w:r>
        <w:rPr>
          <w:rFonts w:hint="eastAsia" w:ascii="宋体" w:hAnsi="宋体" w:cs="宋体"/>
          <w:bCs/>
          <w:sz w:val="24"/>
          <w:szCs w:val="24"/>
          <w:lang w:eastAsia="zh-CN"/>
        </w:rPr>
        <w:t>中标单位</w:t>
      </w:r>
      <w:r>
        <w:rPr>
          <w:rFonts w:hint="eastAsia" w:ascii="宋体" w:hAnsi="宋体" w:eastAsia="宋体" w:cs="宋体"/>
          <w:bCs/>
          <w:sz w:val="24"/>
          <w:szCs w:val="24"/>
        </w:rPr>
        <w:t>必须无条</w:t>
      </w:r>
      <w:r>
        <w:rPr>
          <w:rFonts w:hint="eastAsia" w:ascii="宋体" w:hAnsi="宋体" w:eastAsia="宋体" w:cs="宋体"/>
          <w:sz w:val="24"/>
          <w:szCs w:val="24"/>
        </w:rPr>
        <w:t>件在2天内补种完毕，否则按</w:t>
      </w:r>
      <w:r>
        <w:rPr>
          <w:rFonts w:hint="eastAsia" w:ascii="宋体" w:hAnsi="宋体" w:cs="宋体"/>
          <w:sz w:val="24"/>
          <w:szCs w:val="24"/>
          <w:lang w:eastAsia="zh-CN"/>
        </w:rPr>
        <w:t>中标单位</w:t>
      </w:r>
      <w:r>
        <w:rPr>
          <w:rFonts w:hint="eastAsia" w:ascii="宋体" w:hAnsi="宋体" w:eastAsia="宋体" w:cs="宋体"/>
          <w:sz w:val="24"/>
          <w:szCs w:val="24"/>
        </w:rPr>
        <w:t>违约进行处罚。未经</w:t>
      </w:r>
      <w:r>
        <w:rPr>
          <w:rFonts w:hint="eastAsia" w:ascii="宋体" w:hAnsi="宋体" w:cs="宋体"/>
          <w:sz w:val="24"/>
          <w:szCs w:val="24"/>
          <w:lang w:eastAsia="zh-CN"/>
        </w:rPr>
        <w:t>招标单位</w:t>
      </w:r>
      <w:r>
        <w:rPr>
          <w:rFonts w:hint="eastAsia" w:ascii="宋体" w:hAnsi="宋体" w:eastAsia="宋体" w:cs="宋体"/>
          <w:sz w:val="24"/>
          <w:szCs w:val="24"/>
        </w:rPr>
        <w:t>同意，</w:t>
      </w:r>
      <w:r>
        <w:rPr>
          <w:rFonts w:hint="eastAsia" w:ascii="宋体" w:hAnsi="宋体" w:cs="宋体"/>
          <w:sz w:val="24"/>
          <w:szCs w:val="24"/>
          <w:lang w:eastAsia="zh-CN"/>
        </w:rPr>
        <w:t>中标单位</w:t>
      </w:r>
      <w:r>
        <w:rPr>
          <w:rFonts w:hint="eastAsia" w:ascii="宋体" w:hAnsi="宋体" w:eastAsia="宋体" w:cs="宋体"/>
          <w:sz w:val="24"/>
          <w:szCs w:val="24"/>
        </w:rPr>
        <w:t>不得擅自挖掘毁坏苗木，一经发现，责令整改；情节严重的，终止合同。</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3.14加强应急响应管理工作：</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（1）制定灾害性天气应急预案，建立应急救灾队伍，将应急预案和人员名单上报</w:t>
      </w:r>
      <w:r>
        <w:rPr>
          <w:rFonts w:hint="eastAsia" w:ascii="宋体" w:hAnsi="宋体" w:cs="宋体"/>
          <w:sz w:val="24"/>
          <w:szCs w:val="24"/>
          <w:lang w:eastAsia="zh-CN"/>
        </w:rPr>
        <w:t>招标单位</w:t>
      </w:r>
      <w:r>
        <w:rPr>
          <w:rFonts w:hint="eastAsia" w:ascii="宋体" w:hAnsi="宋体" w:eastAsia="宋体" w:cs="宋体"/>
          <w:sz w:val="24"/>
          <w:szCs w:val="24"/>
        </w:rPr>
        <w:t>备案。</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（2）建立应急备货制，备货的内容有：抗旱、抗涝、抗台、抗寒、抗雪等物资（快速支撑、钢管、毛竹、水泵、遮阴网、草包等）。</w:t>
      </w:r>
      <w:r>
        <w:rPr>
          <w:rFonts w:hint="eastAsia" w:ascii="宋体" w:hAnsi="宋体" w:cs="宋体"/>
          <w:sz w:val="24"/>
          <w:szCs w:val="24"/>
          <w:lang w:eastAsia="zh-CN"/>
        </w:rPr>
        <w:t>中标单位</w:t>
      </w:r>
      <w:r>
        <w:rPr>
          <w:rFonts w:hint="eastAsia" w:ascii="宋体" w:hAnsi="宋体" w:eastAsia="宋体" w:cs="宋体"/>
          <w:sz w:val="24"/>
          <w:szCs w:val="24"/>
        </w:rPr>
        <w:t>必须招标大型乔木快速支撑、带扣紧束带和</w:t>
      </w:r>
      <w:r>
        <w:rPr>
          <w:rFonts w:hint="eastAsia" w:ascii="宋体" w:hAnsi="宋体" w:eastAsia="宋体" w:cs="宋体"/>
          <w:bCs/>
          <w:kern w:val="0"/>
          <w:sz w:val="24"/>
          <w:szCs w:val="24"/>
        </w:rPr>
        <w:t>橡胶路锥等物品</w:t>
      </w:r>
      <w:r>
        <w:rPr>
          <w:rFonts w:hint="eastAsia" w:ascii="宋体" w:hAnsi="宋体" w:eastAsia="宋体" w:cs="宋体"/>
          <w:sz w:val="24"/>
          <w:szCs w:val="24"/>
        </w:rPr>
        <w:t>作为本项目养护服务期内的应急储备物资，用于养护区域内乔木支撑和应急使用，所有权归</w:t>
      </w:r>
      <w:r>
        <w:rPr>
          <w:rFonts w:hint="eastAsia" w:ascii="宋体" w:hAnsi="宋体" w:cs="宋体"/>
          <w:sz w:val="24"/>
          <w:szCs w:val="24"/>
          <w:lang w:eastAsia="zh-CN"/>
        </w:rPr>
        <w:t>中标单位</w:t>
      </w:r>
      <w:r>
        <w:rPr>
          <w:rFonts w:hint="eastAsia" w:ascii="宋体" w:hAnsi="宋体" w:eastAsia="宋体" w:cs="宋体"/>
          <w:sz w:val="24"/>
          <w:szCs w:val="24"/>
        </w:rPr>
        <w:t>，并接受</w:t>
      </w:r>
      <w:r>
        <w:rPr>
          <w:rFonts w:hint="eastAsia" w:ascii="宋体" w:hAnsi="宋体" w:cs="宋体"/>
          <w:sz w:val="24"/>
          <w:szCs w:val="24"/>
          <w:lang w:eastAsia="zh-CN"/>
        </w:rPr>
        <w:t>招标单位</w:t>
      </w:r>
      <w:r>
        <w:rPr>
          <w:rFonts w:hint="eastAsia" w:ascii="宋体" w:hAnsi="宋体" w:eastAsia="宋体" w:cs="宋体"/>
          <w:sz w:val="24"/>
          <w:szCs w:val="24"/>
        </w:rPr>
        <w:t>检查。</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（3）遇灾害性天气，听从</w:t>
      </w:r>
      <w:r>
        <w:rPr>
          <w:rFonts w:hint="eastAsia" w:ascii="宋体" w:hAnsi="宋体" w:cs="宋体"/>
          <w:sz w:val="24"/>
          <w:szCs w:val="24"/>
          <w:lang w:eastAsia="zh-CN"/>
        </w:rPr>
        <w:t>招标单位</w:t>
      </w:r>
      <w:r>
        <w:rPr>
          <w:rFonts w:hint="eastAsia" w:ascii="宋体" w:hAnsi="宋体" w:eastAsia="宋体" w:cs="宋体"/>
          <w:sz w:val="24"/>
          <w:szCs w:val="24"/>
        </w:rPr>
        <w:t>统一指挥，及时组织人员夏季抗旱、抗台，冬季遇积雪必须及时组织人员进行抗雪。遇到树木斜倒时，根据</w:t>
      </w:r>
      <w:r>
        <w:rPr>
          <w:rFonts w:hint="eastAsia" w:ascii="宋体" w:hAnsi="宋体" w:cs="宋体"/>
          <w:sz w:val="24"/>
          <w:szCs w:val="24"/>
          <w:lang w:eastAsia="zh-CN"/>
        </w:rPr>
        <w:t>招标单位</w:t>
      </w:r>
      <w:r>
        <w:rPr>
          <w:rFonts w:hint="eastAsia" w:ascii="宋体" w:hAnsi="宋体" w:eastAsia="宋体" w:cs="宋体"/>
          <w:sz w:val="24"/>
          <w:szCs w:val="24"/>
        </w:rPr>
        <w:t xml:space="preserve">要求，做好清障扶正工作。 </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（4）做好防台树木支撑工作，在政府部门发出台风预警信号以后，立即做好树木支撑工作。</w:t>
      </w:r>
    </w:p>
    <w:p>
      <w:pPr>
        <w:snapToGrid w:val="0"/>
        <w:spacing w:line="360" w:lineRule="auto"/>
        <w:rPr>
          <w:rFonts w:hint="eastAsia" w:ascii="宋体" w:hAnsi="宋体" w:eastAsia="宋体" w:cs="宋体"/>
          <w:b/>
          <w:color w:val="FF0000"/>
          <w:sz w:val="24"/>
          <w:szCs w:val="24"/>
        </w:rPr>
      </w:pPr>
      <w:r>
        <w:rPr>
          <w:rFonts w:hint="eastAsia" w:ascii="宋体" w:hAnsi="宋体" w:eastAsia="宋体" w:cs="宋体"/>
          <w:sz w:val="24"/>
          <w:szCs w:val="24"/>
        </w:rPr>
        <w:t xml:space="preserve">    </w:t>
      </w:r>
      <w:r>
        <w:rPr>
          <w:rFonts w:hint="eastAsia" w:ascii="宋体" w:hAnsi="宋体" w:eastAsia="宋体" w:cs="宋体"/>
          <w:b/>
          <w:color w:val="FF0000"/>
          <w:sz w:val="24"/>
          <w:szCs w:val="24"/>
        </w:rPr>
        <w:t>（5）服务期内应可预见的恶劣天气造成的绿化毁坏，由中标方负责补种、修复工作，费用由中标方承担。</w:t>
      </w:r>
    </w:p>
    <w:p>
      <w:pPr>
        <w:snapToGrid w:val="0"/>
        <w:spacing w:line="360" w:lineRule="auto"/>
        <w:rPr>
          <w:rFonts w:hint="eastAsia" w:ascii="宋体" w:hAnsi="宋体" w:eastAsia="宋体" w:cs="宋体"/>
          <w:b/>
          <w:color w:val="FF0000"/>
          <w:sz w:val="24"/>
          <w:szCs w:val="24"/>
        </w:rPr>
      </w:pPr>
      <w:r>
        <w:rPr>
          <w:rFonts w:hint="eastAsia" w:ascii="宋体" w:hAnsi="宋体" w:eastAsia="宋体" w:cs="宋体"/>
          <w:b/>
          <w:color w:val="FF0000"/>
          <w:sz w:val="24"/>
          <w:szCs w:val="24"/>
        </w:rPr>
        <w:t xml:space="preserve">    （6）服务期内因极端天气或不可抗力造成的绿化毁坏，由中标方负责补种、修复工作，费用由双方协商解决；极端天气或不可抗力的认定由</w:t>
      </w:r>
      <w:r>
        <w:rPr>
          <w:rFonts w:hint="eastAsia" w:ascii="宋体" w:hAnsi="宋体" w:cs="宋体"/>
          <w:b/>
          <w:color w:val="FF0000"/>
          <w:sz w:val="24"/>
          <w:szCs w:val="24"/>
          <w:lang w:eastAsia="zh-CN"/>
        </w:rPr>
        <w:t>招标单位</w:t>
      </w:r>
      <w:r>
        <w:rPr>
          <w:rFonts w:hint="eastAsia" w:ascii="宋体" w:hAnsi="宋体" w:eastAsia="宋体" w:cs="宋体"/>
          <w:b/>
          <w:color w:val="FF0000"/>
          <w:sz w:val="24"/>
          <w:szCs w:val="24"/>
        </w:rPr>
        <w:t>确定的为准。</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3.15积极做好各类“迎检”和“创建”准备工作。</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3.16积极配合经相关部门批准的绿地内挖掘及占用绿地，对于超范围施工情况应当及时予以制止并报</w:t>
      </w:r>
      <w:r>
        <w:rPr>
          <w:rFonts w:hint="eastAsia" w:ascii="宋体" w:hAnsi="宋体" w:cs="宋体"/>
          <w:sz w:val="24"/>
          <w:szCs w:val="24"/>
          <w:lang w:eastAsia="zh-CN"/>
        </w:rPr>
        <w:t>招标单位</w:t>
      </w:r>
      <w:r>
        <w:rPr>
          <w:rFonts w:hint="eastAsia" w:ascii="宋体" w:hAnsi="宋体" w:eastAsia="宋体" w:cs="宋体"/>
          <w:sz w:val="24"/>
          <w:szCs w:val="24"/>
        </w:rPr>
        <w:t>及执法部门。此区域的绿植树木的移植、复种由</w:t>
      </w:r>
      <w:r>
        <w:rPr>
          <w:rFonts w:hint="eastAsia" w:ascii="宋体" w:hAnsi="宋体" w:cs="宋体"/>
          <w:sz w:val="24"/>
          <w:szCs w:val="24"/>
          <w:lang w:eastAsia="zh-CN"/>
        </w:rPr>
        <w:t>中标单位</w:t>
      </w:r>
      <w:r>
        <w:rPr>
          <w:rFonts w:hint="eastAsia" w:ascii="宋体" w:hAnsi="宋体" w:eastAsia="宋体" w:cs="宋体"/>
          <w:sz w:val="24"/>
          <w:szCs w:val="24"/>
        </w:rPr>
        <w:t>负责，复种后的绿地应由</w:t>
      </w:r>
      <w:r>
        <w:rPr>
          <w:rFonts w:hint="eastAsia" w:ascii="宋体" w:hAnsi="宋体" w:cs="宋体"/>
          <w:sz w:val="24"/>
          <w:szCs w:val="24"/>
          <w:lang w:eastAsia="zh-CN"/>
        </w:rPr>
        <w:t>中标单位</w:t>
      </w:r>
      <w:r>
        <w:rPr>
          <w:rFonts w:hint="eastAsia" w:ascii="宋体" w:hAnsi="宋体" w:eastAsia="宋体" w:cs="宋体"/>
          <w:sz w:val="24"/>
          <w:szCs w:val="24"/>
        </w:rPr>
        <w:t>负责正常养护</w:t>
      </w:r>
      <w:r>
        <w:rPr>
          <w:rFonts w:hint="eastAsia" w:ascii="宋体" w:hAnsi="宋体" w:cs="宋体"/>
          <w:sz w:val="24"/>
          <w:szCs w:val="24"/>
          <w:lang w:eastAsia="zh-CN"/>
        </w:rPr>
        <w:t>，</w:t>
      </w:r>
      <w:r>
        <w:rPr>
          <w:rFonts w:hint="eastAsia" w:ascii="宋体" w:hAnsi="宋体" w:cs="宋体"/>
          <w:sz w:val="24"/>
          <w:szCs w:val="24"/>
          <w:lang w:val="en-US" w:eastAsia="zh-CN"/>
        </w:rPr>
        <w:t>该项费用在暂列金</w:t>
      </w:r>
      <w:r>
        <w:rPr>
          <w:rFonts w:hint="eastAsia" w:ascii="宋体" w:hAnsi="宋体" w:eastAsia="宋体" w:cs="宋体"/>
          <w:sz w:val="24"/>
          <w:szCs w:val="24"/>
        </w:rPr>
        <w:t>。</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3.17产生的各种垃圾必须按政府部门的要求进行分类处理，进入垃圾中转站或自有垃圾处理场地，其处理产生费用由</w:t>
      </w:r>
      <w:r>
        <w:rPr>
          <w:rFonts w:hint="eastAsia" w:ascii="宋体" w:hAnsi="宋体" w:cs="宋体"/>
          <w:sz w:val="24"/>
          <w:szCs w:val="24"/>
          <w:lang w:eastAsia="zh-CN"/>
        </w:rPr>
        <w:t>中标单位</w:t>
      </w:r>
      <w:r>
        <w:rPr>
          <w:rFonts w:hint="eastAsia" w:ascii="宋体" w:hAnsi="宋体" w:eastAsia="宋体" w:cs="宋体"/>
          <w:sz w:val="24"/>
          <w:szCs w:val="24"/>
        </w:rPr>
        <w:t>负责。</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3.18建立和健全养护管理档案，对养护管理工作中采集的各种信息、资料及时做好分析整理和归档保存工作，并报送</w:t>
      </w:r>
      <w:r>
        <w:rPr>
          <w:rFonts w:hint="eastAsia" w:ascii="宋体" w:hAnsi="宋体" w:cs="宋体"/>
          <w:sz w:val="24"/>
          <w:szCs w:val="24"/>
          <w:lang w:eastAsia="zh-CN"/>
        </w:rPr>
        <w:t>招标单位</w:t>
      </w:r>
      <w:r>
        <w:rPr>
          <w:rFonts w:hint="eastAsia" w:ascii="宋体" w:hAnsi="宋体" w:eastAsia="宋体" w:cs="宋体"/>
          <w:sz w:val="24"/>
          <w:szCs w:val="24"/>
        </w:rPr>
        <w:t>备案。养护管理期满，将养护管理的所有档案资料及养护范围内的各类植物、设施完好地移交给</w:t>
      </w:r>
      <w:r>
        <w:rPr>
          <w:rFonts w:hint="eastAsia" w:ascii="宋体" w:hAnsi="宋体" w:cs="宋体"/>
          <w:sz w:val="24"/>
          <w:szCs w:val="24"/>
          <w:lang w:eastAsia="zh-CN"/>
        </w:rPr>
        <w:t>招标单位</w:t>
      </w:r>
      <w:r>
        <w:rPr>
          <w:rFonts w:hint="eastAsia" w:ascii="宋体" w:hAnsi="宋体" w:eastAsia="宋体" w:cs="宋体"/>
          <w:sz w:val="24"/>
          <w:szCs w:val="24"/>
        </w:rPr>
        <w:t>。</w:t>
      </w:r>
    </w:p>
    <w:p>
      <w:pPr>
        <w:snapToGrid w:val="0"/>
        <w:spacing w:line="360" w:lineRule="auto"/>
        <w:rPr>
          <w:rFonts w:hint="eastAsia" w:ascii="宋体" w:hAnsi="宋体" w:eastAsia="宋体" w:cs="宋体"/>
          <w:b/>
          <w:color w:val="000000"/>
          <w:kern w:val="0"/>
          <w:sz w:val="24"/>
          <w:szCs w:val="24"/>
        </w:rPr>
      </w:pPr>
      <w:bookmarkStart w:id="48" w:name="_Toc73457994"/>
      <w:bookmarkStart w:id="49" w:name="_Toc72322597"/>
      <w:r>
        <w:rPr>
          <w:rFonts w:hint="eastAsia" w:ascii="宋体" w:hAnsi="宋体" w:eastAsia="宋体" w:cs="宋体"/>
          <w:b/>
          <w:color w:val="000000"/>
          <w:kern w:val="0"/>
          <w:sz w:val="24"/>
          <w:szCs w:val="24"/>
        </w:rPr>
        <w:t>4、项目考核相关规定</w:t>
      </w:r>
      <w:bookmarkEnd w:id="48"/>
      <w:bookmarkEnd w:id="49"/>
    </w:p>
    <w:p>
      <w:pPr>
        <w:snapToGrid w:val="0"/>
        <w:spacing w:line="360" w:lineRule="auto"/>
        <w:rPr>
          <w:rFonts w:hint="eastAsia" w:ascii="宋体" w:hAnsi="宋体" w:eastAsia="宋体" w:cs="宋体"/>
          <w:color w:val="000000"/>
          <w:sz w:val="24"/>
          <w:szCs w:val="24"/>
        </w:rPr>
      </w:pPr>
      <w:r>
        <w:rPr>
          <w:rFonts w:hint="eastAsia" w:ascii="宋体" w:hAnsi="宋体" w:eastAsia="宋体" w:cs="宋体"/>
          <w:sz w:val="24"/>
          <w:szCs w:val="24"/>
        </w:rPr>
        <w:t xml:space="preserve">  4.1</w:t>
      </w:r>
      <w:r>
        <w:rPr>
          <w:rFonts w:hint="eastAsia" w:ascii="宋体" w:hAnsi="宋体" w:cs="宋体"/>
          <w:color w:val="000000"/>
          <w:sz w:val="24"/>
          <w:szCs w:val="24"/>
          <w:lang w:eastAsia="zh-CN"/>
        </w:rPr>
        <w:t>中标单位</w:t>
      </w:r>
      <w:r>
        <w:rPr>
          <w:rFonts w:hint="eastAsia" w:ascii="宋体" w:hAnsi="宋体" w:eastAsia="宋体" w:cs="宋体"/>
          <w:color w:val="000000"/>
          <w:sz w:val="24"/>
          <w:szCs w:val="24"/>
        </w:rPr>
        <w:t>应认真按照园林绿化行业的标准、规范、本合同的要求以及</w:t>
      </w:r>
      <w:r>
        <w:rPr>
          <w:rFonts w:hint="eastAsia" w:ascii="宋体" w:hAnsi="宋体" w:cs="宋体"/>
          <w:color w:val="000000"/>
          <w:sz w:val="24"/>
          <w:szCs w:val="24"/>
          <w:lang w:eastAsia="zh-CN"/>
        </w:rPr>
        <w:t>招标单位</w:t>
      </w:r>
      <w:r>
        <w:rPr>
          <w:rFonts w:hint="eastAsia" w:ascii="宋体" w:hAnsi="宋体" w:eastAsia="宋体" w:cs="宋体"/>
          <w:color w:val="000000"/>
          <w:sz w:val="24"/>
          <w:szCs w:val="24"/>
        </w:rPr>
        <w:t>依据本合同发出的指令进行养护，随时接受</w:t>
      </w:r>
      <w:r>
        <w:rPr>
          <w:rFonts w:hint="eastAsia" w:ascii="宋体" w:hAnsi="宋体" w:cs="宋体"/>
          <w:color w:val="000000"/>
          <w:sz w:val="24"/>
          <w:szCs w:val="24"/>
          <w:lang w:eastAsia="zh-CN"/>
        </w:rPr>
        <w:t>招标单位</w:t>
      </w:r>
      <w:r>
        <w:rPr>
          <w:rFonts w:hint="eastAsia" w:ascii="宋体" w:hAnsi="宋体" w:eastAsia="宋体" w:cs="宋体"/>
          <w:color w:val="000000"/>
          <w:sz w:val="24"/>
          <w:szCs w:val="24"/>
        </w:rPr>
        <w:t>的检查和考核，为检查、考核提供便利条件。</w:t>
      </w:r>
    </w:p>
    <w:p>
      <w:pPr>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4.2</w:t>
      </w:r>
      <w:r>
        <w:rPr>
          <w:rFonts w:hint="eastAsia" w:ascii="宋体" w:hAnsi="宋体" w:cs="宋体"/>
          <w:color w:val="000000"/>
          <w:sz w:val="24"/>
          <w:szCs w:val="24"/>
          <w:lang w:eastAsia="zh-CN"/>
        </w:rPr>
        <w:t>招标单位</w:t>
      </w:r>
      <w:r>
        <w:rPr>
          <w:rFonts w:hint="eastAsia" w:ascii="宋体" w:hAnsi="宋体" w:eastAsia="宋体" w:cs="宋体"/>
          <w:color w:val="000000"/>
          <w:sz w:val="24"/>
          <w:szCs w:val="24"/>
        </w:rPr>
        <w:t>可按照合同约定的时间、标准进行随机检查和定期考核，发现养护质量达不到约定标准的部分，</w:t>
      </w:r>
      <w:r>
        <w:rPr>
          <w:rFonts w:hint="eastAsia" w:ascii="宋体" w:hAnsi="宋体" w:cs="宋体"/>
          <w:color w:val="000000"/>
          <w:sz w:val="24"/>
          <w:szCs w:val="24"/>
          <w:lang w:eastAsia="zh-CN"/>
        </w:rPr>
        <w:t>招标单位</w:t>
      </w:r>
      <w:r>
        <w:rPr>
          <w:rFonts w:hint="eastAsia" w:ascii="宋体" w:hAnsi="宋体" w:eastAsia="宋体" w:cs="宋体"/>
          <w:color w:val="000000"/>
          <w:sz w:val="24"/>
          <w:szCs w:val="24"/>
        </w:rPr>
        <w:t>可要求</w:t>
      </w:r>
      <w:r>
        <w:rPr>
          <w:rFonts w:hint="eastAsia" w:ascii="宋体" w:hAnsi="宋体" w:cs="宋体"/>
          <w:color w:val="000000"/>
          <w:sz w:val="24"/>
          <w:szCs w:val="24"/>
          <w:lang w:eastAsia="zh-CN"/>
        </w:rPr>
        <w:t>中标单位</w:t>
      </w:r>
      <w:r>
        <w:rPr>
          <w:rFonts w:hint="eastAsia" w:ascii="宋体" w:hAnsi="宋体" w:eastAsia="宋体" w:cs="宋体"/>
          <w:color w:val="000000"/>
          <w:sz w:val="24"/>
          <w:szCs w:val="24"/>
        </w:rPr>
        <w:t>采取补种、更换、重做、修复等一切补救措施，直到符合约定标准。因</w:t>
      </w:r>
      <w:r>
        <w:rPr>
          <w:rFonts w:hint="eastAsia" w:ascii="宋体" w:hAnsi="宋体" w:cs="宋体"/>
          <w:color w:val="000000"/>
          <w:sz w:val="24"/>
          <w:szCs w:val="24"/>
          <w:lang w:eastAsia="zh-CN"/>
        </w:rPr>
        <w:t>中标单位</w:t>
      </w:r>
      <w:r>
        <w:rPr>
          <w:rFonts w:hint="eastAsia" w:ascii="宋体" w:hAnsi="宋体" w:eastAsia="宋体" w:cs="宋体"/>
          <w:color w:val="000000"/>
          <w:sz w:val="24"/>
          <w:szCs w:val="24"/>
        </w:rPr>
        <w:t>原因达不到约定标准，由</w:t>
      </w:r>
      <w:r>
        <w:rPr>
          <w:rFonts w:hint="eastAsia" w:ascii="宋体" w:hAnsi="宋体" w:cs="宋体"/>
          <w:color w:val="000000"/>
          <w:sz w:val="24"/>
          <w:szCs w:val="24"/>
          <w:lang w:eastAsia="zh-CN"/>
        </w:rPr>
        <w:t>中标单位</w:t>
      </w:r>
      <w:r>
        <w:rPr>
          <w:rFonts w:hint="eastAsia" w:ascii="宋体" w:hAnsi="宋体" w:eastAsia="宋体" w:cs="宋体"/>
          <w:color w:val="000000"/>
          <w:sz w:val="24"/>
          <w:szCs w:val="24"/>
        </w:rPr>
        <w:t>承担由于采取补救措施而产生的一切费用。</w:t>
      </w:r>
    </w:p>
    <w:p>
      <w:pPr>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4.3检查和考核时间、标准、奖惩措施另行制定，</w:t>
      </w:r>
      <w:r>
        <w:rPr>
          <w:rFonts w:hint="eastAsia" w:ascii="宋体" w:hAnsi="宋体" w:cs="宋体"/>
          <w:color w:val="000000"/>
          <w:sz w:val="24"/>
          <w:szCs w:val="24"/>
          <w:lang w:eastAsia="zh-CN"/>
        </w:rPr>
        <w:t>中标单位</w:t>
      </w:r>
      <w:r>
        <w:rPr>
          <w:rFonts w:hint="eastAsia" w:ascii="宋体" w:hAnsi="宋体" w:eastAsia="宋体" w:cs="宋体"/>
          <w:color w:val="000000"/>
          <w:sz w:val="24"/>
          <w:szCs w:val="24"/>
        </w:rPr>
        <w:t>不得提出异议，考核细则的最终解释权归</w:t>
      </w:r>
      <w:r>
        <w:rPr>
          <w:rFonts w:hint="eastAsia" w:ascii="宋体" w:hAnsi="宋体" w:cs="宋体"/>
          <w:color w:val="000000"/>
          <w:sz w:val="24"/>
          <w:szCs w:val="24"/>
          <w:lang w:eastAsia="zh-CN"/>
        </w:rPr>
        <w:t>招标单位</w:t>
      </w:r>
      <w:r>
        <w:rPr>
          <w:rFonts w:hint="eastAsia" w:ascii="宋体" w:hAnsi="宋体" w:eastAsia="宋体" w:cs="宋体"/>
          <w:color w:val="000000"/>
          <w:sz w:val="24"/>
          <w:szCs w:val="24"/>
        </w:rPr>
        <w:t>单位。</w:t>
      </w:r>
    </w:p>
    <w:p>
      <w:pPr>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4.4因养护不当造成的绿化树木、花卉死亡或损坏由</w:t>
      </w:r>
      <w:r>
        <w:rPr>
          <w:rFonts w:hint="eastAsia" w:ascii="宋体" w:hAnsi="宋体" w:cs="宋体"/>
          <w:color w:val="000000"/>
          <w:sz w:val="24"/>
          <w:szCs w:val="24"/>
          <w:lang w:eastAsia="zh-CN"/>
        </w:rPr>
        <w:t>中标单位</w:t>
      </w:r>
      <w:r>
        <w:rPr>
          <w:rFonts w:hint="eastAsia" w:ascii="宋体" w:hAnsi="宋体" w:eastAsia="宋体" w:cs="宋体"/>
          <w:color w:val="000000"/>
          <w:sz w:val="24"/>
          <w:szCs w:val="24"/>
        </w:rPr>
        <w:t>无偿补种修复。若</w:t>
      </w:r>
      <w:r>
        <w:rPr>
          <w:rFonts w:hint="eastAsia" w:ascii="宋体" w:hAnsi="宋体" w:cs="宋体"/>
          <w:color w:val="000000"/>
          <w:sz w:val="24"/>
          <w:szCs w:val="24"/>
          <w:lang w:eastAsia="zh-CN"/>
        </w:rPr>
        <w:t>中标单位</w:t>
      </w:r>
      <w:r>
        <w:rPr>
          <w:rFonts w:hint="eastAsia" w:ascii="宋体" w:hAnsi="宋体" w:eastAsia="宋体" w:cs="宋体"/>
          <w:color w:val="000000"/>
          <w:sz w:val="24"/>
          <w:szCs w:val="24"/>
        </w:rPr>
        <w:t>认为造成绿化树木、花卉死亡或者损坏的责任不在</w:t>
      </w:r>
      <w:r>
        <w:rPr>
          <w:rFonts w:hint="eastAsia" w:ascii="宋体" w:hAnsi="宋体" w:cs="宋体"/>
          <w:color w:val="000000"/>
          <w:sz w:val="24"/>
          <w:szCs w:val="24"/>
          <w:lang w:eastAsia="zh-CN"/>
        </w:rPr>
        <w:t>中标单位</w:t>
      </w:r>
      <w:r>
        <w:rPr>
          <w:rFonts w:hint="eastAsia" w:ascii="宋体" w:hAnsi="宋体" w:eastAsia="宋体" w:cs="宋体"/>
          <w:color w:val="000000"/>
          <w:sz w:val="24"/>
          <w:szCs w:val="24"/>
        </w:rPr>
        <w:t>，由</w:t>
      </w:r>
      <w:r>
        <w:rPr>
          <w:rFonts w:hint="eastAsia" w:ascii="宋体" w:hAnsi="宋体" w:cs="宋体"/>
          <w:color w:val="000000"/>
          <w:sz w:val="24"/>
          <w:szCs w:val="24"/>
          <w:lang w:eastAsia="zh-CN"/>
        </w:rPr>
        <w:t>中标单位</w:t>
      </w:r>
      <w:r>
        <w:rPr>
          <w:rFonts w:hint="eastAsia" w:ascii="宋体" w:hAnsi="宋体" w:eastAsia="宋体" w:cs="宋体"/>
          <w:color w:val="000000"/>
          <w:sz w:val="24"/>
          <w:szCs w:val="24"/>
        </w:rPr>
        <w:t>承担举证责任。</w:t>
      </w:r>
    </w:p>
    <w:p>
      <w:pPr>
        <w:snapToGrid w:val="0"/>
        <w:spacing w:line="360" w:lineRule="auto"/>
        <w:rPr>
          <w:rFonts w:hint="eastAsia" w:ascii="宋体" w:hAnsi="宋体" w:eastAsia="宋体" w:cs="宋体"/>
          <w:b/>
          <w:color w:val="000000"/>
          <w:kern w:val="0"/>
          <w:sz w:val="24"/>
          <w:szCs w:val="24"/>
        </w:rPr>
      </w:pPr>
      <w:bookmarkStart w:id="50" w:name="_Toc72322598"/>
      <w:bookmarkStart w:id="51" w:name="_Toc73457995"/>
      <w:r>
        <w:rPr>
          <w:rFonts w:hint="eastAsia" w:ascii="宋体" w:hAnsi="宋体" w:eastAsia="宋体" w:cs="宋体"/>
          <w:b/>
          <w:color w:val="000000"/>
          <w:kern w:val="0"/>
          <w:sz w:val="24"/>
          <w:szCs w:val="24"/>
        </w:rPr>
        <w:t>5、养护质量要求</w:t>
      </w:r>
      <w:bookmarkEnd w:id="50"/>
      <w:bookmarkEnd w:id="51"/>
    </w:p>
    <w:p>
      <w:pPr>
        <w:snapToGrid w:val="0"/>
        <w:spacing w:line="360" w:lineRule="auto"/>
        <w:rPr>
          <w:rFonts w:hint="eastAsia" w:ascii="宋体" w:hAnsi="宋体" w:eastAsia="宋体" w:cs="宋体"/>
          <w:sz w:val="24"/>
          <w:szCs w:val="24"/>
        </w:rPr>
      </w:pPr>
      <w:r>
        <w:rPr>
          <w:rFonts w:hint="eastAsia" w:ascii="宋体" w:hAnsi="宋体" w:eastAsia="宋体" w:cs="宋体"/>
          <w:color w:val="000000"/>
          <w:sz w:val="24"/>
          <w:szCs w:val="24"/>
        </w:rPr>
        <w:t xml:space="preserve">  5.1</w:t>
      </w:r>
      <w:r>
        <w:rPr>
          <w:rFonts w:hint="eastAsia" w:ascii="宋体" w:hAnsi="宋体" w:eastAsia="宋体" w:cs="宋体"/>
          <w:sz w:val="24"/>
          <w:szCs w:val="24"/>
        </w:rPr>
        <w:t>质量要求达到招标文件规定的树木养护标准和绿地养护标准以及</w:t>
      </w:r>
      <w:r>
        <w:rPr>
          <w:rFonts w:hint="eastAsia" w:ascii="宋体" w:hAnsi="宋体" w:cs="宋体"/>
          <w:sz w:val="24"/>
          <w:szCs w:val="24"/>
          <w:lang w:eastAsia="zh-CN"/>
        </w:rPr>
        <w:t>招标单位</w:t>
      </w:r>
      <w:r>
        <w:rPr>
          <w:rFonts w:hint="eastAsia" w:ascii="宋体" w:hAnsi="宋体" w:eastAsia="宋体" w:cs="宋体"/>
          <w:sz w:val="24"/>
          <w:szCs w:val="24"/>
        </w:rPr>
        <w:t>考核标准，确保在各类创建检查中不失责任分。</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5.2养护区域内的树木在养护期内应确保达到100%以上成活率，灌木、草坪等在养护期内应确保达到98%以上成活率。</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5.3乔灌木的修剪按相关技术规程进行操作，乔木或大型花灌木冬季必须刷白，及时按防治病虫害；发现枯枝、死枝必须24小时内处理完毕；对花灌木应随时修剪，球形灌木应常年保持形态完整，色块灌木应控制高度及宽度，色块之间界限分明、线条清晰流畅，无缺株、无空洞。对枯死的树木应连同根部在24小时内挖除，并在2天内补种完毕，补种苗木的规格、品种和原苗木基本相同，特殊情况无法补种原规格苗木，需经</w:t>
      </w:r>
      <w:r>
        <w:rPr>
          <w:rFonts w:hint="eastAsia" w:ascii="宋体" w:hAnsi="宋体" w:cs="宋体"/>
          <w:sz w:val="24"/>
          <w:szCs w:val="24"/>
          <w:lang w:eastAsia="zh-CN"/>
        </w:rPr>
        <w:t>招标单位</w:t>
      </w:r>
      <w:r>
        <w:rPr>
          <w:rFonts w:hint="eastAsia" w:ascii="宋体" w:hAnsi="宋体" w:eastAsia="宋体" w:cs="宋体"/>
          <w:sz w:val="24"/>
          <w:szCs w:val="24"/>
        </w:rPr>
        <w:t>同意。</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5.4绿地内各类地被植物覆盖完好（包括桥荫柱的垂直植物），覆盖率达到养护标准要求，植株缺损在二天内补种，补种苗木的品种和原苗木相同。地被植物与乔、灌木的界线清晰，线条流畅。</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5.5草坪随时修剪，草坪草高度不超过养护标准要求，树木周围和草坪边缘应及时切边。常绿草四季应保持绿色，草坪的纯洁度在98%以上，无空秃、黄化现象。对被人为损坏和已发生病害的常绿草坪两天内切除调换，补种时确保草坪的美观和平整。</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5.6行道树植株树冠丰满、完整、茂盛，骨架均匀、树干挺直，具有一定的遮荫及观赏效果。叶片正常，在正常条件下不黄叶，不焦叶，不卷叶，不落叶。植株无徒长枝、病虫枝、过密枝、并生枝、交叉枝、下垂枝、枯枝、伤损枝、碰线枝；及时抹芽；对倾斜老树要及时扶正。不影响照明效果，不遮挡标识标牌。行道树树枝高度不得过低，树枝离地高度至少2.5米。</w:t>
      </w:r>
      <w:bookmarkStart w:id="52" w:name="_Toc72322599"/>
      <w:bookmarkStart w:id="53" w:name="_Toc73457996"/>
    </w:p>
    <w:p>
      <w:pPr>
        <w:snapToGrid w:val="0"/>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6、安全防护及事故处理</w:t>
      </w:r>
      <w:bookmarkEnd w:id="52"/>
      <w:bookmarkEnd w:id="53"/>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6.1</w:t>
      </w:r>
      <w:r>
        <w:rPr>
          <w:rFonts w:hint="eastAsia" w:ascii="宋体" w:hAnsi="宋体" w:cs="宋体"/>
          <w:sz w:val="24"/>
          <w:szCs w:val="24"/>
          <w:lang w:eastAsia="zh-CN"/>
        </w:rPr>
        <w:t>中标单位</w:t>
      </w:r>
      <w:r>
        <w:rPr>
          <w:rFonts w:hint="eastAsia" w:ascii="宋体" w:hAnsi="宋体" w:eastAsia="宋体" w:cs="宋体"/>
          <w:sz w:val="24"/>
          <w:szCs w:val="24"/>
        </w:rPr>
        <w:t>在养护期间，应当严格遵守安全生产作业的有关管理制度，并随时接受行业安全检查人员依法实施的监督检查，采取必要的安全防护措施，消除事故隐患。由于</w:t>
      </w:r>
      <w:r>
        <w:rPr>
          <w:rFonts w:hint="eastAsia" w:ascii="宋体" w:hAnsi="宋体" w:cs="宋体"/>
          <w:sz w:val="24"/>
          <w:szCs w:val="24"/>
          <w:lang w:eastAsia="zh-CN"/>
        </w:rPr>
        <w:t>中标单位</w:t>
      </w:r>
      <w:r>
        <w:rPr>
          <w:rFonts w:hint="eastAsia" w:ascii="宋体" w:hAnsi="宋体" w:eastAsia="宋体" w:cs="宋体"/>
          <w:sz w:val="24"/>
          <w:szCs w:val="24"/>
        </w:rPr>
        <w:t>安全措施不力造成事故的责任和因此发生的费用，由</w:t>
      </w:r>
      <w:r>
        <w:rPr>
          <w:rFonts w:hint="eastAsia" w:ascii="宋体" w:hAnsi="宋体" w:cs="宋体"/>
          <w:sz w:val="24"/>
          <w:szCs w:val="24"/>
          <w:lang w:eastAsia="zh-CN"/>
        </w:rPr>
        <w:t>中标单位</w:t>
      </w:r>
      <w:r>
        <w:rPr>
          <w:rFonts w:hint="eastAsia" w:ascii="宋体" w:hAnsi="宋体" w:eastAsia="宋体" w:cs="宋体"/>
          <w:sz w:val="24"/>
          <w:szCs w:val="24"/>
        </w:rPr>
        <w:t>承担。</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6.2</w:t>
      </w:r>
      <w:r>
        <w:rPr>
          <w:rFonts w:hint="eastAsia" w:ascii="宋体" w:hAnsi="宋体" w:cs="宋体"/>
          <w:sz w:val="24"/>
          <w:szCs w:val="24"/>
          <w:lang w:eastAsia="zh-CN"/>
        </w:rPr>
        <w:t>中标单位</w:t>
      </w:r>
      <w:r>
        <w:rPr>
          <w:rFonts w:hint="eastAsia" w:ascii="宋体" w:hAnsi="宋体" w:eastAsia="宋体" w:cs="宋体"/>
          <w:sz w:val="24"/>
          <w:szCs w:val="24"/>
        </w:rPr>
        <w:t>应对其在养护场地的工作人员进行安全教育，并对他们的安全负责。</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6.3</w:t>
      </w:r>
      <w:r>
        <w:rPr>
          <w:rFonts w:hint="eastAsia" w:ascii="宋体" w:hAnsi="宋体" w:cs="宋体"/>
          <w:sz w:val="24"/>
          <w:szCs w:val="24"/>
          <w:lang w:eastAsia="zh-CN"/>
        </w:rPr>
        <w:t>中标单位</w:t>
      </w:r>
      <w:r>
        <w:rPr>
          <w:rFonts w:hint="eastAsia" w:ascii="宋体" w:hAnsi="宋体" w:eastAsia="宋体" w:cs="宋体"/>
          <w:sz w:val="24"/>
          <w:szCs w:val="24"/>
        </w:rPr>
        <w:t>在从事喷洒农药、控制有害生物、修剪树木、修理设施、清理道路或水体、防台防汛等工作时应自行采取相应的安全防护措施。</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6.4</w:t>
      </w:r>
      <w:r>
        <w:rPr>
          <w:rFonts w:hint="eastAsia" w:ascii="宋体" w:hAnsi="宋体" w:cs="宋体"/>
          <w:sz w:val="24"/>
          <w:szCs w:val="24"/>
          <w:lang w:eastAsia="zh-CN"/>
        </w:rPr>
        <w:t>中标单位</w:t>
      </w:r>
      <w:r>
        <w:rPr>
          <w:rFonts w:hint="eastAsia" w:ascii="宋体" w:hAnsi="宋体" w:eastAsia="宋体" w:cs="宋体"/>
          <w:sz w:val="24"/>
          <w:szCs w:val="24"/>
        </w:rPr>
        <w:t>应保证养护范围内的各项设施能够安全使用，对于存在安全隐患的设施、物品，应及时提请</w:t>
      </w:r>
      <w:r>
        <w:rPr>
          <w:rFonts w:hint="eastAsia" w:ascii="宋体" w:hAnsi="宋体" w:cs="宋体"/>
          <w:sz w:val="24"/>
          <w:szCs w:val="24"/>
          <w:lang w:eastAsia="zh-CN"/>
        </w:rPr>
        <w:t>招标单位</w:t>
      </w:r>
      <w:r>
        <w:rPr>
          <w:rFonts w:hint="eastAsia" w:ascii="宋体" w:hAnsi="宋体" w:eastAsia="宋体" w:cs="宋体"/>
          <w:sz w:val="24"/>
          <w:szCs w:val="24"/>
        </w:rPr>
        <w:t>予以修理或更换。对养护范围内的树林、水体或其他可能造成人员伤亡的场所，</w:t>
      </w:r>
      <w:r>
        <w:rPr>
          <w:rFonts w:hint="eastAsia" w:ascii="宋体" w:hAnsi="宋体" w:cs="宋体"/>
          <w:sz w:val="24"/>
          <w:szCs w:val="24"/>
          <w:lang w:eastAsia="zh-CN"/>
        </w:rPr>
        <w:t>中标单位</w:t>
      </w:r>
      <w:r>
        <w:rPr>
          <w:rFonts w:hint="eastAsia" w:ascii="宋体" w:hAnsi="宋体" w:eastAsia="宋体" w:cs="宋体"/>
          <w:sz w:val="24"/>
          <w:szCs w:val="24"/>
        </w:rPr>
        <w:t>应提请</w:t>
      </w:r>
      <w:r>
        <w:rPr>
          <w:rFonts w:hint="eastAsia" w:ascii="宋体" w:hAnsi="宋体" w:cs="宋体"/>
          <w:sz w:val="24"/>
          <w:szCs w:val="24"/>
          <w:lang w:eastAsia="zh-CN"/>
        </w:rPr>
        <w:t>招标单位</w:t>
      </w:r>
      <w:r>
        <w:rPr>
          <w:rFonts w:hint="eastAsia" w:ascii="宋体" w:hAnsi="宋体" w:eastAsia="宋体" w:cs="宋体"/>
          <w:sz w:val="24"/>
          <w:szCs w:val="24"/>
        </w:rPr>
        <w:t>设置禁止吸烟、禁止火种、禁止游泳等安全警告铭牌。</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6.5</w:t>
      </w:r>
      <w:r>
        <w:rPr>
          <w:rFonts w:hint="eastAsia" w:ascii="宋体" w:hAnsi="宋体" w:cs="宋体"/>
          <w:sz w:val="24"/>
          <w:szCs w:val="24"/>
          <w:lang w:eastAsia="zh-CN"/>
        </w:rPr>
        <w:t>中标单位</w:t>
      </w:r>
      <w:r>
        <w:rPr>
          <w:rFonts w:hint="eastAsia" w:ascii="宋体" w:hAnsi="宋体" w:eastAsia="宋体" w:cs="宋体"/>
          <w:sz w:val="24"/>
          <w:szCs w:val="24"/>
        </w:rPr>
        <w:t>对土壤进行消毒或防治病虫害时，应使用符合环保要求的药剂，不得使用国家禁止使用的剧毒、高残留或可能造成其它公害的药剂。</w:t>
      </w:r>
      <w:r>
        <w:rPr>
          <w:rFonts w:hint="eastAsia" w:ascii="宋体" w:hAnsi="宋体" w:cs="宋体"/>
          <w:sz w:val="24"/>
          <w:szCs w:val="24"/>
          <w:lang w:eastAsia="zh-CN"/>
        </w:rPr>
        <w:t>中标单位</w:t>
      </w:r>
      <w:r>
        <w:rPr>
          <w:rFonts w:hint="eastAsia" w:ascii="宋体" w:hAnsi="宋体" w:eastAsia="宋体" w:cs="宋体"/>
          <w:sz w:val="24"/>
          <w:szCs w:val="24"/>
        </w:rPr>
        <w:t>喷洒药物之前，须将喷洒时间、药物种类提前报</w:t>
      </w:r>
      <w:r>
        <w:rPr>
          <w:rFonts w:hint="eastAsia" w:ascii="宋体" w:hAnsi="宋体" w:cs="宋体"/>
          <w:sz w:val="24"/>
          <w:szCs w:val="24"/>
          <w:lang w:eastAsia="zh-CN"/>
        </w:rPr>
        <w:t>招标单位</w:t>
      </w:r>
      <w:r>
        <w:rPr>
          <w:rFonts w:hint="eastAsia" w:ascii="宋体" w:hAnsi="宋体" w:eastAsia="宋体" w:cs="宋体"/>
          <w:sz w:val="24"/>
          <w:szCs w:val="24"/>
        </w:rPr>
        <w:t>批准，按</w:t>
      </w:r>
      <w:r>
        <w:rPr>
          <w:rFonts w:hint="eastAsia" w:ascii="宋体" w:hAnsi="宋体" w:cs="宋体"/>
          <w:sz w:val="24"/>
          <w:szCs w:val="24"/>
          <w:lang w:eastAsia="zh-CN"/>
        </w:rPr>
        <w:t>招标单位</w:t>
      </w:r>
      <w:r>
        <w:rPr>
          <w:rFonts w:hint="eastAsia" w:ascii="宋体" w:hAnsi="宋体" w:eastAsia="宋体" w:cs="宋体"/>
          <w:sz w:val="24"/>
          <w:szCs w:val="24"/>
        </w:rPr>
        <w:t>批准的时间和路线进行喷洒。瓜果类植物在挂果期间不得碰洒药剂，以防发生意外。残留药剂和容器，</w:t>
      </w:r>
      <w:r>
        <w:rPr>
          <w:rFonts w:hint="eastAsia" w:ascii="宋体" w:hAnsi="宋体" w:cs="宋体"/>
          <w:sz w:val="24"/>
          <w:szCs w:val="24"/>
          <w:lang w:eastAsia="zh-CN"/>
        </w:rPr>
        <w:t>中标单位</w:t>
      </w:r>
      <w:r>
        <w:rPr>
          <w:rFonts w:hint="eastAsia" w:ascii="宋体" w:hAnsi="宋体" w:eastAsia="宋体" w:cs="宋体"/>
          <w:sz w:val="24"/>
          <w:szCs w:val="24"/>
        </w:rPr>
        <w:t>应按规定妥善收集和处理。</w:t>
      </w:r>
      <w:r>
        <w:rPr>
          <w:rFonts w:hint="eastAsia" w:ascii="宋体" w:hAnsi="宋体" w:cs="宋体"/>
          <w:sz w:val="24"/>
          <w:szCs w:val="24"/>
          <w:lang w:eastAsia="zh-CN"/>
        </w:rPr>
        <w:t>中标单位</w:t>
      </w:r>
      <w:r>
        <w:rPr>
          <w:rFonts w:hint="eastAsia" w:ascii="宋体" w:hAnsi="宋体" w:eastAsia="宋体" w:cs="宋体"/>
          <w:sz w:val="24"/>
          <w:szCs w:val="24"/>
        </w:rPr>
        <w:t>未按规定使用药剂，造成的责任由</w:t>
      </w:r>
      <w:r>
        <w:rPr>
          <w:rFonts w:hint="eastAsia" w:ascii="宋体" w:hAnsi="宋体" w:cs="宋体"/>
          <w:sz w:val="24"/>
          <w:szCs w:val="24"/>
          <w:lang w:eastAsia="zh-CN"/>
        </w:rPr>
        <w:t>中标单位</w:t>
      </w:r>
      <w:r>
        <w:rPr>
          <w:rFonts w:hint="eastAsia" w:ascii="宋体" w:hAnsi="宋体" w:eastAsia="宋体" w:cs="宋体"/>
          <w:sz w:val="24"/>
          <w:szCs w:val="24"/>
        </w:rPr>
        <w:t>自行承担。</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6.6养护期间，</w:t>
      </w:r>
      <w:r>
        <w:rPr>
          <w:rFonts w:hint="eastAsia" w:ascii="宋体" w:hAnsi="宋体" w:cs="宋体"/>
          <w:sz w:val="24"/>
          <w:szCs w:val="24"/>
          <w:lang w:eastAsia="zh-CN"/>
        </w:rPr>
        <w:t>中标单位</w:t>
      </w:r>
      <w:r>
        <w:rPr>
          <w:rFonts w:hint="eastAsia" w:ascii="宋体" w:hAnsi="宋体" w:eastAsia="宋体" w:cs="宋体"/>
          <w:sz w:val="24"/>
          <w:szCs w:val="24"/>
        </w:rPr>
        <w:t>应遵守国家有关环境保护的政策、法规。</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6.7</w:t>
      </w:r>
      <w:r>
        <w:rPr>
          <w:rFonts w:hint="eastAsia" w:ascii="宋体" w:hAnsi="宋体" w:cs="宋体"/>
          <w:sz w:val="24"/>
          <w:szCs w:val="24"/>
          <w:lang w:eastAsia="zh-CN"/>
        </w:rPr>
        <w:t>中标单位</w:t>
      </w:r>
      <w:r>
        <w:rPr>
          <w:rFonts w:hint="eastAsia" w:ascii="宋体" w:hAnsi="宋体" w:eastAsia="宋体" w:cs="宋体"/>
          <w:sz w:val="24"/>
          <w:szCs w:val="24"/>
        </w:rPr>
        <w:t>应按合同约定进行施肥、沤肥。施肥、沤肥不得造成绿化景观和周边环境污染。</w:t>
      </w:r>
    </w:p>
    <w:p>
      <w:pPr>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6.8</w:t>
      </w:r>
      <w:bookmarkStart w:id="54" w:name="_Toc72322600"/>
      <w:bookmarkStart w:id="55" w:name="_Toc73457997"/>
      <w:r>
        <w:rPr>
          <w:rFonts w:hint="eastAsia" w:ascii="宋体" w:hAnsi="宋体" w:eastAsia="宋体" w:cs="宋体"/>
          <w:sz w:val="24"/>
          <w:szCs w:val="24"/>
        </w:rPr>
        <w:t>养护期间，若发生安全事故，引起的事故纠纷、经济责任、法律责任，均由</w:t>
      </w:r>
      <w:r>
        <w:rPr>
          <w:rFonts w:hint="eastAsia" w:ascii="宋体" w:hAnsi="宋体" w:cs="宋体"/>
          <w:sz w:val="24"/>
          <w:szCs w:val="24"/>
          <w:lang w:eastAsia="zh-CN"/>
        </w:rPr>
        <w:t>中标单位</w:t>
      </w:r>
      <w:r>
        <w:rPr>
          <w:rFonts w:hint="eastAsia" w:ascii="宋体" w:hAnsi="宋体" w:eastAsia="宋体" w:cs="宋体"/>
          <w:sz w:val="24"/>
          <w:szCs w:val="24"/>
        </w:rPr>
        <w:t>承担责任，与</w:t>
      </w:r>
      <w:r>
        <w:rPr>
          <w:rFonts w:hint="eastAsia" w:ascii="宋体" w:hAnsi="宋体" w:cs="宋体"/>
          <w:sz w:val="24"/>
          <w:szCs w:val="24"/>
          <w:lang w:eastAsia="zh-CN"/>
        </w:rPr>
        <w:t>招标单位</w:t>
      </w:r>
      <w:r>
        <w:rPr>
          <w:rFonts w:hint="eastAsia" w:ascii="宋体" w:hAnsi="宋体" w:eastAsia="宋体" w:cs="宋体"/>
          <w:sz w:val="24"/>
          <w:szCs w:val="24"/>
        </w:rPr>
        <w:t>无关。</w:t>
      </w:r>
    </w:p>
    <w:p>
      <w:pPr>
        <w:snapToGrid w:val="0"/>
        <w:spacing w:line="360" w:lineRule="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7、其他要求</w:t>
      </w:r>
      <w:bookmarkEnd w:id="54"/>
      <w:bookmarkEnd w:id="55"/>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7.1</w:t>
      </w:r>
      <w:r>
        <w:rPr>
          <w:rFonts w:hint="eastAsia" w:ascii="宋体" w:hAnsi="宋体" w:cs="宋体"/>
          <w:sz w:val="24"/>
          <w:szCs w:val="24"/>
          <w:lang w:eastAsia="zh-CN"/>
        </w:rPr>
        <w:t>中标单位</w:t>
      </w:r>
      <w:r>
        <w:rPr>
          <w:rFonts w:hint="eastAsia" w:ascii="宋体" w:hAnsi="宋体" w:eastAsia="宋体" w:cs="宋体"/>
          <w:sz w:val="24"/>
          <w:szCs w:val="24"/>
        </w:rPr>
        <w:t>必须做好与有关专业管线单位的配合工作。</w:t>
      </w:r>
    </w:p>
    <w:p>
      <w:pPr>
        <w:adjustRightInd w:val="0"/>
        <w:snapToGrid w:val="0"/>
        <w:spacing w:line="360" w:lineRule="auto"/>
        <w:rPr>
          <w:rFonts w:hint="eastAsia" w:ascii="宋体" w:hAnsi="宋体" w:eastAsia="宋体" w:cs="宋体"/>
          <w:b/>
          <w:color w:val="FF0000"/>
          <w:sz w:val="24"/>
          <w:szCs w:val="24"/>
        </w:rPr>
      </w:pPr>
      <w:r>
        <w:rPr>
          <w:rFonts w:hint="eastAsia" w:ascii="宋体" w:hAnsi="宋体" w:eastAsia="宋体" w:cs="宋体"/>
          <w:sz w:val="24"/>
          <w:szCs w:val="24"/>
        </w:rPr>
        <w:t xml:space="preserve">  </w:t>
      </w:r>
      <w:r>
        <w:rPr>
          <w:rFonts w:hint="eastAsia" w:ascii="宋体" w:hAnsi="宋体" w:eastAsia="宋体" w:cs="宋体"/>
          <w:b/>
          <w:color w:val="FF0000"/>
          <w:sz w:val="24"/>
          <w:szCs w:val="24"/>
        </w:rPr>
        <w:t>7.2养护期内造成（包括自然原因造成）的绿化树木、花卉、草皮等死亡或损坏由</w:t>
      </w:r>
      <w:r>
        <w:rPr>
          <w:rFonts w:hint="eastAsia" w:ascii="宋体" w:hAnsi="宋体" w:cs="宋体"/>
          <w:b/>
          <w:color w:val="FF0000"/>
          <w:sz w:val="24"/>
          <w:szCs w:val="24"/>
          <w:lang w:eastAsia="zh-CN"/>
        </w:rPr>
        <w:t>中标单位</w:t>
      </w:r>
      <w:r>
        <w:rPr>
          <w:rFonts w:hint="eastAsia" w:ascii="宋体" w:hAnsi="宋体" w:eastAsia="宋体" w:cs="宋体"/>
          <w:b/>
          <w:color w:val="FF0000"/>
          <w:sz w:val="24"/>
          <w:szCs w:val="24"/>
        </w:rPr>
        <w:t>无偿补种修复，所有费用均由</w:t>
      </w:r>
      <w:r>
        <w:rPr>
          <w:rFonts w:hint="eastAsia" w:ascii="宋体" w:hAnsi="宋体" w:cs="宋体"/>
          <w:b/>
          <w:color w:val="FF0000"/>
          <w:sz w:val="24"/>
          <w:szCs w:val="24"/>
          <w:lang w:eastAsia="zh-CN"/>
        </w:rPr>
        <w:t>中标单位</w:t>
      </w:r>
      <w:r>
        <w:rPr>
          <w:rFonts w:hint="eastAsia" w:ascii="宋体" w:hAnsi="宋体" w:eastAsia="宋体" w:cs="宋体"/>
          <w:b/>
          <w:color w:val="FF0000"/>
          <w:sz w:val="24"/>
          <w:szCs w:val="24"/>
        </w:rPr>
        <w:t>处理，</w:t>
      </w:r>
      <w:r>
        <w:rPr>
          <w:rFonts w:hint="eastAsia" w:ascii="宋体" w:hAnsi="宋体" w:cs="宋体"/>
          <w:b/>
          <w:color w:val="FF0000"/>
          <w:sz w:val="24"/>
          <w:szCs w:val="24"/>
          <w:lang w:eastAsia="zh-CN"/>
        </w:rPr>
        <w:t>招标单位</w:t>
      </w:r>
      <w:r>
        <w:rPr>
          <w:rFonts w:hint="eastAsia" w:ascii="宋体" w:hAnsi="宋体" w:eastAsia="宋体" w:cs="宋体"/>
          <w:b/>
          <w:color w:val="FF0000"/>
          <w:sz w:val="24"/>
          <w:szCs w:val="24"/>
        </w:rPr>
        <w:t>不予另行支付费用。</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cs="宋体"/>
          <w:sz w:val="24"/>
          <w:szCs w:val="24"/>
          <w:lang w:eastAsia="zh-CN"/>
        </w:rPr>
        <w:t>中标单位</w:t>
      </w:r>
      <w:r>
        <w:rPr>
          <w:rFonts w:hint="eastAsia" w:ascii="宋体" w:hAnsi="宋体" w:eastAsia="宋体" w:cs="宋体"/>
          <w:sz w:val="24"/>
          <w:szCs w:val="24"/>
        </w:rPr>
        <w:t>应在成交后</w:t>
      </w:r>
      <w:r>
        <w:rPr>
          <w:rFonts w:hint="eastAsia" w:ascii="宋体" w:hAnsi="宋体" w:eastAsia="宋体" w:cs="宋体"/>
          <w:sz w:val="24"/>
          <w:szCs w:val="24"/>
          <w:u w:val="single"/>
        </w:rPr>
        <w:t>15</w:t>
      </w:r>
      <w:r>
        <w:rPr>
          <w:rFonts w:hint="eastAsia" w:ascii="宋体" w:hAnsi="宋体" w:eastAsia="宋体" w:cs="宋体"/>
          <w:sz w:val="24"/>
          <w:szCs w:val="24"/>
        </w:rPr>
        <w:t>天内，制定养护期内相应的总体绿化养护管理方案，报请</w:t>
      </w:r>
      <w:r>
        <w:rPr>
          <w:rFonts w:hint="eastAsia" w:ascii="宋体" w:hAnsi="宋体" w:cs="宋体"/>
          <w:sz w:val="24"/>
          <w:szCs w:val="24"/>
          <w:lang w:eastAsia="zh-CN"/>
        </w:rPr>
        <w:t>招标单位</w:t>
      </w:r>
      <w:r>
        <w:rPr>
          <w:rFonts w:hint="eastAsia" w:ascii="宋体" w:hAnsi="宋体" w:eastAsia="宋体" w:cs="宋体"/>
          <w:sz w:val="24"/>
          <w:szCs w:val="24"/>
        </w:rPr>
        <w:t>审核批准，作为实施依据。养护方案应包括合理的人员与机具配备、养护措施、应急处理预案及规章制度等相关内容。</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7.4建立完善的养护班组，制定养护岗位职责以及各岗位规范、操作规程、养护制度（包括节假日值班制度、防汛防台期间的值班制度和应急抢险工作制度）。根据合同约定，配备技术管理人员和养护操作人员等，并将岗位规范、操作规程、管理制度及工作人员的名单交</w:t>
      </w:r>
      <w:r>
        <w:rPr>
          <w:rFonts w:hint="eastAsia" w:ascii="宋体" w:hAnsi="宋体" w:cs="宋体"/>
          <w:sz w:val="24"/>
          <w:szCs w:val="24"/>
          <w:lang w:eastAsia="zh-CN"/>
        </w:rPr>
        <w:t>招标单位</w:t>
      </w:r>
      <w:r>
        <w:rPr>
          <w:rFonts w:hint="eastAsia" w:ascii="宋体" w:hAnsi="宋体" w:eastAsia="宋体" w:cs="宋体"/>
          <w:sz w:val="24"/>
          <w:szCs w:val="24"/>
        </w:rPr>
        <w:t>审批备案。</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7.5</w:t>
      </w:r>
      <w:r>
        <w:rPr>
          <w:rFonts w:hint="eastAsia" w:ascii="宋体" w:hAnsi="宋体" w:cs="宋体"/>
          <w:sz w:val="24"/>
          <w:szCs w:val="24"/>
          <w:lang w:eastAsia="zh-CN"/>
        </w:rPr>
        <w:t>中标单位</w:t>
      </w:r>
      <w:r>
        <w:rPr>
          <w:rFonts w:hint="eastAsia" w:ascii="宋体" w:hAnsi="宋体" w:eastAsia="宋体" w:cs="宋体"/>
          <w:sz w:val="24"/>
          <w:szCs w:val="24"/>
        </w:rPr>
        <w:t>负责工作人员的劳动保护和人身安全。除双方另有约定外，养护工作人员的餐饮、住宿由</w:t>
      </w:r>
      <w:r>
        <w:rPr>
          <w:rFonts w:hint="eastAsia" w:ascii="宋体" w:hAnsi="宋体" w:cs="宋体"/>
          <w:sz w:val="24"/>
          <w:szCs w:val="24"/>
          <w:lang w:eastAsia="zh-CN"/>
        </w:rPr>
        <w:t>中标单位</w:t>
      </w:r>
      <w:r>
        <w:rPr>
          <w:rFonts w:hint="eastAsia" w:ascii="宋体" w:hAnsi="宋体" w:eastAsia="宋体" w:cs="宋体"/>
          <w:sz w:val="24"/>
          <w:szCs w:val="24"/>
        </w:rPr>
        <w:t>自行承担。</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cs="宋体"/>
          <w:sz w:val="24"/>
          <w:szCs w:val="24"/>
          <w:lang w:eastAsia="zh-CN"/>
        </w:rPr>
        <w:t>中标单位</w:t>
      </w:r>
      <w:r>
        <w:rPr>
          <w:rFonts w:hint="eastAsia" w:ascii="宋体" w:hAnsi="宋体" w:eastAsia="宋体" w:cs="宋体"/>
          <w:sz w:val="24"/>
          <w:szCs w:val="24"/>
        </w:rPr>
        <w:t>不得随意更改绿地性质和植物品种，如确需更改的应报经</w:t>
      </w:r>
      <w:r>
        <w:rPr>
          <w:rFonts w:hint="eastAsia" w:ascii="宋体" w:hAnsi="宋体" w:cs="宋体"/>
          <w:sz w:val="24"/>
          <w:szCs w:val="24"/>
          <w:lang w:eastAsia="zh-CN"/>
        </w:rPr>
        <w:t>招标单位</w:t>
      </w:r>
      <w:r>
        <w:rPr>
          <w:rFonts w:hint="eastAsia" w:ascii="宋体" w:hAnsi="宋体" w:eastAsia="宋体" w:cs="宋体"/>
          <w:sz w:val="24"/>
          <w:szCs w:val="24"/>
        </w:rPr>
        <w:t>同意。</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7.7养护期内产生的事故纠纷由养护单位自行承担相关责任以及所产生的费用。</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7.8第三方安全责任条款：如中标单位在服务过程中未能按</w:t>
      </w:r>
      <w:r>
        <w:rPr>
          <w:rFonts w:hint="eastAsia" w:ascii="宋体" w:hAnsi="宋体" w:cs="宋体"/>
          <w:sz w:val="24"/>
          <w:szCs w:val="24"/>
          <w:lang w:eastAsia="zh-CN"/>
        </w:rPr>
        <w:t>招标单位</w:t>
      </w:r>
      <w:r>
        <w:rPr>
          <w:rFonts w:hint="eastAsia" w:ascii="宋体" w:hAnsi="宋体" w:eastAsia="宋体" w:cs="宋体"/>
          <w:sz w:val="24"/>
          <w:szCs w:val="24"/>
        </w:rPr>
        <w:t>要求及时完成维护任务，出现质量、安全等事故的，将视情节轻重作出处罚，造成的损失由中标单位承担；如中标单位中途未能严格执行合同（出现不响应</w:t>
      </w:r>
      <w:r>
        <w:rPr>
          <w:rFonts w:hint="eastAsia" w:ascii="宋体" w:hAnsi="宋体" w:cs="宋体"/>
          <w:sz w:val="24"/>
          <w:szCs w:val="24"/>
          <w:lang w:eastAsia="zh-CN"/>
        </w:rPr>
        <w:t>招标单位</w:t>
      </w:r>
      <w:r>
        <w:rPr>
          <w:rFonts w:hint="eastAsia" w:ascii="宋体" w:hAnsi="宋体" w:eastAsia="宋体" w:cs="宋体"/>
          <w:sz w:val="24"/>
          <w:szCs w:val="24"/>
        </w:rPr>
        <w:t>要求等情况），造成严重后果的，</w:t>
      </w:r>
      <w:r>
        <w:rPr>
          <w:rFonts w:hint="eastAsia" w:ascii="宋体" w:hAnsi="宋体" w:cs="宋体"/>
          <w:sz w:val="24"/>
          <w:szCs w:val="24"/>
          <w:lang w:eastAsia="zh-CN"/>
        </w:rPr>
        <w:t>招标单位</w:t>
      </w:r>
      <w:r>
        <w:rPr>
          <w:rFonts w:hint="eastAsia" w:ascii="宋体" w:hAnsi="宋体" w:eastAsia="宋体" w:cs="宋体"/>
          <w:sz w:val="24"/>
          <w:szCs w:val="24"/>
        </w:rPr>
        <w:t>有权解除合同，并将扣除全额履约保证金。</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7.9少数因特殊要求的区域，</w:t>
      </w:r>
      <w:r>
        <w:rPr>
          <w:rFonts w:hint="eastAsia" w:ascii="宋体" w:hAnsi="宋体" w:cs="宋体"/>
          <w:sz w:val="24"/>
          <w:szCs w:val="24"/>
          <w:lang w:eastAsia="zh-CN"/>
        </w:rPr>
        <w:t>招标单位</w:t>
      </w:r>
      <w:r>
        <w:rPr>
          <w:rFonts w:hint="eastAsia" w:ascii="宋体" w:hAnsi="宋体" w:eastAsia="宋体" w:cs="宋体"/>
          <w:sz w:val="24"/>
          <w:szCs w:val="24"/>
        </w:rPr>
        <w:t>可根据需求，制定不同标段中标单位跨养护区域或其他单位实施，</w:t>
      </w:r>
      <w:r>
        <w:rPr>
          <w:rFonts w:hint="eastAsia" w:ascii="宋体" w:hAnsi="宋体" w:cs="宋体"/>
          <w:sz w:val="24"/>
          <w:szCs w:val="24"/>
          <w:lang w:eastAsia="zh-CN"/>
        </w:rPr>
        <w:t>中标单位</w:t>
      </w:r>
      <w:r>
        <w:rPr>
          <w:rFonts w:hint="eastAsia" w:ascii="宋体" w:hAnsi="宋体" w:eastAsia="宋体" w:cs="宋体"/>
          <w:sz w:val="24"/>
          <w:szCs w:val="24"/>
        </w:rPr>
        <w:t>不得对此提出异议。</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7.10</w:t>
      </w:r>
      <w:r>
        <w:rPr>
          <w:rFonts w:hint="eastAsia" w:ascii="宋体" w:hAnsi="宋体" w:cs="宋体"/>
          <w:sz w:val="24"/>
          <w:szCs w:val="24"/>
          <w:lang w:eastAsia="zh-CN"/>
        </w:rPr>
        <w:t>招标单位</w:t>
      </w:r>
      <w:r>
        <w:rPr>
          <w:rFonts w:hint="eastAsia" w:ascii="宋体" w:hAnsi="宋体" w:eastAsia="宋体" w:cs="宋体"/>
          <w:sz w:val="24"/>
          <w:szCs w:val="24"/>
        </w:rPr>
        <w:t>有权提出认为不称职的主要管理、技术人员的更换，直至满意为止。</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7.11合同期内，因道路施工、绿化移交、项目施工等客观原因导致绿化养护工程量（包含相关绿植树木的移植、复种）发生变化的，费用按实际工程量和养护时间结算。</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7.1</w:t>
      </w:r>
      <w:r>
        <w:rPr>
          <w:rFonts w:hint="eastAsia" w:ascii="宋体" w:hAnsi="宋体" w:cs="宋体"/>
          <w:sz w:val="24"/>
          <w:szCs w:val="24"/>
          <w:lang w:val="en-US" w:eastAsia="zh-CN"/>
        </w:rPr>
        <w:t>2</w:t>
      </w:r>
      <w:r>
        <w:rPr>
          <w:rFonts w:hint="eastAsia" w:ascii="宋体" w:hAnsi="宋体" w:cs="宋体"/>
          <w:sz w:val="24"/>
          <w:szCs w:val="24"/>
          <w:lang w:eastAsia="zh-CN"/>
        </w:rPr>
        <w:t>中标单位</w:t>
      </w:r>
      <w:r>
        <w:rPr>
          <w:rFonts w:hint="eastAsia" w:ascii="宋体" w:hAnsi="宋体" w:eastAsia="宋体" w:cs="宋体"/>
          <w:sz w:val="24"/>
          <w:szCs w:val="24"/>
        </w:rPr>
        <w:t>须在中标公示结束后3个工作日内向</w:t>
      </w:r>
      <w:r>
        <w:rPr>
          <w:rFonts w:hint="eastAsia" w:ascii="宋体" w:hAnsi="宋体" w:cs="宋体"/>
          <w:sz w:val="24"/>
          <w:szCs w:val="24"/>
          <w:lang w:eastAsia="zh-CN"/>
        </w:rPr>
        <w:t>招标单位</w:t>
      </w:r>
      <w:r>
        <w:rPr>
          <w:rFonts w:hint="eastAsia" w:ascii="宋体" w:hAnsi="宋体" w:eastAsia="宋体" w:cs="宋体"/>
          <w:sz w:val="24"/>
          <w:szCs w:val="24"/>
        </w:rPr>
        <w:t>提交在项目实施地已购买或已租赁的200平方米及以上办公场所或仓库的证明材料，未按时提交相应证明材料的视为违约，</w:t>
      </w:r>
      <w:r>
        <w:rPr>
          <w:rFonts w:hint="eastAsia" w:ascii="宋体" w:hAnsi="宋体" w:cs="宋体"/>
          <w:sz w:val="24"/>
          <w:szCs w:val="24"/>
          <w:lang w:eastAsia="zh-CN"/>
        </w:rPr>
        <w:t>招标单位</w:t>
      </w:r>
      <w:r>
        <w:rPr>
          <w:rFonts w:hint="eastAsia" w:ascii="宋体" w:hAnsi="宋体" w:eastAsia="宋体" w:cs="宋体"/>
          <w:sz w:val="24"/>
          <w:szCs w:val="24"/>
        </w:rPr>
        <w:t>有权终止后续程序。</w:t>
      </w:r>
    </w:p>
    <w:p>
      <w:pPr>
        <w:pStyle w:val="27"/>
        <w:spacing w:after="0" w:line="360" w:lineRule="auto"/>
        <w:ind w:firstLine="241"/>
        <w:rPr>
          <w:rFonts w:hint="eastAsia" w:ascii="宋体" w:hAnsi="宋体" w:eastAsia="宋体" w:cs="宋体"/>
          <w:b/>
          <w:color w:val="FF0000"/>
          <w:sz w:val="24"/>
          <w:szCs w:val="24"/>
        </w:rPr>
      </w:pPr>
      <w:r>
        <w:rPr>
          <w:rFonts w:hint="eastAsia" w:ascii="宋体" w:hAnsi="宋体" w:eastAsia="宋体" w:cs="宋体"/>
          <w:b/>
          <w:color w:val="FF0000"/>
          <w:sz w:val="24"/>
          <w:szCs w:val="24"/>
        </w:rPr>
        <w:t>7.1</w:t>
      </w:r>
      <w:r>
        <w:rPr>
          <w:rFonts w:hint="eastAsia" w:ascii="宋体" w:hAnsi="宋体" w:cs="宋体"/>
          <w:b/>
          <w:color w:val="FF0000"/>
          <w:sz w:val="24"/>
          <w:szCs w:val="24"/>
          <w:lang w:val="en-US" w:eastAsia="zh-CN"/>
        </w:rPr>
        <w:t>3</w:t>
      </w:r>
      <w:r>
        <w:rPr>
          <w:rFonts w:hint="eastAsia" w:ascii="宋体" w:hAnsi="宋体" w:cs="宋体"/>
          <w:b/>
          <w:color w:val="FF0000"/>
          <w:sz w:val="24"/>
          <w:szCs w:val="24"/>
          <w:lang w:eastAsia="zh-CN"/>
        </w:rPr>
        <w:t>中标单位</w:t>
      </w:r>
      <w:r>
        <w:rPr>
          <w:rFonts w:hint="eastAsia" w:ascii="宋体" w:hAnsi="宋体" w:eastAsia="宋体" w:cs="宋体"/>
          <w:b/>
          <w:color w:val="FF0000"/>
          <w:sz w:val="24"/>
          <w:szCs w:val="24"/>
        </w:rPr>
        <w:t>必须严格按照</w:t>
      </w:r>
      <w:r>
        <w:rPr>
          <w:rFonts w:hint="eastAsia" w:ascii="宋体" w:hAnsi="宋体" w:cs="宋体"/>
          <w:b/>
          <w:color w:val="FF0000"/>
          <w:sz w:val="24"/>
          <w:szCs w:val="24"/>
          <w:lang w:eastAsia="zh-CN"/>
        </w:rPr>
        <w:t>招标单位</w:t>
      </w:r>
      <w:r>
        <w:rPr>
          <w:rFonts w:hint="eastAsia" w:ascii="宋体" w:hAnsi="宋体" w:eastAsia="宋体" w:cs="宋体"/>
          <w:b/>
          <w:color w:val="FF0000"/>
          <w:sz w:val="24"/>
          <w:szCs w:val="24"/>
        </w:rPr>
        <w:t>安排的进度完成项目，如果</w:t>
      </w:r>
      <w:r>
        <w:rPr>
          <w:rFonts w:hint="eastAsia" w:ascii="宋体" w:hAnsi="宋体" w:cs="宋体"/>
          <w:b/>
          <w:color w:val="FF0000"/>
          <w:sz w:val="24"/>
          <w:szCs w:val="24"/>
          <w:lang w:eastAsia="zh-CN"/>
        </w:rPr>
        <w:t>招标单位</w:t>
      </w:r>
      <w:r>
        <w:rPr>
          <w:rFonts w:hint="eastAsia" w:ascii="宋体" w:hAnsi="宋体" w:eastAsia="宋体" w:cs="宋体"/>
          <w:b/>
          <w:color w:val="FF0000"/>
          <w:sz w:val="24"/>
          <w:szCs w:val="24"/>
        </w:rPr>
        <w:t>发出服务指令后</w:t>
      </w:r>
      <w:r>
        <w:rPr>
          <w:rFonts w:hint="eastAsia" w:ascii="宋体" w:hAnsi="宋体" w:eastAsia="宋体" w:cs="宋体"/>
          <w:b/>
          <w:color w:val="FF0000"/>
          <w:sz w:val="24"/>
          <w:szCs w:val="24"/>
          <w:lang w:val="en-US" w:eastAsia="zh-CN"/>
        </w:rPr>
        <w:t>24小时</w:t>
      </w:r>
      <w:r>
        <w:rPr>
          <w:rFonts w:hint="eastAsia" w:ascii="宋体" w:hAnsi="宋体" w:eastAsia="宋体" w:cs="宋体"/>
          <w:b/>
          <w:color w:val="FF0000"/>
          <w:sz w:val="24"/>
          <w:szCs w:val="24"/>
        </w:rPr>
        <w:t>内</w:t>
      </w:r>
      <w:r>
        <w:rPr>
          <w:rFonts w:hint="eastAsia" w:ascii="宋体" w:hAnsi="宋体" w:cs="宋体"/>
          <w:b/>
          <w:color w:val="FF0000"/>
          <w:sz w:val="24"/>
          <w:szCs w:val="24"/>
          <w:lang w:eastAsia="zh-CN"/>
        </w:rPr>
        <w:t>中标单位</w:t>
      </w:r>
      <w:r>
        <w:rPr>
          <w:rFonts w:hint="eastAsia" w:ascii="宋体" w:hAnsi="宋体" w:eastAsia="宋体" w:cs="宋体"/>
          <w:b/>
          <w:color w:val="FF0000"/>
          <w:sz w:val="24"/>
          <w:szCs w:val="24"/>
        </w:rPr>
        <w:t>无故不实施，或因</w:t>
      </w:r>
      <w:r>
        <w:rPr>
          <w:rFonts w:hint="eastAsia" w:ascii="宋体" w:hAnsi="宋体" w:cs="宋体"/>
          <w:b/>
          <w:color w:val="FF0000"/>
          <w:sz w:val="24"/>
          <w:szCs w:val="24"/>
          <w:lang w:eastAsia="zh-CN"/>
        </w:rPr>
        <w:t>中标单位</w:t>
      </w:r>
      <w:r>
        <w:rPr>
          <w:rFonts w:hint="eastAsia" w:ascii="宋体" w:hAnsi="宋体" w:eastAsia="宋体" w:cs="宋体"/>
          <w:b/>
          <w:color w:val="FF0000"/>
          <w:sz w:val="24"/>
          <w:szCs w:val="24"/>
        </w:rPr>
        <w:t>原因造成实施时间严重滞后又无明显改进措施的，</w:t>
      </w:r>
      <w:r>
        <w:rPr>
          <w:rFonts w:hint="eastAsia" w:ascii="宋体" w:hAnsi="宋体" w:cs="宋体"/>
          <w:b/>
          <w:color w:val="FF0000"/>
          <w:sz w:val="24"/>
          <w:szCs w:val="24"/>
          <w:lang w:eastAsia="zh-CN"/>
        </w:rPr>
        <w:t>招标单位</w:t>
      </w:r>
      <w:r>
        <w:rPr>
          <w:rFonts w:hint="eastAsia" w:ascii="宋体" w:hAnsi="宋体" w:eastAsia="宋体" w:cs="宋体"/>
          <w:b/>
          <w:color w:val="FF0000"/>
          <w:sz w:val="24"/>
          <w:szCs w:val="24"/>
        </w:rPr>
        <w:t>有权要求</w:t>
      </w:r>
      <w:r>
        <w:rPr>
          <w:rFonts w:hint="eastAsia" w:ascii="宋体" w:hAnsi="宋体" w:cs="宋体"/>
          <w:b/>
          <w:color w:val="FF0000"/>
          <w:sz w:val="24"/>
          <w:szCs w:val="24"/>
          <w:lang w:eastAsia="zh-CN"/>
        </w:rPr>
        <w:t>中标单位</w:t>
      </w:r>
      <w:r>
        <w:rPr>
          <w:rFonts w:hint="eastAsia" w:ascii="宋体" w:hAnsi="宋体" w:eastAsia="宋体" w:cs="宋体"/>
          <w:b/>
          <w:color w:val="FF0000"/>
          <w:sz w:val="24"/>
          <w:szCs w:val="24"/>
        </w:rPr>
        <w:t>无条件退场，并承担由此产生的一切损失，同时</w:t>
      </w:r>
      <w:r>
        <w:rPr>
          <w:rFonts w:hint="eastAsia" w:ascii="宋体" w:hAnsi="宋体" w:cs="宋体"/>
          <w:b/>
          <w:color w:val="FF0000"/>
          <w:sz w:val="24"/>
          <w:szCs w:val="24"/>
          <w:lang w:eastAsia="zh-CN"/>
        </w:rPr>
        <w:t>招标单位</w:t>
      </w:r>
      <w:r>
        <w:rPr>
          <w:rFonts w:hint="eastAsia" w:ascii="宋体" w:hAnsi="宋体" w:eastAsia="宋体" w:cs="宋体"/>
          <w:b/>
          <w:color w:val="FF0000"/>
          <w:sz w:val="24"/>
          <w:szCs w:val="24"/>
        </w:rPr>
        <w:t>有权安排其他服务队伍进场实施，费用经确认后从</w:t>
      </w:r>
      <w:r>
        <w:rPr>
          <w:rFonts w:hint="eastAsia" w:ascii="宋体" w:hAnsi="宋体" w:cs="宋体"/>
          <w:b/>
          <w:color w:val="FF0000"/>
          <w:sz w:val="24"/>
          <w:szCs w:val="24"/>
          <w:lang w:eastAsia="zh-CN"/>
        </w:rPr>
        <w:t>中标单位</w:t>
      </w:r>
      <w:r>
        <w:rPr>
          <w:rFonts w:hint="eastAsia" w:ascii="宋体" w:hAnsi="宋体" w:eastAsia="宋体" w:cs="宋体"/>
          <w:b/>
          <w:color w:val="FF0000"/>
          <w:sz w:val="24"/>
          <w:szCs w:val="24"/>
        </w:rPr>
        <w:t>合同价款中扣除。</w:t>
      </w:r>
    </w:p>
    <w:p>
      <w:pPr>
        <w:pStyle w:val="27"/>
        <w:keepNext w:val="0"/>
        <w:keepLines w:val="0"/>
        <w:pageBreakBefore w:val="0"/>
        <w:widowControl w:val="0"/>
        <w:kinsoku/>
        <w:wordWrap/>
        <w:overflowPunct/>
        <w:topLinePunct w:val="0"/>
        <w:autoSpaceDE/>
        <w:autoSpaceDN/>
        <w:bidi w:val="0"/>
        <w:adjustRightInd w:val="0"/>
        <w:snapToGrid/>
        <w:spacing w:line="360" w:lineRule="auto"/>
        <w:ind w:firstLine="420"/>
        <w:textAlignment w:val="auto"/>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8其他事项：</w:t>
      </w:r>
    </w:p>
    <w:p>
      <w:pPr>
        <w:pStyle w:val="27"/>
        <w:keepNext w:val="0"/>
        <w:keepLines w:val="0"/>
        <w:pageBreakBefore w:val="0"/>
        <w:widowControl w:val="0"/>
        <w:kinsoku/>
        <w:wordWrap/>
        <w:overflowPunct/>
        <w:topLinePunct w:val="0"/>
        <w:autoSpaceDE/>
        <w:autoSpaceDN/>
        <w:bidi w:val="0"/>
        <w:adjustRightInd w:val="0"/>
        <w:snapToGrid/>
        <w:spacing w:line="360" w:lineRule="auto"/>
        <w:ind w:firstLine="420"/>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8.1履约保证金：</w:t>
      </w:r>
      <w:r>
        <w:rPr>
          <w:rFonts w:hint="eastAsia" w:ascii="宋体" w:hAnsi="宋体" w:cs="宋体"/>
          <w:b/>
          <w:color w:val="auto"/>
          <w:sz w:val="24"/>
          <w:szCs w:val="24"/>
          <w:lang w:val="en-US" w:eastAsia="zh-CN"/>
        </w:rPr>
        <w:t>中标单位</w:t>
      </w:r>
      <w:r>
        <w:rPr>
          <w:rFonts w:hint="eastAsia" w:ascii="宋体" w:hAnsi="宋体" w:eastAsia="宋体" w:cs="宋体"/>
          <w:b/>
          <w:color w:val="auto"/>
          <w:sz w:val="24"/>
          <w:szCs w:val="24"/>
          <w:lang w:val="en-US" w:eastAsia="zh-CN"/>
        </w:rPr>
        <w:t>在签订合同前向</w:t>
      </w:r>
      <w:r>
        <w:rPr>
          <w:rFonts w:hint="eastAsia" w:ascii="宋体" w:hAnsi="宋体" w:cs="宋体"/>
          <w:b/>
          <w:color w:val="auto"/>
          <w:sz w:val="24"/>
          <w:szCs w:val="24"/>
          <w:lang w:val="en-US" w:eastAsia="zh-CN"/>
        </w:rPr>
        <w:t>招标单位</w:t>
      </w:r>
      <w:r>
        <w:rPr>
          <w:rFonts w:hint="eastAsia" w:ascii="宋体" w:hAnsi="宋体" w:eastAsia="宋体" w:cs="宋体"/>
          <w:b/>
          <w:color w:val="auto"/>
          <w:sz w:val="24"/>
          <w:szCs w:val="24"/>
          <w:lang w:val="en-US" w:eastAsia="zh-CN"/>
        </w:rPr>
        <w:t>交纳履约保证金（接受转账、银行保函、保险机构保证保险保单、融资担保公司保函），按合同总金额的0.1%计收，待项目服务期满后七个工作日内招标单位应一次性无息退回履约保证金。</w:t>
      </w:r>
    </w:p>
    <w:p>
      <w:pPr>
        <w:pStyle w:val="28"/>
        <w:ind w:left="0" w:leftChars="0" w:firstLine="0" w:firstLineChars="0"/>
        <w:rPr>
          <w:rFonts w:hint="eastAsia" w:ascii="宋体" w:hAnsi="宋体" w:eastAsia="宋体" w:cs="宋体"/>
          <w:lang w:val="en-US" w:eastAsia="zh-CN"/>
        </w:rPr>
      </w:pPr>
      <w:r>
        <w:rPr>
          <w:rFonts w:hint="eastAsia" w:ascii="宋体" w:hAnsi="宋体" w:eastAsia="宋体" w:cs="宋体"/>
          <w:b/>
          <w:color w:val="auto"/>
          <w:sz w:val="24"/>
          <w:szCs w:val="24"/>
          <w:lang w:val="en-US" w:eastAsia="zh-CN"/>
        </w:rPr>
        <w:t xml:space="preserve">  8.2付款方式：</w:t>
      </w:r>
    </w:p>
    <w:p>
      <w:pPr>
        <w:spacing w:line="360" w:lineRule="auto"/>
        <w:ind w:firstLine="241" w:firstLineChars="100"/>
        <w:rPr>
          <w:rFonts w:hint="default" w:ascii="宋体" w:hAnsi="宋体" w:eastAsia="宋体" w:cs="宋体"/>
          <w:lang w:val="en-US" w:eastAsia="zh-CN"/>
        </w:rPr>
      </w:pPr>
      <w:r>
        <w:rPr>
          <w:rFonts w:hint="eastAsia" w:ascii="宋体" w:hAnsi="宋体" w:eastAsia="宋体" w:cs="宋体"/>
          <w:b/>
          <w:color w:val="FF0000"/>
          <w:sz w:val="24"/>
          <w:szCs w:val="24"/>
          <w:lang w:val="en-US" w:eastAsia="zh-CN"/>
        </w:rPr>
        <w:t>本项目不设预付款，每季度养护结束后</w:t>
      </w:r>
      <w:r>
        <w:rPr>
          <w:rFonts w:hint="eastAsia" w:ascii="宋体" w:hAnsi="宋体" w:cs="宋体"/>
          <w:b/>
          <w:color w:val="FF0000"/>
          <w:sz w:val="24"/>
          <w:szCs w:val="24"/>
          <w:lang w:val="en-US" w:eastAsia="zh-CN"/>
        </w:rPr>
        <w:t>根据扣款及实际养护数量</w:t>
      </w:r>
      <w:r>
        <w:rPr>
          <w:rFonts w:hint="eastAsia" w:ascii="宋体" w:hAnsi="宋体" w:eastAsia="宋体" w:cs="宋体"/>
          <w:b/>
          <w:color w:val="FF0000"/>
          <w:sz w:val="24"/>
          <w:szCs w:val="24"/>
          <w:lang w:val="en-US" w:eastAsia="zh-CN"/>
        </w:rPr>
        <w:t>支付</w:t>
      </w:r>
      <w:r>
        <w:rPr>
          <w:rFonts w:hint="eastAsia" w:ascii="宋体" w:hAnsi="宋体" w:cs="宋体"/>
          <w:b/>
          <w:color w:val="FF0000"/>
          <w:sz w:val="24"/>
          <w:szCs w:val="24"/>
          <w:lang w:val="en-US" w:eastAsia="zh-CN"/>
        </w:rPr>
        <w:t>对应绿化</w:t>
      </w:r>
      <w:r>
        <w:rPr>
          <w:rFonts w:hint="eastAsia" w:ascii="宋体" w:hAnsi="宋体" w:eastAsia="宋体" w:cs="宋体"/>
          <w:b/>
          <w:color w:val="FF0000"/>
          <w:sz w:val="24"/>
          <w:szCs w:val="24"/>
          <w:lang w:val="en-US" w:eastAsia="zh-CN"/>
        </w:rPr>
        <w:t>养护资金，</w:t>
      </w:r>
      <w:r>
        <w:rPr>
          <w:rFonts w:hint="eastAsia" w:ascii="宋体" w:hAnsi="宋体" w:cs="宋体"/>
          <w:b/>
          <w:color w:val="FF0000"/>
          <w:sz w:val="24"/>
          <w:szCs w:val="24"/>
          <w:lang w:val="en-US" w:eastAsia="zh-CN"/>
        </w:rPr>
        <w:t>暂列金部分工作量需结算审计后支付费用</w:t>
      </w:r>
      <w:r>
        <w:rPr>
          <w:rFonts w:hint="eastAsia" w:ascii="宋体" w:hAnsi="宋体" w:eastAsia="宋体" w:cs="宋体"/>
          <w:b/>
          <w:color w:val="FF0000"/>
          <w:sz w:val="24"/>
          <w:szCs w:val="24"/>
          <w:lang w:val="en-US" w:eastAsia="zh-CN"/>
        </w:rPr>
        <w:t>。暂列金部分工程量金额按（中标价-暂列金）/（最高限价-暂列金）折扣进行结算。</w:t>
      </w:r>
    </w:p>
    <w:p>
      <w:pPr>
        <w:rPr>
          <w:rFonts w:hint="eastAsia" w:ascii="宋体" w:hAnsi="宋体" w:eastAsia="宋体" w:cs="宋体"/>
          <w:sz w:val="24"/>
          <w:szCs w:val="24"/>
        </w:rPr>
      </w:pPr>
    </w:p>
    <w:p>
      <w:pPr>
        <w:snapToGrid w:val="0"/>
        <w:spacing w:before="50" w:after="50"/>
        <w:jc w:val="center"/>
        <w:rPr>
          <w:rFonts w:hint="eastAsia" w:ascii="宋体" w:hAnsi="宋体" w:eastAsia="宋体" w:cs="宋体"/>
          <w:b/>
          <w:color w:val="000000"/>
          <w:sz w:val="24"/>
          <w:szCs w:val="24"/>
        </w:rPr>
      </w:pPr>
    </w:p>
    <w:p>
      <w:pPr>
        <w:snapToGrid w:val="0"/>
        <w:spacing w:before="50" w:after="50"/>
        <w:jc w:val="center"/>
        <w:rPr>
          <w:rFonts w:hint="eastAsia" w:ascii="宋体" w:hAnsi="宋体" w:eastAsia="宋体" w:cs="宋体"/>
          <w:b/>
          <w:color w:val="000000"/>
          <w:sz w:val="24"/>
          <w:szCs w:val="24"/>
        </w:rPr>
      </w:pPr>
    </w:p>
    <w:p>
      <w:pPr>
        <w:snapToGrid w:val="0"/>
        <w:spacing w:before="50" w:after="50"/>
        <w:jc w:val="center"/>
        <w:rPr>
          <w:rFonts w:hint="eastAsia" w:ascii="宋体" w:hAnsi="宋体" w:eastAsia="宋体" w:cs="宋体"/>
          <w:b/>
          <w:color w:val="000000"/>
          <w:sz w:val="24"/>
          <w:szCs w:val="24"/>
        </w:rPr>
      </w:pPr>
    </w:p>
    <w:p>
      <w:pPr>
        <w:snapToGrid w:val="0"/>
        <w:spacing w:before="50" w:after="50"/>
        <w:jc w:val="center"/>
        <w:rPr>
          <w:rFonts w:hint="eastAsia" w:ascii="宋体" w:hAnsi="宋体" w:eastAsia="宋体" w:cs="宋体"/>
          <w:b/>
          <w:color w:val="000000"/>
          <w:sz w:val="24"/>
          <w:szCs w:val="24"/>
        </w:rPr>
      </w:pPr>
    </w:p>
    <w:p>
      <w:pPr>
        <w:snapToGrid w:val="0"/>
        <w:spacing w:before="50" w:after="50"/>
        <w:jc w:val="center"/>
        <w:rPr>
          <w:rFonts w:hint="eastAsia" w:ascii="宋体" w:hAnsi="宋体" w:eastAsia="宋体" w:cs="宋体"/>
          <w:b/>
          <w:color w:val="000000"/>
          <w:sz w:val="24"/>
          <w:szCs w:val="24"/>
        </w:rPr>
      </w:pPr>
    </w:p>
    <w:p>
      <w:pPr>
        <w:pStyle w:val="49"/>
        <w:spacing w:after="120"/>
        <w:jc w:val="left"/>
        <w:rPr>
          <w:rFonts w:hint="eastAsia" w:ascii="宋体" w:hAnsi="宋体" w:eastAsia="宋体" w:cs="宋体"/>
          <w:b/>
          <w:sz w:val="24"/>
          <w:szCs w:val="24"/>
        </w:rPr>
      </w:pPr>
    </w:p>
    <w:p>
      <w:pPr>
        <w:pStyle w:val="49"/>
        <w:spacing w:after="120"/>
        <w:jc w:val="left"/>
        <w:rPr>
          <w:rFonts w:hint="eastAsia" w:ascii="宋体" w:hAnsi="宋体" w:eastAsia="宋体" w:cs="宋体"/>
          <w:b/>
          <w:sz w:val="24"/>
          <w:szCs w:val="24"/>
        </w:rPr>
      </w:pPr>
    </w:p>
    <w:p>
      <w:pPr>
        <w:pStyle w:val="49"/>
        <w:spacing w:after="120"/>
        <w:jc w:val="left"/>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pStyle w:val="49"/>
        <w:spacing w:after="120"/>
        <w:jc w:val="left"/>
        <w:rPr>
          <w:rFonts w:hint="eastAsia" w:ascii="宋体" w:hAnsi="宋体" w:eastAsia="宋体" w:cs="宋体"/>
          <w:b/>
          <w:sz w:val="24"/>
          <w:szCs w:val="24"/>
        </w:rPr>
      </w:pPr>
      <w:r>
        <w:rPr>
          <w:rFonts w:hint="eastAsia" w:ascii="宋体" w:hAnsi="宋体" w:eastAsia="宋体" w:cs="宋体"/>
          <w:b/>
          <w:sz w:val="24"/>
          <w:szCs w:val="24"/>
        </w:rPr>
        <w:t>附件：考核办法（以合同签订时</w:t>
      </w:r>
      <w:r>
        <w:rPr>
          <w:rFonts w:hint="eastAsia" w:ascii="宋体" w:hAnsi="宋体" w:eastAsia="宋体" w:cs="宋体"/>
          <w:b/>
          <w:sz w:val="24"/>
          <w:szCs w:val="24"/>
          <w:lang w:eastAsia="zh-CN"/>
        </w:rPr>
        <w:t>招标单位</w:t>
      </w:r>
      <w:r>
        <w:rPr>
          <w:rFonts w:hint="eastAsia" w:ascii="宋体" w:hAnsi="宋体" w:eastAsia="宋体" w:cs="宋体"/>
          <w:b/>
          <w:sz w:val="24"/>
          <w:szCs w:val="24"/>
        </w:rPr>
        <w:t>最终确认的为准）</w:t>
      </w:r>
    </w:p>
    <w:tbl>
      <w:tblPr>
        <w:tblStyle w:val="64"/>
        <w:tblW w:w="10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111"/>
        <w:gridCol w:w="3118"/>
        <w:gridCol w:w="709"/>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w:t>
            </w: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考核标准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考核评定办法</w:t>
            </w:r>
          </w:p>
        </w:tc>
        <w:tc>
          <w:tcPr>
            <w:tcW w:w="709" w:type="dxa"/>
            <w:noWrap/>
            <w:vAlign w:val="center"/>
          </w:tcPr>
          <w:p>
            <w:pPr>
              <w:rPr>
                <w:rFonts w:hint="eastAsia" w:ascii="宋体" w:hAnsi="宋体" w:eastAsia="宋体" w:cs="宋体"/>
                <w:sz w:val="24"/>
                <w:szCs w:val="24"/>
              </w:rPr>
            </w:pPr>
            <w:r>
              <w:rPr>
                <w:rFonts w:hint="eastAsia" w:ascii="宋体" w:hAnsi="宋体" w:eastAsia="宋体" w:cs="宋体"/>
                <w:sz w:val="24"/>
                <w:szCs w:val="24"/>
              </w:rPr>
              <w:t>本季度第一月扣分</w:t>
            </w:r>
          </w:p>
        </w:tc>
        <w:tc>
          <w:tcPr>
            <w:tcW w:w="851" w:type="dxa"/>
            <w:noWrap/>
            <w:vAlign w:val="center"/>
          </w:tcPr>
          <w:p>
            <w:pPr>
              <w:rPr>
                <w:rFonts w:hint="eastAsia" w:ascii="宋体" w:hAnsi="宋体" w:eastAsia="宋体" w:cs="宋体"/>
                <w:sz w:val="24"/>
                <w:szCs w:val="24"/>
              </w:rPr>
            </w:pPr>
            <w:r>
              <w:rPr>
                <w:rFonts w:hint="eastAsia" w:ascii="宋体" w:hAnsi="宋体" w:eastAsia="宋体" w:cs="宋体"/>
                <w:sz w:val="24"/>
                <w:szCs w:val="24"/>
              </w:rPr>
              <w:t>本季度第二月扣分</w:t>
            </w:r>
          </w:p>
        </w:tc>
        <w:tc>
          <w:tcPr>
            <w:tcW w:w="850" w:type="dxa"/>
            <w:noWrap/>
            <w:vAlign w:val="center"/>
          </w:tcPr>
          <w:p>
            <w:pPr>
              <w:rPr>
                <w:rFonts w:hint="eastAsia" w:ascii="宋体" w:hAnsi="宋体" w:eastAsia="宋体" w:cs="宋体"/>
                <w:sz w:val="24"/>
                <w:szCs w:val="24"/>
              </w:rPr>
            </w:pPr>
            <w:r>
              <w:rPr>
                <w:rFonts w:hint="eastAsia" w:ascii="宋体" w:hAnsi="宋体" w:eastAsia="宋体" w:cs="宋体"/>
                <w:sz w:val="24"/>
                <w:szCs w:val="24"/>
              </w:rPr>
              <w:t>本季度第三月扣分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5" w:type="dxa"/>
            <w:noWrap/>
            <w:vAlign w:val="center"/>
          </w:tcPr>
          <w:p>
            <w:pPr>
              <w:jc w:val="center"/>
              <w:rPr>
                <w:rFonts w:hint="eastAsia" w:ascii="宋体" w:hAnsi="宋体" w:eastAsia="宋体" w:cs="宋体"/>
                <w:b/>
                <w:color w:val="FF0000"/>
                <w:sz w:val="24"/>
                <w:szCs w:val="24"/>
              </w:rPr>
            </w:pPr>
            <w:r>
              <w:rPr>
                <w:rFonts w:hint="eastAsia" w:ascii="宋体" w:hAnsi="宋体" w:eastAsia="宋体" w:cs="宋体"/>
                <w:b/>
                <w:color w:val="FF0000"/>
                <w:sz w:val="24"/>
                <w:szCs w:val="24"/>
              </w:rPr>
              <w:t>一</w:t>
            </w:r>
          </w:p>
        </w:tc>
        <w:tc>
          <w:tcPr>
            <w:tcW w:w="4111" w:type="dxa"/>
            <w:noWrap/>
            <w:vAlign w:val="center"/>
          </w:tcPr>
          <w:p>
            <w:pPr>
              <w:rPr>
                <w:rFonts w:hint="eastAsia" w:ascii="宋体" w:hAnsi="宋体" w:eastAsia="宋体" w:cs="宋体"/>
                <w:b/>
                <w:color w:val="FF0000"/>
                <w:sz w:val="24"/>
                <w:szCs w:val="24"/>
              </w:rPr>
            </w:pPr>
            <w:r>
              <w:rPr>
                <w:rFonts w:hint="eastAsia" w:ascii="宋体" w:hAnsi="宋体" w:eastAsia="宋体" w:cs="宋体"/>
                <w:b/>
                <w:color w:val="FF0000"/>
                <w:sz w:val="24"/>
                <w:szCs w:val="24"/>
              </w:rPr>
              <w:t>共性部分（20分）</w:t>
            </w:r>
          </w:p>
        </w:tc>
        <w:tc>
          <w:tcPr>
            <w:tcW w:w="3118" w:type="dxa"/>
            <w:noWrap/>
            <w:vAlign w:val="center"/>
          </w:tcPr>
          <w:p>
            <w:pPr>
              <w:rPr>
                <w:rFonts w:hint="eastAsia" w:ascii="宋体" w:hAnsi="宋体" w:eastAsia="宋体" w:cs="宋体"/>
                <w:b/>
                <w:color w:val="FF0000"/>
                <w:sz w:val="24"/>
                <w:szCs w:val="24"/>
              </w:rPr>
            </w:pP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Merge w:val="restart"/>
            <w:noWrap/>
            <w:vAlign w:val="center"/>
          </w:tcPr>
          <w:p>
            <w:pPr>
              <w:jc w:val="cente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1.工作时间必须带上岗证（工作服）。（2分）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未穿工作服或未带上岗证，发现一人次扣0.5分。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Merge w:val="continue"/>
            <w:noWrap/>
            <w:vAlign w:val="center"/>
          </w:tcPr>
          <w:p>
            <w:pPr>
              <w:jc w:val="cente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2.按要求配备养护人员，每天要求到人数15人以上。</w:t>
            </w:r>
            <w:r>
              <w:rPr>
                <w:rFonts w:hint="eastAsia" w:ascii="宋体" w:hAnsi="宋体" w:eastAsia="宋体" w:cs="宋体"/>
                <w:color w:val="FF0000"/>
                <w:sz w:val="24"/>
                <w:szCs w:val="24"/>
              </w:rPr>
              <w:t>（6分</w:t>
            </w:r>
            <w:r>
              <w:rPr>
                <w:rFonts w:hint="eastAsia" w:ascii="宋体" w:hAnsi="宋体" w:eastAsia="宋体" w:cs="宋体"/>
                <w:sz w:val="24"/>
                <w:szCs w:val="24"/>
              </w:rPr>
              <w:t>）</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发现少一人扣0.5分。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5" w:type="dxa"/>
            <w:vMerge w:val="continue"/>
            <w:noWrap/>
            <w:vAlign w:val="center"/>
          </w:tcPr>
          <w:p>
            <w:pPr>
              <w:jc w:val="cente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3.做好工作台账，每月汇总一次。</w:t>
            </w:r>
            <w:r>
              <w:rPr>
                <w:rFonts w:hint="eastAsia" w:ascii="宋体" w:hAnsi="宋体" w:eastAsia="宋体" w:cs="宋体"/>
                <w:color w:val="FF0000"/>
                <w:sz w:val="24"/>
                <w:szCs w:val="24"/>
              </w:rPr>
              <w:t>（2分</w:t>
            </w:r>
            <w:r>
              <w:rPr>
                <w:rFonts w:hint="eastAsia" w:ascii="宋体" w:hAnsi="宋体" w:eastAsia="宋体" w:cs="宋体"/>
                <w:sz w:val="24"/>
                <w:szCs w:val="24"/>
              </w:rPr>
              <w:t>）</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工作台账没及时记录、未及时完成的，发现一次扣1分。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135" w:type="dxa"/>
            <w:vMerge w:val="continue"/>
            <w:noWrap/>
            <w:vAlign w:val="center"/>
          </w:tcPr>
          <w:p>
            <w:pPr>
              <w:jc w:val="cente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4、做好夏季抗旱、冬季防冻工作</w:t>
            </w:r>
            <w:r>
              <w:rPr>
                <w:rFonts w:hint="eastAsia" w:ascii="宋体" w:hAnsi="宋体" w:eastAsia="宋体" w:cs="宋体"/>
                <w:color w:val="FF0000"/>
                <w:sz w:val="24"/>
                <w:szCs w:val="24"/>
              </w:rPr>
              <w:t>（6分）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每出现不良情况一次扣1分。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35" w:type="dxa"/>
            <w:vMerge w:val="continue"/>
            <w:noWrap/>
            <w:vAlign w:val="center"/>
          </w:tcPr>
          <w:p>
            <w:pPr>
              <w:jc w:val="cente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5、干旱季节，晒水车需配备到位（4分）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晒水车不配到位每次扣1分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35" w:type="dxa"/>
            <w:noWrap/>
            <w:vAlign w:val="center"/>
          </w:tcPr>
          <w:p>
            <w:pPr>
              <w:jc w:val="center"/>
              <w:rPr>
                <w:rFonts w:hint="eastAsia" w:ascii="宋体" w:hAnsi="宋体" w:eastAsia="宋体" w:cs="宋体"/>
                <w:b/>
                <w:color w:val="FF0000"/>
                <w:sz w:val="24"/>
                <w:szCs w:val="24"/>
              </w:rPr>
            </w:pPr>
            <w:r>
              <w:rPr>
                <w:rFonts w:hint="eastAsia" w:ascii="宋体" w:hAnsi="宋体" w:eastAsia="宋体" w:cs="宋体"/>
                <w:b/>
                <w:color w:val="FF0000"/>
                <w:sz w:val="24"/>
                <w:szCs w:val="24"/>
              </w:rPr>
              <w:t>二</w:t>
            </w:r>
          </w:p>
        </w:tc>
        <w:tc>
          <w:tcPr>
            <w:tcW w:w="4111" w:type="dxa"/>
            <w:noWrap/>
            <w:vAlign w:val="center"/>
          </w:tcPr>
          <w:p>
            <w:pPr>
              <w:rPr>
                <w:rFonts w:hint="eastAsia" w:ascii="宋体" w:hAnsi="宋体" w:eastAsia="宋体" w:cs="宋体"/>
                <w:b/>
                <w:color w:val="FF0000"/>
                <w:sz w:val="24"/>
                <w:szCs w:val="24"/>
              </w:rPr>
            </w:pPr>
            <w:r>
              <w:rPr>
                <w:rFonts w:hint="eastAsia" w:ascii="宋体" w:hAnsi="宋体" w:eastAsia="宋体" w:cs="宋体"/>
                <w:b/>
                <w:color w:val="FF0000"/>
                <w:sz w:val="24"/>
                <w:szCs w:val="24"/>
              </w:rPr>
              <w:t>绿化养护质量标准（50分）</w:t>
            </w:r>
          </w:p>
        </w:tc>
        <w:tc>
          <w:tcPr>
            <w:tcW w:w="3118" w:type="dxa"/>
            <w:noWrap/>
            <w:vAlign w:val="center"/>
          </w:tcPr>
          <w:p>
            <w:pPr>
              <w:rPr>
                <w:rFonts w:hint="eastAsia" w:ascii="宋体" w:hAnsi="宋体" w:eastAsia="宋体" w:cs="宋体"/>
                <w:b/>
                <w:color w:val="FF0000"/>
                <w:sz w:val="24"/>
                <w:szCs w:val="24"/>
              </w:rPr>
            </w:pPr>
          </w:p>
        </w:tc>
        <w:tc>
          <w:tcPr>
            <w:tcW w:w="709" w:type="dxa"/>
            <w:noWrap/>
            <w:vAlign w:val="center"/>
          </w:tcPr>
          <w:p>
            <w:pPr>
              <w:rPr>
                <w:rFonts w:hint="eastAsia" w:ascii="宋体" w:hAnsi="宋体" w:eastAsia="宋体" w:cs="宋体"/>
                <w:b/>
                <w:color w:val="FF0000"/>
                <w:sz w:val="24"/>
                <w:szCs w:val="24"/>
              </w:rPr>
            </w:pPr>
          </w:p>
        </w:tc>
        <w:tc>
          <w:tcPr>
            <w:tcW w:w="851" w:type="dxa"/>
            <w:noWrap/>
            <w:vAlign w:val="center"/>
          </w:tcPr>
          <w:p>
            <w:pPr>
              <w:rPr>
                <w:rFonts w:hint="eastAsia" w:ascii="宋体" w:hAnsi="宋体" w:eastAsia="宋体" w:cs="宋体"/>
                <w:b/>
                <w:color w:val="FF0000"/>
                <w:sz w:val="24"/>
                <w:szCs w:val="24"/>
              </w:rPr>
            </w:pPr>
          </w:p>
        </w:tc>
        <w:tc>
          <w:tcPr>
            <w:tcW w:w="850" w:type="dxa"/>
            <w:noWrap/>
            <w:vAlign w:val="center"/>
          </w:tcPr>
          <w:p>
            <w:pPr>
              <w:rPr>
                <w:rFonts w:hint="eastAsia" w:ascii="宋体" w:hAnsi="宋体" w:eastAsia="宋体" w:cs="宋体"/>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135" w:type="dxa"/>
            <w:vMerge w:val="restart"/>
            <w:noWrap/>
            <w:vAlign w:val="center"/>
          </w:tcPr>
          <w:p>
            <w:pPr>
              <w:rPr>
                <w:rFonts w:hint="eastAsia" w:ascii="宋体" w:hAnsi="宋体" w:eastAsia="宋体" w:cs="宋体"/>
                <w:sz w:val="24"/>
                <w:szCs w:val="24"/>
              </w:rPr>
            </w:pPr>
            <w:r>
              <w:rPr>
                <w:rFonts w:hint="eastAsia" w:ascii="宋体" w:hAnsi="宋体" w:eastAsia="宋体" w:cs="宋体"/>
                <w:sz w:val="24"/>
                <w:szCs w:val="24"/>
              </w:rPr>
              <w:t>行道树养护</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color w:val="FF0000"/>
                <w:sz w:val="24"/>
                <w:szCs w:val="24"/>
              </w:rPr>
              <w:t>29分</w:t>
            </w:r>
            <w:r>
              <w:rPr>
                <w:rFonts w:hint="eastAsia" w:ascii="宋体" w:hAnsi="宋体" w:eastAsia="宋体" w:cs="宋体"/>
                <w:sz w:val="24"/>
                <w:szCs w:val="24"/>
              </w:rPr>
              <w:t>）</w:t>
            </w: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1.行道树生长态势良好，无明显枯枝。树穴杂草清理及时，无杂物；树穴每年松2次以上。清运多余土1次，保持表土低于侧石5CM。（5分）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明显枯枝扣1分/株，有杂草扣0.5分/处，有杂物扣0.5分/处。没有及时做好树穴的松土及清运工作扣1分/株。</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2.病虫害防治以及施肥及时、有效。（5分）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有明显病虫害，未及时有效地防治扣0.5分/株。不按时、按需施肥的扣0.5分/次。</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3.树木无死株、缺株。（8分）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行道树每缺一株扣2分。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4.行道树及时扶正，倾斜度不超过10度。（4分）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行道树倾斜度超过10度扣0.5分/株。</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5.及时做好行道树抹芽（每年2-3次以上）、整枝（每年1次以上）涂白、（每年1次）。（3分）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未及时做好行道树抹芽、整枝、涂白扣0.5/株。</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6、树枝离地高度不低于2.5米。（4分）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每发现一处扣0.5分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Merge w:val="restart"/>
            <w:noWrap/>
            <w:vAlign w:val="center"/>
          </w:tcPr>
          <w:p>
            <w:pPr>
              <w:rPr>
                <w:rFonts w:hint="eastAsia" w:ascii="宋体" w:hAnsi="宋体" w:eastAsia="宋体" w:cs="宋体"/>
                <w:sz w:val="24"/>
                <w:szCs w:val="24"/>
              </w:rPr>
            </w:pPr>
            <w:r>
              <w:rPr>
                <w:rFonts w:hint="eastAsia" w:ascii="宋体" w:hAnsi="宋体" w:eastAsia="宋体" w:cs="宋体"/>
                <w:sz w:val="24"/>
                <w:szCs w:val="24"/>
              </w:rPr>
              <w:t>乔灌木及绿地</w:t>
            </w:r>
          </w:p>
          <w:p>
            <w:pPr>
              <w:rPr>
                <w:rFonts w:hint="eastAsia" w:ascii="宋体" w:hAnsi="宋体" w:eastAsia="宋体" w:cs="宋体"/>
                <w:sz w:val="24"/>
                <w:szCs w:val="24"/>
              </w:rPr>
            </w:pPr>
            <w:r>
              <w:rPr>
                <w:rFonts w:hint="eastAsia" w:ascii="宋体" w:hAnsi="宋体" w:eastAsia="宋体" w:cs="宋体"/>
                <w:sz w:val="24"/>
                <w:szCs w:val="24"/>
              </w:rPr>
              <w:t>（21分）</w:t>
            </w: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1.乔木无死缺株、无枯枝（8分）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树木缺一株扣2分；有枯枝扣1分/株。</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2.绿篱及时修剪，促其分枝，保持全株枝叶丰满整齐，棱角分明线条清晰，符合设计、景观要求。（3分）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发现徒长枝长度超过5CM，绿篱每米扣0.5分，色块扣0.5分/m2。</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3.地被、草坪生长良好，无明显杂草，无黄土裸露，草坪修剪高度不超过6厘米。</w:t>
            </w:r>
          </w:p>
          <w:p>
            <w:pPr>
              <w:rPr>
                <w:rFonts w:hint="eastAsia" w:ascii="宋体" w:hAnsi="宋体" w:eastAsia="宋体" w:cs="宋体"/>
                <w:sz w:val="24"/>
                <w:szCs w:val="24"/>
              </w:rPr>
            </w:pPr>
            <w:r>
              <w:rPr>
                <w:rFonts w:hint="eastAsia" w:ascii="宋体" w:hAnsi="宋体" w:eastAsia="宋体" w:cs="宋体"/>
                <w:sz w:val="24"/>
                <w:szCs w:val="24"/>
              </w:rPr>
              <w:t>（4分）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明显杂草扣0.5分/m2，裸地扣0.5分/m2，草坪过高扣0.5分/m2。</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4.绿地中的乔木树穴要及时松土、清理杂草杂物。（3分）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未及时松土扣0.5分/株、未清理杂草杂物扣0.5分/株。</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5.病虫害防治以及施肥及时、有效。（3分）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有明显病虫害，未及时有效地防治每处扣0.5分。不按时、按需施肥的扣0.5分/次。</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35" w:type="dxa"/>
            <w:noWrap/>
            <w:vAlign w:val="center"/>
          </w:tcPr>
          <w:p>
            <w:pPr>
              <w:jc w:val="center"/>
              <w:rPr>
                <w:rFonts w:hint="eastAsia" w:ascii="宋体" w:hAnsi="宋体" w:eastAsia="宋体" w:cs="宋体"/>
                <w:b/>
                <w:color w:val="FF0000"/>
                <w:sz w:val="24"/>
                <w:szCs w:val="24"/>
              </w:rPr>
            </w:pPr>
            <w:r>
              <w:rPr>
                <w:rFonts w:hint="eastAsia" w:ascii="宋体" w:hAnsi="宋体" w:eastAsia="宋体" w:cs="宋体"/>
                <w:b/>
                <w:color w:val="FF0000"/>
                <w:sz w:val="24"/>
                <w:szCs w:val="24"/>
              </w:rPr>
              <w:t>三</w:t>
            </w:r>
          </w:p>
        </w:tc>
        <w:tc>
          <w:tcPr>
            <w:tcW w:w="4111" w:type="dxa"/>
            <w:noWrap/>
            <w:vAlign w:val="center"/>
          </w:tcPr>
          <w:p>
            <w:pPr>
              <w:rPr>
                <w:rFonts w:hint="eastAsia" w:ascii="宋体" w:hAnsi="宋体" w:eastAsia="宋体" w:cs="宋体"/>
                <w:b/>
                <w:color w:val="FF0000"/>
                <w:sz w:val="24"/>
                <w:szCs w:val="24"/>
              </w:rPr>
            </w:pPr>
            <w:r>
              <w:rPr>
                <w:rFonts w:hint="eastAsia" w:ascii="宋体" w:hAnsi="宋体" w:eastAsia="宋体" w:cs="宋体"/>
                <w:b/>
                <w:color w:val="FF0000"/>
                <w:sz w:val="24"/>
                <w:szCs w:val="24"/>
              </w:rPr>
              <w:t>清洁卫生标准及设施维护（18）</w:t>
            </w:r>
          </w:p>
        </w:tc>
        <w:tc>
          <w:tcPr>
            <w:tcW w:w="3118" w:type="dxa"/>
            <w:noWrap/>
            <w:vAlign w:val="center"/>
          </w:tcPr>
          <w:p>
            <w:pPr>
              <w:rPr>
                <w:rFonts w:hint="eastAsia" w:ascii="宋体" w:hAnsi="宋体" w:eastAsia="宋体" w:cs="宋体"/>
                <w:sz w:val="24"/>
                <w:szCs w:val="24"/>
              </w:rPr>
            </w:pP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135" w:type="dxa"/>
            <w:vMerge w:val="restart"/>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1.公共绿地无明显纸屑、果壳、杂物。</w:t>
            </w:r>
          </w:p>
          <w:p>
            <w:pPr>
              <w:rPr>
                <w:rFonts w:hint="eastAsia" w:ascii="宋体" w:hAnsi="宋体" w:eastAsia="宋体" w:cs="宋体"/>
                <w:sz w:val="24"/>
                <w:szCs w:val="24"/>
              </w:rPr>
            </w:pPr>
            <w:r>
              <w:rPr>
                <w:rFonts w:hint="eastAsia" w:ascii="宋体" w:hAnsi="宋体" w:eastAsia="宋体" w:cs="宋体"/>
                <w:sz w:val="24"/>
                <w:szCs w:val="24"/>
              </w:rPr>
              <w:t>（4分）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发现纸屑、果壳、杂物一处扣0.5分。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2.行道树整齐无绑扎物、无挂物、架线现象。（4分）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发现绑扎物、挂件、架线一处扣0.5分。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3.生产垃圾及时处理。（3分）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未及时处理扣1分/次。</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4.养护绿地内水体环境卫生整洁，无废弃物、无水草和漂浮物。（4分）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发现废弃物、无水草和漂浮物一处扣0.5分。</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Merge w:val="continue"/>
            <w:noWrap/>
            <w:vAlign w:val="center"/>
          </w:tcPr>
          <w:p>
            <w:pPr>
              <w:rPr>
                <w:rFonts w:hint="eastAsia" w:ascii="宋体" w:hAnsi="宋体" w:eastAsia="宋体" w:cs="宋体"/>
                <w:sz w:val="24"/>
                <w:szCs w:val="24"/>
              </w:rPr>
            </w:pPr>
          </w:p>
        </w:tc>
        <w:tc>
          <w:tcPr>
            <w:tcW w:w="4111" w:type="dxa"/>
            <w:noWrap/>
            <w:vAlign w:val="center"/>
          </w:tcPr>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区块内垃圾桶、桌椅、景观灯等设施的维修工作未完成，</w:t>
            </w:r>
            <w:r>
              <w:rPr>
                <w:rFonts w:hint="eastAsia" w:ascii="宋体" w:hAnsi="宋体" w:eastAsia="宋体" w:cs="宋体"/>
                <w:sz w:val="24"/>
                <w:szCs w:val="24"/>
              </w:rPr>
              <w:t>服务设施及各功能小品清洁、无损坏。（3分）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发现损坏、严重生锈或脱漆不及时上报、维护的扣0.5分/次。</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35" w:type="dxa"/>
            <w:noWrap/>
            <w:vAlign w:val="center"/>
          </w:tcPr>
          <w:p>
            <w:pPr>
              <w:jc w:val="center"/>
              <w:rPr>
                <w:rFonts w:hint="eastAsia" w:ascii="宋体" w:hAnsi="宋体" w:eastAsia="宋体" w:cs="宋体"/>
                <w:b/>
                <w:color w:val="FF0000"/>
                <w:sz w:val="24"/>
                <w:szCs w:val="24"/>
              </w:rPr>
            </w:pPr>
            <w:r>
              <w:rPr>
                <w:rFonts w:hint="eastAsia" w:ascii="宋体" w:hAnsi="宋体" w:eastAsia="宋体" w:cs="宋体"/>
                <w:b/>
                <w:color w:val="FF0000"/>
                <w:sz w:val="24"/>
                <w:szCs w:val="24"/>
              </w:rPr>
              <w:t>四</w:t>
            </w:r>
          </w:p>
        </w:tc>
        <w:tc>
          <w:tcPr>
            <w:tcW w:w="4111" w:type="dxa"/>
            <w:noWrap/>
            <w:vAlign w:val="center"/>
          </w:tcPr>
          <w:p>
            <w:pPr>
              <w:rPr>
                <w:rFonts w:hint="eastAsia" w:ascii="宋体" w:hAnsi="宋体" w:eastAsia="宋体" w:cs="宋体"/>
                <w:b/>
                <w:color w:val="FF0000"/>
                <w:sz w:val="24"/>
                <w:szCs w:val="24"/>
              </w:rPr>
            </w:pPr>
            <w:r>
              <w:rPr>
                <w:rFonts w:hint="eastAsia" w:ascii="宋体" w:hAnsi="宋体" w:eastAsia="宋体" w:cs="宋体"/>
                <w:b/>
                <w:color w:val="FF0000"/>
                <w:sz w:val="24"/>
                <w:szCs w:val="24"/>
              </w:rPr>
              <w:t>绿地内无违章占绿、违法建设（2分）</w:t>
            </w:r>
          </w:p>
        </w:tc>
        <w:tc>
          <w:tcPr>
            <w:tcW w:w="3118" w:type="dxa"/>
            <w:noWrap/>
            <w:vAlign w:val="center"/>
          </w:tcPr>
          <w:p>
            <w:pPr>
              <w:rPr>
                <w:rFonts w:hint="eastAsia" w:ascii="宋体" w:hAnsi="宋体" w:eastAsia="宋体" w:cs="宋体"/>
                <w:sz w:val="24"/>
                <w:szCs w:val="24"/>
              </w:rPr>
            </w:pPr>
            <w:r>
              <w:rPr>
                <w:rFonts w:hint="eastAsia" w:ascii="宋体" w:hAnsi="宋体" w:eastAsia="宋体" w:cs="宋体"/>
                <w:sz w:val="24"/>
                <w:szCs w:val="24"/>
              </w:rPr>
              <w:t>发现违章占绿、违法建设未及时上报，扣0.5分/次。</w:t>
            </w:r>
          </w:p>
        </w:tc>
        <w:tc>
          <w:tcPr>
            <w:tcW w:w="709" w:type="dxa"/>
            <w:noWrap/>
            <w:vAlign w:val="center"/>
          </w:tcPr>
          <w:p>
            <w:pPr>
              <w:rPr>
                <w:rFonts w:hint="eastAsia" w:ascii="宋体" w:hAnsi="宋体" w:eastAsia="宋体" w:cs="宋体"/>
                <w:sz w:val="24"/>
                <w:szCs w:val="24"/>
              </w:rPr>
            </w:pPr>
          </w:p>
        </w:tc>
        <w:tc>
          <w:tcPr>
            <w:tcW w:w="851" w:type="dxa"/>
            <w:noWrap/>
            <w:vAlign w:val="center"/>
          </w:tcPr>
          <w:p>
            <w:pPr>
              <w:rPr>
                <w:rFonts w:hint="eastAsia" w:ascii="宋体" w:hAnsi="宋体" w:eastAsia="宋体" w:cs="宋体"/>
                <w:sz w:val="24"/>
                <w:szCs w:val="24"/>
              </w:rPr>
            </w:pPr>
          </w:p>
        </w:tc>
        <w:tc>
          <w:tcPr>
            <w:tcW w:w="850" w:type="dxa"/>
            <w:noWrap/>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135" w:type="dxa"/>
            <w:noWrap/>
            <w:vAlign w:val="center"/>
          </w:tcPr>
          <w:p>
            <w:pPr>
              <w:jc w:val="center"/>
              <w:rPr>
                <w:rFonts w:hint="eastAsia" w:ascii="宋体" w:hAnsi="宋体" w:eastAsia="宋体" w:cs="宋体"/>
                <w:b/>
                <w:color w:val="FF0000"/>
                <w:sz w:val="24"/>
                <w:szCs w:val="24"/>
                <w:highlight w:val="yellow"/>
              </w:rPr>
            </w:pPr>
            <w:r>
              <w:rPr>
                <w:rFonts w:hint="eastAsia" w:ascii="宋体" w:hAnsi="宋体" w:eastAsia="宋体" w:cs="宋体"/>
                <w:b/>
                <w:color w:val="FF0000"/>
                <w:sz w:val="24"/>
                <w:szCs w:val="24"/>
                <w:highlight w:val="yellow"/>
              </w:rPr>
              <w:t>五</w:t>
            </w:r>
          </w:p>
        </w:tc>
        <w:tc>
          <w:tcPr>
            <w:tcW w:w="4111" w:type="dxa"/>
            <w:noWrap/>
            <w:vAlign w:val="center"/>
          </w:tcPr>
          <w:p>
            <w:pPr>
              <w:rPr>
                <w:rFonts w:hint="eastAsia" w:ascii="宋体" w:hAnsi="宋体" w:eastAsia="宋体" w:cs="宋体"/>
                <w:b/>
                <w:color w:val="FF0000"/>
                <w:sz w:val="24"/>
                <w:szCs w:val="24"/>
                <w:highlight w:val="yellow"/>
              </w:rPr>
            </w:pPr>
            <w:r>
              <w:rPr>
                <w:rFonts w:hint="eastAsia" w:ascii="宋体" w:hAnsi="宋体" w:eastAsia="宋体" w:cs="宋体"/>
                <w:b/>
                <w:color w:val="FF0000"/>
                <w:sz w:val="24"/>
                <w:szCs w:val="24"/>
                <w:highlight w:val="yellow"/>
              </w:rPr>
              <w:t>做好政府联动、各类“迎检”和“创建”等工作考核情况（10分）</w:t>
            </w:r>
          </w:p>
        </w:tc>
        <w:tc>
          <w:tcPr>
            <w:tcW w:w="3118" w:type="dxa"/>
            <w:noWrap/>
            <w:vAlign w:val="center"/>
          </w:tcPr>
          <w:p>
            <w:pPr>
              <w:rPr>
                <w:rFonts w:hint="eastAsia" w:ascii="宋体" w:hAnsi="宋体" w:eastAsia="宋体" w:cs="宋体"/>
                <w:sz w:val="24"/>
                <w:szCs w:val="24"/>
                <w:highlight w:val="yellow"/>
              </w:rPr>
            </w:pPr>
            <w:r>
              <w:rPr>
                <w:rFonts w:hint="eastAsia" w:ascii="宋体" w:hAnsi="宋体" w:eastAsia="宋体" w:cs="宋体"/>
                <w:sz w:val="24"/>
                <w:szCs w:val="24"/>
                <w:highlight w:val="yellow"/>
              </w:rPr>
              <w:t>未按要求完成的视情况而定，一次扣5~10分：关于绿化养护不到位被扣分通报的，扣8分/次。若配合良好，获得上级部门通报表扬的，可按5分/次进行加分。</w:t>
            </w:r>
          </w:p>
        </w:tc>
        <w:tc>
          <w:tcPr>
            <w:tcW w:w="709" w:type="dxa"/>
            <w:noWrap/>
            <w:vAlign w:val="center"/>
          </w:tcPr>
          <w:p>
            <w:pPr>
              <w:rPr>
                <w:rFonts w:hint="eastAsia" w:ascii="宋体" w:hAnsi="宋体" w:eastAsia="宋体" w:cs="宋体"/>
                <w:sz w:val="24"/>
                <w:szCs w:val="24"/>
                <w:highlight w:val="yellow"/>
              </w:rPr>
            </w:pPr>
          </w:p>
        </w:tc>
        <w:tc>
          <w:tcPr>
            <w:tcW w:w="851" w:type="dxa"/>
            <w:noWrap/>
            <w:vAlign w:val="center"/>
          </w:tcPr>
          <w:p>
            <w:pPr>
              <w:rPr>
                <w:rFonts w:hint="eastAsia" w:ascii="宋体" w:hAnsi="宋体" w:eastAsia="宋体" w:cs="宋体"/>
                <w:sz w:val="24"/>
                <w:szCs w:val="24"/>
                <w:highlight w:val="yellow"/>
              </w:rPr>
            </w:pPr>
          </w:p>
        </w:tc>
        <w:tc>
          <w:tcPr>
            <w:tcW w:w="850" w:type="dxa"/>
            <w:noWrap/>
            <w:vAlign w:val="center"/>
          </w:tcPr>
          <w:p>
            <w:pPr>
              <w:rPr>
                <w:rFonts w:hint="eastAsia" w:ascii="宋体" w:hAnsi="宋体" w:eastAsia="宋体" w:cs="宋体"/>
                <w:sz w:val="24"/>
                <w:szCs w:val="24"/>
                <w:highlight w:val="yellow"/>
              </w:rPr>
            </w:pPr>
          </w:p>
        </w:tc>
      </w:tr>
    </w:tbl>
    <w:p>
      <w:pPr>
        <w:rPr>
          <w:rFonts w:hint="eastAsia" w:ascii="宋体" w:hAnsi="宋体" w:eastAsia="宋体" w:cs="宋体"/>
          <w:b/>
          <w:color w:val="FF0000"/>
          <w:sz w:val="24"/>
          <w:szCs w:val="24"/>
        </w:rPr>
      </w:pPr>
      <w:r>
        <w:rPr>
          <w:rFonts w:hint="eastAsia" w:ascii="宋体" w:hAnsi="宋体" w:eastAsia="宋体" w:cs="宋体"/>
          <w:b/>
          <w:color w:val="FF0000"/>
          <w:sz w:val="24"/>
          <w:szCs w:val="24"/>
        </w:rPr>
        <w:t>备注：考核总分为100分，以月考核为单位，每月汇总一次。月得分90分为合格，月养护管理费全额拨付；80-90分为基本合格，90分以下每少1分扣月养护费用1%；80分以下为不合格，80分以下每少一分扣月养护费用5%；连续两个月考核在80分以下或累计月考核分3次在80分以下，</w:t>
      </w:r>
      <w:r>
        <w:rPr>
          <w:rFonts w:hint="eastAsia" w:ascii="宋体" w:hAnsi="宋体" w:cs="宋体"/>
          <w:b/>
          <w:color w:val="FF0000"/>
          <w:sz w:val="24"/>
          <w:szCs w:val="24"/>
          <w:lang w:eastAsia="zh-CN"/>
        </w:rPr>
        <w:t>招标单位</w:t>
      </w:r>
      <w:r>
        <w:rPr>
          <w:rFonts w:hint="eastAsia" w:ascii="宋体" w:hAnsi="宋体" w:eastAsia="宋体" w:cs="宋体"/>
          <w:b/>
          <w:color w:val="FF0000"/>
          <w:sz w:val="24"/>
          <w:szCs w:val="24"/>
        </w:rPr>
        <w:t>方有权单方终止合同。</w:t>
      </w: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br w:type="page"/>
      </w:r>
    </w:p>
    <w:p>
      <w:pPr>
        <w:snapToGrid w:val="0"/>
        <w:spacing w:line="360" w:lineRule="auto"/>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第四部分   </w:t>
      </w:r>
      <w:bookmarkStart w:id="56" w:name="_Toc184314412"/>
      <w:bookmarkEnd w:id="56"/>
      <w:bookmarkStart w:id="57" w:name="_Toc184314444"/>
      <w:bookmarkEnd w:id="57"/>
      <w:bookmarkStart w:id="58" w:name="_Toc184312103"/>
      <w:bookmarkEnd w:id="58"/>
      <w:bookmarkStart w:id="59" w:name="_Toc184314460"/>
      <w:bookmarkEnd w:id="59"/>
      <w:bookmarkStart w:id="60" w:name="_Toc184314441"/>
      <w:bookmarkEnd w:id="60"/>
      <w:bookmarkStart w:id="61" w:name="_Toc184314424"/>
      <w:bookmarkEnd w:id="61"/>
      <w:bookmarkStart w:id="62" w:name="_Toc184313247"/>
      <w:bookmarkEnd w:id="62"/>
      <w:bookmarkStart w:id="63" w:name="_Toc184314475"/>
      <w:bookmarkEnd w:id="63"/>
      <w:bookmarkStart w:id="64" w:name="_Toc184313254"/>
      <w:bookmarkEnd w:id="64"/>
      <w:bookmarkStart w:id="65" w:name="_Toc184310272"/>
      <w:bookmarkEnd w:id="65"/>
      <w:bookmarkStart w:id="66" w:name="_Toc184312083"/>
      <w:bookmarkEnd w:id="66"/>
      <w:bookmarkStart w:id="67" w:name="_Toc184313286"/>
      <w:bookmarkEnd w:id="67"/>
      <w:bookmarkStart w:id="68" w:name="_Toc184312130"/>
      <w:bookmarkEnd w:id="68"/>
      <w:bookmarkStart w:id="69" w:name="_Toc184308041"/>
      <w:bookmarkEnd w:id="69"/>
      <w:bookmarkStart w:id="70" w:name="_Toc184310338"/>
      <w:bookmarkEnd w:id="70"/>
      <w:bookmarkStart w:id="71" w:name="_Toc184312105"/>
      <w:bookmarkEnd w:id="71"/>
      <w:bookmarkStart w:id="72" w:name="_Toc184310311"/>
      <w:bookmarkEnd w:id="72"/>
      <w:bookmarkStart w:id="73" w:name="_Toc184308084"/>
      <w:bookmarkEnd w:id="73"/>
      <w:bookmarkStart w:id="74" w:name="_Toc184313275"/>
      <w:bookmarkEnd w:id="74"/>
      <w:bookmarkStart w:id="75" w:name="_Toc184314474"/>
      <w:bookmarkEnd w:id="75"/>
      <w:bookmarkStart w:id="76" w:name="_Toc184312116"/>
      <w:bookmarkEnd w:id="76"/>
      <w:bookmarkStart w:id="77" w:name="_Toc184313277"/>
      <w:bookmarkEnd w:id="77"/>
      <w:bookmarkStart w:id="78" w:name="_Toc184308047"/>
      <w:bookmarkEnd w:id="78"/>
      <w:bookmarkStart w:id="79" w:name="_Toc184308108"/>
      <w:bookmarkEnd w:id="79"/>
      <w:bookmarkStart w:id="80" w:name="_Toc184314450"/>
      <w:bookmarkEnd w:id="80"/>
      <w:bookmarkStart w:id="81" w:name="_Toc184308093"/>
      <w:bookmarkEnd w:id="81"/>
      <w:bookmarkStart w:id="82" w:name="_Toc184310290"/>
      <w:bookmarkEnd w:id="82"/>
      <w:bookmarkStart w:id="83" w:name="_Toc184314425"/>
      <w:bookmarkEnd w:id="83"/>
      <w:bookmarkStart w:id="84" w:name="_Toc184308090"/>
      <w:bookmarkEnd w:id="84"/>
      <w:bookmarkStart w:id="85" w:name="_Toc184310327"/>
      <w:bookmarkEnd w:id="85"/>
      <w:bookmarkStart w:id="86" w:name="_Toc184310278"/>
      <w:bookmarkEnd w:id="86"/>
      <w:bookmarkStart w:id="87" w:name="_Toc184308080"/>
      <w:bookmarkEnd w:id="87"/>
      <w:bookmarkStart w:id="88" w:name="_Toc184308077"/>
      <w:bookmarkEnd w:id="88"/>
      <w:bookmarkStart w:id="89" w:name="_Toc184314432"/>
      <w:bookmarkEnd w:id="89"/>
      <w:bookmarkStart w:id="90" w:name="_Toc184313305"/>
      <w:bookmarkEnd w:id="90"/>
      <w:bookmarkStart w:id="91" w:name="_Toc184314430"/>
      <w:bookmarkEnd w:id="91"/>
      <w:bookmarkStart w:id="92" w:name="_Toc184313279"/>
      <w:bookmarkEnd w:id="92"/>
      <w:bookmarkStart w:id="93" w:name="_Toc184308088"/>
      <w:bookmarkEnd w:id="93"/>
      <w:bookmarkStart w:id="94" w:name="_Toc184313288"/>
      <w:bookmarkEnd w:id="94"/>
      <w:bookmarkStart w:id="95" w:name="_Toc184310334"/>
      <w:bookmarkEnd w:id="95"/>
      <w:bookmarkStart w:id="96" w:name="_Toc184314458"/>
      <w:bookmarkEnd w:id="96"/>
      <w:bookmarkStart w:id="97" w:name="_Toc184314465"/>
      <w:bookmarkEnd w:id="97"/>
      <w:bookmarkStart w:id="98" w:name="_Toc184313299"/>
      <w:bookmarkEnd w:id="98"/>
      <w:bookmarkStart w:id="99" w:name="_Toc184308036"/>
      <w:bookmarkEnd w:id="99"/>
      <w:bookmarkStart w:id="100" w:name="_Toc184310336"/>
      <w:bookmarkEnd w:id="100"/>
      <w:bookmarkStart w:id="101" w:name="_Toc184313293"/>
      <w:bookmarkEnd w:id="101"/>
      <w:bookmarkStart w:id="102" w:name="_Toc184310306"/>
      <w:bookmarkEnd w:id="102"/>
      <w:bookmarkStart w:id="103" w:name="_Toc184312112"/>
      <w:bookmarkEnd w:id="103"/>
      <w:bookmarkStart w:id="104" w:name="_Toc184314422"/>
      <w:bookmarkEnd w:id="104"/>
      <w:bookmarkStart w:id="105" w:name="_Toc184313244"/>
      <w:bookmarkEnd w:id="105"/>
      <w:bookmarkStart w:id="106" w:name="_Toc184314414"/>
      <w:bookmarkEnd w:id="106"/>
      <w:bookmarkStart w:id="107" w:name="_Toc184310302"/>
      <w:bookmarkEnd w:id="107"/>
      <w:bookmarkStart w:id="108" w:name="_Toc184310305"/>
      <w:bookmarkEnd w:id="108"/>
      <w:bookmarkStart w:id="109" w:name="_Toc184308076"/>
      <w:bookmarkEnd w:id="109"/>
      <w:bookmarkStart w:id="110" w:name="_Toc184308075"/>
      <w:bookmarkEnd w:id="110"/>
      <w:bookmarkStart w:id="111" w:name="_Toc184314456"/>
      <w:bookmarkEnd w:id="111"/>
      <w:bookmarkStart w:id="112" w:name="_Toc184310292"/>
      <w:bookmarkEnd w:id="112"/>
      <w:bookmarkStart w:id="113" w:name="_Toc184308106"/>
      <w:bookmarkEnd w:id="113"/>
      <w:bookmarkStart w:id="114" w:name="_Toc184312120"/>
      <w:bookmarkEnd w:id="114"/>
      <w:bookmarkStart w:id="115" w:name="_Toc184310296"/>
      <w:bookmarkEnd w:id="115"/>
      <w:bookmarkStart w:id="116" w:name="_Toc184312073"/>
      <w:bookmarkEnd w:id="116"/>
      <w:bookmarkStart w:id="117" w:name="_Toc184310342"/>
      <w:bookmarkEnd w:id="117"/>
      <w:bookmarkStart w:id="118" w:name="_Toc184313285"/>
      <w:bookmarkEnd w:id="118"/>
      <w:bookmarkStart w:id="119" w:name="_Toc184312101"/>
      <w:bookmarkEnd w:id="119"/>
      <w:bookmarkStart w:id="120" w:name="_Toc184312075"/>
      <w:bookmarkEnd w:id="120"/>
      <w:bookmarkStart w:id="121" w:name="_Toc184312102"/>
      <w:bookmarkEnd w:id="121"/>
      <w:bookmarkStart w:id="122" w:name="_Toc184310276"/>
      <w:bookmarkEnd w:id="122"/>
      <w:bookmarkStart w:id="123" w:name="_Toc184314464"/>
      <w:bookmarkEnd w:id="123"/>
      <w:bookmarkStart w:id="124" w:name="_Toc184310294"/>
      <w:bookmarkEnd w:id="124"/>
      <w:bookmarkStart w:id="125" w:name="_Toc184313291"/>
      <w:bookmarkEnd w:id="125"/>
      <w:bookmarkStart w:id="126" w:name="_Toc184314469"/>
      <w:bookmarkEnd w:id="126"/>
      <w:bookmarkStart w:id="127" w:name="_Toc184313249"/>
      <w:bookmarkEnd w:id="127"/>
      <w:bookmarkStart w:id="128" w:name="_Toc184314415"/>
      <w:bookmarkEnd w:id="128"/>
      <w:bookmarkStart w:id="129" w:name="_Toc184312139"/>
      <w:bookmarkEnd w:id="129"/>
      <w:bookmarkStart w:id="130" w:name="_Toc184313267"/>
      <w:bookmarkEnd w:id="130"/>
      <w:bookmarkStart w:id="131" w:name="_Toc184313303"/>
      <w:bookmarkEnd w:id="131"/>
      <w:bookmarkStart w:id="132" w:name="_Toc184313265"/>
      <w:bookmarkEnd w:id="132"/>
      <w:bookmarkStart w:id="133" w:name="_Toc184312072"/>
      <w:bookmarkEnd w:id="133"/>
      <w:bookmarkStart w:id="134" w:name="_Toc184313301"/>
      <w:bookmarkEnd w:id="134"/>
      <w:bookmarkStart w:id="135" w:name="_Toc184312088"/>
      <w:bookmarkEnd w:id="135"/>
      <w:bookmarkStart w:id="136" w:name="_Toc184310303"/>
      <w:bookmarkEnd w:id="136"/>
      <w:bookmarkStart w:id="137" w:name="_Toc184313289"/>
      <w:bookmarkEnd w:id="137"/>
      <w:bookmarkStart w:id="138" w:name="_Toc184313276"/>
      <w:bookmarkEnd w:id="138"/>
      <w:bookmarkStart w:id="139" w:name="_Toc184312111"/>
      <w:bookmarkEnd w:id="139"/>
      <w:bookmarkStart w:id="140" w:name="_Toc184310307"/>
      <w:bookmarkEnd w:id="140"/>
      <w:bookmarkStart w:id="141" w:name="_Toc184313256"/>
      <w:bookmarkEnd w:id="141"/>
      <w:bookmarkStart w:id="142" w:name="_Toc184310321"/>
      <w:bookmarkEnd w:id="142"/>
      <w:bookmarkStart w:id="143" w:name="_Toc184308096"/>
      <w:bookmarkEnd w:id="143"/>
      <w:bookmarkStart w:id="144" w:name="_Toc184310289"/>
      <w:bookmarkEnd w:id="144"/>
      <w:bookmarkStart w:id="145" w:name="_Toc184310337"/>
      <w:bookmarkEnd w:id="145"/>
      <w:bookmarkStart w:id="146" w:name="_Toc184310282"/>
      <w:bookmarkEnd w:id="146"/>
      <w:bookmarkStart w:id="147" w:name="_Toc184308061"/>
      <w:bookmarkEnd w:id="147"/>
      <w:bookmarkStart w:id="148" w:name="_Toc184312114"/>
      <w:bookmarkEnd w:id="148"/>
      <w:bookmarkStart w:id="149" w:name="_Toc184313255"/>
      <w:bookmarkEnd w:id="149"/>
      <w:bookmarkStart w:id="150" w:name="_Toc184313287"/>
      <w:bookmarkEnd w:id="150"/>
      <w:bookmarkStart w:id="151" w:name="_Toc184308043"/>
      <w:bookmarkEnd w:id="151"/>
      <w:bookmarkStart w:id="152" w:name="_Toc184308039"/>
      <w:bookmarkEnd w:id="152"/>
      <w:bookmarkStart w:id="153" w:name="_Toc184314440"/>
      <w:bookmarkEnd w:id="153"/>
      <w:bookmarkStart w:id="154" w:name="_Toc184308060"/>
      <w:bookmarkEnd w:id="154"/>
      <w:bookmarkStart w:id="155" w:name="_Toc184312076"/>
      <w:bookmarkEnd w:id="155"/>
      <w:bookmarkStart w:id="156" w:name="_Toc184312074"/>
      <w:bookmarkEnd w:id="156"/>
      <w:bookmarkStart w:id="157" w:name="_Toc184312092"/>
      <w:bookmarkEnd w:id="157"/>
      <w:bookmarkStart w:id="158" w:name="_Toc184308066"/>
      <w:bookmarkEnd w:id="158"/>
      <w:bookmarkStart w:id="159" w:name="_Toc184312121"/>
      <w:bookmarkEnd w:id="159"/>
      <w:bookmarkStart w:id="160" w:name="_Toc184314452"/>
      <w:bookmarkEnd w:id="160"/>
      <w:bookmarkStart w:id="161" w:name="_Toc184310298"/>
      <w:bookmarkEnd w:id="161"/>
      <w:bookmarkStart w:id="162" w:name="_Toc184308091"/>
      <w:bookmarkEnd w:id="162"/>
      <w:bookmarkStart w:id="163" w:name="_Toc184314479"/>
      <w:bookmarkEnd w:id="163"/>
      <w:bookmarkStart w:id="164" w:name="_Toc184310313"/>
      <w:bookmarkEnd w:id="164"/>
      <w:bookmarkStart w:id="165" w:name="_Toc184314433"/>
      <w:bookmarkEnd w:id="165"/>
      <w:bookmarkStart w:id="166" w:name="_Toc184312104"/>
      <w:bookmarkEnd w:id="166"/>
      <w:bookmarkStart w:id="167" w:name="_Toc184313264"/>
      <w:bookmarkEnd w:id="167"/>
      <w:bookmarkStart w:id="168" w:name="_Toc184308051"/>
      <w:bookmarkEnd w:id="168"/>
      <w:bookmarkStart w:id="169" w:name="_Toc184310322"/>
      <w:bookmarkEnd w:id="169"/>
      <w:bookmarkStart w:id="170" w:name="_Toc184308037"/>
      <w:bookmarkEnd w:id="170"/>
      <w:bookmarkStart w:id="171" w:name="_Toc184312109"/>
      <w:bookmarkEnd w:id="171"/>
      <w:bookmarkStart w:id="172" w:name="_Toc184312081"/>
      <w:bookmarkEnd w:id="172"/>
      <w:bookmarkStart w:id="173" w:name="_Toc184308095"/>
      <w:bookmarkEnd w:id="173"/>
      <w:bookmarkStart w:id="174" w:name="_Toc184313290"/>
      <w:bookmarkEnd w:id="174"/>
      <w:bookmarkStart w:id="175" w:name="_Toc184312118"/>
      <w:bookmarkEnd w:id="175"/>
      <w:bookmarkStart w:id="176" w:name="_Toc184314410"/>
      <w:bookmarkEnd w:id="176"/>
      <w:bookmarkStart w:id="177" w:name="_Toc184313280"/>
      <w:bookmarkEnd w:id="177"/>
      <w:bookmarkStart w:id="178" w:name="_Toc184310297"/>
      <w:bookmarkEnd w:id="178"/>
      <w:bookmarkStart w:id="179" w:name="_Toc184310320"/>
      <w:bookmarkEnd w:id="179"/>
      <w:bookmarkStart w:id="180" w:name="_Toc184314471"/>
      <w:bookmarkEnd w:id="180"/>
      <w:bookmarkStart w:id="181" w:name="_Toc184310300"/>
      <w:bookmarkEnd w:id="181"/>
      <w:bookmarkStart w:id="182" w:name="_Toc184312086"/>
      <w:bookmarkEnd w:id="182"/>
      <w:bookmarkStart w:id="183" w:name="_Toc184308100"/>
      <w:bookmarkEnd w:id="183"/>
      <w:bookmarkStart w:id="184" w:name="_Toc184314477"/>
      <w:bookmarkEnd w:id="184"/>
      <w:bookmarkStart w:id="185" w:name="_Toc184308048"/>
      <w:bookmarkEnd w:id="185"/>
      <w:bookmarkStart w:id="186" w:name="_Toc184310340"/>
      <w:bookmarkEnd w:id="186"/>
      <w:bookmarkStart w:id="187" w:name="_Toc184308070"/>
      <w:bookmarkEnd w:id="187"/>
      <w:bookmarkStart w:id="188" w:name="_Toc184313268"/>
      <w:bookmarkEnd w:id="188"/>
      <w:bookmarkStart w:id="189" w:name="_Toc184312079"/>
      <w:bookmarkEnd w:id="189"/>
      <w:bookmarkStart w:id="190" w:name="_Toc184314481"/>
      <w:bookmarkEnd w:id="190"/>
      <w:bookmarkStart w:id="191" w:name="_Toc184312129"/>
      <w:bookmarkEnd w:id="191"/>
      <w:bookmarkStart w:id="192" w:name="_Toc184312085"/>
      <w:bookmarkEnd w:id="192"/>
      <w:bookmarkStart w:id="193" w:name="_Toc184313273"/>
      <w:bookmarkEnd w:id="193"/>
      <w:bookmarkStart w:id="194" w:name="_Toc184312137"/>
      <w:bookmarkEnd w:id="194"/>
      <w:bookmarkStart w:id="195" w:name="_Toc184312071"/>
      <w:bookmarkEnd w:id="195"/>
      <w:bookmarkStart w:id="196" w:name="_Toc184314411"/>
      <w:bookmarkEnd w:id="196"/>
      <w:bookmarkStart w:id="197" w:name="_Toc184310317"/>
      <w:bookmarkEnd w:id="197"/>
      <w:bookmarkStart w:id="198" w:name="_Toc184314482"/>
      <w:bookmarkEnd w:id="198"/>
      <w:bookmarkStart w:id="199" w:name="_Toc184313263"/>
      <w:bookmarkEnd w:id="199"/>
      <w:bookmarkStart w:id="200" w:name="_Toc184308049"/>
      <w:bookmarkEnd w:id="200"/>
      <w:bookmarkStart w:id="201" w:name="_Toc184308072"/>
      <w:bookmarkEnd w:id="201"/>
      <w:bookmarkStart w:id="202" w:name="_Toc184308045"/>
      <w:bookmarkEnd w:id="202"/>
      <w:bookmarkStart w:id="203" w:name="_Toc184310323"/>
      <w:bookmarkEnd w:id="203"/>
      <w:bookmarkStart w:id="204" w:name="_Toc184310316"/>
      <w:bookmarkEnd w:id="204"/>
      <w:bookmarkStart w:id="205" w:name="_Toc184310319"/>
      <w:bookmarkEnd w:id="205"/>
      <w:bookmarkStart w:id="206" w:name="_Toc184312100"/>
      <w:bookmarkEnd w:id="206"/>
      <w:bookmarkStart w:id="207" w:name="_Toc184310275"/>
      <w:bookmarkEnd w:id="207"/>
      <w:bookmarkStart w:id="208" w:name="_Toc184310274"/>
      <w:bookmarkEnd w:id="208"/>
      <w:bookmarkStart w:id="209" w:name="_Toc184313271"/>
      <w:bookmarkEnd w:id="209"/>
      <w:bookmarkStart w:id="210" w:name="_Toc184314445"/>
      <w:bookmarkEnd w:id="210"/>
      <w:bookmarkStart w:id="211" w:name="_Toc184313304"/>
      <w:bookmarkEnd w:id="211"/>
      <w:bookmarkStart w:id="212" w:name="_Toc184308086"/>
      <w:bookmarkEnd w:id="212"/>
      <w:bookmarkStart w:id="213" w:name="_Toc184310343"/>
      <w:bookmarkEnd w:id="213"/>
      <w:bookmarkStart w:id="214" w:name="_Toc184313252"/>
      <w:bookmarkEnd w:id="214"/>
      <w:bookmarkStart w:id="215" w:name="_Toc184312093"/>
      <w:bookmarkEnd w:id="215"/>
      <w:bookmarkStart w:id="216" w:name="_Toc184312113"/>
      <w:bookmarkEnd w:id="216"/>
      <w:bookmarkStart w:id="217" w:name="_Toc184314427"/>
      <w:bookmarkEnd w:id="217"/>
      <w:bookmarkStart w:id="218" w:name="_Toc184313307"/>
      <w:bookmarkEnd w:id="218"/>
      <w:bookmarkStart w:id="219" w:name="_Toc184314448"/>
      <w:bookmarkEnd w:id="219"/>
      <w:bookmarkStart w:id="220" w:name="_Toc184314463"/>
      <w:bookmarkEnd w:id="220"/>
      <w:bookmarkStart w:id="221" w:name="_Toc184310314"/>
      <w:bookmarkEnd w:id="221"/>
      <w:bookmarkStart w:id="222" w:name="_Toc184314472"/>
      <w:bookmarkEnd w:id="222"/>
      <w:bookmarkStart w:id="223" w:name="_Toc184310283"/>
      <w:bookmarkEnd w:id="223"/>
      <w:bookmarkStart w:id="224" w:name="_Toc184310330"/>
      <w:bookmarkEnd w:id="224"/>
      <w:bookmarkStart w:id="225" w:name="_Toc184314416"/>
      <w:bookmarkEnd w:id="225"/>
      <w:bookmarkStart w:id="226" w:name="_Toc184312091"/>
      <w:bookmarkEnd w:id="226"/>
      <w:bookmarkStart w:id="227" w:name="_Toc184314470"/>
      <w:bookmarkEnd w:id="227"/>
      <w:bookmarkStart w:id="228" w:name="_Toc184312110"/>
      <w:bookmarkEnd w:id="228"/>
      <w:bookmarkStart w:id="229" w:name="_Toc184308067"/>
      <w:bookmarkEnd w:id="229"/>
      <w:bookmarkStart w:id="230" w:name="_Toc184310279"/>
      <w:bookmarkEnd w:id="230"/>
      <w:bookmarkStart w:id="231" w:name="_Toc184310291"/>
      <w:bookmarkEnd w:id="231"/>
      <w:bookmarkStart w:id="232" w:name="_Toc184310333"/>
      <w:bookmarkEnd w:id="232"/>
      <w:bookmarkStart w:id="233" w:name="_Toc184313297"/>
      <w:bookmarkEnd w:id="233"/>
      <w:bookmarkStart w:id="234" w:name="_Toc184310273"/>
      <w:bookmarkEnd w:id="234"/>
      <w:bookmarkStart w:id="235" w:name="_Toc184308094"/>
      <w:bookmarkEnd w:id="235"/>
      <w:bookmarkStart w:id="236" w:name="_Toc184312127"/>
      <w:bookmarkEnd w:id="236"/>
      <w:bookmarkStart w:id="237" w:name="_Toc184313238"/>
      <w:bookmarkEnd w:id="237"/>
      <w:bookmarkStart w:id="238" w:name="_Toc184308038"/>
      <w:bookmarkEnd w:id="238"/>
      <w:bookmarkStart w:id="239" w:name="_Toc184308107"/>
      <w:bookmarkEnd w:id="239"/>
      <w:bookmarkStart w:id="240" w:name="_Toc184313292"/>
      <w:bookmarkEnd w:id="240"/>
      <w:bookmarkStart w:id="241" w:name="_Toc184314480"/>
      <w:bookmarkEnd w:id="241"/>
      <w:bookmarkStart w:id="242" w:name="_Toc184313246"/>
      <w:bookmarkEnd w:id="242"/>
      <w:bookmarkStart w:id="243" w:name="_Toc184308092"/>
      <w:bookmarkEnd w:id="243"/>
      <w:bookmarkStart w:id="244" w:name="_Toc184308042"/>
      <w:bookmarkEnd w:id="244"/>
      <w:bookmarkStart w:id="245" w:name="_Toc184313259"/>
      <w:bookmarkEnd w:id="245"/>
      <w:bookmarkStart w:id="246" w:name="_Toc184313258"/>
      <w:bookmarkEnd w:id="246"/>
      <w:bookmarkStart w:id="247" w:name="_Toc184312097"/>
      <w:bookmarkEnd w:id="247"/>
      <w:bookmarkStart w:id="248" w:name="_Toc184313283"/>
      <w:bookmarkEnd w:id="248"/>
      <w:bookmarkStart w:id="249" w:name="_Toc184314437"/>
      <w:bookmarkEnd w:id="249"/>
      <w:bookmarkStart w:id="250" w:name="_Toc184313309"/>
      <w:bookmarkEnd w:id="250"/>
      <w:bookmarkStart w:id="251" w:name="_Toc184310328"/>
      <w:bookmarkEnd w:id="251"/>
      <w:bookmarkStart w:id="252" w:name="_Toc184312132"/>
      <w:bookmarkEnd w:id="252"/>
      <w:bookmarkStart w:id="253" w:name="_Toc184310335"/>
      <w:bookmarkEnd w:id="253"/>
      <w:bookmarkStart w:id="254" w:name="_Toc184313282"/>
      <w:bookmarkEnd w:id="254"/>
      <w:bookmarkStart w:id="255" w:name="_Toc184312087"/>
      <w:bookmarkEnd w:id="255"/>
      <w:bookmarkStart w:id="256" w:name="_Toc184308059"/>
      <w:bookmarkEnd w:id="256"/>
      <w:bookmarkStart w:id="257" w:name="_Toc184314457"/>
      <w:bookmarkEnd w:id="257"/>
      <w:bookmarkStart w:id="258" w:name="_Toc184313302"/>
      <w:bookmarkEnd w:id="258"/>
      <w:bookmarkStart w:id="259" w:name="_Toc184310286"/>
      <w:bookmarkEnd w:id="259"/>
      <w:bookmarkStart w:id="260" w:name="_Toc184313241"/>
      <w:bookmarkEnd w:id="260"/>
      <w:bookmarkStart w:id="261" w:name="_Toc184314455"/>
      <w:bookmarkEnd w:id="261"/>
      <w:bookmarkStart w:id="262" w:name="_Toc184313251"/>
      <w:bookmarkEnd w:id="262"/>
      <w:bookmarkStart w:id="263" w:name="_Toc184308083"/>
      <w:bookmarkEnd w:id="263"/>
      <w:bookmarkStart w:id="264" w:name="_Toc184312122"/>
      <w:bookmarkEnd w:id="264"/>
      <w:bookmarkStart w:id="265" w:name="_Toc184313284"/>
      <w:bookmarkEnd w:id="265"/>
      <w:bookmarkStart w:id="266" w:name="_Toc184308057"/>
      <w:bookmarkEnd w:id="266"/>
      <w:bookmarkStart w:id="267" w:name="_Toc184314459"/>
      <w:bookmarkEnd w:id="267"/>
      <w:bookmarkStart w:id="268" w:name="_Toc184312094"/>
      <w:bookmarkEnd w:id="268"/>
      <w:bookmarkStart w:id="269" w:name="_Toc184314451"/>
      <w:bookmarkEnd w:id="269"/>
      <w:bookmarkStart w:id="270" w:name="_Toc184313269"/>
      <w:bookmarkEnd w:id="270"/>
      <w:bookmarkStart w:id="271" w:name="_Toc184312095"/>
      <w:bookmarkEnd w:id="271"/>
      <w:bookmarkStart w:id="272" w:name="_Toc184308078"/>
      <w:bookmarkEnd w:id="272"/>
      <w:bookmarkStart w:id="273" w:name="_Toc184308040"/>
      <w:bookmarkEnd w:id="273"/>
      <w:bookmarkStart w:id="274" w:name="_Toc184310326"/>
      <w:bookmarkEnd w:id="274"/>
      <w:bookmarkStart w:id="275" w:name="_Toc184313308"/>
      <w:bookmarkEnd w:id="275"/>
      <w:bookmarkStart w:id="276" w:name="_Toc184310280"/>
      <w:bookmarkEnd w:id="276"/>
      <w:bookmarkStart w:id="277" w:name="_Toc184308065"/>
      <w:bookmarkEnd w:id="277"/>
      <w:bookmarkStart w:id="278" w:name="_Toc184312123"/>
      <w:bookmarkEnd w:id="278"/>
      <w:bookmarkStart w:id="279" w:name="_Toc184313300"/>
      <w:bookmarkEnd w:id="279"/>
      <w:bookmarkStart w:id="280" w:name="_Toc184312069"/>
      <w:bookmarkEnd w:id="280"/>
      <w:bookmarkStart w:id="281" w:name="_Toc184314461"/>
      <w:bookmarkEnd w:id="281"/>
      <w:bookmarkStart w:id="282" w:name="_Toc184308079"/>
      <w:bookmarkEnd w:id="282"/>
      <w:bookmarkStart w:id="283" w:name="_Toc184310301"/>
      <w:bookmarkEnd w:id="283"/>
      <w:bookmarkStart w:id="284" w:name="_Toc184312125"/>
      <w:bookmarkEnd w:id="284"/>
      <w:bookmarkStart w:id="285" w:name="_Toc184313248"/>
      <w:bookmarkEnd w:id="285"/>
      <w:bookmarkStart w:id="286" w:name="_Toc184314420"/>
      <w:bookmarkEnd w:id="286"/>
      <w:bookmarkStart w:id="287" w:name="_Toc184312136"/>
      <w:bookmarkEnd w:id="287"/>
      <w:bookmarkStart w:id="288" w:name="_Toc184312126"/>
      <w:bookmarkEnd w:id="288"/>
      <w:bookmarkStart w:id="289" w:name="_Toc184313243"/>
      <w:bookmarkEnd w:id="289"/>
      <w:bookmarkStart w:id="290" w:name="_Toc184313272"/>
      <w:bookmarkEnd w:id="290"/>
      <w:bookmarkStart w:id="291" w:name="_Toc184310344"/>
      <w:bookmarkEnd w:id="291"/>
      <w:bookmarkStart w:id="292" w:name="_Toc184314462"/>
      <w:bookmarkEnd w:id="292"/>
      <w:bookmarkStart w:id="293" w:name="_Toc184313295"/>
      <w:bookmarkEnd w:id="293"/>
      <w:bookmarkStart w:id="294" w:name="_Toc184313261"/>
      <w:bookmarkEnd w:id="294"/>
      <w:bookmarkStart w:id="295" w:name="_Toc184310284"/>
      <w:bookmarkEnd w:id="295"/>
      <w:bookmarkStart w:id="296" w:name="_Toc184310293"/>
      <w:bookmarkEnd w:id="296"/>
      <w:bookmarkStart w:id="297" w:name="_Toc184314426"/>
      <w:bookmarkEnd w:id="297"/>
      <w:bookmarkStart w:id="298" w:name="_Toc184310312"/>
      <w:bookmarkEnd w:id="298"/>
      <w:bookmarkStart w:id="299" w:name="_Toc184308071"/>
      <w:bookmarkEnd w:id="299"/>
      <w:bookmarkStart w:id="300" w:name="_Toc184313242"/>
      <w:bookmarkEnd w:id="300"/>
      <w:bookmarkStart w:id="301" w:name="_Toc184312131"/>
      <w:bookmarkEnd w:id="301"/>
      <w:bookmarkStart w:id="302" w:name="_Toc184308064"/>
      <w:bookmarkEnd w:id="302"/>
      <w:bookmarkStart w:id="303" w:name="_Toc184308089"/>
      <w:bookmarkEnd w:id="303"/>
      <w:bookmarkStart w:id="304" w:name="_Toc184313270"/>
      <w:bookmarkEnd w:id="304"/>
      <w:bookmarkStart w:id="305" w:name="_Toc184314438"/>
      <w:bookmarkEnd w:id="305"/>
      <w:bookmarkStart w:id="306" w:name="_Toc184308056"/>
      <w:bookmarkEnd w:id="306"/>
      <w:bookmarkStart w:id="307" w:name="_Toc184312089"/>
      <w:bookmarkEnd w:id="307"/>
      <w:bookmarkStart w:id="308" w:name="_Toc184308087"/>
      <w:bookmarkEnd w:id="308"/>
      <w:bookmarkStart w:id="309" w:name="_Toc184314436"/>
      <w:bookmarkEnd w:id="309"/>
      <w:bookmarkStart w:id="310" w:name="_Toc184310318"/>
      <w:bookmarkEnd w:id="310"/>
      <w:bookmarkStart w:id="311" w:name="_Toc184312082"/>
      <w:bookmarkEnd w:id="311"/>
      <w:bookmarkStart w:id="312" w:name="_Toc184308054"/>
      <w:bookmarkEnd w:id="312"/>
      <w:bookmarkStart w:id="313" w:name="_Toc184312096"/>
      <w:bookmarkEnd w:id="313"/>
      <w:bookmarkStart w:id="314" w:name="_Toc184314466"/>
      <w:bookmarkEnd w:id="314"/>
      <w:bookmarkStart w:id="315" w:name="_Toc184308098"/>
      <w:bookmarkEnd w:id="315"/>
      <w:bookmarkStart w:id="316" w:name="_Toc184313257"/>
      <w:bookmarkEnd w:id="316"/>
      <w:bookmarkStart w:id="317" w:name="_Toc184310325"/>
      <w:bookmarkEnd w:id="317"/>
      <w:bookmarkStart w:id="318" w:name="_Toc184308068"/>
      <w:bookmarkEnd w:id="318"/>
      <w:bookmarkStart w:id="319" w:name="_Toc184312115"/>
      <w:bookmarkEnd w:id="319"/>
      <w:bookmarkStart w:id="320" w:name="_Toc184313278"/>
      <w:bookmarkEnd w:id="320"/>
      <w:bookmarkStart w:id="321" w:name="_Toc184314473"/>
      <w:bookmarkEnd w:id="321"/>
      <w:bookmarkStart w:id="322" w:name="_Toc184314434"/>
      <w:bookmarkEnd w:id="322"/>
      <w:bookmarkStart w:id="323" w:name="_Toc184310315"/>
      <w:bookmarkEnd w:id="323"/>
      <w:bookmarkStart w:id="324" w:name="_Toc184308069"/>
      <w:bookmarkEnd w:id="324"/>
      <w:bookmarkStart w:id="325" w:name="_Toc184308052"/>
      <w:bookmarkEnd w:id="325"/>
      <w:bookmarkStart w:id="326" w:name="_Toc184314442"/>
      <w:bookmarkEnd w:id="326"/>
      <w:bookmarkStart w:id="327" w:name="_Toc184312133"/>
      <w:bookmarkEnd w:id="327"/>
      <w:bookmarkStart w:id="328" w:name="_Toc184308046"/>
      <w:bookmarkEnd w:id="328"/>
      <w:bookmarkStart w:id="329" w:name="_Toc184310308"/>
      <w:bookmarkEnd w:id="329"/>
      <w:bookmarkStart w:id="330" w:name="_Toc184308044"/>
      <w:bookmarkEnd w:id="330"/>
      <w:bookmarkStart w:id="331" w:name="_Toc184310332"/>
      <w:bookmarkEnd w:id="331"/>
      <w:bookmarkStart w:id="332" w:name="_Toc184308105"/>
      <w:bookmarkEnd w:id="332"/>
      <w:bookmarkStart w:id="333" w:name="_Toc184314467"/>
      <w:bookmarkEnd w:id="333"/>
      <w:bookmarkStart w:id="334" w:name="_Toc184314418"/>
      <w:bookmarkEnd w:id="334"/>
      <w:bookmarkStart w:id="335" w:name="_Toc184312090"/>
      <w:bookmarkEnd w:id="335"/>
      <w:bookmarkStart w:id="336" w:name="_Toc184308053"/>
      <w:bookmarkEnd w:id="336"/>
      <w:bookmarkStart w:id="337" w:name="_Toc184312098"/>
      <w:bookmarkEnd w:id="337"/>
      <w:bookmarkStart w:id="338" w:name="_Toc184310324"/>
      <w:bookmarkEnd w:id="338"/>
      <w:bookmarkStart w:id="339" w:name="_Toc184312117"/>
      <w:bookmarkEnd w:id="339"/>
      <w:bookmarkStart w:id="340" w:name="_Toc184312078"/>
      <w:bookmarkEnd w:id="340"/>
      <w:bookmarkStart w:id="341" w:name="_Toc184308058"/>
      <w:bookmarkEnd w:id="341"/>
      <w:bookmarkStart w:id="342" w:name="_Toc184310281"/>
      <w:bookmarkEnd w:id="342"/>
      <w:bookmarkStart w:id="343" w:name="_Toc184313260"/>
      <w:bookmarkEnd w:id="343"/>
      <w:bookmarkStart w:id="344" w:name="_Toc184314413"/>
      <w:bookmarkEnd w:id="344"/>
      <w:bookmarkStart w:id="345" w:name="_Toc184310285"/>
      <w:bookmarkEnd w:id="345"/>
      <w:bookmarkStart w:id="346" w:name="_Toc184312068"/>
      <w:bookmarkEnd w:id="346"/>
      <w:bookmarkStart w:id="347" w:name="_Toc184308081"/>
      <w:bookmarkEnd w:id="347"/>
      <w:bookmarkStart w:id="348" w:name="_Toc184314423"/>
      <w:bookmarkEnd w:id="348"/>
      <w:bookmarkStart w:id="349" w:name="_Toc184308055"/>
      <w:bookmarkEnd w:id="349"/>
      <w:bookmarkStart w:id="350" w:name="_Toc184314439"/>
      <w:bookmarkEnd w:id="350"/>
      <w:bookmarkStart w:id="351" w:name="_Toc184312134"/>
      <w:bookmarkEnd w:id="351"/>
      <w:bookmarkStart w:id="352" w:name="_Toc184310295"/>
      <w:bookmarkEnd w:id="352"/>
      <w:bookmarkStart w:id="353" w:name="_Toc184308099"/>
      <w:bookmarkEnd w:id="353"/>
      <w:bookmarkStart w:id="354" w:name="_Toc184308062"/>
      <w:bookmarkEnd w:id="354"/>
      <w:bookmarkStart w:id="355" w:name="_Toc184310331"/>
      <w:bookmarkEnd w:id="355"/>
      <w:bookmarkStart w:id="356" w:name="_Toc184313245"/>
      <w:bookmarkEnd w:id="356"/>
      <w:bookmarkStart w:id="357" w:name="_Toc184313266"/>
      <w:bookmarkEnd w:id="357"/>
      <w:bookmarkStart w:id="358" w:name="_Toc184314443"/>
      <w:bookmarkEnd w:id="358"/>
      <w:bookmarkStart w:id="359" w:name="_Toc184310339"/>
      <w:bookmarkEnd w:id="359"/>
      <w:bookmarkStart w:id="360" w:name="_Toc184308104"/>
      <w:bookmarkEnd w:id="360"/>
      <w:bookmarkStart w:id="361" w:name="_Toc184312080"/>
      <w:bookmarkEnd w:id="361"/>
      <w:bookmarkStart w:id="362" w:name="_Toc184313239"/>
      <w:bookmarkEnd w:id="362"/>
      <w:bookmarkStart w:id="363" w:name="_Toc184310287"/>
      <w:bookmarkEnd w:id="363"/>
      <w:bookmarkStart w:id="364" w:name="_Toc184310299"/>
      <w:bookmarkEnd w:id="364"/>
      <w:bookmarkStart w:id="365" w:name="_Toc184310288"/>
      <w:bookmarkEnd w:id="365"/>
      <w:bookmarkStart w:id="366" w:name="_Toc184314421"/>
      <w:bookmarkEnd w:id="366"/>
      <w:bookmarkStart w:id="367" w:name="_Toc184312106"/>
      <w:bookmarkEnd w:id="367"/>
      <w:bookmarkStart w:id="368" w:name="_Toc184310304"/>
      <w:bookmarkEnd w:id="368"/>
      <w:bookmarkStart w:id="369" w:name="_Toc184312077"/>
      <w:bookmarkEnd w:id="369"/>
      <w:bookmarkStart w:id="370" w:name="_Toc184314435"/>
      <w:bookmarkEnd w:id="370"/>
      <w:bookmarkStart w:id="371" w:name="_Toc184312099"/>
      <w:bookmarkEnd w:id="371"/>
      <w:bookmarkStart w:id="372" w:name="_Toc184312138"/>
      <w:bookmarkEnd w:id="372"/>
      <w:bookmarkStart w:id="373" w:name="_Toc184310341"/>
      <w:bookmarkEnd w:id="373"/>
      <w:bookmarkStart w:id="374" w:name="_Toc184314449"/>
      <w:bookmarkEnd w:id="374"/>
      <w:bookmarkStart w:id="375" w:name="_Toc184308063"/>
      <w:bookmarkEnd w:id="375"/>
      <w:bookmarkStart w:id="376" w:name="_Toc184312067"/>
      <w:bookmarkEnd w:id="376"/>
      <w:bookmarkStart w:id="377" w:name="_Toc184314454"/>
      <w:bookmarkEnd w:id="377"/>
      <w:bookmarkStart w:id="378" w:name="_Toc184310309"/>
      <w:bookmarkEnd w:id="378"/>
      <w:bookmarkStart w:id="379" w:name="_Toc184313281"/>
      <w:bookmarkEnd w:id="379"/>
      <w:bookmarkStart w:id="380" w:name="_Toc184312128"/>
      <w:bookmarkEnd w:id="380"/>
      <w:bookmarkStart w:id="381" w:name="_Toc184308097"/>
      <w:bookmarkEnd w:id="381"/>
      <w:bookmarkStart w:id="382" w:name="_Toc184308085"/>
      <w:bookmarkEnd w:id="382"/>
      <w:bookmarkStart w:id="383" w:name="_Toc184308050"/>
      <w:bookmarkEnd w:id="383"/>
      <w:bookmarkStart w:id="384" w:name="_Toc184313240"/>
      <w:bookmarkEnd w:id="384"/>
      <w:bookmarkStart w:id="385" w:name="_Toc184314429"/>
      <w:bookmarkEnd w:id="385"/>
      <w:bookmarkStart w:id="386" w:name="_Toc184312135"/>
      <w:bookmarkEnd w:id="386"/>
      <w:bookmarkStart w:id="387" w:name="_Toc184308073"/>
      <w:bookmarkEnd w:id="387"/>
      <w:bookmarkStart w:id="388" w:name="_Toc184312119"/>
      <w:bookmarkEnd w:id="388"/>
      <w:bookmarkStart w:id="389" w:name="_Toc184313298"/>
      <w:bookmarkEnd w:id="389"/>
      <w:bookmarkStart w:id="390" w:name="_Toc184312070"/>
      <w:bookmarkEnd w:id="390"/>
      <w:bookmarkStart w:id="391" w:name="_Toc184308074"/>
      <w:bookmarkEnd w:id="391"/>
      <w:bookmarkStart w:id="392" w:name="_Toc184314447"/>
      <w:bookmarkEnd w:id="392"/>
      <w:bookmarkStart w:id="393" w:name="_Toc184310277"/>
      <w:bookmarkEnd w:id="393"/>
      <w:bookmarkStart w:id="394" w:name="_Toc184308103"/>
      <w:bookmarkEnd w:id="394"/>
      <w:bookmarkStart w:id="395" w:name="_Toc184313310"/>
      <w:bookmarkEnd w:id="395"/>
      <w:bookmarkStart w:id="396" w:name="_Toc184310329"/>
      <w:bookmarkEnd w:id="396"/>
      <w:bookmarkStart w:id="397" w:name="_Toc184313306"/>
      <w:bookmarkEnd w:id="397"/>
      <w:bookmarkStart w:id="398" w:name="_Toc184314419"/>
      <w:bookmarkEnd w:id="398"/>
      <w:bookmarkStart w:id="399" w:name="_Toc184314446"/>
      <w:bookmarkEnd w:id="399"/>
      <w:bookmarkStart w:id="400" w:name="_Toc184310310"/>
      <w:bookmarkEnd w:id="400"/>
      <w:bookmarkStart w:id="401" w:name="_Toc184313294"/>
      <w:bookmarkEnd w:id="401"/>
      <w:bookmarkStart w:id="402" w:name="_Toc184312124"/>
      <w:bookmarkEnd w:id="402"/>
      <w:bookmarkStart w:id="403" w:name="_Toc184312107"/>
      <w:bookmarkEnd w:id="403"/>
      <w:bookmarkStart w:id="404" w:name="_Toc184312108"/>
      <w:bookmarkEnd w:id="404"/>
      <w:bookmarkStart w:id="405" w:name="_Toc184314478"/>
      <w:bookmarkEnd w:id="405"/>
      <w:bookmarkStart w:id="406" w:name="_Toc184308082"/>
      <w:bookmarkEnd w:id="406"/>
      <w:bookmarkStart w:id="407" w:name="_Toc184313274"/>
      <w:bookmarkEnd w:id="407"/>
      <w:bookmarkStart w:id="408" w:name="_Toc184313296"/>
      <w:bookmarkEnd w:id="408"/>
      <w:bookmarkStart w:id="409" w:name="_Toc184313250"/>
      <w:bookmarkEnd w:id="409"/>
      <w:bookmarkStart w:id="410" w:name="_Toc184314468"/>
      <w:bookmarkEnd w:id="410"/>
      <w:bookmarkStart w:id="411" w:name="_Toc184314428"/>
      <w:bookmarkEnd w:id="411"/>
      <w:bookmarkStart w:id="412" w:name="_Toc184314431"/>
      <w:bookmarkEnd w:id="412"/>
      <w:bookmarkStart w:id="413" w:name="_Toc184314476"/>
      <w:bookmarkEnd w:id="413"/>
      <w:bookmarkStart w:id="414" w:name="_Toc184308102"/>
      <w:bookmarkEnd w:id="414"/>
      <w:bookmarkStart w:id="415" w:name="_Toc184314453"/>
      <w:bookmarkEnd w:id="415"/>
      <w:bookmarkStart w:id="416" w:name="_Toc184313262"/>
      <w:bookmarkEnd w:id="416"/>
      <w:bookmarkStart w:id="417" w:name="_Toc184314417"/>
      <w:bookmarkEnd w:id="417"/>
      <w:bookmarkStart w:id="418" w:name="_Toc184312084"/>
      <w:bookmarkEnd w:id="418"/>
      <w:bookmarkStart w:id="419" w:name="_Toc184308101"/>
      <w:bookmarkEnd w:id="419"/>
      <w:bookmarkStart w:id="420" w:name="_Toc184313253"/>
      <w:bookmarkEnd w:id="420"/>
      <w:r>
        <w:rPr>
          <w:rFonts w:hint="eastAsia" w:asciiTheme="minorEastAsia" w:hAnsiTheme="minorEastAsia" w:eastAsiaTheme="minorEastAsia" w:cstheme="minorEastAsia"/>
          <w:b/>
          <w:sz w:val="36"/>
          <w:szCs w:val="36"/>
        </w:rPr>
        <w:t>评标办法</w:t>
      </w:r>
    </w:p>
    <w:p>
      <w:pPr>
        <w:snapToGrid w:val="0"/>
        <w:spacing w:line="360" w:lineRule="auto"/>
        <w:jc w:val="center"/>
        <w:rPr>
          <w:rFonts w:hint="eastAsia" w:asciiTheme="minorEastAsia" w:hAnsiTheme="minorEastAsia" w:eastAsiaTheme="minorEastAsia" w:cstheme="minorEastAsia"/>
          <w:b/>
          <w:sz w:val="32"/>
          <w:szCs w:val="20"/>
        </w:rPr>
      </w:pPr>
      <w:r>
        <w:rPr>
          <w:rFonts w:hint="eastAsia" w:asciiTheme="minorEastAsia" w:hAnsiTheme="minorEastAsia" w:eastAsiaTheme="minorEastAsia" w:cstheme="minorEastAsia"/>
          <w:b/>
          <w:sz w:val="32"/>
          <w:szCs w:val="20"/>
        </w:rPr>
        <w:t xml:space="preserve">评标办法前附表 </w:t>
      </w:r>
    </w:p>
    <w:tbl>
      <w:tblPr>
        <w:tblStyle w:val="64"/>
        <w:tblpPr w:leftFromText="180" w:rightFromText="180" w:vertAnchor="text" w:horzAnchor="page" w:tblpX="1421" w:tblpY="126"/>
        <w:tblW w:w="53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465"/>
        <w:gridCol w:w="670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2" w:hRule="atLeast"/>
        </w:trPr>
        <w:tc>
          <w:tcPr>
            <w:tcW w:w="330" w:type="pct"/>
            <w:vAlign w:val="center"/>
          </w:tcPr>
          <w:p>
            <w:pPr>
              <w:spacing w:line="360" w:lineRule="auto"/>
              <w:outlineLvl w:val="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序号</w:t>
            </w:r>
          </w:p>
        </w:tc>
        <w:tc>
          <w:tcPr>
            <w:tcW w:w="764" w:type="pct"/>
            <w:vAlign w:val="center"/>
          </w:tcPr>
          <w:p>
            <w:pPr>
              <w:spacing w:line="360" w:lineRule="auto"/>
              <w:jc w:val="center"/>
              <w:outlineLvl w:val="0"/>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评分项目</w:t>
            </w:r>
          </w:p>
        </w:tc>
        <w:tc>
          <w:tcPr>
            <w:tcW w:w="3500" w:type="pct"/>
            <w:vAlign w:val="center"/>
          </w:tcPr>
          <w:p>
            <w:pPr>
              <w:spacing w:line="360" w:lineRule="auto"/>
              <w:jc w:val="center"/>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评分标准及细则</w:t>
            </w:r>
          </w:p>
        </w:tc>
        <w:tc>
          <w:tcPr>
            <w:tcW w:w="405" w:type="pct"/>
            <w:vAlign w:val="center"/>
          </w:tcPr>
          <w:p>
            <w:pPr>
              <w:spacing w:line="360" w:lineRule="auto"/>
              <w:jc w:val="center"/>
              <w:outlineLvl w:val="0"/>
              <w:rPr>
                <w:rFonts w:hint="eastAsia"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330" w:type="pct"/>
            <w:vAlign w:val="center"/>
          </w:tcPr>
          <w:p>
            <w:pPr>
              <w:spacing w:line="360" w:lineRule="auto"/>
              <w:jc w:val="center"/>
              <w:outlineLvl w:val="0"/>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w:t>
            </w:r>
          </w:p>
        </w:tc>
        <w:tc>
          <w:tcPr>
            <w:tcW w:w="764" w:type="pct"/>
            <w:vAlign w:val="center"/>
          </w:tcPr>
          <w:p>
            <w:pPr>
              <w:tabs>
                <w:tab w:val="left" w:pos="0"/>
              </w:tabs>
              <w:spacing w:line="360" w:lineRule="auto"/>
              <w:jc w:val="cente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企业业绩</w:t>
            </w:r>
          </w:p>
        </w:tc>
        <w:tc>
          <w:tcPr>
            <w:tcW w:w="3500" w:type="pct"/>
            <w:vAlign w:val="center"/>
          </w:tcPr>
          <w:p>
            <w:pPr>
              <w:tabs>
                <w:tab w:val="left" w:pos="0"/>
              </w:tabs>
              <w:spacing w:line="360" w:lineRule="auto"/>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投标人自</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kern w:val="0"/>
                <w:sz w:val="24"/>
                <w14:textFill>
                  <w14:solidFill>
                    <w14:schemeClr w14:val="tx1"/>
                  </w14:solidFill>
                </w14:textFill>
              </w:rPr>
              <w:t>年1月1日以来（</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以</w:t>
            </w:r>
            <w:r>
              <w:rPr>
                <w:rFonts w:hint="eastAsia" w:asciiTheme="minorEastAsia" w:hAnsiTheme="minorEastAsia" w:eastAsiaTheme="minorEastAsia" w:cstheme="minorEastAsia"/>
                <w:color w:val="000000" w:themeColor="text1"/>
                <w:kern w:val="0"/>
                <w:sz w:val="24"/>
                <w14:textFill>
                  <w14:solidFill>
                    <w14:schemeClr w14:val="tx1"/>
                  </w14:solidFill>
                </w14:textFill>
              </w:rPr>
              <w:t>合同签订时间为准）承担过类似</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园林绿化养护</w:t>
            </w:r>
            <w:r>
              <w:rPr>
                <w:rFonts w:hint="eastAsia" w:asciiTheme="minorEastAsia" w:hAnsiTheme="minorEastAsia" w:eastAsiaTheme="minorEastAsia" w:cstheme="minorEastAsia"/>
                <w:color w:val="000000" w:themeColor="text1"/>
                <w:kern w:val="0"/>
                <w:sz w:val="24"/>
                <w14:textFill>
                  <w14:solidFill>
                    <w14:schemeClr w14:val="tx1"/>
                  </w14:solidFill>
                </w14:textFill>
              </w:rPr>
              <w:t>业</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绩</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，每个业绩合同得</w:t>
            </w: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highlight w:val="none"/>
                <w14:textFill>
                  <w14:solidFill>
                    <w14:schemeClr w14:val="tx1"/>
                  </w14:solidFill>
                </w14:textFill>
              </w:rPr>
              <w:t>分，本项</w:t>
            </w:r>
            <w:r>
              <w:rPr>
                <w:rFonts w:hint="eastAsia" w:asciiTheme="minorEastAsia" w:hAnsiTheme="minorEastAsia" w:eastAsiaTheme="minorEastAsia" w:cstheme="minorEastAsia"/>
                <w:color w:val="000000" w:themeColor="text1"/>
                <w:kern w:val="0"/>
                <w:sz w:val="24"/>
                <w14:textFill>
                  <w14:solidFill>
                    <w14:schemeClr w14:val="tx1"/>
                  </w14:solidFill>
                </w14:textFill>
              </w:rPr>
              <w:t>最多得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14:textFill>
                  <w14:solidFill>
                    <w14:schemeClr w14:val="tx1"/>
                  </w14:solidFill>
                </w14:textFill>
              </w:rPr>
              <w:t>分。</w:t>
            </w:r>
          </w:p>
          <w:p>
            <w:pPr>
              <w:tabs>
                <w:tab w:val="left" w:pos="0"/>
              </w:tabs>
              <w:spacing w:line="360" w:lineRule="auto"/>
              <w:rPr>
                <w:rFonts w:hint="eastAsia" w:asciiTheme="minorEastAsia" w:hAnsiTheme="minorEastAsia" w:eastAsiaTheme="minorEastAsia" w:cstheme="minorEastAsia"/>
                <w:color w:val="000000" w:themeColor="text1"/>
                <w:lang w:val="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14:textFill>
                  <w14:solidFill>
                    <w14:schemeClr w14:val="tx1"/>
                  </w14:solidFill>
                </w14:textFill>
              </w:rPr>
              <w:t>（须提供相应业绩的合同复印件</w:t>
            </w:r>
            <w:r>
              <w:rPr>
                <w:rFonts w:hint="eastAsia" w:asciiTheme="minorEastAsia" w:hAnsiTheme="minorEastAsia" w:eastAsiaTheme="minorEastAsia" w:cstheme="minorEastAsia"/>
                <w:b/>
                <w:bCs/>
                <w:color w:val="000000" w:themeColor="text1"/>
                <w:kern w:val="0"/>
                <w:sz w:val="24"/>
                <w:lang w:eastAsia="zh-CN"/>
                <w14:textFill>
                  <w14:solidFill>
                    <w14:schemeClr w14:val="tx1"/>
                  </w14:solidFill>
                </w14:textFill>
              </w:rPr>
              <w:t>并</w:t>
            </w:r>
            <w:r>
              <w:rPr>
                <w:rFonts w:hint="eastAsia" w:asciiTheme="minorEastAsia" w:hAnsiTheme="minorEastAsia" w:eastAsiaTheme="minorEastAsia" w:cstheme="minorEastAsia"/>
                <w:b/>
                <w:bCs/>
                <w:color w:val="000000" w:themeColor="text1"/>
                <w:kern w:val="0"/>
                <w:sz w:val="24"/>
                <w14:textFill>
                  <w14:solidFill>
                    <w14:schemeClr w14:val="tx1"/>
                  </w14:solidFill>
                </w14:textFill>
              </w:rPr>
              <w:t>加盖公章，不提供不得分）</w:t>
            </w:r>
          </w:p>
        </w:tc>
        <w:tc>
          <w:tcPr>
            <w:tcW w:w="405" w:type="pct"/>
            <w:vAlign w:val="center"/>
          </w:tcPr>
          <w:p>
            <w:pPr>
              <w:tabs>
                <w:tab w:val="left" w:pos="0"/>
              </w:tabs>
              <w:spacing w:line="360" w:lineRule="auto"/>
              <w:jc w:val="center"/>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330" w:type="pct"/>
            <w:vMerge w:val="restart"/>
            <w:vAlign w:val="center"/>
          </w:tcPr>
          <w:p>
            <w:pPr>
              <w:tabs>
                <w:tab w:val="left" w:pos="0"/>
              </w:tabs>
              <w:spacing w:line="360" w:lineRule="auto"/>
              <w:jc w:val="center"/>
              <w:rPr>
                <w:rFonts w:hint="eastAsia" w:asciiTheme="minorEastAsia" w:hAnsiTheme="minorEastAsia" w:eastAsiaTheme="minorEastAsia" w:cs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2</w:t>
            </w:r>
          </w:p>
        </w:tc>
        <w:tc>
          <w:tcPr>
            <w:tcW w:w="764" w:type="pct"/>
            <w:vAlign w:val="center"/>
          </w:tcPr>
          <w:p>
            <w:pPr>
              <w:tabs>
                <w:tab w:val="left" w:pos="0"/>
              </w:tabs>
              <w:spacing w:line="360" w:lineRule="auto"/>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项目负责人</w:t>
            </w:r>
          </w:p>
        </w:tc>
        <w:tc>
          <w:tcPr>
            <w:tcW w:w="3500" w:type="pct"/>
            <w:vAlign w:val="center"/>
          </w:tcPr>
          <w:p>
            <w:pPr>
              <w:tabs>
                <w:tab w:val="left" w:pos="0"/>
              </w:tabs>
              <w:spacing w:line="360" w:lineRule="auto"/>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拟派项目负责人具有</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园林相关专业高</w:t>
            </w:r>
            <w:r>
              <w:rPr>
                <w:rFonts w:hint="eastAsia" w:asciiTheme="minorEastAsia" w:hAnsiTheme="minorEastAsia" w:eastAsiaTheme="minorEastAsia" w:cstheme="minorEastAsia"/>
                <w:color w:val="000000" w:themeColor="text1"/>
                <w:kern w:val="0"/>
                <w:sz w:val="24"/>
                <w14:textFill>
                  <w14:solidFill>
                    <w14:schemeClr w14:val="tx1"/>
                  </w14:solidFill>
                </w14:textFill>
              </w:rPr>
              <w:t>级及以上工程师职称</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kern w:val="0"/>
                <w:sz w:val="24"/>
                <w14:textFill>
                  <w14:solidFill>
                    <w14:schemeClr w14:val="tx1"/>
                  </w14:solidFill>
                </w14:textFill>
              </w:rPr>
              <w:t>得</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14:textFill>
                  <w14:solidFill>
                    <w14:schemeClr w14:val="tx1"/>
                  </w14:solidFill>
                </w14:textFill>
              </w:rPr>
              <w:t>分。</w:t>
            </w:r>
          </w:p>
          <w:p>
            <w:pPr>
              <w:tabs>
                <w:tab w:val="left" w:pos="0"/>
              </w:tabs>
              <w:spacing w:line="360" w:lineRule="auto"/>
              <w:rPr>
                <w:rFonts w:hint="eastAsia" w:asciiTheme="minorEastAsia" w:hAnsiTheme="minorEastAsia" w:eastAsiaTheme="minorEastAsia" w:cstheme="minorEastAsia"/>
                <w:b/>
                <w:bCs/>
                <w:color w:val="000000" w:themeColor="text1"/>
                <w:kern w:val="0"/>
                <w:sz w:val="24"/>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14:textFill>
                  <w14:solidFill>
                    <w14:schemeClr w14:val="tx1"/>
                  </w14:solidFill>
                </w14:textFill>
              </w:rPr>
              <w:t>（须提供职称证书及当地人社部门出具的在本单位缴纳的</w:t>
            </w:r>
            <w:r>
              <w:rPr>
                <w:rFonts w:hint="eastAsia" w:asciiTheme="minorEastAsia" w:hAnsiTheme="minorEastAsia" w:eastAsiaTheme="minorEastAsia" w:cstheme="minorEastAsia"/>
                <w:b/>
                <w:bCs/>
                <w:color w:val="000000" w:themeColor="text1"/>
                <w:kern w:val="0"/>
                <w:sz w:val="24"/>
                <w:lang w:eastAsia="zh-CN"/>
                <w14:textFill>
                  <w14:solidFill>
                    <w14:schemeClr w14:val="tx1"/>
                  </w14:solidFill>
                </w14:textFill>
              </w:rPr>
              <w:t>最近月份</w:t>
            </w:r>
            <w:r>
              <w:rPr>
                <w:rFonts w:hint="eastAsia" w:asciiTheme="minorEastAsia" w:hAnsiTheme="minorEastAsia" w:eastAsiaTheme="minorEastAsia" w:cstheme="minorEastAsia"/>
                <w:b/>
                <w:bCs/>
                <w:color w:val="000000" w:themeColor="text1"/>
                <w:kern w:val="0"/>
                <w:sz w:val="24"/>
                <w14:textFill>
                  <w14:solidFill>
                    <w14:schemeClr w14:val="tx1"/>
                  </w14:solidFill>
                </w14:textFill>
              </w:rPr>
              <w:t>社保参保证明材料复印件或扫描件</w:t>
            </w:r>
            <w:r>
              <w:rPr>
                <w:rFonts w:hint="eastAsia" w:asciiTheme="minorEastAsia" w:hAnsiTheme="minorEastAsia" w:eastAsiaTheme="minorEastAsia" w:cstheme="minorEastAsia"/>
                <w:b/>
                <w:bCs/>
                <w:color w:val="000000" w:themeColor="text1"/>
                <w:kern w:val="0"/>
                <w:sz w:val="24"/>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0"/>
                <w:sz w:val="24"/>
                <w14:textFill>
                  <w14:solidFill>
                    <w14:schemeClr w14:val="tx1"/>
                  </w14:solidFill>
                </w14:textFill>
              </w:rPr>
              <w:t>不提供不得分）</w:t>
            </w:r>
          </w:p>
        </w:tc>
        <w:tc>
          <w:tcPr>
            <w:tcW w:w="405" w:type="pct"/>
            <w:vAlign w:val="center"/>
          </w:tcPr>
          <w:p>
            <w:pPr>
              <w:tabs>
                <w:tab w:val="left" w:pos="0"/>
              </w:tabs>
              <w:spacing w:line="360" w:lineRule="auto"/>
              <w:jc w:val="center"/>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330" w:type="pct"/>
            <w:vMerge w:val="continue"/>
            <w:vAlign w:val="center"/>
          </w:tcPr>
          <w:p>
            <w:pPr>
              <w:tabs>
                <w:tab w:val="left" w:pos="0"/>
              </w:tabs>
              <w:spacing w:line="360" w:lineRule="auto"/>
              <w:rPr>
                <w:rFonts w:hint="eastAsia" w:asciiTheme="minorEastAsia" w:hAnsiTheme="minorEastAsia" w:eastAsiaTheme="minorEastAsia" w:cstheme="minorEastAsia"/>
              </w:rPr>
            </w:pPr>
          </w:p>
        </w:tc>
        <w:tc>
          <w:tcPr>
            <w:tcW w:w="764" w:type="pct"/>
            <w:vAlign w:val="center"/>
          </w:tcPr>
          <w:p>
            <w:pPr>
              <w:tabs>
                <w:tab w:val="left" w:pos="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themeColor="text1"/>
                <w:kern w:val="0"/>
                <w:sz w:val="24"/>
                <w14:textFill>
                  <w14:solidFill>
                    <w14:schemeClr w14:val="tx1"/>
                  </w14:solidFill>
                </w14:textFill>
              </w:rPr>
              <w:t>项目组成员</w:t>
            </w:r>
          </w:p>
        </w:tc>
        <w:tc>
          <w:tcPr>
            <w:tcW w:w="3500" w:type="pct"/>
            <w:vAlign w:val="center"/>
          </w:tcPr>
          <w:p>
            <w:pPr>
              <w:keepNext w:val="0"/>
              <w:keepLines w:val="0"/>
              <w:pageBreakBefore w:val="0"/>
              <w:widowControl w:val="0"/>
              <w:tabs>
                <w:tab w:val="left" w:pos="0"/>
              </w:tabs>
              <w:kinsoku/>
              <w:wordWrap/>
              <w:overflowPunct/>
              <w:topLinePunct w:val="0"/>
              <w:autoSpaceDE/>
              <w:autoSpaceDN/>
              <w:bidi w:val="0"/>
              <w:adjustRightInd w:val="0"/>
              <w:snapToGrid/>
              <w:spacing w:before="0" w:beforeLines="50" w:line="360" w:lineRule="auto"/>
              <w:textAlignment w:val="auto"/>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根据投标人提供的</w:t>
            </w:r>
            <w:r>
              <w:rPr>
                <w:rFonts w:hint="eastAsia" w:ascii="宋体" w:hAnsi="宋体" w:cs="宋体"/>
                <w:color w:val="000000" w:themeColor="text1"/>
                <w:kern w:val="0"/>
                <w:sz w:val="24"/>
                <w:highlight w:val="none"/>
                <w:lang w:val="en-US" w:eastAsia="zh-CN"/>
                <w14:textFill>
                  <w14:solidFill>
                    <w14:schemeClr w14:val="tx1"/>
                  </w14:solidFill>
                </w14:textFill>
              </w:rPr>
              <w:t>养护</w:t>
            </w:r>
            <w:r>
              <w:rPr>
                <w:rFonts w:hint="eastAsia" w:ascii="宋体" w:hAnsi="宋体" w:eastAsia="宋体" w:cs="宋体"/>
                <w:color w:val="000000" w:themeColor="text1"/>
                <w:kern w:val="0"/>
                <w:sz w:val="24"/>
                <w:highlight w:val="none"/>
                <w:lang w:val="en-US" w:eastAsia="zh-CN"/>
                <w14:textFill>
                  <w14:solidFill>
                    <w14:schemeClr w14:val="tx1"/>
                  </w14:solidFill>
                </w14:textFill>
              </w:rPr>
              <w:t>团队人员配置情况进行打分</w:t>
            </w:r>
            <w:r>
              <w:rPr>
                <w:rFonts w:hint="eastAsia" w:ascii="宋体" w:hAnsi="宋体" w:cs="宋体"/>
                <w:color w:val="000000" w:themeColor="text1"/>
                <w:kern w:val="0"/>
                <w:sz w:val="24"/>
                <w:highlight w:val="none"/>
                <w:lang w:val="en-US" w:eastAsia="zh-CN"/>
                <w14:textFill>
                  <w14:solidFill>
                    <w14:schemeClr w14:val="tx1"/>
                  </w14:solidFill>
                </w14:textFill>
              </w:rPr>
              <w:t>：</w:t>
            </w:r>
          </w:p>
          <w:p>
            <w:pPr>
              <w:tabs>
                <w:tab w:val="left" w:pos="0"/>
              </w:tabs>
              <w:spacing w:line="360" w:lineRule="auto"/>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人员配置充分、合理，专业技能与项目要求相匹配的得</w:t>
            </w:r>
            <w:r>
              <w:rPr>
                <w:rFonts w:hint="eastAsia" w:ascii="宋体" w:hAnsi="宋体" w:cs="宋体"/>
                <w:color w:val="000000" w:themeColor="text1"/>
                <w:kern w:val="0"/>
                <w:sz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highlight w:val="none"/>
                <w:lang w:val="en-US" w:eastAsia="zh-CN"/>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9</w:t>
            </w:r>
            <w:r>
              <w:rPr>
                <w:rFonts w:hint="eastAsia" w:ascii="宋体" w:hAnsi="宋体" w:eastAsia="宋体" w:cs="宋体"/>
                <w:color w:val="000000" w:themeColor="text1"/>
                <w:kern w:val="0"/>
                <w:sz w:val="24"/>
                <w:highlight w:val="none"/>
                <w:lang w:val="en-US" w:eastAsia="zh-CN"/>
                <w14:textFill>
                  <w14:solidFill>
                    <w14:schemeClr w14:val="tx1"/>
                  </w14:solidFill>
                </w14:textFill>
              </w:rPr>
              <w:t>分；</w:t>
            </w:r>
          </w:p>
          <w:p>
            <w:pPr>
              <w:tabs>
                <w:tab w:val="left" w:pos="0"/>
              </w:tabs>
              <w:spacing w:line="360" w:lineRule="auto"/>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人员配置较合理的得</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highlight w:val="none"/>
                <w:lang w:val="en-US" w:eastAsia="zh-CN"/>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highlight w:val="none"/>
                <w:lang w:val="en-US" w:eastAsia="zh-CN"/>
                <w14:textFill>
                  <w14:solidFill>
                    <w14:schemeClr w14:val="tx1"/>
                  </w14:solidFill>
                </w14:textFill>
              </w:rPr>
              <w:t>分；</w:t>
            </w:r>
          </w:p>
          <w:p>
            <w:pPr>
              <w:tabs>
                <w:tab w:val="left" w:pos="0"/>
              </w:tabs>
              <w:spacing w:line="360" w:lineRule="auto"/>
              <w:rPr>
                <w:rFonts w:hint="eastAsia"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人员配置基本合理的得0-2分。</w:t>
            </w:r>
          </w:p>
          <w:p>
            <w:pPr>
              <w:tabs>
                <w:tab w:val="left" w:pos="0"/>
              </w:tabs>
              <w:spacing w:line="360" w:lineRule="auto"/>
              <w:rPr>
                <w:rFonts w:hint="eastAsia" w:asciiTheme="minorEastAsia" w:hAnsiTheme="minorEastAsia" w:eastAsiaTheme="minorEastAsia" w:cstheme="minorEastAsia"/>
                <w:b/>
                <w:bCs/>
                <w:color w:val="000000" w:themeColor="text1"/>
                <w:kern w:val="0"/>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lang w:val="en-US" w:eastAsia="zh-CN"/>
                <w14:textFill>
                  <w14:solidFill>
                    <w14:schemeClr w14:val="tx1"/>
                  </w14:solidFill>
                </w14:textFill>
              </w:rPr>
              <w:t>（需提供投标单位为其发放的工资证明，否则不得分）</w:t>
            </w:r>
          </w:p>
        </w:tc>
        <w:tc>
          <w:tcPr>
            <w:tcW w:w="405" w:type="pct"/>
            <w:vAlign w:val="center"/>
          </w:tcPr>
          <w:p>
            <w:pPr>
              <w:tabs>
                <w:tab w:val="left" w:pos="0"/>
              </w:tabs>
              <w:spacing w:line="360" w:lineRule="auto"/>
              <w:jc w:val="center"/>
              <w:rPr>
                <w:rFonts w:hint="default" w:asciiTheme="minorEastAsia" w:hAnsiTheme="minorEastAsia" w:eastAsiaTheme="minorEastAsia" w:cstheme="minorEastAsia"/>
                <w:b w:val="0"/>
                <w:bCs w:val="0"/>
                <w:color w:val="000000" w:themeColor="text1"/>
                <w:kern w:val="0"/>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trPr>
        <w:tc>
          <w:tcPr>
            <w:tcW w:w="330" w:type="pct"/>
            <w:vAlign w:val="center"/>
          </w:tcPr>
          <w:p>
            <w:pPr>
              <w:pStyle w:val="783"/>
              <w:widowControl w:val="0"/>
              <w:spacing w:line="320" w:lineRule="exact"/>
              <w:jc w:val="center"/>
              <w:rPr>
                <w:rFonts w:hint="eastAsia" w:ascii="宋体" w:hAnsi="宋体" w:eastAsia="宋体" w:cs="宋体"/>
                <w:kern w:val="0"/>
                <w:sz w:val="24"/>
                <w:szCs w:val="24"/>
                <w:lang w:val="en-US" w:eastAsia="zh-CN" w:bidi="ar-SA"/>
              </w:rPr>
            </w:pPr>
            <w:r>
              <w:rPr>
                <w:rFonts w:hint="eastAsia" w:ascii="宋体" w:hAnsi="宋体" w:cs="宋体"/>
                <w:sz w:val="24"/>
                <w:szCs w:val="24"/>
                <w:lang w:val="en-US" w:eastAsia="zh-CN"/>
              </w:rPr>
              <w:t>3</w:t>
            </w:r>
          </w:p>
        </w:tc>
        <w:tc>
          <w:tcPr>
            <w:tcW w:w="764" w:type="pct"/>
            <w:vAlign w:val="center"/>
          </w:tcPr>
          <w:p>
            <w:pPr>
              <w:spacing w:line="360" w:lineRule="auto"/>
              <w:jc w:val="center"/>
              <w:outlineLvl w:val="0"/>
              <w:rPr>
                <w:rFonts w:hint="eastAsia" w:ascii="宋体" w:hAnsi="宋体" w:eastAsia="宋体" w:cs="宋体"/>
                <w:kern w:val="2"/>
                <w:sz w:val="24"/>
                <w:szCs w:val="24"/>
                <w:lang w:val="en-US" w:eastAsia="zh-CN" w:bidi="ar-SA"/>
              </w:rPr>
            </w:pPr>
            <w:r>
              <w:rPr>
                <w:rFonts w:hint="eastAsia" w:ascii="宋体" w:hAnsi="宋体" w:eastAsia="宋体" w:cs="宋体"/>
                <w:sz w:val="24"/>
              </w:rPr>
              <w:t>对项目的认知和理解</w:t>
            </w:r>
          </w:p>
        </w:tc>
        <w:tc>
          <w:tcPr>
            <w:tcW w:w="3500" w:type="pct"/>
            <w:vAlign w:val="center"/>
          </w:tcPr>
          <w:p>
            <w:pPr>
              <w:spacing w:line="360" w:lineRule="auto"/>
              <w:outlineLvl w:val="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根据投标人对本项目的理解情况进行评分：</w:t>
            </w:r>
          </w:p>
          <w:p>
            <w:pPr>
              <w:spacing w:line="360" w:lineRule="auto"/>
              <w:outlineLvl w:val="0"/>
              <w:rPr>
                <w:rFonts w:hint="eastAsia" w:ascii="宋体" w:hAnsi="宋体" w:eastAsia="宋体" w:cs="宋体"/>
                <w:sz w:val="24"/>
                <w:highlight w:val="none"/>
                <w:lang w:val="en-US" w:eastAsia="zh-CN"/>
              </w:rPr>
            </w:pPr>
            <w:r>
              <w:rPr>
                <w:rFonts w:hint="eastAsia" w:ascii="宋体" w:hAnsi="宋体" w:eastAsia="宋体" w:cs="宋体"/>
                <w:sz w:val="24"/>
                <w:highlight w:val="none"/>
              </w:rPr>
              <w:t>理解全面到位、内容齐全、结构完整、</w:t>
            </w:r>
            <w:r>
              <w:rPr>
                <w:rFonts w:hint="eastAsia" w:ascii="宋体" w:hAnsi="宋体" w:eastAsia="宋体" w:cs="宋体"/>
                <w:sz w:val="24"/>
                <w:highlight w:val="none"/>
                <w:lang w:val="en-US" w:eastAsia="zh-CN"/>
              </w:rPr>
              <w:t>表述准确的得</w:t>
            </w:r>
            <w:r>
              <w:rPr>
                <w:rFonts w:hint="eastAsia" w:ascii="宋体" w:hAnsi="宋体" w:cs="宋体"/>
                <w:sz w:val="24"/>
                <w:highlight w:val="none"/>
                <w:lang w:val="en-US" w:eastAsia="zh-CN"/>
              </w:rPr>
              <w:t>8</w:t>
            </w:r>
            <w:r>
              <w:rPr>
                <w:rFonts w:hint="eastAsia" w:ascii="宋体" w:hAnsi="宋体" w:eastAsia="宋体" w:cs="宋体"/>
                <w:sz w:val="24"/>
                <w:highlight w:val="none"/>
                <w:lang w:val="en-US" w:eastAsia="zh-CN"/>
              </w:rPr>
              <w:t>-</w:t>
            </w:r>
            <w:r>
              <w:rPr>
                <w:rFonts w:hint="eastAsia" w:ascii="宋体" w:hAnsi="宋体" w:cs="宋体"/>
                <w:sz w:val="24"/>
                <w:highlight w:val="none"/>
                <w:lang w:val="en-US" w:eastAsia="zh-CN"/>
              </w:rPr>
              <w:t>10</w:t>
            </w:r>
            <w:r>
              <w:rPr>
                <w:rFonts w:hint="eastAsia" w:ascii="宋体" w:hAnsi="宋体" w:eastAsia="宋体" w:cs="宋体"/>
                <w:sz w:val="24"/>
                <w:highlight w:val="none"/>
                <w:lang w:val="en-US" w:eastAsia="zh-CN"/>
              </w:rPr>
              <w:t>分；</w:t>
            </w:r>
          </w:p>
          <w:p>
            <w:pPr>
              <w:spacing w:line="360" w:lineRule="auto"/>
              <w:outlineLvl w:val="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理解比较具体、详细、到位、解读比较合理的得3-</w:t>
            </w:r>
            <w:r>
              <w:rPr>
                <w:rFonts w:hint="eastAsia" w:ascii="宋体" w:hAnsi="宋体" w:cs="宋体"/>
                <w:sz w:val="24"/>
                <w:highlight w:val="none"/>
                <w:lang w:val="en-US" w:eastAsia="zh-CN"/>
              </w:rPr>
              <w:t>7</w:t>
            </w:r>
            <w:r>
              <w:rPr>
                <w:rFonts w:hint="eastAsia" w:ascii="宋体" w:hAnsi="宋体" w:eastAsia="宋体" w:cs="宋体"/>
                <w:sz w:val="24"/>
                <w:highlight w:val="none"/>
                <w:lang w:val="en-US" w:eastAsia="zh-CN"/>
              </w:rPr>
              <w:t>分；</w:t>
            </w:r>
          </w:p>
          <w:p>
            <w:pPr>
              <w:spacing w:line="360" w:lineRule="auto"/>
              <w:outlineLvl w:val="0"/>
              <w:rPr>
                <w:rFonts w:hint="eastAsia" w:ascii="宋体" w:hAnsi="宋体" w:eastAsia="宋体" w:cs="宋体"/>
                <w:kern w:val="2"/>
                <w:sz w:val="24"/>
                <w:szCs w:val="24"/>
                <w:highlight w:val="none"/>
                <w:lang w:val="zh-CN" w:eastAsia="zh-CN" w:bidi="ar-SA"/>
              </w:rPr>
            </w:pPr>
            <w:r>
              <w:rPr>
                <w:rFonts w:hint="eastAsia" w:ascii="宋体" w:hAnsi="宋体" w:eastAsia="宋体" w:cs="宋体"/>
                <w:sz w:val="24"/>
                <w:highlight w:val="none"/>
                <w:lang w:val="en-US" w:eastAsia="zh-CN"/>
              </w:rPr>
              <w:t>理解不够具体、详细、到位，解读</w:t>
            </w:r>
            <w:r>
              <w:rPr>
                <w:rFonts w:hint="eastAsia" w:ascii="宋体" w:hAnsi="宋体" w:cs="宋体"/>
                <w:sz w:val="24"/>
                <w:highlight w:val="none"/>
                <w:lang w:val="en-US" w:eastAsia="zh-CN"/>
              </w:rPr>
              <w:t>基本</w:t>
            </w:r>
            <w:r>
              <w:rPr>
                <w:rFonts w:hint="eastAsia" w:ascii="宋体" w:hAnsi="宋体" w:eastAsia="宋体" w:cs="宋体"/>
                <w:sz w:val="24"/>
                <w:highlight w:val="none"/>
                <w:lang w:val="en-US" w:eastAsia="zh-CN"/>
              </w:rPr>
              <w:t>合理的得0-</w:t>
            </w:r>
            <w:r>
              <w:rPr>
                <w:rFonts w:hint="eastAsia" w:ascii="宋体" w:hAnsi="宋体" w:cs="宋体"/>
                <w:sz w:val="24"/>
                <w:highlight w:val="none"/>
                <w:lang w:val="en-US" w:eastAsia="zh-CN"/>
              </w:rPr>
              <w:t>2</w:t>
            </w:r>
            <w:r>
              <w:rPr>
                <w:rFonts w:hint="eastAsia" w:ascii="宋体" w:hAnsi="宋体" w:eastAsia="宋体" w:cs="宋体"/>
                <w:sz w:val="24"/>
                <w:highlight w:val="none"/>
                <w:lang w:val="en-US" w:eastAsia="zh-CN"/>
              </w:rPr>
              <w:t>分。</w:t>
            </w:r>
          </w:p>
        </w:tc>
        <w:tc>
          <w:tcPr>
            <w:tcW w:w="405" w:type="pct"/>
            <w:vAlign w:val="center"/>
          </w:tcPr>
          <w:p>
            <w:pPr>
              <w:spacing w:line="360" w:lineRule="auto"/>
              <w:jc w:val="both"/>
              <w:outlineLvl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lang w:val="en-US" w:eastAsia="zh-CN"/>
              </w:rPr>
              <w:t>10</w:t>
            </w:r>
            <w:r>
              <w:rPr>
                <w:rFonts w:hint="eastAsia" w:ascii="宋体" w:hAnsi="宋体" w:eastAsia="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30" w:type="pct"/>
            <w:vAlign w:val="center"/>
          </w:tcPr>
          <w:p>
            <w:pPr>
              <w:tabs>
                <w:tab w:val="left" w:pos="0"/>
              </w:tabs>
              <w:spacing w:line="360" w:lineRule="auto"/>
              <w:jc w:val="center"/>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4</w:t>
            </w:r>
          </w:p>
        </w:tc>
        <w:tc>
          <w:tcPr>
            <w:tcW w:w="764" w:type="pct"/>
            <w:vAlign w:val="center"/>
          </w:tcPr>
          <w:p>
            <w:pPr>
              <w:tabs>
                <w:tab w:val="left" w:pos="0"/>
              </w:tabs>
              <w:spacing w:line="360" w:lineRule="auto"/>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宋体" w:hAnsi="宋体" w:eastAsia="宋体" w:cs="宋体"/>
                <w:sz w:val="24"/>
                <w:lang w:val="en-US" w:eastAsia="zh-CN"/>
              </w:rPr>
              <w:t>园林绿化</w:t>
            </w:r>
            <w:r>
              <w:rPr>
                <w:rFonts w:hint="eastAsia" w:ascii="宋体" w:hAnsi="宋体" w:eastAsia="宋体" w:cs="宋体"/>
                <w:sz w:val="24"/>
              </w:rPr>
              <w:t>养护方案</w:t>
            </w:r>
          </w:p>
        </w:tc>
        <w:tc>
          <w:tcPr>
            <w:tcW w:w="3500" w:type="pct"/>
            <w:vAlign w:val="center"/>
          </w:tcPr>
          <w:p>
            <w:pPr>
              <w:spacing w:line="360" w:lineRule="auto"/>
              <w:outlineLvl w:val="0"/>
              <w:rPr>
                <w:rFonts w:hint="eastAsia" w:ascii="宋体" w:hAnsi="宋体" w:eastAsia="宋体" w:cs="宋体"/>
                <w:sz w:val="24"/>
              </w:rPr>
            </w:pPr>
            <w:r>
              <w:rPr>
                <w:rFonts w:hint="eastAsia" w:ascii="宋体" w:hAnsi="宋体" w:eastAsia="宋体" w:cs="宋体"/>
                <w:sz w:val="24"/>
                <w:lang w:val="en-US" w:eastAsia="zh-CN"/>
              </w:rPr>
              <w:t>根据投标人提供的园林绿化</w:t>
            </w:r>
            <w:r>
              <w:rPr>
                <w:rFonts w:hint="eastAsia" w:ascii="宋体" w:hAnsi="宋体" w:eastAsia="宋体" w:cs="宋体"/>
                <w:sz w:val="24"/>
              </w:rPr>
              <w:t>养护方案</w:t>
            </w:r>
            <w:r>
              <w:rPr>
                <w:rFonts w:hint="eastAsia" w:ascii="宋体" w:hAnsi="宋体" w:eastAsia="宋体" w:cs="宋体"/>
                <w:sz w:val="24"/>
                <w:lang w:val="en-US" w:eastAsia="zh-CN"/>
              </w:rPr>
              <w:t>进行评分</w:t>
            </w:r>
            <w:r>
              <w:rPr>
                <w:rFonts w:hint="eastAsia" w:ascii="宋体" w:hAnsi="宋体" w:eastAsia="宋体" w:cs="宋体"/>
                <w:sz w:val="24"/>
              </w:rPr>
              <w:t>：</w:t>
            </w:r>
          </w:p>
          <w:p>
            <w:pPr>
              <w:spacing w:line="360" w:lineRule="auto"/>
              <w:outlineLvl w:val="0"/>
              <w:rPr>
                <w:rFonts w:hint="eastAsia" w:ascii="宋体" w:hAnsi="宋体" w:eastAsia="宋体" w:cs="宋体"/>
                <w:sz w:val="24"/>
                <w:lang w:eastAsia="zh-CN"/>
              </w:rPr>
            </w:pPr>
            <w:r>
              <w:rPr>
                <w:rFonts w:hint="eastAsia" w:ascii="宋体" w:hAnsi="宋体" w:eastAsia="宋体" w:cs="宋体"/>
                <w:sz w:val="24"/>
              </w:rPr>
              <w:t>方案内容全面、合理、条理清晰，涵盖本次工程实施有关的内容，且具有针对性</w:t>
            </w:r>
            <w:r>
              <w:rPr>
                <w:rFonts w:hint="eastAsia" w:ascii="宋体" w:hAnsi="宋体" w:eastAsia="宋体" w:cs="宋体"/>
                <w:sz w:val="24"/>
                <w:lang w:val="en-US" w:eastAsia="zh-CN"/>
              </w:rPr>
              <w:t>的得1</w:t>
            </w:r>
            <w:r>
              <w:rPr>
                <w:rFonts w:hint="eastAsia" w:ascii="宋体" w:hAnsi="宋体" w:cs="宋体"/>
                <w:sz w:val="24"/>
                <w:lang w:val="en-US" w:eastAsia="zh-CN"/>
              </w:rPr>
              <w:t>3</w:t>
            </w:r>
            <w:r>
              <w:rPr>
                <w:rFonts w:hint="eastAsia" w:ascii="宋体" w:hAnsi="宋体" w:eastAsia="宋体" w:cs="宋体"/>
                <w:sz w:val="24"/>
                <w:lang w:val="en-US" w:eastAsia="zh-CN"/>
              </w:rPr>
              <w:t>-1</w:t>
            </w:r>
            <w:r>
              <w:rPr>
                <w:rFonts w:hint="eastAsia" w:ascii="宋体" w:hAnsi="宋体" w:cs="宋体"/>
                <w:sz w:val="24"/>
                <w:lang w:val="en-US" w:eastAsia="zh-CN"/>
              </w:rPr>
              <w:t>5</w:t>
            </w:r>
            <w:r>
              <w:rPr>
                <w:rFonts w:hint="eastAsia" w:ascii="宋体" w:hAnsi="宋体" w:eastAsia="宋体" w:cs="宋体"/>
                <w:sz w:val="24"/>
                <w:lang w:val="en-US" w:eastAsia="zh-CN"/>
              </w:rPr>
              <w:t>分</w:t>
            </w:r>
            <w:r>
              <w:rPr>
                <w:rFonts w:hint="eastAsia" w:ascii="宋体" w:hAnsi="宋体" w:eastAsia="宋体" w:cs="宋体"/>
                <w:sz w:val="24"/>
                <w:lang w:eastAsia="zh-CN"/>
              </w:rPr>
              <w:t>；</w:t>
            </w:r>
          </w:p>
          <w:p>
            <w:pPr>
              <w:spacing w:line="360" w:lineRule="auto"/>
              <w:outlineLvl w:val="0"/>
              <w:rPr>
                <w:rFonts w:hint="eastAsia" w:ascii="宋体" w:hAnsi="宋体" w:eastAsia="宋体" w:cs="宋体"/>
                <w:sz w:val="24"/>
                <w:lang w:eastAsia="zh-CN"/>
              </w:rPr>
            </w:pPr>
            <w:r>
              <w:rPr>
                <w:rFonts w:hint="eastAsia" w:ascii="宋体" w:hAnsi="宋体" w:eastAsia="宋体" w:cs="宋体"/>
                <w:sz w:val="24"/>
              </w:rPr>
              <w:t>方案较完整、较有针对性、可操作性较强的得</w:t>
            </w:r>
            <w:r>
              <w:rPr>
                <w:rFonts w:hint="eastAsia" w:ascii="宋体" w:hAnsi="宋体" w:eastAsia="宋体" w:cs="宋体"/>
                <w:sz w:val="24"/>
                <w:lang w:val="en-US" w:eastAsia="zh-CN"/>
              </w:rPr>
              <w:t>3-</w:t>
            </w:r>
            <w:r>
              <w:rPr>
                <w:rFonts w:hint="eastAsia" w:ascii="宋体" w:hAnsi="宋体" w:cs="宋体"/>
                <w:sz w:val="24"/>
                <w:lang w:val="en-US" w:eastAsia="zh-CN"/>
              </w:rPr>
              <w:t>12</w:t>
            </w:r>
            <w:r>
              <w:rPr>
                <w:rFonts w:hint="eastAsia" w:ascii="宋体" w:hAnsi="宋体" w:eastAsia="宋体" w:cs="宋体"/>
                <w:sz w:val="24"/>
              </w:rPr>
              <w:t>分</w:t>
            </w:r>
            <w:r>
              <w:rPr>
                <w:rFonts w:hint="eastAsia" w:ascii="宋体" w:hAnsi="宋体" w:eastAsia="宋体" w:cs="宋体"/>
                <w:sz w:val="24"/>
                <w:lang w:eastAsia="zh-CN"/>
              </w:rPr>
              <w:t>；</w:t>
            </w:r>
          </w:p>
          <w:p>
            <w:pPr>
              <w:spacing w:line="360" w:lineRule="auto"/>
              <w:outlineLvl w:val="0"/>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宋体" w:hAnsi="宋体" w:eastAsia="宋体" w:cs="宋体"/>
                <w:sz w:val="24"/>
              </w:rPr>
              <w:t>方案完整性、针对性、可操作性一般的得</w:t>
            </w:r>
            <w:r>
              <w:rPr>
                <w:rFonts w:hint="eastAsia" w:ascii="宋体" w:hAnsi="宋体" w:eastAsia="宋体" w:cs="宋体"/>
                <w:sz w:val="24"/>
                <w:lang w:val="en-US" w:eastAsia="zh-CN"/>
              </w:rPr>
              <w:t>0-2</w:t>
            </w:r>
            <w:r>
              <w:rPr>
                <w:rFonts w:hint="eastAsia" w:ascii="宋体" w:hAnsi="宋体" w:eastAsia="宋体" w:cs="宋体"/>
                <w:sz w:val="24"/>
              </w:rPr>
              <w:t>分</w:t>
            </w:r>
            <w:r>
              <w:rPr>
                <w:rFonts w:hint="eastAsia" w:ascii="宋体" w:hAnsi="宋体" w:eastAsia="宋体" w:cs="宋体"/>
                <w:sz w:val="24"/>
                <w:lang w:eastAsia="zh-CN"/>
              </w:rPr>
              <w:t>。</w:t>
            </w:r>
          </w:p>
        </w:tc>
        <w:tc>
          <w:tcPr>
            <w:tcW w:w="405" w:type="pct"/>
            <w:vAlign w:val="center"/>
          </w:tcPr>
          <w:p>
            <w:pPr>
              <w:tabs>
                <w:tab w:val="left" w:pos="0"/>
              </w:tabs>
              <w:spacing w:line="360" w:lineRule="auto"/>
              <w:jc w:val="cente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330" w:type="pct"/>
            <w:vAlign w:val="center"/>
          </w:tcPr>
          <w:p>
            <w:pPr>
              <w:tabs>
                <w:tab w:val="left" w:pos="0"/>
              </w:tabs>
              <w:spacing w:line="360" w:lineRule="auto"/>
              <w:jc w:val="cente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highlight w:val="none"/>
                <w:lang w:val="en-US" w:eastAsia="zh-CN"/>
                <w14:textFill>
                  <w14:solidFill>
                    <w14:schemeClr w14:val="tx1"/>
                  </w14:solidFill>
                </w14:textFill>
              </w:rPr>
              <w:t>5</w:t>
            </w:r>
          </w:p>
        </w:tc>
        <w:tc>
          <w:tcPr>
            <w:tcW w:w="764" w:type="pct"/>
            <w:vAlign w:val="center"/>
          </w:tcPr>
          <w:p>
            <w:pPr>
              <w:tabs>
                <w:tab w:val="left" w:pos="0"/>
              </w:tabs>
              <w:spacing w:line="360" w:lineRule="auto"/>
              <w:rPr>
                <w:rFonts w:hint="eastAsia" w:asciiTheme="minorEastAsia" w:hAnsiTheme="minorEastAsia" w:eastAsiaTheme="minorEastAsia" w:cstheme="minorEastAsia"/>
                <w:sz w:val="24"/>
                <w:highlight w:val="none"/>
              </w:rPr>
            </w:pPr>
            <w:r>
              <w:rPr>
                <w:rFonts w:hint="eastAsia" w:ascii="宋体" w:hAnsi="宋体" w:eastAsia="宋体" w:cs="宋体"/>
                <w:sz w:val="24"/>
                <w:highlight w:val="none"/>
                <w:lang w:val="en-US" w:eastAsia="zh-CN"/>
              </w:rPr>
              <w:t>养护资料管理方案</w:t>
            </w:r>
          </w:p>
        </w:tc>
        <w:tc>
          <w:tcPr>
            <w:tcW w:w="3500" w:type="pct"/>
            <w:vAlign w:val="center"/>
          </w:tcPr>
          <w:p>
            <w:pPr>
              <w:spacing w:line="360" w:lineRule="auto"/>
              <w:outlineLvl w:val="0"/>
              <w:rPr>
                <w:rFonts w:hint="default" w:ascii="宋体" w:hAnsi="宋体" w:eastAsia="宋体" w:cs="宋体"/>
                <w:sz w:val="24"/>
                <w:lang w:val="en-US" w:eastAsia="zh-CN"/>
              </w:rPr>
            </w:pPr>
            <w:r>
              <w:rPr>
                <w:rFonts w:hint="eastAsia" w:ascii="宋体" w:hAnsi="宋体" w:eastAsia="宋体" w:cs="宋体"/>
                <w:sz w:val="24"/>
                <w:lang w:val="en-US" w:eastAsia="zh-CN"/>
              </w:rPr>
              <w:t>根据投标人提供的</w:t>
            </w:r>
            <w:r>
              <w:rPr>
                <w:rFonts w:hint="eastAsia" w:ascii="宋体" w:hAnsi="宋体" w:eastAsia="宋体" w:cs="宋体"/>
                <w:sz w:val="24"/>
              </w:rPr>
              <w:t>日常养护资料的整理归档方案</w:t>
            </w:r>
            <w:r>
              <w:rPr>
                <w:rFonts w:hint="eastAsia" w:ascii="宋体" w:hAnsi="宋体" w:eastAsia="宋体" w:cs="宋体"/>
                <w:sz w:val="24"/>
                <w:lang w:val="en-US" w:eastAsia="zh-CN"/>
              </w:rPr>
              <w:t>进行评分：</w:t>
            </w:r>
          </w:p>
          <w:p>
            <w:pPr>
              <w:spacing w:line="360" w:lineRule="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内容</w:t>
            </w:r>
            <w:r>
              <w:rPr>
                <w:rFonts w:hint="eastAsia" w:ascii="宋体" w:hAnsi="宋体" w:eastAsia="宋体" w:cs="宋体"/>
                <w:b w:val="0"/>
                <w:bCs w:val="0"/>
                <w:kern w:val="0"/>
                <w:sz w:val="24"/>
                <w:szCs w:val="24"/>
                <w:lang w:val="zh-CN"/>
              </w:rPr>
              <w:t>详实、</w:t>
            </w:r>
            <w:r>
              <w:rPr>
                <w:rFonts w:hint="eastAsia" w:ascii="宋体" w:hAnsi="宋体" w:eastAsia="宋体" w:cs="宋体"/>
                <w:b w:val="0"/>
                <w:bCs w:val="0"/>
                <w:kern w:val="0"/>
                <w:sz w:val="24"/>
                <w:szCs w:val="24"/>
                <w:lang w:val="en-US" w:eastAsia="zh-CN"/>
              </w:rPr>
              <w:t>与本项目吻合度高的得</w:t>
            </w:r>
            <w:r>
              <w:rPr>
                <w:rFonts w:hint="eastAsia" w:ascii="宋体" w:hAnsi="宋体" w:cs="宋体"/>
                <w:b w:val="0"/>
                <w:bCs w:val="0"/>
                <w:kern w:val="0"/>
                <w:sz w:val="24"/>
                <w:szCs w:val="24"/>
                <w:lang w:val="en-US" w:eastAsia="zh-CN"/>
              </w:rPr>
              <w:t>8</w:t>
            </w:r>
            <w:r>
              <w:rPr>
                <w:rFonts w:hint="eastAsia" w:ascii="宋体" w:hAnsi="宋体" w:eastAsia="宋体" w:cs="宋体"/>
                <w:b w:val="0"/>
                <w:bCs w:val="0"/>
                <w:kern w:val="0"/>
                <w:sz w:val="24"/>
                <w:szCs w:val="24"/>
                <w:lang w:val="en-US" w:eastAsia="zh-CN"/>
              </w:rPr>
              <w:t>-10分；</w:t>
            </w:r>
          </w:p>
          <w:p>
            <w:pPr>
              <w:spacing w:line="360" w:lineRule="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内容较详实、可操作性较强、与本项目吻合度较高的得3-</w:t>
            </w:r>
            <w:r>
              <w:rPr>
                <w:rFonts w:hint="eastAsia" w:ascii="宋体" w:hAnsi="宋体" w:cs="宋体"/>
                <w:b w:val="0"/>
                <w:bCs w:val="0"/>
                <w:kern w:val="0"/>
                <w:sz w:val="24"/>
                <w:szCs w:val="24"/>
                <w:lang w:val="en-US" w:eastAsia="zh-CN"/>
              </w:rPr>
              <w:t>7</w:t>
            </w:r>
            <w:r>
              <w:rPr>
                <w:rFonts w:hint="eastAsia" w:ascii="宋体" w:hAnsi="宋体" w:eastAsia="宋体" w:cs="宋体"/>
                <w:b w:val="0"/>
                <w:bCs w:val="0"/>
                <w:kern w:val="0"/>
                <w:sz w:val="24"/>
                <w:szCs w:val="24"/>
                <w:lang w:val="en-US" w:eastAsia="zh-CN"/>
              </w:rPr>
              <w:t>分；</w:t>
            </w:r>
          </w:p>
          <w:p>
            <w:pPr>
              <w:spacing w:line="360" w:lineRule="auto"/>
              <w:outlineLvl w:val="0"/>
              <w:rPr>
                <w:rFonts w:hint="eastAsia" w:ascii="宋体" w:hAnsi="宋体" w:eastAsia="宋体" w:cs="宋体"/>
                <w:sz w:val="24"/>
                <w:highlight w:val="yellow"/>
                <w:lang w:val="zh-CN"/>
              </w:rPr>
            </w:pPr>
            <w:r>
              <w:rPr>
                <w:rFonts w:hint="eastAsia" w:ascii="宋体" w:hAnsi="宋体" w:eastAsia="宋体" w:cs="宋体"/>
                <w:b w:val="0"/>
                <w:bCs w:val="0"/>
                <w:kern w:val="0"/>
                <w:sz w:val="24"/>
                <w:szCs w:val="24"/>
                <w:lang w:val="en-US" w:eastAsia="zh-CN"/>
              </w:rPr>
              <w:t>内容</w:t>
            </w:r>
            <w:r>
              <w:rPr>
                <w:rFonts w:hint="eastAsia" w:ascii="宋体" w:hAnsi="宋体" w:eastAsia="宋体" w:cs="宋体"/>
                <w:b w:val="0"/>
                <w:bCs w:val="0"/>
                <w:kern w:val="0"/>
                <w:sz w:val="24"/>
                <w:szCs w:val="24"/>
              </w:rPr>
              <w:t>不够</w:t>
            </w:r>
            <w:r>
              <w:rPr>
                <w:rFonts w:hint="eastAsia" w:ascii="宋体" w:hAnsi="宋体" w:eastAsia="宋体" w:cs="宋体"/>
                <w:b w:val="0"/>
                <w:bCs w:val="0"/>
                <w:kern w:val="0"/>
                <w:sz w:val="24"/>
                <w:szCs w:val="24"/>
                <w:lang w:val="en-US" w:eastAsia="zh-CN"/>
              </w:rPr>
              <w:t>详实</w:t>
            </w: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可操作性一般、方案针对性一般的</w:t>
            </w:r>
            <w:r>
              <w:rPr>
                <w:rFonts w:hint="eastAsia" w:ascii="宋体" w:hAnsi="宋体" w:eastAsia="宋体" w:cs="宋体"/>
                <w:b w:val="0"/>
                <w:bCs w:val="0"/>
                <w:kern w:val="0"/>
                <w:sz w:val="24"/>
                <w:szCs w:val="24"/>
              </w:rPr>
              <w:t>得</w:t>
            </w:r>
            <w:r>
              <w:rPr>
                <w:rFonts w:hint="eastAsia" w:ascii="宋体" w:hAnsi="宋体" w:eastAsia="宋体" w:cs="宋体"/>
                <w:b w:val="0"/>
                <w:bCs w:val="0"/>
                <w:kern w:val="0"/>
                <w:sz w:val="24"/>
                <w:szCs w:val="24"/>
                <w:lang w:val="en-US" w:eastAsia="zh-CN"/>
              </w:rPr>
              <w:t>0-2</w:t>
            </w:r>
            <w:r>
              <w:rPr>
                <w:rFonts w:hint="eastAsia" w:ascii="宋体" w:hAnsi="宋体" w:eastAsia="宋体" w:cs="宋体"/>
                <w:b w:val="0"/>
                <w:bCs w:val="0"/>
                <w:kern w:val="0"/>
                <w:sz w:val="24"/>
                <w:szCs w:val="24"/>
              </w:rPr>
              <w:t>分</w:t>
            </w:r>
            <w:r>
              <w:rPr>
                <w:rFonts w:hint="eastAsia" w:ascii="宋体" w:hAnsi="宋体" w:eastAsia="宋体" w:cs="宋体"/>
                <w:b w:val="0"/>
                <w:bCs w:val="0"/>
                <w:kern w:val="0"/>
                <w:sz w:val="24"/>
                <w:szCs w:val="24"/>
                <w:lang w:eastAsia="zh-CN"/>
              </w:rPr>
              <w:t>。</w:t>
            </w:r>
          </w:p>
        </w:tc>
        <w:tc>
          <w:tcPr>
            <w:tcW w:w="405" w:type="pct"/>
            <w:vAlign w:val="center"/>
          </w:tcPr>
          <w:p>
            <w:pPr>
              <w:tabs>
                <w:tab w:val="left" w:pos="0"/>
              </w:tabs>
              <w:spacing w:line="360" w:lineRule="auto"/>
              <w:jc w:val="center"/>
              <w:rPr>
                <w:rFonts w:hint="default" w:asciiTheme="minorEastAsia" w:hAnsiTheme="minorEastAsia" w:eastAsiaTheme="minorEastAsia" w:cstheme="minorEastAsia"/>
                <w:sz w:val="24"/>
                <w:highlight w:val="yellow"/>
                <w:lang w:val="en-US" w:eastAsia="zh-CN"/>
              </w:rPr>
            </w:pPr>
            <w:r>
              <w:rPr>
                <w:rFonts w:hint="eastAsia" w:asciiTheme="minorEastAsia" w:hAnsiTheme="minorEastAsia" w:eastAsiaTheme="minorEastAsia" w:cstheme="minorEastAsia"/>
                <w:sz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330" w:type="pct"/>
            <w:vAlign w:val="center"/>
          </w:tcPr>
          <w:p>
            <w:pPr>
              <w:tabs>
                <w:tab w:val="left" w:pos="0"/>
              </w:tabs>
              <w:spacing w:line="360" w:lineRule="auto"/>
              <w:jc w:val="cente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6</w:t>
            </w:r>
          </w:p>
        </w:tc>
        <w:tc>
          <w:tcPr>
            <w:tcW w:w="764" w:type="pct"/>
            <w:vAlign w:val="center"/>
          </w:tcPr>
          <w:p>
            <w:pPr>
              <w:tabs>
                <w:tab w:val="left" w:pos="0"/>
              </w:tabs>
              <w:spacing w:line="360" w:lineRule="auto"/>
              <w:rPr>
                <w:rFonts w:hint="eastAsia" w:ascii="宋体" w:hAnsi="宋体" w:eastAsia="宋体" w:cs="宋体"/>
                <w:sz w:val="24"/>
                <w:lang w:val="en-US" w:eastAsia="zh-CN"/>
              </w:rPr>
            </w:pPr>
          </w:p>
          <w:p>
            <w:pPr>
              <w:tabs>
                <w:tab w:val="left" w:pos="0"/>
              </w:tabs>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应急保障措施</w:t>
            </w:r>
          </w:p>
          <w:p>
            <w:pPr>
              <w:tabs>
                <w:tab w:val="left" w:pos="0"/>
              </w:tabs>
              <w:spacing w:line="360" w:lineRule="auto"/>
              <w:rPr>
                <w:rFonts w:hint="eastAsia" w:asciiTheme="minorEastAsia" w:hAnsiTheme="minorEastAsia" w:eastAsiaTheme="minorEastAsia" w:cstheme="minorEastAsia"/>
                <w:sz w:val="24"/>
              </w:rPr>
            </w:pPr>
          </w:p>
        </w:tc>
        <w:tc>
          <w:tcPr>
            <w:tcW w:w="3500" w:type="pct"/>
            <w:vAlign w:val="center"/>
          </w:tcPr>
          <w:p>
            <w:pPr>
              <w:spacing w:line="360" w:lineRule="auto"/>
              <w:outlineLvl w:val="0"/>
              <w:rPr>
                <w:rFonts w:hint="eastAsia" w:ascii="宋体" w:hAnsi="宋体" w:eastAsia="宋体" w:cs="宋体"/>
                <w:sz w:val="24"/>
                <w:lang w:val="en-US" w:eastAsia="zh-CN"/>
              </w:rPr>
            </w:pPr>
            <w:r>
              <w:rPr>
                <w:rFonts w:hint="eastAsia" w:ascii="宋体" w:hAnsi="宋体" w:eastAsia="宋体" w:cs="宋体"/>
                <w:sz w:val="24"/>
                <w:lang w:val="en-US" w:eastAsia="zh-CN"/>
              </w:rPr>
              <w:t>根据投标人提供的应急（防汛防台、重大活动）措施进行评分：</w:t>
            </w:r>
          </w:p>
          <w:p>
            <w:pPr>
              <w:spacing w:line="360" w:lineRule="auto"/>
              <w:outlineLvl w:val="0"/>
              <w:rPr>
                <w:rFonts w:hint="eastAsia" w:ascii="宋体" w:hAnsi="宋体" w:eastAsia="宋体" w:cs="宋体"/>
                <w:sz w:val="24"/>
                <w:lang w:val="en-US" w:eastAsia="zh-CN"/>
              </w:rPr>
            </w:pPr>
            <w:r>
              <w:rPr>
                <w:rFonts w:hint="eastAsia" w:ascii="宋体" w:hAnsi="宋体" w:eastAsia="宋体" w:cs="宋体"/>
                <w:sz w:val="24"/>
                <w:lang w:val="en-US" w:eastAsia="zh-CN"/>
              </w:rPr>
              <w:t>措施方案覆盖全面、科学合理且具有可操作性的得</w:t>
            </w:r>
            <w:r>
              <w:rPr>
                <w:rFonts w:hint="eastAsia" w:ascii="宋体" w:hAnsi="宋体" w:cs="宋体"/>
                <w:sz w:val="24"/>
                <w:lang w:val="en-US" w:eastAsia="zh-CN"/>
              </w:rPr>
              <w:t>8</w:t>
            </w:r>
            <w:r>
              <w:rPr>
                <w:rFonts w:hint="eastAsia" w:ascii="宋体" w:hAnsi="宋体" w:eastAsia="宋体" w:cs="宋体"/>
                <w:sz w:val="24"/>
                <w:lang w:val="en-US" w:eastAsia="zh-CN"/>
              </w:rPr>
              <w:t>-</w:t>
            </w:r>
            <w:r>
              <w:rPr>
                <w:rFonts w:hint="eastAsia" w:ascii="宋体" w:hAnsi="宋体" w:cs="宋体"/>
                <w:sz w:val="24"/>
                <w:lang w:val="en-US" w:eastAsia="zh-CN"/>
              </w:rPr>
              <w:t>10</w:t>
            </w:r>
            <w:r>
              <w:rPr>
                <w:rFonts w:hint="eastAsia" w:ascii="宋体" w:hAnsi="宋体" w:eastAsia="宋体" w:cs="宋体"/>
                <w:sz w:val="24"/>
                <w:lang w:val="en-US" w:eastAsia="zh-CN"/>
              </w:rPr>
              <w:t>分；</w:t>
            </w:r>
          </w:p>
          <w:p>
            <w:pPr>
              <w:spacing w:line="360" w:lineRule="auto"/>
              <w:outlineLvl w:val="0"/>
              <w:rPr>
                <w:rFonts w:hint="eastAsia" w:ascii="宋体" w:hAnsi="宋体" w:eastAsia="宋体" w:cs="宋体"/>
                <w:sz w:val="24"/>
                <w:lang w:val="en-US" w:eastAsia="zh-CN"/>
              </w:rPr>
            </w:pPr>
            <w:r>
              <w:rPr>
                <w:rFonts w:hint="eastAsia" w:ascii="宋体" w:hAnsi="宋体" w:eastAsia="宋体" w:cs="宋体"/>
                <w:sz w:val="24"/>
                <w:lang w:val="en-US" w:eastAsia="zh-CN"/>
              </w:rPr>
              <w:t>措施方案覆盖全面、科学合理的得3-</w:t>
            </w:r>
            <w:r>
              <w:rPr>
                <w:rFonts w:hint="eastAsia" w:ascii="宋体" w:hAnsi="宋体" w:cs="宋体"/>
                <w:sz w:val="24"/>
                <w:lang w:val="en-US" w:eastAsia="zh-CN"/>
              </w:rPr>
              <w:t>7</w:t>
            </w:r>
            <w:r>
              <w:rPr>
                <w:rFonts w:hint="eastAsia" w:ascii="宋体" w:hAnsi="宋体" w:eastAsia="宋体" w:cs="宋体"/>
                <w:sz w:val="24"/>
                <w:lang w:val="en-US" w:eastAsia="zh-CN"/>
              </w:rPr>
              <w:t>分；</w:t>
            </w:r>
          </w:p>
          <w:p>
            <w:pPr>
              <w:spacing w:line="360" w:lineRule="auto"/>
              <w:outlineLvl w:val="0"/>
              <w:rPr>
                <w:rFonts w:hint="eastAsia" w:ascii="宋体" w:hAnsi="宋体" w:eastAsia="宋体" w:cs="宋体"/>
                <w:sz w:val="24"/>
                <w:lang w:val="zh-CN"/>
              </w:rPr>
            </w:pPr>
            <w:r>
              <w:rPr>
                <w:rFonts w:hint="eastAsia" w:ascii="宋体" w:hAnsi="宋体" w:eastAsia="宋体" w:cs="宋体"/>
                <w:sz w:val="24"/>
                <w:lang w:val="en-US" w:eastAsia="zh-CN"/>
              </w:rPr>
              <w:t>措施方案不符合或部分符合本项目要求的得0-2分；</w:t>
            </w:r>
          </w:p>
        </w:tc>
        <w:tc>
          <w:tcPr>
            <w:tcW w:w="405" w:type="pct"/>
            <w:vAlign w:val="center"/>
          </w:tcPr>
          <w:p>
            <w:pPr>
              <w:tabs>
                <w:tab w:val="left" w:pos="0"/>
              </w:tabs>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30" w:type="pct"/>
            <w:vAlign w:val="center"/>
          </w:tcPr>
          <w:p>
            <w:pPr>
              <w:tabs>
                <w:tab w:val="left" w:pos="0"/>
              </w:tabs>
              <w:spacing w:line="360" w:lineRule="auto"/>
              <w:jc w:val="cente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7</w:t>
            </w:r>
          </w:p>
        </w:tc>
        <w:tc>
          <w:tcPr>
            <w:tcW w:w="764" w:type="pct"/>
            <w:vAlign w:val="center"/>
          </w:tcPr>
          <w:p>
            <w:pPr>
              <w:tabs>
                <w:tab w:val="left" w:pos="0"/>
              </w:tabs>
              <w:spacing w:line="360" w:lineRule="auto"/>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安全保障措施</w:t>
            </w:r>
          </w:p>
        </w:tc>
        <w:tc>
          <w:tcPr>
            <w:tcW w:w="3500" w:type="pct"/>
            <w:vAlign w:val="center"/>
          </w:tcPr>
          <w:p>
            <w:pPr>
              <w:tabs>
                <w:tab w:val="left" w:pos="0"/>
              </w:tabs>
              <w:spacing w:line="360" w:lineRule="auto"/>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针对投标文件中安全</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保障</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措施</w:t>
            </w: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进行评分：</w:t>
            </w:r>
          </w:p>
          <w:p>
            <w:pPr>
              <w:pStyle w:val="258"/>
              <w:keepNext w:val="0"/>
              <w:keepLines w:val="0"/>
              <w:pageBreakBefore w:val="0"/>
              <w:kinsoku/>
              <w:wordWrap/>
              <w:overflowPunct/>
              <w:topLinePunct w:val="0"/>
              <w:bidi w:val="0"/>
              <w:adjustRightInd w:val="0"/>
              <w:spacing w:after="0" w:line="360" w:lineRule="auto"/>
              <w:ind w:left="0" w:leftChars="0"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措施详实、可操作性强、与本项目吻合度高的得8-10分；</w:t>
            </w:r>
          </w:p>
          <w:p>
            <w:pPr>
              <w:pStyle w:val="258"/>
              <w:keepNext w:val="0"/>
              <w:keepLines w:val="0"/>
              <w:pageBreakBefore w:val="0"/>
              <w:kinsoku/>
              <w:wordWrap/>
              <w:overflowPunct/>
              <w:topLinePunct w:val="0"/>
              <w:bidi w:val="0"/>
              <w:adjustRightInd w:val="0"/>
              <w:spacing w:after="0" w:line="360" w:lineRule="auto"/>
              <w:ind w:left="0" w:leftChars="0" w:firstLine="0" w:firstLineChars="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措施较详实、可操作性较强、与本项目吻合度</w:t>
            </w:r>
            <w:r>
              <w:rPr>
                <w:rFonts w:hint="eastAsia" w:ascii="宋体" w:hAnsi="宋体" w:eastAsia="宋体" w:cs="宋体"/>
                <w:b w:val="0"/>
                <w:bCs w:val="0"/>
                <w:color w:val="auto"/>
                <w:kern w:val="2"/>
                <w:sz w:val="24"/>
                <w:szCs w:val="24"/>
                <w:lang w:val="en-US" w:eastAsia="zh-CN" w:bidi="ar-SA"/>
              </w:rPr>
              <w:t>较高的得3-7分；</w:t>
            </w:r>
          </w:p>
          <w:p>
            <w:pPr>
              <w:tabs>
                <w:tab w:val="left" w:pos="0"/>
              </w:tabs>
              <w:spacing w:line="360" w:lineRule="auto"/>
              <w:rPr>
                <w:rFonts w:hint="eastAsia" w:ascii="宋体" w:hAnsi="宋体" w:eastAsia="宋体" w:cs="宋体"/>
                <w:sz w:val="24"/>
                <w:lang w:val="zh-CN" w:eastAsia="zh-CN"/>
              </w:rPr>
            </w:pPr>
            <w:r>
              <w:rPr>
                <w:rFonts w:hint="eastAsia" w:ascii="宋体" w:hAnsi="宋体" w:eastAsia="宋体" w:cs="宋体"/>
                <w:color w:val="auto"/>
                <w:kern w:val="2"/>
                <w:sz w:val="24"/>
                <w:szCs w:val="24"/>
                <w:lang w:val="en-US" w:eastAsia="zh-CN" w:bidi="ar-SA"/>
              </w:rPr>
              <w:t>措施</w:t>
            </w:r>
            <w:r>
              <w:rPr>
                <w:rFonts w:hint="eastAsia" w:ascii="宋体" w:hAnsi="宋体" w:eastAsia="宋体" w:cs="宋体"/>
                <w:color w:val="auto"/>
                <w:sz w:val="24"/>
              </w:rPr>
              <w:t>不够</w:t>
            </w:r>
            <w:r>
              <w:rPr>
                <w:rFonts w:hint="eastAsia" w:ascii="宋体" w:hAnsi="宋体" w:eastAsia="宋体" w:cs="宋体"/>
                <w:color w:val="auto"/>
                <w:kern w:val="2"/>
                <w:sz w:val="24"/>
                <w:szCs w:val="24"/>
                <w:lang w:val="en-US" w:eastAsia="zh-CN" w:bidi="ar-SA"/>
              </w:rPr>
              <w:t>详实</w:t>
            </w:r>
            <w:r>
              <w:rPr>
                <w:rFonts w:hint="eastAsia" w:ascii="宋体" w:hAnsi="宋体" w:eastAsia="宋体" w:cs="宋体"/>
                <w:color w:val="auto"/>
                <w:sz w:val="24"/>
              </w:rPr>
              <w:t>、</w:t>
            </w:r>
            <w:r>
              <w:rPr>
                <w:rFonts w:hint="eastAsia" w:ascii="宋体" w:hAnsi="宋体" w:eastAsia="宋体" w:cs="宋体"/>
                <w:color w:val="auto"/>
                <w:kern w:val="2"/>
                <w:sz w:val="24"/>
                <w:szCs w:val="24"/>
                <w:lang w:val="en-US" w:eastAsia="zh-CN" w:bidi="ar-SA"/>
              </w:rPr>
              <w:t>可操作性一般、方案针对性一般的</w:t>
            </w:r>
            <w:r>
              <w:rPr>
                <w:rFonts w:hint="eastAsia" w:ascii="宋体" w:hAnsi="宋体" w:eastAsia="宋体" w:cs="宋体"/>
                <w:color w:val="auto"/>
                <w:sz w:val="24"/>
              </w:rPr>
              <w:t>得</w:t>
            </w:r>
            <w:r>
              <w:rPr>
                <w:rFonts w:hint="eastAsia" w:ascii="宋体" w:hAnsi="宋体" w:eastAsia="宋体" w:cs="宋体"/>
                <w:color w:val="auto"/>
                <w:sz w:val="24"/>
                <w:lang w:val="en-US" w:eastAsia="zh-CN"/>
              </w:rPr>
              <w:t>0-2</w:t>
            </w:r>
            <w:r>
              <w:rPr>
                <w:rFonts w:hint="eastAsia" w:ascii="宋体" w:hAnsi="宋体" w:eastAsia="宋体" w:cs="宋体"/>
                <w:color w:val="auto"/>
                <w:sz w:val="24"/>
              </w:rPr>
              <w:t>分</w:t>
            </w:r>
            <w:r>
              <w:rPr>
                <w:rFonts w:hint="eastAsia" w:ascii="宋体" w:hAnsi="宋体" w:eastAsia="宋体" w:cs="宋体"/>
                <w:color w:val="auto"/>
                <w:sz w:val="24"/>
                <w:lang w:eastAsia="zh-CN"/>
              </w:rPr>
              <w:t>；</w:t>
            </w:r>
          </w:p>
        </w:tc>
        <w:tc>
          <w:tcPr>
            <w:tcW w:w="405" w:type="pct"/>
            <w:vAlign w:val="center"/>
          </w:tcPr>
          <w:p>
            <w:pPr>
              <w:tabs>
                <w:tab w:val="left" w:pos="0"/>
              </w:tabs>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330" w:type="pct"/>
            <w:vAlign w:val="center"/>
          </w:tcPr>
          <w:p>
            <w:pPr>
              <w:tabs>
                <w:tab w:val="left" w:pos="0"/>
              </w:tabs>
              <w:spacing w:line="360" w:lineRule="auto"/>
              <w:jc w:val="center"/>
              <w:rPr>
                <w:rFonts w:hint="default" w:asciiTheme="minorEastAsia" w:hAnsiTheme="minorEastAsia" w:eastAsiaTheme="minorEastAsia" w:cs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en-US" w:eastAsia="zh-CN"/>
                <w14:textFill>
                  <w14:solidFill>
                    <w14:schemeClr w14:val="tx1"/>
                  </w14:solidFill>
                </w14:textFill>
              </w:rPr>
              <w:t>8</w:t>
            </w:r>
          </w:p>
        </w:tc>
        <w:tc>
          <w:tcPr>
            <w:tcW w:w="764" w:type="pct"/>
            <w:vAlign w:val="center"/>
          </w:tcPr>
          <w:p>
            <w:pPr>
              <w:widowControl/>
              <w:shd w:val="clear" w:color="auto" w:fill="FFFFFF"/>
              <w:adjustRightInd/>
              <w:spacing w:after="225" w:line="315" w:lineRule="atLeast"/>
              <w:jc w:val="center"/>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投标报价</w:t>
            </w:r>
          </w:p>
        </w:tc>
        <w:tc>
          <w:tcPr>
            <w:tcW w:w="3500" w:type="pct"/>
          </w:tcPr>
          <w:p>
            <w:pPr>
              <w:spacing w:line="360" w:lineRule="auto"/>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有效投标报价的最低价作为评标基准价，其最低报价为满分；按［投标报价得分=（评标基准价/投标报价）*</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0］的计算公式计算。</w:t>
            </w:r>
          </w:p>
          <w:p>
            <w:pPr>
              <w:widowControl/>
              <w:shd w:val="clear" w:color="auto" w:fill="FFFFFF"/>
              <w:adjustRightInd/>
              <w:spacing w:after="225" w:line="315" w:lineRule="atLeas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评标过程中，不得去掉报价中的最高报价和最低报价。</w:t>
            </w:r>
          </w:p>
          <w:p>
            <w:pPr>
              <w:tabs>
                <w:tab w:val="left" w:pos="0"/>
              </w:tabs>
              <w:spacing w:line="360" w:lineRule="auto"/>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sz w:val="24"/>
              </w:rPr>
              <w:t>因落实政府采购政策需要进行价格调整的，以调整后的价格计算评标基准价和投标报价。</w:t>
            </w:r>
          </w:p>
        </w:tc>
        <w:tc>
          <w:tcPr>
            <w:tcW w:w="405" w:type="pct"/>
            <w:vAlign w:val="center"/>
          </w:tcPr>
          <w:p>
            <w:pPr>
              <w:spacing w:line="360" w:lineRule="auto"/>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14:textFill>
                  <w14:solidFill>
                    <w14:schemeClr w14:val="tx1"/>
                  </w14:solidFill>
                </w14:textFill>
              </w:rPr>
              <w:t>0分</w:t>
            </w:r>
          </w:p>
        </w:tc>
      </w:tr>
    </w:tbl>
    <w:p>
      <w:pPr>
        <w:snapToGrid w:val="0"/>
        <w:spacing w:line="360" w:lineRule="auto"/>
        <w:rPr>
          <w:rFonts w:hint="eastAsia" w:asciiTheme="minorEastAsia" w:hAnsiTheme="minorEastAsia" w:eastAsiaTheme="minorEastAsia" w:cstheme="minorEastAsia"/>
          <w:sz w:val="20"/>
          <w:szCs w:val="20"/>
          <w:shd w:val="clear" w:color="auto" w:fill="FFFFFF"/>
        </w:rPr>
      </w:pPr>
    </w:p>
    <w:p>
      <w:pPr>
        <w:snapToGrid w:val="0"/>
        <w:spacing w:line="360" w:lineRule="auto"/>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sz w:val="20"/>
          <w:szCs w:val="20"/>
          <w:shd w:val="clear" w:color="auto" w:fill="FFFFFF"/>
        </w:rPr>
        <w:t> *</w:t>
      </w:r>
      <w:r>
        <w:rPr>
          <w:rFonts w:hint="eastAsia" w:asciiTheme="minorEastAsia" w:hAnsiTheme="minorEastAsia" w:eastAsiaTheme="minorEastAsia" w:cstheme="minorEastAsia"/>
          <w:b/>
          <w:sz w:val="24"/>
        </w:rPr>
        <w:t>备注：</w:t>
      </w:r>
      <w:r>
        <w:rPr>
          <w:rFonts w:hint="eastAsia" w:asciiTheme="minorEastAsia" w:hAnsiTheme="minorEastAsia" w:eastAsiaTheme="minorEastAsia" w:cstheme="minorEastAsia"/>
          <w:sz w:val="24"/>
        </w:rPr>
        <w:t>供应商编制磋商响应文件（商务技术文件部分）时，建议按此目录（序号和内容）提供评标标准相应的商务技术资料。 </w:t>
      </w:r>
    </w:p>
    <w:p>
      <w:pPr>
        <w:snapToGrid w:val="0"/>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32"/>
        </w:rPr>
        <w:t>一、评标方法</w:t>
      </w:r>
    </w:p>
    <w:p>
      <w:pPr>
        <w:adjustRightInd/>
        <w:spacing w:line="360" w:lineRule="auto"/>
        <w:ind w:firstLine="472" w:firstLineChars="196"/>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1.本项目采用综合评分法。</w:t>
      </w:r>
      <w:r>
        <w:rPr>
          <w:rFonts w:hint="eastAsia" w:asciiTheme="minorEastAsia" w:hAnsiTheme="minorEastAsia" w:eastAsiaTheme="minorEastAsia" w:cstheme="minorEastAsia"/>
          <w:kern w:val="0"/>
          <w:sz w:val="24"/>
        </w:rPr>
        <w:t>综合评分法，是指磋商响应文件满足竞争性磋商文件全部实质性要求，且按照评审因素的量化指标评审得分最高的供应商为中标候选人的评标方法。</w:t>
      </w:r>
    </w:p>
    <w:p>
      <w:pPr>
        <w:adjustRightInd/>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sz w:val="32"/>
        </w:rPr>
        <w:t>二、评标标准</w:t>
      </w:r>
    </w:p>
    <w:p>
      <w:pPr>
        <w:spacing w:line="360" w:lineRule="auto"/>
        <w:ind w:firstLine="472" w:firstLineChars="196"/>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2.</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b/>
          <w:sz w:val="24"/>
        </w:rPr>
        <w:t>评标标准：</w:t>
      </w:r>
      <w:r>
        <w:rPr>
          <w:rFonts w:hint="eastAsia" w:asciiTheme="minorEastAsia" w:hAnsiTheme="minorEastAsia" w:eastAsiaTheme="minorEastAsia" w:cstheme="minorEastAsia"/>
          <w:kern w:val="0"/>
          <w:sz w:val="24"/>
        </w:rPr>
        <w:t>见评标办法前附表。</w:t>
      </w:r>
    </w:p>
    <w:p>
      <w:pPr>
        <w:spacing w:line="360" w:lineRule="auto"/>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三、磋商程序</w:t>
      </w:r>
    </w:p>
    <w:p>
      <w:pPr>
        <w:spacing w:line="360" w:lineRule="auto"/>
        <w:ind w:firstLine="472" w:firstLineChars="196"/>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3.1符合性审查。</w:t>
      </w:r>
      <w:r>
        <w:rPr>
          <w:rFonts w:hint="eastAsia" w:asciiTheme="minorEastAsia" w:hAnsiTheme="minorEastAsia" w:eastAsiaTheme="minorEastAsia" w:cstheme="minorEastAsia"/>
          <w:kern w:val="0"/>
          <w:sz w:val="24"/>
        </w:rPr>
        <w:t>磋商小组应当对符合资格的供应商的磋商响应文件进行符合性审查，以确定其是否满足竞争性磋商文件的实质性要求。不满足竞争性磋商文件的实质性要求的，投标无效。</w:t>
      </w:r>
    </w:p>
    <w:p>
      <w:pPr>
        <w:spacing w:line="360" w:lineRule="auto"/>
        <w:ind w:firstLine="472" w:firstLineChars="196"/>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3.2 与各磋商响应方进行磋商。</w:t>
      </w:r>
    </w:p>
    <w:p>
      <w:pPr>
        <w:tabs>
          <w:tab w:val="left" w:pos="0"/>
        </w:tabs>
        <w:spacing w:line="360" w:lineRule="auto"/>
        <w:ind w:firstLine="48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3.2.1磋商小组与符合要求的供应商进行磋商。磋商小组所有成员按照响应文件解密次序集中与单一供应商分别进行磋商，并给予所有参加磋商的供应商平等的磋商机会。磋商过程中，磋商小组可以根据磋商情况调整轮次。</w:t>
      </w:r>
    </w:p>
    <w:p>
      <w:pPr>
        <w:tabs>
          <w:tab w:val="left" w:pos="0"/>
        </w:tabs>
        <w:spacing w:line="360" w:lineRule="auto"/>
        <w:ind w:firstLine="48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3.2.2经磋商确定采购文件的变动情况。对采购文件作出的实质性变动是采购文件的有效组成部分，磋商小组应当及时以书面形式同时通知所有参加磋商的供应商。</w:t>
      </w:r>
    </w:p>
    <w:p>
      <w:pPr>
        <w:spacing w:line="360" w:lineRule="auto"/>
        <w:ind w:firstLine="470" w:firstLineChars="196"/>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3.2.3磋商小组应当按照采购文件中规定的评标方法和标准，对符合性审查合格的投标文件进行商务和技术评估，综合比较与评价。磋商小组各成员应当独立对每个磋商响应方的商务和技术文件进行评价，并汇总商务技术得分情况。</w:t>
      </w:r>
    </w:p>
    <w:p>
      <w:pPr>
        <w:snapToGrid w:val="0"/>
        <w:spacing w:line="360" w:lineRule="auto"/>
        <w:ind w:firstLine="470" w:firstLineChars="196"/>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3.2.4各磋商响应方在本标项全部磋商结束后在规定时间内进行最后报价（</w:t>
      </w:r>
      <w:r>
        <w:rPr>
          <w:rFonts w:hint="eastAsia" w:asciiTheme="minorEastAsia" w:hAnsiTheme="minorEastAsia" w:eastAsiaTheme="minorEastAsia" w:cstheme="minorEastAsia"/>
          <w:kern w:val="0"/>
          <w:sz w:val="24"/>
          <w:highlight w:val="yellow"/>
        </w:rPr>
        <w:t>供应商需在30分钟内提交最终报价</w:t>
      </w:r>
      <w:r>
        <w:rPr>
          <w:rFonts w:hint="eastAsia" w:asciiTheme="minorEastAsia" w:hAnsiTheme="minorEastAsia" w:eastAsiaTheme="minorEastAsia" w:cstheme="minorEastAsia"/>
          <w:kern w:val="0"/>
          <w:sz w:val="24"/>
        </w:rPr>
        <w:t>）。</w:t>
      </w:r>
    </w:p>
    <w:p>
      <w:pPr>
        <w:spacing w:line="360" w:lineRule="auto"/>
        <w:ind w:firstLine="472" w:firstLineChars="196"/>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3.3汇总商务技术得分。</w:t>
      </w:r>
      <w:r>
        <w:rPr>
          <w:rFonts w:hint="eastAsia" w:asciiTheme="minorEastAsia" w:hAnsiTheme="minorEastAsia" w:eastAsiaTheme="minorEastAsia" w:cstheme="minorEastAsia"/>
          <w:kern w:val="0"/>
          <w:sz w:val="24"/>
        </w:rPr>
        <w:t>磋商小组各成员应当独立对每个供应商的商务和技术文件进行评价，并汇总商务技术得分情况。</w:t>
      </w:r>
    </w:p>
    <w:p>
      <w:pPr>
        <w:spacing w:line="360" w:lineRule="auto"/>
        <w:ind w:firstLine="472" w:firstLineChars="196"/>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3.4报价评审。</w:t>
      </w:r>
    </w:p>
    <w:p>
      <w:pPr>
        <w:pStyle w:val="132"/>
        <w:spacing w:before="0"/>
        <w:ind w:firstLine="508" w:firstLineChars="212"/>
        <w:rPr>
          <w:rFonts w:hint="eastAsia" w:asciiTheme="minorEastAsia" w:hAnsiTheme="minorEastAsia" w:eastAsiaTheme="minorEastAsia" w:cstheme="minorEastAsia"/>
          <w:kern w:val="0"/>
        </w:rPr>
      </w:pPr>
      <w:r>
        <w:rPr>
          <w:rFonts w:hint="eastAsia" w:asciiTheme="minorEastAsia" w:hAnsiTheme="minorEastAsia" w:eastAsiaTheme="minorEastAsia" w:cstheme="minorEastAsia"/>
          <w:kern w:val="0"/>
        </w:rPr>
        <w:t>3.4.1磋商响应文件报价出现前后不一致的，按照下列规定修正：</w:t>
      </w:r>
    </w:p>
    <w:p>
      <w:pPr>
        <w:pStyle w:val="132"/>
        <w:spacing w:before="0"/>
        <w:ind w:firstLine="48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3.4.1.1磋商响应文件中开标一览表(报价表)内容与磋商响应文件中相应内容不一致的，以开标一览表(报价表)为准;</w:t>
      </w:r>
    </w:p>
    <w:p>
      <w:pPr>
        <w:pStyle w:val="132"/>
        <w:spacing w:before="0"/>
        <w:ind w:firstLine="48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3.4.1.2大写金额和小写金额不一致的，以大写金额为准;</w:t>
      </w:r>
    </w:p>
    <w:p>
      <w:pPr>
        <w:pStyle w:val="132"/>
        <w:spacing w:before="0"/>
        <w:ind w:firstLine="48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3.4.1.3单价金额小数点或者百分比有明显错位的，以开标一览表的总价为准，并修改单价;</w:t>
      </w:r>
    </w:p>
    <w:p>
      <w:pPr>
        <w:pStyle w:val="132"/>
        <w:spacing w:before="0"/>
        <w:ind w:firstLine="48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3.4.1.4总价金额与按单价汇总金额不一致的，以单价金额计算结果为准。</w:t>
      </w:r>
    </w:p>
    <w:p>
      <w:pPr>
        <w:pStyle w:val="132"/>
        <w:spacing w:before="0"/>
        <w:ind w:firstLine="48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3.4.1.5同时出现两种以上不一致的，按照3.4.1规定的顺序修正。修正后的报价按照财政部第87号令 《政府采购货物和服务招标投标管理办法》第五十一条第二款的规定经供应商确认后产生约束力。</w:t>
      </w:r>
    </w:p>
    <w:p>
      <w:pPr>
        <w:snapToGrid w:val="0"/>
        <w:spacing w:line="360" w:lineRule="auto"/>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3.4.2磋商响应文件出现不是唯一的、有选择性投标报价的，投标无效。</w:t>
      </w:r>
    </w:p>
    <w:p>
      <w:pPr>
        <w:snapToGrid w:val="0"/>
        <w:spacing w:line="360" w:lineRule="auto"/>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3.4.3投标报价超过竞争性磋商文件中规定的预算金额或者最高限价的，投标无效。</w:t>
      </w:r>
    </w:p>
    <w:p>
      <w:pPr>
        <w:pStyle w:val="132"/>
        <w:spacing w:before="0"/>
        <w:ind w:firstLine="48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3.4.4磋商小组认为供应商的报价明显低于其他通过符合性审查供应商的报价，有可能影响产品质量或者不能诚信履约的，应当要求其在合理的时间内提供书面说明，必要时提交相关证明材料;供应商不能证明其报价合理性的，磋商小组应当将其作为无效投标处理。</w:t>
      </w:r>
    </w:p>
    <w:p>
      <w:pPr>
        <w:pStyle w:val="132"/>
        <w:spacing w:before="0"/>
        <w:ind w:firstLine="480"/>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kern w:val="0"/>
          <w:szCs w:val="24"/>
        </w:rPr>
        <w:t>3.4.5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pStyle w:val="132"/>
        <w:keepNext w:val="0"/>
        <w:keepLines w:val="0"/>
        <w:pageBreakBefore w:val="0"/>
        <w:widowControl w:val="0"/>
        <w:kinsoku/>
        <w:wordWrap/>
        <w:overflowPunct/>
        <w:topLinePunct w:val="0"/>
        <w:autoSpaceDE/>
        <w:autoSpaceDN/>
        <w:bidi w:val="0"/>
        <w:adjustRightInd w:val="0"/>
        <w:snapToGrid w:val="0"/>
        <w:spacing w:before="0"/>
        <w:ind w:firstLine="482" w:firstLineChars="200"/>
        <w:textAlignment w:val="auto"/>
        <w:rPr>
          <w:rFonts w:hint="eastAsia" w:asciiTheme="minorEastAsia" w:hAnsiTheme="minorEastAsia" w:eastAsiaTheme="minorEastAsia" w:cstheme="minorEastAsia"/>
          <w:kern w:val="0"/>
          <w:szCs w:val="24"/>
        </w:rPr>
      </w:pPr>
      <w:r>
        <w:rPr>
          <w:rFonts w:hint="eastAsia" w:ascii="宋体" w:hAnsi="宋体" w:eastAsia="宋体" w:cs="宋体"/>
          <w:b/>
          <w:bCs/>
          <w:kern w:val="0"/>
          <w:szCs w:val="24"/>
        </w:rPr>
        <w:t>3.4.</w:t>
      </w:r>
      <w:r>
        <w:rPr>
          <w:rFonts w:hint="eastAsia" w:ascii="宋体" w:hAnsi="宋体" w:cs="宋体"/>
          <w:b/>
          <w:bCs/>
          <w:kern w:val="0"/>
          <w:szCs w:val="24"/>
          <w:lang w:val="en-US" w:eastAsia="zh-CN"/>
        </w:rPr>
        <w:t>6</w:t>
      </w:r>
      <w:r>
        <w:rPr>
          <w:rFonts w:hint="eastAsia" w:ascii="宋体" w:hAnsi="宋体" w:eastAsia="宋体" w:cs="宋体"/>
          <w:b/>
          <w:bCs/>
        </w:rPr>
        <w:t>《财政部关于政府采购竞争性磋商采购方式管理暂行办法有关问题的补充通知》（财库（2015）124号）规定，采用竞争性磋商采购方式采购的政府购买服务项目（含政府和社会资本合作项目），</w:t>
      </w:r>
      <w:r>
        <w:rPr>
          <w:rFonts w:hint="eastAsia" w:ascii="宋体" w:hAnsi="宋体" w:cs="宋体"/>
          <w:b/>
          <w:bCs/>
          <w:lang w:val="en-US" w:eastAsia="zh-CN"/>
        </w:rPr>
        <w:t>提交最终报价</w:t>
      </w:r>
      <w:r>
        <w:rPr>
          <w:rFonts w:hint="eastAsia" w:ascii="宋体" w:hAnsi="宋体" w:eastAsia="宋体" w:cs="宋体"/>
          <w:b/>
          <w:bCs/>
        </w:rPr>
        <w:t>符合要求的供应商只有2家的，竞争性磋商采购活动可以继续进行</w:t>
      </w:r>
      <w:r>
        <w:rPr>
          <w:rFonts w:hint="eastAsia" w:ascii="宋体" w:hAnsi="宋体" w:eastAsia="宋体" w:cs="宋体"/>
          <w:b/>
        </w:rPr>
        <w:t>。</w:t>
      </w:r>
    </w:p>
    <w:p>
      <w:pPr>
        <w:spacing w:line="360" w:lineRule="auto"/>
        <w:ind w:firstLine="482"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3.5排序与推荐。</w:t>
      </w:r>
      <w:r>
        <w:rPr>
          <w:rFonts w:hint="eastAsia" w:asciiTheme="minorEastAsia" w:hAnsiTheme="minorEastAsia" w:eastAsiaTheme="minorEastAsia" w:cstheme="minorEastAsia"/>
          <w:kern w:val="0"/>
          <w:sz w:val="24"/>
        </w:rPr>
        <w:t>采用综合评分法的，评标结果按评审后得分由高到低顺序排列。得分相同的，按投标报价由低到高顺序排列。得分且投标报价相同的并列。磋商响应文件满足竞争性磋商文件全部实质性要求，且按照评审因素的量化指标评审得分最高的供应商为排名第一的中标候选人。</w:t>
      </w:r>
    </w:p>
    <w:p>
      <w:pPr>
        <w:pStyle w:val="132"/>
        <w:keepNext w:val="0"/>
        <w:keepLines w:val="0"/>
        <w:pageBreakBefore w:val="0"/>
        <w:widowControl w:val="0"/>
        <w:kinsoku/>
        <w:wordWrap/>
        <w:overflowPunct/>
        <w:topLinePunct w:val="0"/>
        <w:autoSpaceDE/>
        <w:autoSpaceDN/>
        <w:bidi w:val="0"/>
        <w:adjustRightInd w:val="0"/>
        <w:snapToGrid w:val="0"/>
        <w:spacing w:before="0"/>
        <w:ind w:firstLine="480" w:firstLineChars="200"/>
        <w:textAlignment w:val="auto"/>
        <w:rPr>
          <w:rFonts w:hint="eastAsia" w:asciiTheme="minorEastAsia" w:hAnsiTheme="minorEastAsia" w:eastAsiaTheme="minorEastAsia" w:cstheme="minorEastAsia"/>
          <w:b/>
          <w:kern w:val="0"/>
          <w:sz w:val="24"/>
        </w:rPr>
      </w:pPr>
      <w:r>
        <w:rPr>
          <w:rFonts w:hint="eastAsia" w:asciiTheme="minorEastAsia" w:hAnsiTheme="minorEastAsia" w:eastAsiaTheme="minorEastAsia" w:cstheme="minorEastAsia"/>
          <w:kern w:val="0"/>
          <w:sz w:val="24"/>
        </w:rPr>
        <w:t>多家供应商提供相同品牌产品（单一产品采购项目中的该产品或者非单一产品采购项目的核心产品）且通过资格审查、符合性审查的不同供应商参加同一合同项下投标的，按一家供应商计算，评审后得分最高的同品牌供应商获得中标人推荐资格；评审得分相同的，采取随机抽取方式确定，其他同品牌供应商不作为中标候选人。</w:t>
      </w:r>
    </w:p>
    <w:p>
      <w:pPr>
        <w:spacing w:line="360" w:lineRule="auto"/>
        <w:ind w:firstLine="472" w:firstLineChars="196"/>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3.6编写评标报告。</w:t>
      </w:r>
      <w:r>
        <w:rPr>
          <w:rFonts w:hint="eastAsia" w:asciiTheme="minorEastAsia" w:hAnsiTheme="minorEastAsia" w:eastAsiaTheme="minorEastAsia" w:cstheme="minorEastAsia"/>
          <w:kern w:val="0"/>
          <w:sz w:val="24"/>
        </w:rPr>
        <w:t>磋商小组根据全体评标成员签字的原始评标记录和评标结果编写评标报告。磋商小组成员对需要共同认定的事项存在争议的，应当按照少数服从多数的原则作出结论。持不同意见的磋商小组成员应当在评标报告上签署不同意见及理由，否则视为同意评标报告。</w:t>
      </w:r>
    </w:p>
    <w:p>
      <w:pPr>
        <w:widowControl/>
        <w:adjustRightInd/>
        <w:spacing w:after="225" w:line="315" w:lineRule="atLeast"/>
        <w:jc w:val="left"/>
        <w:rPr>
          <w:rFonts w:hint="eastAsia" w:asciiTheme="minorEastAsia" w:hAnsiTheme="minorEastAsia" w:eastAsiaTheme="minorEastAsia" w:cstheme="minorEastAsia"/>
          <w:b/>
          <w:sz w:val="32"/>
        </w:rPr>
      </w:pPr>
    </w:p>
    <w:p>
      <w:pPr>
        <w:widowControl/>
        <w:adjustRightInd/>
        <w:spacing w:after="225" w:line="315" w:lineRule="atLeast"/>
        <w:jc w:val="left"/>
        <w:rPr>
          <w:rFonts w:hint="eastAsia" w:asciiTheme="minorEastAsia" w:hAnsiTheme="minorEastAsia" w:eastAsiaTheme="minorEastAsia" w:cstheme="minorEastAsia"/>
          <w:b/>
          <w:sz w:val="32"/>
        </w:rPr>
      </w:pPr>
      <w:r>
        <w:rPr>
          <w:rFonts w:hint="eastAsia" w:asciiTheme="minorEastAsia" w:hAnsiTheme="minorEastAsia" w:eastAsiaTheme="minorEastAsia" w:cstheme="minorEastAsia"/>
          <w:b/>
          <w:sz w:val="32"/>
        </w:rPr>
        <w:t>四、评标中的其他事项</w:t>
      </w:r>
    </w:p>
    <w:p>
      <w:pPr>
        <w:pStyle w:val="132"/>
        <w:spacing w:before="0"/>
        <w:ind w:firstLine="472" w:firstLineChars="196"/>
        <w:rPr>
          <w:rFonts w:hint="eastAsia" w:asciiTheme="minorEastAsia" w:hAnsiTheme="minorEastAsia" w:eastAsiaTheme="minorEastAsia" w:cstheme="minorEastAsia"/>
          <w:kern w:val="0"/>
          <w:szCs w:val="24"/>
        </w:rPr>
      </w:pPr>
      <w:r>
        <w:rPr>
          <w:rFonts w:hint="eastAsia" w:asciiTheme="minorEastAsia" w:hAnsiTheme="minorEastAsia" w:eastAsiaTheme="minorEastAsia" w:cstheme="minorEastAsia"/>
          <w:b/>
          <w:kern w:val="0"/>
          <w:szCs w:val="24"/>
        </w:rPr>
        <w:t>4.1供应商澄清、说明或者补正。</w:t>
      </w:r>
      <w:r>
        <w:rPr>
          <w:rFonts w:hint="eastAsia" w:asciiTheme="minorEastAsia" w:hAnsiTheme="minorEastAsia" w:eastAsiaTheme="minorEastAsia" w:cstheme="minorEastAsia"/>
          <w:kern w:val="0"/>
          <w:szCs w:val="24"/>
        </w:rPr>
        <w:t>对于磋商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磋商响应文件的范围或者改变磋商响应文件的实质性内容。</w:t>
      </w:r>
    </w:p>
    <w:p>
      <w:pPr>
        <w:pStyle w:val="29"/>
        <w:spacing w:line="360" w:lineRule="auto"/>
        <w:ind w:left="954" w:leftChars="226" w:hanging="479" w:firstLine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kern w:val="0"/>
        </w:rPr>
        <w:t>4.2投标无效。</w:t>
      </w:r>
      <w:r>
        <w:rPr>
          <w:rFonts w:hint="eastAsia" w:asciiTheme="minorEastAsia" w:hAnsiTheme="minorEastAsia" w:eastAsiaTheme="minorEastAsia" w:cstheme="minorEastAsia"/>
          <w:szCs w:val="21"/>
        </w:rPr>
        <w:t>有下列情况之一的，投标无效：</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4.2.1供应商不具备竞争性磋商文件中规定的资格要求的（供应商未提供有效的资格文件的，视为供应商不具备竞争性磋商文件中规定的资格要求）；</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4.2.2磋商响应文件未按照竞争性磋商文件要求签署、盖章的；</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4.2.3采购人拟采购的产品属于政府强制采购的节能产品品目清单范围的，供应商未按竞争性磋商文件要求提供国家确定的认证机构出具的、处于有效期之内的节能产品认证证书的；</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4.2.4磋商响应文件含有采购人不能接受的附加条件的；</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4.2.5磋商响应文件中承诺的投标有效期少于竞争性磋商文件中载明的投标有效期的；</w:t>
      </w:r>
    </w:p>
    <w:p>
      <w:pPr>
        <w:snapToGrid w:val="0"/>
        <w:spacing w:line="360" w:lineRule="auto"/>
        <w:ind w:firstLine="120" w:firstLineChars="5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4.2.6磋商响应文件出现不是唯一的、有选择性投标报价的;</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4.2.7投标报价超过竞争性磋商文件中规定的预算金额或者最高限价的;</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4.2.8报价明显低于其他通过符合性审查供应商的报价，有可能影响产品质量或者不能诚信履约的，未能按要求提供书面说明或者提交相关证明材料，不能证明其报价合理性的;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4.2.9供应商对根据修正原则修正后的报价不确认的；</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4.2.10供应商提供虚假材料投标的；</w:t>
      </w:r>
    </w:p>
    <w:p>
      <w:pPr>
        <w:spacing w:line="360" w:lineRule="auto"/>
        <w:ind w:firstLine="240" w:firstLineChars="1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4.2.11供应商有恶意串通、妨碍其他供应商的竞争行为、损害采购人或者其他供应商的合法权益情形的；</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4.2.12供应商仅提交备份磋商响应文件，没有在电子交易平台传输递交磋商响应文件的，投标无效；</w:t>
      </w:r>
    </w:p>
    <w:p>
      <w:pPr>
        <w:pStyle w:val="3"/>
        <w:ind w:left="862" w:leftChars="205"/>
        <w:rPr>
          <w:rFonts w:hint="eastAsia" w:asciiTheme="minorEastAsia" w:hAnsiTheme="minorEastAsia" w:eastAsiaTheme="minorEastAsia" w:cstheme="minorEastAsia"/>
          <w:b w:val="0"/>
          <w:bCs w:val="0"/>
          <w:kern w:val="0"/>
          <w:sz w:val="24"/>
          <w:szCs w:val="24"/>
          <w:lang w:val="en-US"/>
        </w:rPr>
      </w:pPr>
      <w:r>
        <w:rPr>
          <w:rFonts w:hint="eastAsia" w:asciiTheme="minorEastAsia" w:hAnsiTheme="minorEastAsia" w:eastAsiaTheme="minorEastAsia" w:cstheme="minorEastAsia"/>
          <w:b w:val="0"/>
          <w:bCs w:val="0"/>
          <w:kern w:val="0"/>
          <w:sz w:val="24"/>
          <w:szCs w:val="24"/>
          <w:lang w:val="en-US"/>
        </w:rPr>
        <w:t>4.2.13 磋商响应文件不满足竞争性磋商文件的其</w:t>
      </w:r>
      <w:r>
        <w:rPr>
          <w:rFonts w:hint="eastAsia" w:asciiTheme="minorEastAsia" w:hAnsiTheme="minorEastAsia" w:eastAsiaTheme="minorEastAsia" w:cstheme="minorEastAsia"/>
          <w:b w:val="0"/>
          <w:bCs w:val="0"/>
          <w:kern w:val="0"/>
          <w:sz w:val="24"/>
          <w:szCs w:val="24"/>
          <w:lang w:val="en-US" w:eastAsia="zh-CN"/>
        </w:rPr>
        <w:t>他</w:t>
      </w:r>
      <w:r>
        <w:rPr>
          <w:rFonts w:hint="eastAsia" w:asciiTheme="minorEastAsia" w:hAnsiTheme="minorEastAsia" w:eastAsiaTheme="minorEastAsia" w:cstheme="minorEastAsia"/>
          <w:b w:val="0"/>
          <w:bCs w:val="0"/>
          <w:kern w:val="0"/>
          <w:sz w:val="24"/>
          <w:szCs w:val="24"/>
          <w:lang w:val="en-US"/>
        </w:rPr>
        <w:t>实质性要求的；</w:t>
      </w:r>
    </w:p>
    <w:p>
      <w:pPr>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4.2.14法律、法规、规章（适用本市的）及省级以上规范性文件（适用本市的）规定的其他无效情形。</w:t>
      </w:r>
    </w:p>
    <w:p>
      <w:pPr>
        <w:pStyle w:val="29"/>
        <w:snapToGrid w:val="0"/>
        <w:spacing w:line="360" w:lineRule="auto"/>
        <w:ind w:firstLine="472" w:firstLineChars="196"/>
        <w:rPr>
          <w:rFonts w:hint="eastAsia" w:asciiTheme="minorEastAsia" w:hAnsiTheme="minorEastAsia" w:eastAsiaTheme="minorEastAsia" w:cstheme="minorEastAsia"/>
        </w:rPr>
      </w:pPr>
      <w:r>
        <w:rPr>
          <w:rFonts w:hint="eastAsia" w:asciiTheme="minorEastAsia" w:hAnsiTheme="minorEastAsia" w:eastAsiaTheme="minorEastAsia" w:cstheme="minorEastAsia"/>
          <w:b/>
        </w:rPr>
        <w:t>5.废标。</w:t>
      </w:r>
      <w:r>
        <w:rPr>
          <w:rFonts w:hint="eastAsia" w:asciiTheme="minorEastAsia" w:hAnsiTheme="minorEastAsia" w:eastAsiaTheme="minorEastAsia" w:cstheme="minorEastAsia"/>
        </w:rPr>
        <w:t>根据《中华人民共和国政府采购法》第三十六条之规定，在采购中，出现下列情形之一的，应予废标：</w:t>
      </w:r>
    </w:p>
    <w:p>
      <w:pPr>
        <w:pStyle w:val="29"/>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5.1符合专业条件的供应商或者对竞争性磋商文件作实质响应的供应商不足3家的；</w:t>
      </w:r>
    </w:p>
    <w:p>
      <w:pPr>
        <w:pStyle w:val="29"/>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5.2出现影响采购公正的违法、违规行为的；</w:t>
      </w:r>
    </w:p>
    <w:p>
      <w:pPr>
        <w:pStyle w:val="29"/>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5.3供应商的报价均超过了采购预算，采购人不能支付的；</w:t>
      </w:r>
    </w:p>
    <w:p>
      <w:pPr>
        <w:pStyle w:val="29"/>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5.4因重大变故，采购任务取消的。</w:t>
      </w:r>
    </w:p>
    <w:p>
      <w:pPr>
        <w:pStyle w:val="29"/>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废标后，采购机构应当将废标理由通知所有供应商。</w:t>
      </w:r>
    </w:p>
    <w:p>
      <w:pPr>
        <w:pStyle w:val="29"/>
        <w:snapToGrid w:val="0"/>
        <w:spacing w:line="360" w:lineRule="auto"/>
        <w:ind w:firstLine="590" w:firstLineChars="245"/>
        <w:rPr>
          <w:rFonts w:hint="eastAsia" w:asciiTheme="minorEastAsia" w:hAnsiTheme="minorEastAsia" w:eastAsiaTheme="minorEastAsia" w:cstheme="minorEastAsia"/>
        </w:rPr>
      </w:pPr>
      <w:r>
        <w:rPr>
          <w:rFonts w:hint="eastAsia" w:asciiTheme="minorEastAsia" w:hAnsiTheme="minorEastAsia" w:eastAsiaTheme="minorEastAsia" w:cstheme="minorEastAsia"/>
          <w:b/>
        </w:rPr>
        <w:t>6.修改竞争性磋商文件，重新组织采购活动。</w:t>
      </w:r>
      <w:r>
        <w:rPr>
          <w:rFonts w:hint="eastAsia" w:asciiTheme="minorEastAsia" w:hAnsiTheme="minorEastAsia" w:eastAsiaTheme="minorEastAsia" w:cstheme="minorEastAsia"/>
        </w:rPr>
        <w:t>磋商小组发现竞争性磋商文件存在歧义、重大缺陷导致评标工作无法进行，或者竞争性磋商文件内容违反国家有关强制性规定的，将停止评标工作，并与采购人、采购机构沟通并作书面记录。采购人、采购机构确认后，将修改竞争性磋商文件，重新组织采购活动。</w:t>
      </w:r>
    </w:p>
    <w:p>
      <w:pPr>
        <w:pStyle w:val="29"/>
        <w:snapToGrid w:val="0"/>
        <w:spacing w:line="360" w:lineRule="auto"/>
        <w:ind w:firstLine="590" w:firstLineChars="245"/>
        <w:rPr>
          <w:rFonts w:hint="eastAsia" w:asciiTheme="minorEastAsia" w:hAnsiTheme="minorEastAsia" w:eastAsiaTheme="minorEastAsia" w:cstheme="minorEastAsia"/>
        </w:rPr>
      </w:pPr>
      <w:r>
        <w:rPr>
          <w:rFonts w:hint="eastAsia" w:asciiTheme="minorEastAsia" w:hAnsiTheme="minorEastAsia" w:eastAsiaTheme="minorEastAsia" w:cstheme="minorEastAsia"/>
          <w:b/>
          <w:kern w:val="0"/>
        </w:rPr>
        <w:t>7.重新开展采购。</w:t>
      </w:r>
      <w:r>
        <w:rPr>
          <w:rFonts w:hint="eastAsia" w:asciiTheme="minorEastAsia" w:hAnsiTheme="minorEastAsia" w:eastAsiaTheme="minorEastAsia" w:cstheme="minorEastAsia"/>
        </w:rPr>
        <w:t>有政府采购法第七十一条、第七十二条规定的违法行为之一，影响或者可能影响中标、成交结果的，依照下列规定处理：</w:t>
      </w:r>
    </w:p>
    <w:p>
      <w:pPr>
        <w:pStyle w:val="29"/>
        <w:snapToGrid w:val="0"/>
        <w:spacing w:line="360" w:lineRule="auto"/>
        <w:ind w:firstLine="600" w:firstLine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7.1未确定中标或者中标人的，终止本次政府采购活动，重新开展政府采购活动。</w:t>
      </w:r>
    </w:p>
    <w:p>
      <w:pPr>
        <w:pStyle w:val="29"/>
        <w:snapToGrid w:val="0"/>
        <w:spacing w:line="360" w:lineRule="auto"/>
        <w:ind w:firstLine="600" w:firstLineChars="250"/>
        <w:rPr>
          <w:rFonts w:hint="eastAsia" w:asciiTheme="minorEastAsia" w:hAnsiTheme="minorEastAsia" w:eastAsiaTheme="minorEastAsia" w:cstheme="minorEastAsia"/>
        </w:rPr>
      </w:pPr>
      <w:r>
        <w:rPr>
          <w:rFonts w:hint="eastAsia" w:asciiTheme="minorEastAsia" w:hAnsiTheme="minorEastAsia" w:eastAsiaTheme="minorEastAsia" w:cstheme="minorEastAsia"/>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9"/>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7.3政府采购合同已签订但尚未履行的，撤销合同，从合格的中标或者成交候选人中另行确定中标或者中标人；没有合格的中标或者成交候选人的，重新开展政府采购活动。</w:t>
      </w:r>
    </w:p>
    <w:p>
      <w:pPr>
        <w:pStyle w:val="29"/>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7.4政府采购合同已经履行，给采购人、供应商造成损失的，由责任人承担赔偿责任。</w:t>
      </w:r>
    </w:p>
    <w:p>
      <w:pPr>
        <w:pStyle w:val="29"/>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7.5政府采购当事人有其他违反政府采购法</w:t>
      </w:r>
      <w:r>
        <w:rPr>
          <w:rFonts w:hint="eastAsia" w:asciiTheme="minorEastAsia" w:hAnsiTheme="minorEastAsia" w:eastAsiaTheme="minorEastAsia" w:cstheme="minorEastAsia"/>
          <w:kern w:val="0"/>
        </w:rPr>
        <w:t>或者政府采购法实施条例等法律法规规定</w:t>
      </w:r>
      <w:r>
        <w:rPr>
          <w:rFonts w:hint="eastAsia" w:asciiTheme="minorEastAsia" w:hAnsiTheme="minorEastAsia" w:eastAsiaTheme="minorEastAsia" w:cstheme="minorEastAsia"/>
        </w:rPr>
        <w:t>的行为，经改正后仍然影响或者可能影响中标、成交结果或者依法被认定为中标、成交无效的，依照7.1-7.4规定处理。</w:t>
      </w:r>
    </w:p>
    <w:p>
      <w:pPr>
        <w:rPr>
          <w:rFonts w:hint="eastAsia"/>
        </w:rPr>
      </w:pPr>
    </w:p>
    <w:bookmarkEnd w:id="24"/>
    <w:p>
      <w:pPr>
        <w:rPr>
          <w:rFonts w:hint="eastAsia" w:asciiTheme="minorEastAsia" w:hAnsiTheme="minorEastAsia" w:eastAsiaTheme="minorEastAsia" w:cstheme="minorEastAsia"/>
        </w:rPr>
      </w:pPr>
      <w:bookmarkStart w:id="421" w:name="第五部分"/>
      <w:bookmarkStart w:id="422" w:name="_Toc86217003"/>
    </w:p>
    <w:p>
      <w:pPr>
        <w:spacing w:line="360" w:lineRule="auto"/>
        <w:ind w:left="720" w:leftChars="343" w:firstLine="1807" w:firstLineChars="500"/>
        <w:outlineLvl w:val="0"/>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第五部分  拟签订的合同文本</w:t>
      </w:r>
    </w:p>
    <w:p>
      <w:pPr>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合同编号：</w:t>
      </w:r>
      <w:r>
        <w:rPr>
          <w:rFonts w:hint="eastAsia" w:asciiTheme="minorEastAsia" w:hAnsiTheme="minorEastAsia" w:eastAsiaTheme="minorEastAsia" w:cstheme="minorEastAsia"/>
          <w:sz w:val="24"/>
          <w:u w:val="single"/>
        </w:rPr>
        <w:t xml:space="preserve">           </w:t>
      </w:r>
    </w:p>
    <w:p>
      <w:pPr>
        <w:spacing w:line="480" w:lineRule="auto"/>
        <w:jc w:val="center"/>
        <w:rPr>
          <w:rFonts w:hint="eastAsia" w:asciiTheme="minorEastAsia" w:hAnsiTheme="minorEastAsia" w:eastAsiaTheme="minorEastAsia" w:cstheme="minorEastAsia"/>
          <w:b/>
          <w:sz w:val="28"/>
          <w:szCs w:val="28"/>
        </w:rPr>
      </w:pPr>
    </w:p>
    <w:p>
      <w:pPr>
        <w:spacing w:line="480" w:lineRule="auto"/>
        <w:jc w:val="center"/>
        <w:rPr>
          <w:rFonts w:hint="eastAsia" w:asciiTheme="minorEastAsia" w:hAnsiTheme="minorEastAsia" w:eastAsiaTheme="minorEastAsia" w:cstheme="minorEastAsia"/>
          <w:b/>
          <w:sz w:val="24"/>
        </w:rPr>
      </w:pPr>
    </w:p>
    <w:p>
      <w:pPr>
        <w:spacing w:line="480" w:lineRule="auto"/>
        <w:jc w:val="center"/>
        <w:rPr>
          <w:rFonts w:hint="eastAsia" w:asciiTheme="minorEastAsia" w:hAnsiTheme="minorEastAsia" w:eastAsiaTheme="minorEastAsia" w:cstheme="minorEastAsia"/>
          <w:b/>
          <w:sz w:val="24"/>
        </w:rPr>
      </w:pPr>
    </w:p>
    <w:p>
      <w:pPr>
        <w:spacing w:line="480" w:lineRule="auto"/>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政府采购合同参考范本</w:t>
      </w:r>
    </w:p>
    <w:p>
      <w:pPr>
        <w:spacing w:line="480" w:lineRule="auto"/>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（服务类）</w:t>
      </w:r>
    </w:p>
    <w:p>
      <w:pPr>
        <w:pStyle w:val="701"/>
        <w:rPr>
          <w:rFonts w:hint="eastAsia" w:asciiTheme="minorEastAsia" w:hAnsiTheme="minorEastAsia" w:eastAsiaTheme="minorEastAsia" w:cstheme="minorEastAsia"/>
          <w:szCs w:val="24"/>
        </w:rPr>
      </w:pPr>
    </w:p>
    <w:p>
      <w:pPr>
        <w:pStyle w:val="701"/>
        <w:rPr>
          <w:rFonts w:hint="eastAsia" w:asciiTheme="minorEastAsia" w:hAnsiTheme="minorEastAsia" w:eastAsiaTheme="minorEastAsia" w:cstheme="minorEastAsia"/>
          <w:szCs w:val="24"/>
        </w:rPr>
      </w:pPr>
    </w:p>
    <w:p>
      <w:pPr>
        <w:pStyle w:val="701"/>
        <w:jc w:val="center"/>
        <w:rPr>
          <w:rFonts w:hint="eastAsia" w:asciiTheme="minorEastAsia" w:hAnsiTheme="minorEastAsia" w:eastAsiaTheme="minorEastAsia" w:cstheme="minorEastAsia"/>
          <w:szCs w:val="24"/>
        </w:rPr>
      </w:pPr>
    </w:p>
    <w:p>
      <w:pPr>
        <w:pStyle w:val="701"/>
        <w:ind w:firstLine="2843" w:firstLineChars="118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b/>
          <w:szCs w:val="24"/>
        </w:rPr>
        <w:t>第一部分 合同书</w:t>
      </w:r>
    </w:p>
    <w:p>
      <w:pPr>
        <w:pStyle w:val="701"/>
        <w:rPr>
          <w:rFonts w:hint="eastAsia" w:asciiTheme="minorEastAsia" w:hAnsiTheme="minorEastAsia" w:eastAsiaTheme="minorEastAsia" w:cstheme="minorEastAsia"/>
          <w:szCs w:val="24"/>
        </w:rPr>
      </w:pPr>
    </w:p>
    <w:p>
      <w:pPr>
        <w:spacing w:before="120" w:line="22" w:lineRule="atLeast"/>
        <w:rPr>
          <w:rFonts w:hint="eastAsia" w:asciiTheme="minorEastAsia" w:hAnsiTheme="minorEastAsia" w:eastAsiaTheme="minorEastAsia" w:cstheme="minorEastAsia"/>
          <w:sz w:val="24"/>
        </w:rPr>
      </w:pPr>
    </w:p>
    <w:p>
      <w:pPr>
        <w:spacing w:before="120" w:line="22" w:lineRule="atLeast"/>
        <w:ind w:left="96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u w:val="single"/>
        </w:rPr>
        <w:t xml:space="preserve">                                   </w:t>
      </w:r>
    </w:p>
    <w:p>
      <w:pPr>
        <w:pStyle w:val="598"/>
        <w:spacing w:before="120" w:line="22" w:lineRule="atLeast"/>
        <w:rPr>
          <w:rFonts w:hint="eastAsia" w:asciiTheme="minorEastAsia" w:hAnsiTheme="minorEastAsia" w:eastAsiaTheme="minorEastAsia" w:cstheme="minorEastAsia"/>
          <w:szCs w:val="24"/>
        </w:rPr>
      </w:pPr>
    </w:p>
    <w:p>
      <w:pPr>
        <w:rPr>
          <w:rFonts w:hint="eastAsia" w:asciiTheme="minorEastAsia" w:hAnsiTheme="minorEastAsia" w:eastAsiaTheme="minorEastAsia" w:cstheme="minorEastAsia"/>
          <w:sz w:val="24"/>
        </w:rPr>
      </w:pPr>
    </w:p>
    <w:p>
      <w:pPr>
        <w:spacing w:before="120" w:line="22" w:lineRule="atLeast"/>
        <w:ind w:left="960"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u w:val="single"/>
        </w:rPr>
        <w:t xml:space="preserve">                                       </w:t>
      </w:r>
    </w:p>
    <w:p>
      <w:pPr>
        <w:spacing w:before="120" w:line="22" w:lineRule="atLeast"/>
        <w:rPr>
          <w:rFonts w:hint="eastAsia" w:asciiTheme="minorEastAsia" w:hAnsiTheme="minorEastAsia" w:eastAsiaTheme="minorEastAsia" w:cstheme="minorEastAsia"/>
          <w:sz w:val="24"/>
        </w:rPr>
      </w:pPr>
    </w:p>
    <w:p>
      <w:pPr>
        <w:spacing w:before="120" w:line="22" w:lineRule="atLeast"/>
        <w:ind w:left="960"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乙方：</w:t>
      </w:r>
      <w:r>
        <w:rPr>
          <w:rFonts w:hint="eastAsia" w:asciiTheme="minorEastAsia" w:hAnsiTheme="minorEastAsia" w:eastAsiaTheme="minorEastAsia" w:cstheme="minorEastAsia"/>
          <w:sz w:val="24"/>
          <w:u w:val="single"/>
        </w:rPr>
        <w:t xml:space="preserve">                                       </w:t>
      </w:r>
    </w:p>
    <w:p>
      <w:pPr>
        <w:spacing w:before="120" w:line="22" w:lineRule="atLeast"/>
        <w:rPr>
          <w:rFonts w:hint="eastAsia" w:asciiTheme="minorEastAsia" w:hAnsiTheme="minorEastAsia" w:eastAsiaTheme="minorEastAsia" w:cstheme="minorEastAsia"/>
          <w:sz w:val="24"/>
        </w:rPr>
      </w:pPr>
    </w:p>
    <w:p>
      <w:pPr>
        <w:spacing w:before="120" w:line="22" w:lineRule="atLeast"/>
        <w:ind w:firstLine="1440" w:firstLineChars="6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签订地：</w:t>
      </w:r>
      <w:r>
        <w:rPr>
          <w:rFonts w:hint="eastAsia" w:asciiTheme="minorEastAsia" w:hAnsiTheme="minorEastAsia" w:eastAsiaTheme="minorEastAsia" w:cstheme="minorEastAsia"/>
          <w:sz w:val="24"/>
          <w:u w:val="single"/>
        </w:rPr>
        <w:t xml:space="preserve">                                     </w:t>
      </w:r>
    </w:p>
    <w:p>
      <w:pPr>
        <w:spacing w:before="120" w:line="22" w:lineRule="atLeast"/>
        <w:rPr>
          <w:rFonts w:hint="eastAsia" w:asciiTheme="minorEastAsia" w:hAnsiTheme="minorEastAsia" w:eastAsiaTheme="minorEastAsia" w:cstheme="minorEastAsia"/>
          <w:sz w:val="24"/>
        </w:rPr>
      </w:pPr>
    </w:p>
    <w:p>
      <w:pPr>
        <w:spacing w:before="120" w:line="22" w:lineRule="atLeast"/>
        <w:ind w:firstLine="1440" w:firstLineChars="6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签订日期：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widowControl/>
        <w:jc w:val="left"/>
        <w:rPr>
          <w:rFonts w:hint="eastAsia" w:asciiTheme="minorEastAsia" w:hAnsiTheme="minorEastAsia" w:eastAsiaTheme="minorEastAsia" w:cstheme="minorEastAsia"/>
          <w:kern w:val="0"/>
          <w:sz w:val="24"/>
        </w:rPr>
        <w:sectPr>
          <w:pgSz w:w="11907" w:h="16840"/>
          <w:pgMar w:top="1417" w:right="1587" w:bottom="1417" w:left="1587" w:header="851" w:footer="851" w:gutter="0"/>
          <w:pgNumType w:fmt="decimal"/>
          <w:cols w:space="720" w:num="1"/>
        </w:sectPr>
      </w:pPr>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lang w:val="zh-CN"/>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lang w:val="zh-CN"/>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lang w:val="zh-CN"/>
        </w:rPr>
        <w:t>日</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color w:val="FF0000"/>
          <w:sz w:val="24"/>
          <w:u w:val="single"/>
        </w:rPr>
        <w:t xml:space="preserve">  </w:t>
      </w:r>
      <w:r>
        <w:rPr>
          <w:rFonts w:hint="eastAsia" w:asciiTheme="minorEastAsia" w:hAnsiTheme="minorEastAsia" w:eastAsiaTheme="minorEastAsia" w:cstheme="minorEastAsia"/>
          <w:color w:val="FF0000"/>
          <w:sz w:val="24"/>
          <w:u w:val="single"/>
          <w:lang w:eastAsia="zh-CN"/>
        </w:rPr>
        <w:t>桐庐县企业服务中心</w:t>
      </w:r>
      <w:r>
        <w:rPr>
          <w:rFonts w:hint="eastAsia" w:asciiTheme="minorEastAsia" w:hAnsiTheme="minorEastAsia" w:eastAsiaTheme="minorEastAsia" w:cstheme="minorEastAsia"/>
          <w:color w:val="FF0000"/>
          <w:sz w:val="24"/>
          <w:u w:val="single"/>
        </w:rPr>
        <w:t xml:space="preserve">  </w:t>
      </w:r>
      <w:r>
        <w:rPr>
          <w:rFonts w:hint="eastAsia" w:asciiTheme="minorEastAsia" w:hAnsiTheme="minorEastAsia" w:eastAsiaTheme="minorEastAsia" w:cstheme="minorEastAsia"/>
          <w:sz w:val="24"/>
        </w:rPr>
        <w:t>以</w:t>
      </w:r>
      <w:r>
        <w:rPr>
          <w:rFonts w:hint="eastAsia" w:asciiTheme="minorEastAsia" w:hAnsiTheme="minorEastAsia" w:eastAsiaTheme="minorEastAsia" w:cstheme="minorEastAsia"/>
          <w:color w:val="FF0000"/>
          <w:sz w:val="24"/>
          <w:u w:val="single"/>
        </w:rPr>
        <w:t>竞争性磋商方式</w:t>
      </w:r>
      <w:r>
        <w:rPr>
          <w:rFonts w:hint="eastAsia" w:asciiTheme="minorEastAsia" w:hAnsiTheme="minorEastAsia" w:eastAsiaTheme="minorEastAsia" w:cstheme="minorEastAsia"/>
          <w:sz w:val="24"/>
        </w:rPr>
        <w:t>对</w:t>
      </w:r>
      <w:r>
        <w:rPr>
          <w:rFonts w:hint="eastAsia" w:asciiTheme="minorEastAsia" w:hAnsiTheme="minorEastAsia" w:eastAsiaTheme="minorEastAsia" w:cstheme="minorEastAsia"/>
          <w:color w:val="FF0000"/>
          <w:sz w:val="24"/>
          <w:u w:val="single"/>
          <w:lang w:val="zh-CN"/>
        </w:rPr>
        <w:t>2024-2025年桐庐经济开发区绿地养护项目</w:t>
      </w:r>
      <w:r>
        <w:rPr>
          <w:rFonts w:hint="eastAsia" w:asciiTheme="minorEastAsia" w:hAnsiTheme="minorEastAsia" w:eastAsiaTheme="minorEastAsia" w:cstheme="minorEastAsia"/>
          <w:sz w:val="24"/>
        </w:rPr>
        <w:t>进行了采购。经</w:t>
      </w:r>
      <w:r>
        <w:rPr>
          <w:rFonts w:hint="eastAsia" w:asciiTheme="minorEastAsia" w:hAnsiTheme="minorEastAsia" w:eastAsiaTheme="minorEastAsia" w:cstheme="minorEastAsia"/>
          <w:color w:val="FF0000"/>
          <w:sz w:val="24"/>
          <w:u w:val="single"/>
        </w:rPr>
        <w:t>现场评审专家</w:t>
      </w:r>
      <w:r>
        <w:rPr>
          <w:rFonts w:hint="eastAsia" w:asciiTheme="minorEastAsia" w:hAnsiTheme="minorEastAsia" w:eastAsiaTheme="minorEastAsia" w:cstheme="minorEastAsia"/>
          <w:sz w:val="24"/>
        </w:rPr>
        <w:t>评定，</w:t>
      </w:r>
      <w:r>
        <w:rPr>
          <w:rFonts w:hint="eastAsia" w:asciiTheme="minorEastAsia" w:hAnsiTheme="minorEastAsia" w:eastAsiaTheme="minorEastAsia" w:cstheme="minorEastAsia"/>
          <w:color w:val="FF0000"/>
          <w:sz w:val="24"/>
          <w:u w:val="single"/>
        </w:rPr>
        <w:t>（中标供应商名称）</w:t>
      </w:r>
      <w:r>
        <w:rPr>
          <w:rFonts w:hint="eastAsia" w:asciiTheme="minorEastAsia" w:hAnsiTheme="minorEastAsia" w:eastAsiaTheme="minorEastAsia" w:cstheme="minorEastAsia"/>
          <w:sz w:val="24"/>
        </w:rPr>
        <w:t>为该项目中标供应商。现于中标通知书发出之日起三十日内，按照采购文件确定的事项签订本合同。</w:t>
      </w:r>
    </w:p>
    <w:p>
      <w:pPr>
        <w:spacing w:line="56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lang w:val="zh-CN"/>
        </w:rPr>
        <w:t>根据《中华人民共和国民法典》、《中华人民共和国政府采购法》等相关法律法规之规定，按照平等、自愿、公平、诚实信用和绿色的原则，经</w:t>
      </w:r>
      <w:r>
        <w:rPr>
          <w:rFonts w:hint="eastAsia" w:asciiTheme="minorEastAsia" w:hAnsiTheme="minorEastAsia" w:eastAsiaTheme="minorEastAsia" w:cstheme="minorEastAsia"/>
          <w:color w:val="FF0000"/>
          <w:sz w:val="24"/>
          <w:u w:val="single"/>
          <w:lang w:eastAsia="zh-CN"/>
        </w:rPr>
        <w:t>桐庐县企业服务中心</w:t>
      </w:r>
      <w:r>
        <w:rPr>
          <w:rFonts w:hint="eastAsia" w:asciiTheme="minorEastAsia" w:hAnsiTheme="minorEastAsia" w:eastAsiaTheme="minorEastAsia" w:cstheme="minorEastAsia"/>
          <w:sz w:val="24"/>
          <w:lang w:val="zh-CN"/>
        </w:rPr>
        <w:t>(以下简称：甲方)和</w:t>
      </w:r>
      <w:r>
        <w:rPr>
          <w:rFonts w:hint="eastAsia" w:asciiTheme="minorEastAsia" w:hAnsiTheme="minorEastAsia" w:eastAsiaTheme="minorEastAsia" w:cstheme="minorEastAsia"/>
          <w:color w:val="FF0000"/>
          <w:sz w:val="24"/>
          <w:u w:val="single"/>
        </w:rPr>
        <w:t>（中标供应商名称）</w:t>
      </w:r>
      <w:r>
        <w:rPr>
          <w:rFonts w:hint="eastAsia" w:asciiTheme="minorEastAsia" w:hAnsiTheme="minorEastAsia" w:eastAsiaTheme="minorEastAsia" w:cstheme="minorEastAsia"/>
          <w:sz w:val="24"/>
          <w:lang w:val="zh-CN"/>
        </w:rPr>
        <w:t>(以下简称：乙方)协商一致，约定以下合同</w:t>
      </w:r>
      <w:r>
        <w:rPr>
          <w:rFonts w:hint="eastAsia" w:asciiTheme="minorEastAsia" w:hAnsiTheme="minorEastAsia" w:eastAsiaTheme="minorEastAsia" w:cstheme="minorEastAsia"/>
          <w:sz w:val="24"/>
        </w:rPr>
        <w:t>条款，以兹共同遵守、全面履行。</w:t>
      </w:r>
    </w:p>
    <w:p>
      <w:pPr>
        <w:spacing w:line="560" w:lineRule="exact"/>
        <w:ind w:firstLine="482" w:firstLineChars="200"/>
        <w:outlineLvl w:val="0"/>
        <w:rPr>
          <w:rFonts w:hint="eastAsia" w:asciiTheme="minorEastAsia" w:hAnsiTheme="minorEastAsia" w:eastAsiaTheme="minorEastAsia" w:cstheme="minorEastAsia"/>
          <w:b/>
          <w:sz w:val="24"/>
        </w:rPr>
      </w:pPr>
      <w:bookmarkStart w:id="423" w:name="_Toc3029"/>
      <w:bookmarkStart w:id="424" w:name="_Toc24059"/>
      <w:bookmarkStart w:id="425" w:name="_Toc2232"/>
      <w:r>
        <w:rPr>
          <w:rFonts w:hint="eastAsia" w:asciiTheme="minorEastAsia" w:hAnsiTheme="minorEastAsia" w:eastAsiaTheme="minorEastAsia" w:cstheme="minorEastAsia"/>
          <w:b/>
          <w:sz w:val="24"/>
        </w:rPr>
        <w:t>1.1 合同组成部分</w:t>
      </w:r>
      <w:bookmarkEnd w:id="423"/>
      <w:bookmarkEnd w:id="424"/>
      <w:bookmarkEnd w:id="425"/>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1.1.1 本合同及其补充合同、变更协议；</w:t>
      </w:r>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1.1.2 中标通知书；</w:t>
      </w:r>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1.1.3 投标文件（含澄清或者说明文件）；</w:t>
      </w:r>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1.1.4 </w:t>
      </w:r>
      <w:r>
        <w:rPr>
          <w:rFonts w:hint="eastAsia" w:asciiTheme="minorEastAsia" w:hAnsiTheme="minorEastAsia" w:eastAsiaTheme="minorEastAsia" w:cstheme="minorEastAsia"/>
          <w:sz w:val="24"/>
          <w:lang w:eastAsia="zh-CN"/>
        </w:rPr>
        <w:t>磋商</w:t>
      </w:r>
      <w:r>
        <w:rPr>
          <w:rFonts w:hint="eastAsia" w:asciiTheme="minorEastAsia" w:hAnsiTheme="minorEastAsia" w:eastAsiaTheme="minorEastAsia" w:cstheme="minorEastAsia"/>
          <w:sz w:val="24"/>
        </w:rPr>
        <w:t>文件（含澄清或者修改文件）；</w:t>
      </w:r>
    </w:p>
    <w:p>
      <w:pPr>
        <w:spacing w:line="56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1.1.5 其他相关采购文件。</w:t>
      </w:r>
    </w:p>
    <w:p>
      <w:pPr>
        <w:spacing w:line="560" w:lineRule="exact"/>
        <w:ind w:firstLine="482" w:firstLineChars="200"/>
        <w:outlineLvl w:val="0"/>
        <w:rPr>
          <w:rFonts w:hint="eastAsia" w:asciiTheme="minorEastAsia" w:hAnsiTheme="minorEastAsia" w:eastAsiaTheme="minorEastAsia" w:cstheme="minorEastAsia"/>
        </w:rPr>
      </w:pPr>
      <w:bookmarkStart w:id="426" w:name="_Toc24300"/>
      <w:bookmarkStart w:id="427" w:name="_Toc27126"/>
      <w:bookmarkStart w:id="428" w:name="_Toc21295"/>
      <w:r>
        <w:rPr>
          <w:rFonts w:hint="eastAsia" w:asciiTheme="minorEastAsia" w:hAnsiTheme="minorEastAsia" w:eastAsiaTheme="minorEastAsia" w:cstheme="minorEastAsia"/>
          <w:b/>
          <w:sz w:val="24"/>
        </w:rPr>
        <w:t xml:space="preserve">1.2 </w:t>
      </w:r>
      <w:bookmarkEnd w:id="426"/>
      <w:bookmarkEnd w:id="427"/>
      <w:bookmarkEnd w:id="428"/>
      <w:r>
        <w:rPr>
          <w:rFonts w:hint="eastAsia" w:asciiTheme="minorEastAsia" w:hAnsiTheme="minorEastAsia" w:eastAsiaTheme="minorEastAsia" w:cstheme="minorEastAsia"/>
          <w:b/>
          <w:sz w:val="24"/>
        </w:rPr>
        <w:t>服务</w:t>
      </w:r>
    </w:p>
    <w:p>
      <w:pPr>
        <w:spacing w:line="560" w:lineRule="exact"/>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1.2.1 项目名称：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560" w:lineRule="exact"/>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1.2.2 项目内容：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56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1.2.3 服务要求：</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560" w:lineRule="exact"/>
        <w:ind w:firstLine="482" w:firstLineChars="200"/>
        <w:outlineLvl w:val="0"/>
        <w:rPr>
          <w:rFonts w:hint="eastAsia" w:asciiTheme="minorEastAsia" w:hAnsiTheme="minorEastAsia" w:eastAsiaTheme="minorEastAsia" w:cstheme="minorEastAsia"/>
          <w:b/>
          <w:sz w:val="24"/>
        </w:rPr>
      </w:pPr>
      <w:bookmarkStart w:id="429" w:name="_Toc21551"/>
      <w:bookmarkStart w:id="430" w:name="_Toc23292"/>
      <w:bookmarkStart w:id="431" w:name="_Toc21631"/>
      <w:r>
        <w:rPr>
          <w:rFonts w:hint="eastAsia" w:asciiTheme="minorEastAsia" w:hAnsiTheme="minorEastAsia" w:eastAsiaTheme="minorEastAsia" w:cstheme="minorEastAsia"/>
          <w:b/>
          <w:sz w:val="24"/>
        </w:rPr>
        <w:t>1.3 价款</w:t>
      </w:r>
      <w:bookmarkEnd w:id="429"/>
      <w:bookmarkEnd w:id="430"/>
      <w:bookmarkEnd w:id="431"/>
    </w:p>
    <w:p>
      <w:pPr>
        <w:spacing w:line="56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本合同总价为：￥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元人民币）。</w:t>
      </w:r>
    </w:p>
    <w:p>
      <w:pPr>
        <w:spacing w:line="560" w:lineRule="exact"/>
        <w:ind w:firstLine="482" w:firstLineChars="200"/>
        <w:outlineLvl w:val="0"/>
        <w:rPr>
          <w:rFonts w:hint="eastAsia" w:asciiTheme="minorEastAsia" w:hAnsiTheme="minorEastAsia" w:eastAsiaTheme="minorEastAsia" w:cstheme="minorEastAsia"/>
          <w:b/>
          <w:sz w:val="24"/>
        </w:rPr>
      </w:pPr>
      <w:bookmarkStart w:id="432" w:name="_Toc22618"/>
      <w:bookmarkStart w:id="433" w:name="_Toc1814"/>
      <w:bookmarkStart w:id="434" w:name="_Toc10340"/>
      <w:r>
        <w:rPr>
          <w:rFonts w:hint="eastAsia" w:asciiTheme="minorEastAsia" w:hAnsiTheme="minorEastAsia" w:eastAsiaTheme="minorEastAsia" w:cstheme="minorEastAsia"/>
          <w:b/>
          <w:sz w:val="24"/>
        </w:rPr>
        <w:t>1.4 付款</w:t>
      </w:r>
      <w:bookmarkEnd w:id="432"/>
      <w:bookmarkEnd w:id="433"/>
      <w:bookmarkEnd w:id="434"/>
      <w:r>
        <w:rPr>
          <w:rFonts w:hint="eastAsia" w:asciiTheme="minorEastAsia" w:hAnsiTheme="minorEastAsia" w:eastAsiaTheme="minorEastAsia" w:cstheme="minorEastAsia"/>
          <w:b/>
          <w:sz w:val="24"/>
        </w:rPr>
        <w:t>方式、时间和条件</w:t>
      </w:r>
    </w:p>
    <w:p>
      <w:pPr>
        <w:pStyle w:val="958"/>
        <w:spacing w:before="0" w:beforeAutospacing="0" w:after="0" w:afterAutospacing="0" w:line="360" w:lineRule="auto"/>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rPr>
        <w:t>1.4.1 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1.4.2 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2"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rPr>
        <w:t>1.4.3 资金支付的方式：</w:t>
      </w:r>
    </w:p>
    <w:p>
      <w:pPr>
        <w:spacing w:line="560" w:lineRule="exact"/>
        <w:ind w:firstLine="482" w:firstLineChars="200"/>
        <w:outlineLvl w:val="0"/>
        <w:rPr>
          <w:rFonts w:hint="eastAsia" w:asciiTheme="minorEastAsia" w:hAnsiTheme="minorEastAsia" w:eastAsiaTheme="minorEastAsia" w:cstheme="minorEastAsia"/>
          <w:b/>
          <w:sz w:val="24"/>
        </w:rPr>
      </w:pPr>
      <w:bookmarkStart w:id="435" w:name="_Toc32071"/>
      <w:bookmarkStart w:id="436" w:name="_Toc2846"/>
      <w:bookmarkStart w:id="437" w:name="_Toc19304"/>
      <w:r>
        <w:rPr>
          <w:rFonts w:hint="eastAsia" w:asciiTheme="minorEastAsia" w:hAnsiTheme="minorEastAsia" w:eastAsiaTheme="minorEastAsia" w:cstheme="minorEastAsia"/>
          <w:b/>
          <w:sz w:val="24"/>
        </w:rPr>
        <w:t>1.5 方案交付期限、地点和方式</w:t>
      </w:r>
      <w:bookmarkEnd w:id="435"/>
      <w:bookmarkEnd w:id="436"/>
      <w:bookmarkEnd w:id="437"/>
    </w:p>
    <w:p>
      <w:pPr>
        <w:tabs>
          <w:tab w:val="center" w:pos="4535"/>
        </w:tabs>
        <w:spacing w:line="560" w:lineRule="exact"/>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1.5.1 交付期限：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ab/>
      </w:r>
      <w:r>
        <w:rPr>
          <w:rFonts w:hint="eastAsia" w:asciiTheme="minorEastAsia" w:hAnsiTheme="minorEastAsia" w:eastAsiaTheme="minorEastAsia" w:cstheme="minorEastAsia"/>
          <w:sz w:val="24"/>
          <w:u w:val="single"/>
        </w:rPr>
        <w:t>；</w:t>
      </w:r>
    </w:p>
    <w:p>
      <w:pPr>
        <w:spacing w:line="560" w:lineRule="exact"/>
        <w:ind w:firstLine="480" w:firstLineChars="20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1.5.2 交付地点：</w:t>
      </w:r>
      <w:r>
        <w:rPr>
          <w:rFonts w:hint="eastAsia" w:asciiTheme="minorEastAsia" w:hAnsiTheme="minorEastAsia" w:eastAsiaTheme="minorEastAsia" w:cstheme="minorEastAsia"/>
          <w:sz w:val="24"/>
          <w:u w:val="single"/>
        </w:rPr>
        <w:t xml:space="preserve">                  ；</w:t>
      </w:r>
    </w:p>
    <w:p>
      <w:pPr>
        <w:spacing w:line="56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1.5.3 交付方式：</w:t>
      </w:r>
      <w:r>
        <w:rPr>
          <w:rFonts w:hint="eastAsia" w:asciiTheme="minorEastAsia" w:hAnsiTheme="minorEastAsia" w:eastAsiaTheme="minorEastAsia" w:cstheme="minorEastAsia"/>
          <w:sz w:val="24"/>
          <w:u w:val="single"/>
        </w:rPr>
        <w:t xml:space="preserve">                 。</w:t>
      </w:r>
    </w:p>
    <w:p>
      <w:pPr>
        <w:spacing w:line="560" w:lineRule="exact"/>
        <w:ind w:firstLine="482" w:firstLineChars="200"/>
        <w:outlineLvl w:val="0"/>
        <w:rPr>
          <w:rFonts w:hint="eastAsia" w:asciiTheme="minorEastAsia" w:hAnsiTheme="minorEastAsia" w:eastAsiaTheme="minorEastAsia" w:cstheme="minorEastAsia"/>
          <w:b/>
          <w:sz w:val="24"/>
        </w:rPr>
      </w:pPr>
      <w:bookmarkStart w:id="438" w:name="_Toc19554"/>
      <w:bookmarkStart w:id="439" w:name="_Toc27250"/>
      <w:bookmarkStart w:id="440" w:name="_Toc21423"/>
      <w:r>
        <w:rPr>
          <w:rFonts w:hint="eastAsia" w:asciiTheme="minorEastAsia" w:hAnsiTheme="minorEastAsia" w:eastAsiaTheme="minorEastAsia" w:cstheme="minorEastAsia"/>
          <w:b/>
          <w:sz w:val="24"/>
        </w:rPr>
        <w:t>1.6 违约责任</w:t>
      </w:r>
      <w:bookmarkEnd w:id="438"/>
      <w:bookmarkEnd w:id="439"/>
      <w:bookmarkEnd w:id="440"/>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1.6.1 除不可抗力外，如果乙方没有按照本合同约定的期限、地点和方式交付项目编制成果，那么甲方可要求乙方支付违约金，违约金按每迟延交付项目编制成果一日的应交付而未交付项目价格的</w:t>
      </w:r>
      <w:r>
        <w:rPr>
          <w:rFonts w:hint="eastAsia" w:asciiTheme="minorEastAsia" w:hAnsiTheme="minorEastAsia" w:eastAsiaTheme="minorEastAsia" w:cstheme="minorEastAsia"/>
          <w:sz w:val="24"/>
          <w:u w:val="single"/>
        </w:rPr>
        <w:t xml:space="preserve">  0.05  </w:t>
      </w:r>
      <w:r>
        <w:rPr>
          <w:rFonts w:hint="eastAsia" w:asciiTheme="minorEastAsia" w:hAnsiTheme="minorEastAsia" w:eastAsiaTheme="minorEastAsia" w:cstheme="minorEastAsia"/>
          <w:sz w:val="24"/>
        </w:rPr>
        <w:t>%计算，最高限额为本合同总价的</w:t>
      </w:r>
      <w:r>
        <w:rPr>
          <w:rFonts w:hint="eastAsia" w:asciiTheme="minorEastAsia" w:hAnsiTheme="minorEastAsia" w:eastAsiaTheme="minorEastAsia" w:cstheme="minorEastAsia"/>
          <w:sz w:val="24"/>
          <w:u w:val="single"/>
        </w:rPr>
        <w:t xml:space="preserve"> 20  </w:t>
      </w:r>
      <w:r>
        <w:rPr>
          <w:rFonts w:hint="eastAsia" w:asciiTheme="minorEastAsia" w:hAnsiTheme="minorEastAsia" w:eastAsiaTheme="minorEastAsia" w:cstheme="minorEastAsia"/>
          <w:sz w:val="24"/>
        </w:rPr>
        <w:t>%；迟延交付项目的违约金计算数额达到前述最高限额之日起，甲方有权在要求乙方支付违约金的同时，书面通知乙方解除本合同；</w:t>
      </w:r>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1.6.2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1.6.3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1.6.4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1.6.5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hint="eastAsia" w:asciiTheme="minorEastAsia" w:hAnsiTheme="minorEastAsia" w:eastAsiaTheme="minorEastAsia" w:cstheme="minorEastAsia"/>
          <w:b/>
          <w:sz w:val="24"/>
        </w:rPr>
      </w:pPr>
      <w:bookmarkStart w:id="441" w:name="_Toc16021"/>
      <w:bookmarkStart w:id="442" w:name="_Toc28375"/>
      <w:bookmarkStart w:id="443" w:name="_Toc15583"/>
      <w:r>
        <w:rPr>
          <w:rFonts w:hint="eastAsia" w:asciiTheme="minorEastAsia" w:hAnsiTheme="minorEastAsia" w:eastAsiaTheme="minorEastAsia" w:cstheme="minorEastAsia"/>
          <w:b/>
          <w:sz w:val="24"/>
        </w:rPr>
        <w:t>1.7 合同争议的解决</w:t>
      </w:r>
      <w:bookmarkEnd w:id="441"/>
      <w:bookmarkEnd w:id="442"/>
      <w:bookmarkEnd w:id="443"/>
    </w:p>
    <w:p>
      <w:pPr>
        <w:spacing w:line="560" w:lineRule="exact"/>
        <w:ind w:left="-61" w:leftChars="-29" w:right="-420" w:rightChars="-200" w:firstLine="24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 xml:space="preserve">  本合同履行过程中发生的任何争议，双方当事人均可通过和解或者调解解决；不愿和解、调解或者和解、调解不成的，可以选择向</w:t>
      </w:r>
      <w:r>
        <w:rPr>
          <w:rFonts w:hint="eastAsia" w:asciiTheme="minorEastAsia" w:hAnsiTheme="minorEastAsia" w:eastAsiaTheme="minorEastAsia" w:cstheme="minorEastAsia"/>
          <w:sz w:val="24"/>
          <w:lang w:val="en-US" w:eastAsia="zh-CN"/>
        </w:rPr>
        <w:t>桐庐县</w:t>
      </w:r>
      <w:r>
        <w:rPr>
          <w:rFonts w:hint="eastAsia" w:asciiTheme="minorEastAsia" w:hAnsiTheme="minorEastAsia" w:eastAsiaTheme="minorEastAsia" w:cstheme="minorEastAsia"/>
          <w:sz w:val="24"/>
        </w:rPr>
        <w:t>人民法院起诉。</w:t>
      </w:r>
    </w:p>
    <w:p>
      <w:pPr>
        <w:spacing w:line="560" w:lineRule="exact"/>
        <w:ind w:firstLine="482" w:firstLineChars="200"/>
        <w:outlineLvl w:val="0"/>
        <w:rPr>
          <w:rFonts w:hint="eastAsia" w:asciiTheme="minorEastAsia" w:hAnsiTheme="minorEastAsia" w:eastAsiaTheme="minorEastAsia" w:cstheme="minorEastAsia"/>
          <w:b/>
          <w:sz w:val="24"/>
        </w:rPr>
      </w:pPr>
      <w:bookmarkStart w:id="444" w:name="_Toc15322"/>
      <w:bookmarkStart w:id="445" w:name="_Toc11173"/>
      <w:bookmarkStart w:id="446" w:name="_Toc7245"/>
      <w:r>
        <w:rPr>
          <w:rFonts w:hint="eastAsia" w:asciiTheme="minorEastAsia" w:hAnsiTheme="minorEastAsia" w:eastAsiaTheme="minorEastAsia" w:cstheme="minorEastAsia"/>
          <w:b/>
          <w:sz w:val="24"/>
        </w:rPr>
        <w:t>1.8 合同生效</w:t>
      </w:r>
      <w:bookmarkEnd w:id="444"/>
      <w:bookmarkEnd w:id="445"/>
      <w:bookmarkEnd w:id="446"/>
    </w:p>
    <w:p>
      <w:pPr>
        <w:spacing w:line="5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本合同自双方当事人盖章或者签字时生效。</w:t>
      </w:r>
    </w:p>
    <w:p>
      <w:pPr>
        <w:tabs>
          <w:tab w:val="left" w:pos="868"/>
        </w:tabs>
        <w:spacing w:line="560" w:lineRule="exact"/>
        <w:ind w:firstLine="482" w:firstLineChars="200"/>
        <w:outlineLvl w:val="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1.9 合同份数</w:t>
      </w:r>
    </w:p>
    <w:p>
      <w:pPr>
        <w:spacing w:line="560" w:lineRule="exact"/>
        <w:ind w:firstLine="480" w:firstLineChars="200"/>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sz w:val="24"/>
        </w:rPr>
        <w:t>本合同正本一式柒份，每份均具有同等法律效力，甲方执叁份，乙方执贰份，代理公司存档贰份。</w:t>
      </w:r>
    </w:p>
    <w:p>
      <w:pPr>
        <w:autoSpaceDE w:val="0"/>
        <w:autoSpaceDN w:val="0"/>
        <w:spacing w:line="560" w:lineRule="exact"/>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b/>
          <w:sz w:val="24"/>
          <w:lang w:val="zh-CN"/>
        </w:rPr>
        <w:t>甲方</w:t>
      </w:r>
      <w:r>
        <w:rPr>
          <w:rFonts w:hint="eastAsia" w:asciiTheme="minorEastAsia" w:hAnsiTheme="minorEastAsia" w:eastAsiaTheme="minorEastAsia" w:cstheme="minorEastAsia"/>
          <w:sz w:val="24"/>
          <w:lang w:val="zh-CN"/>
        </w:rPr>
        <w:t xml:space="preserve">：                             </w:t>
      </w:r>
      <w:r>
        <w:rPr>
          <w:rFonts w:hint="eastAsia" w:asciiTheme="minorEastAsia" w:hAnsiTheme="minorEastAsia" w:eastAsiaTheme="minorEastAsia" w:cstheme="minorEastAsia"/>
          <w:b/>
          <w:sz w:val="24"/>
          <w:lang w:val="zh-CN"/>
        </w:rPr>
        <w:t xml:space="preserve">      乙方</w:t>
      </w:r>
      <w:r>
        <w:rPr>
          <w:rFonts w:hint="eastAsia" w:asciiTheme="minorEastAsia" w:hAnsiTheme="minorEastAsia" w:eastAsiaTheme="minorEastAsia" w:cstheme="minorEastAsia"/>
          <w:sz w:val="24"/>
          <w:lang w:val="zh-CN"/>
        </w:rPr>
        <w:t>：</w:t>
      </w:r>
    </w:p>
    <w:p>
      <w:pPr>
        <w:autoSpaceDE w:val="0"/>
        <w:autoSpaceDN w:val="0"/>
        <w:spacing w:line="560" w:lineRule="exact"/>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统一社会信用代码：                       统一社会信用代码或身份证号码：</w:t>
      </w:r>
    </w:p>
    <w:p>
      <w:pPr>
        <w:autoSpaceDE w:val="0"/>
        <w:autoSpaceDN w:val="0"/>
        <w:spacing w:line="560" w:lineRule="exact"/>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住所：                                   住所：</w:t>
      </w:r>
    </w:p>
    <w:p>
      <w:pPr>
        <w:autoSpaceDE w:val="0"/>
        <w:autoSpaceDN w:val="0"/>
        <w:spacing w:line="560" w:lineRule="exact"/>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 xml:space="preserve">法定代表人或授权代表（签字）：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zh-CN"/>
        </w:rPr>
        <w:t xml:space="preserve">法定代表人或授权代表（签字）:                 </w:t>
      </w:r>
    </w:p>
    <w:p>
      <w:pPr>
        <w:autoSpaceDE w:val="0"/>
        <w:autoSpaceDN w:val="0"/>
        <w:spacing w:line="560" w:lineRule="exact"/>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联系人：                                 联系人：</w:t>
      </w:r>
    </w:p>
    <w:p>
      <w:pPr>
        <w:autoSpaceDE w:val="0"/>
        <w:autoSpaceDN w:val="0"/>
        <w:spacing w:line="560" w:lineRule="exact"/>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邮政编码：                               邮政编码：</w:t>
      </w:r>
    </w:p>
    <w:p>
      <w:pPr>
        <w:autoSpaceDE w:val="0"/>
        <w:autoSpaceDN w:val="0"/>
        <w:spacing w:line="560" w:lineRule="exact"/>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 xml:space="preserve">电话:                                    电话: </w:t>
      </w:r>
    </w:p>
    <w:p>
      <w:pPr>
        <w:autoSpaceDE w:val="0"/>
        <w:autoSpaceDN w:val="0"/>
        <w:spacing w:line="5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电子邮箱：                               电子邮箱：</w:t>
      </w:r>
    </w:p>
    <w:p>
      <w:pPr>
        <w:autoSpaceDE w:val="0"/>
        <w:autoSpaceDN w:val="0"/>
        <w:spacing w:line="5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开户银行：                               开户银行： </w:t>
      </w:r>
    </w:p>
    <w:p>
      <w:pPr>
        <w:autoSpaceDE w:val="0"/>
        <w:autoSpaceDN w:val="0"/>
        <w:spacing w:line="5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开户名称：                               开户名称： </w:t>
      </w:r>
    </w:p>
    <w:p>
      <w:pPr>
        <w:autoSpaceDE w:val="0"/>
        <w:autoSpaceDN w:val="0"/>
        <w:spacing w:line="5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开户账号：</w:t>
      </w:r>
      <w:r>
        <w:rPr>
          <w:rFonts w:hint="eastAsia" w:asciiTheme="minorEastAsia" w:hAnsiTheme="minorEastAsia" w:eastAsiaTheme="minorEastAsia" w:cstheme="minorEastAsia"/>
          <w:sz w:val="24"/>
          <w:lang w:val="zh-CN"/>
        </w:rPr>
        <w:t xml:space="preserve">                               </w:t>
      </w:r>
      <w:r>
        <w:rPr>
          <w:rFonts w:hint="eastAsia" w:asciiTheme="minorEastAsia" w:hAnsiTheme="minorEastAsia" w:eastAsiaTheme="minorEastAsia" w:cstheme="minorEastAsia"/>
          <w:sz w:val="24"/>
        </w:rPr>
        <w:t>开户账号：</w:t>
      </w:r>
    </w:p>
    <w:p>
      <w:pPr>
        <w:widowControl/>
        <w:spacing w:line="560" w:lineRule="exact"/>
        <w:jc w:val="left"/>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sz w:val="24"/>
        </w:rPr>
      </w:pPr>
    </w:p>
    <w:p>
      <w:pPr>
        <w:pStyle w:val="3"/>
        <w:rPr>
          <w:rFonts w:hint="eastAsia" w:asciiTheme="minorEastAsia" w:hAnsiTheme="minorEastAsia" w:eastAsiaTheme="minorEastAsia" w:cstheme="minorEastAsia"/>
          <w:sz w:val="24"/>
        </w:rPr>
      </w:pPr>
    </w:p>
    <w:p>
      <w:pPr>
        <w:pStyle w:val="3"/>
        <w:ind w:left="0" w:firstLine="0"/>
        <w:rPr>
          <w:rFonts w:hint="eastAsia" w:asciiTheme="minorEastAsia" w:hAnsiTheme="minorEastAsia" w:eastAsiaTheme="minorEastAsia" w:cstheme="minorEastAsia"/>
        </w:rPr>
      </w:pPr>
    </w:p>
    <w:p>
      <w:pPr>
        <w:spacing w:line="360" w:lineRule="auto"/>
        <w:jc w:val="center"/>
        <w:outlineLvl w:val="0"/>
        <w:rPr>
          <w:rFonts w:hint="eastAsia" w:asciiTheme="minorEastAsia" w:hAnsiTheme="minorEastAsia" w:eastAsiaTheme="minorEastAsia" w:cstheme="minorEastAsia"/>
          <w:b/>
          <w:sz w:val="36"/>
          <w:szCs w:val="20"/>
        </w:rPr>
      </w:pPr>
    </w:p>
    <w:p>
      <w:pPr>
        <w:rPr>
          <w:rFonts w:hint="eastAsia" w:asciiTheme="minorEastAsia" w:hAnsiTheme="minorEastAsia" w:eastAsiaTheme="minorEastAsia" w:cstheme="minorEastAsia"/>
          <w:b/>
          <w:sz w:val="36"/>
          <w:szCs w:val="20"/>
        </w:rPr>
      </w:pPr>
    </w:p>
    <w:p>
      <w:pPr>
        <w:pStyle w:val="5"/>
        <w:rPr>
          <w:rFonts w:hint="eastAsia" w:asciiTheme="minorEastAsia" w:hAnsiTheme="minorEastAsia" w:eastAsiaTheme="minorEastAsia" w:cstheme="minorEastAsia"/>
          <w:b/>
          <w:sz w:val="36"/>
          <w:szCs w:val="20"/>
        </w:rPr>
      </w:pPr>
    </w:p>
    <w:p>
      <w:pPr>
        <w:rPr>
          <w:rFonts w:hint="eastAsia" w:asciiTheme="minorEastAsia" w:hAnsiTheme="minorEastAsia" w:eastAsiaTheme="minorEastAsia" w:cstheme="minorEastAsia"/>
          <w:b/>
          <w:sz w:val="36"/>
          <w:szCs w:val="20"/>
        </w:rPr>
      </w:pPr>
    </w:p>
    <w:p>
      <w:pPr>
        <w:pStyle w:val="5"/>
        <w:rPr>
          <w:rFonts w:hint="eastAsia" w:asciiTheme="minorEastAsia" w:hAnsiTheme="minorEastAsia" w:eastAsiaTheme="minorEastAsia" w:cstheme="minorEastAsia"/>
          <w:b/>
          <w:sz w:val="36"/>
          <w:szCs w:val="20"/>
        </w:rPr>
      </w:pPr>
    </w:p>
    <w:p>
      <w:pPr>
        <w:rPr>
          <w:rFonts w:hint="eastAsia" w:asciiTheme="minorEastAsia" w:hAnsiTheme="minorEastAsia" w:eastAsiaTheme="minorEastAsia" w:cstheme="minorEastAsia"/>
          <w:b/>
          <w:sz w:val="36"/>
          <w:szCs w:val="20"/>
        </w:rPr>
      </w:pPr>
    </w:p>
    <w:p>
      <w:pPr>
        <w:pStyle w:val="5"/>
        <w:rPr>
          <w:rFonts w:hint="eastAsia" w:asciiTheme="minorEastAsia" w:hAnsiTheme="minorEastAsia" w:eastAsiaTheme="minorEastAsia" w:cstheme="minorEastAsia"/>
          <w:b/>
          <w:sz w:val="36"/>
          <w:szCs w:val="20"/>
        </w:rPr>
      </w:pPr>
    </w:p>
    <w:p>
      <w:pPr>
        <w:rPr>
          <w:rFonts w:hint="eastAsia" w:asciiTheme="minorEastAsia" w:hAnsiTheme="minorEastAsia" w:eastAsiaTheme="minorEastAsia" w:cstheme="minorEastAsia"/>
          <w:b/>
          <w:sz w:val="36"/>
          <w:szCs w:val="20"/>
        </w:rPr>
      </w:pPr>
    </w:p>
    <w:p>
      <w:pPr>
        <w:pStyle w:val="3"/>
        <w:ind w:left="0" w:leftChars="0" w:firstLine="0" w:firstLineChars="0"/>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spacing w:line="360" w:lineRule="auto"/>
        <w:jc w:val="center"/>
        <w:outlineLvl w:val="0"/>
        <w:rPr>
          <w:rFonts w:hint="eastAsia" w:asciiTheme="minorEastAsia" w:hAnsiTheme="minorEastAsia" w:eastAsiaTheme="minorEastAsia" w:cstheme="minorEastAsia"/>
          <w:b/>
          <w:sz w:val="36"/>
          <w:szCs w:val="20"/>
        </w:rPr>
      </w:pPr>
      <w:r>
        <w:rPr>
          <w:rFonts w:hint="eastAsia" w:asciiTheme="minorEastAsia" w:hAnsiTheme="minorEastAsia" w:eastAsiaTheme="minorEastAsia" w:cstheme="minorEastAsia"/>
          <w:b/>
          <w:sz w:val="36"/>
          <w:szCs w:val="20"/>
        </w:rPr>
        <w:t>第六部分</w:t>
      </w:r>
      <w:bookmarkEnd w:id="421"/>
      <w:r>
        <w:rPr>
          <w:rFonts w:hint="eastAsia" w:asciiTheme="minorEastAsia" w:hAnsiTheme="minorEastAsia" w:eastAsiaTheme="minorEastAsia" w:cstheme="minorEastAsia"/>
          <w:b/>
          <w:sz w:val="36"/>
          <w:szCs w:val="20"/>
        </w:rPr>
        <w:t xml:space="preserve"> </w:t>
      </w:r>
      <w:bookmarkEnd w:id="422"/>
      <w:r>
        <w:rPr>
          <w:rFonts w:hint="eastAsia" w:asciiTheme="minorEastAsia" w:hAnsiTheme="minorEastAsia" w:eastAsiaTheme="minorEastAsia" w:cstheme="minorEastAsia"/>
          <w:b/>
          <w:sz w:val="36"/>
          <w:szCs w:val="20"/>
        </w:rPr>
        <w:t>应提交的有关格式范例</w:t>
      </w:r>
    </w:p>
    <w:p>
      <w:pPr>
        <w:spacing w:line="360" w:lineRule="auto"/>
        <w:jc w:val="center"/>
        <w:rPr>
          <w:rFonts w:hint="eastAsia" w:asciiTheme="minorEastAsia" w:hAnsiTheme="minorEastAsia" w:eastAsiaTheme="minorEastAsia" w:cstheme="minorEastAsia"/>
          <w:b/>
          <w:kern w:val="0"/>
          <w:sz w:val="36"/>
          <w:szCs w:val="36"/>
        </w:rPr>
      </w:pPr>
    </w:p>
    <w:p>
      <w:pPr>
        <w:spacing w:line="360" w:lineRule="auto"/>
        <w:jc w:val="center"/>
        <w:outlineLvl w:val="0"/>
        <w:rPr>
          <w:rFonts w:hint="eastAsia"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资格文件部分</w:t>
      </w:r>
    </w:p>
    <w:p>
      <w:pPr>
        <w:spacing w:line="360" w:lineRule="auto"/>
        <w:jc w:val="center"/>
        <w:outlineLvl w:val="0"/>
        <w:rPr>
          <w:rFonts w:hint="eastAsia"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目录</w:t>
      </w:r>
    </w:p>
    <w:p>
      <w:pPr>
        <w:spacing w:line="360" w:lineRule="auto"/>
        <w:jc w:val="center"/>
        <w:rPr>
          <w:rFonts w:hint="eastAsia" w:asciiTheme="minorEastAsia" w:hAnsiTheme="minorEastAsia" w:eastAsiaTheme="minorEastAsia" w:cstheme="minorEastAsia"/>
          <w:b/>
          <w:kern w:val="0"/>
          <w:sz w:val="36"/>
          <w:szCs w:val="36"/>
        </w:rPr>
      </w:pP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（1）符合参加政府采购活动应当具备的一般条件的承诺函……………………（页码）</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营业执照</w:t>
      </w:r>
      <w:r>
        <w:rPr>
          <w:rFonts w:hint="eastAsia" w:asciiTheme="minorEastAsia" w:hAnsiTheme="minorEastAsia" w:eastAsiaTheme="minorEastAsia" w:cstheme="minorEastAsia"/>
          <w:sz w:val="24"/>
        </w:rPr>
        <w:t>………………………………………………………………………（页码）</w:t>
      </w: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pStyle w:val="5"/>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b/>
          <w:kern w:val="0"/>
          <w:sz w:val="32"/>
          <w:szCs w:val="32"/>
        </w:rPr>
      </w:pPr>
    </w:p>
    <w:p>
      <w:pPr>
        <w:pStyle w:val="5"/>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b/>
          <w:kern w:val="0"/>
          <w:sz w:val="32"/>
          <w:szCs w:val="32"/>
        </w:rPr>
      </w:pPr>
    </w:p>
    <w:p>
      <w:pPr>
        <w:pStyle w:val="5"/>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b/>
          <w:kern w:val="0"/>
          <w:sz w:val="32"/>
          <w:szCs w:val="32"/>
        </w:rPr>
      </w:pPr>
    </w:p>
    <w:p>
      <w:pPr>
        <w:pStyle w:val="5"/>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b/>
          <w:kern w:val="0"/>
          <w:sz w:val="32"/>
          <w:szCs w:val="32"/>
        </w:rPr>
      </w:pPr>
    </w:p>
    <w:p>
      <w:pPr>
        <w:pStyle w:val="5"/>
        <w:rPr>
          <w:rFonts w:hint="eastAsia"/>
        </w:rPr>
      </w:pPr>
    </w:p>
    <w:p>
      <w:pPr>
        <w:snapToGrid w:val="0"/>
        <w:spacing w:line="360" w:lineRule="auto"/>
        <w:ind w:right="480"/>
        <w:jc w:val="both"/>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 xml:space="preserve"> 一、 符合参加政府采购活动应当具备的一般条件的承诺函</w:t>
      </w:r>
    </w:p>
    <w:p>
      <w:pPr>
        <w:spacing w:before="120" w:beforeLines="50" w:line="360" w:lineRule="auto"/>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lang w:eastAsia="zh-CN"/>
        </w:rPr>
        <w:t>桐庐县企业服务中心</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eastAsia="zh-CN"/>
        </w:rPr>
        <w:t>杭州市建设工程管理集团有限公司</w:t>
      </w:r>
      <w:r>
        <w:rPr>
          <w:rFonts w:hint="eastAsia" w:asciiTheme="minorEastAsia" w:hAnsiTheme="minorEastAsia" w:eastAsiaTheme="minorEastAsia" w:cstheme="minorEastAsia"/>
          <w:color w:val="FF0000"/>
          <w:sz w:val="24"/>
        </w:rPr>
        <w:t>：</w:t>
      </w:r>
    </w:p>
    <w:p>
      <w:pPr>
        <w:snapToGrid w:val="0"/>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我方参与</w:t>
      </w:r>
      <w:r>
        <w:rPr>
          <w:rFonts w:hint="eastAsia" w:asciiTheme="minorEastAsia" w:hAnsiTheme="minorEastAsia" w:eastAsiaTheme="minorEastAsia" w:cstheme="minorEastAsia"/>
          <w:sz w:val="24"/>
          <w:lang w:eastAsia="zh-CN"/>
        </w:rPr>
        <w:t>2024-2025年桐庐经济开发区绿地养护项目</w:t>
      </w:r>
      <w:r>
        <w:rPr>
          <w:rFonts w:hint="eastAsia" w:asciiTheme="minorEastAsia" w:hAnsiTheme="minorEastAsia" w:eastAsiaTheme="minorEastAsia" w:cstheme="minorEastAsia"/>
          <w:sz w:val="24"/>
        </w:rPr>
        <w:t>【招标编号：</w:t>
      </w:r>
      <w:r>
        <w:rPr>
          <w:rFonts w:hint="eastAsia" w:asciiTheme="minorEastAsia" w:hAnsiTheme="minorEastAsia" w:eastAsiaTheme="minorEastAsia" w:cstheme="minorEastAsia"/>
          <w:sz w:val="24"/>
          <w:lang w:eastAsia="zh-CN"/>
        </w:rPr>
        <w:t>HZSJS2024-TLZFCG002</w:t>
      </w:r>
      <w:r>
        <w:rPr>
          <w:rFonts w:hint="eastAsia" w:asciiTheme="minorEastAsia" w:hAnsiTheme="minorEastAsia" w:eastAsiaTheme="minorEastAsia" w:cstheme="minorEastAsia"/>
          <w:sz w:val="24"/>
        </w:rPr>
        <w:t>】政府采购活动，郑重承诺：</w:t>
      </w:r>
    </w:p>
    <w:p>
      <w:pPr>
        <w:snapToGrid w:val="0"/>
        <w:spacing w:line="360" w:lineRule="auto"/>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（一）具备《中华人民共和国政府采购法》第二十二条第一款规定的条件：</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1、具有独立承担民事责任的能力；</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2、具有良好的商业信誉和健全的财务会计制度； </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3、具有履行合同所必需的设备和专业技术能力；</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4、有依法缴纳税收和社会保障资金的良好记录；</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5、参加政府采购活动前三年内，在经营活动中没有重大违法记录；</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6、具有法律、行政法规规定的其他条件。</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（三）不存在以下情况：</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2、为采购项目提供整体设计、规范编制或者项目管理、监理、检测等服务后再参加该采购项目的其他采购活动的。</w:t>
      </w:r>
    </w:p>
    <w:p>
      <w:pPr>
        <w:pStyle w:val="3"/>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pStyle w:val="3"/>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rPr>
      </w:pPr>
    </w:p>
    <w:p>
      <w:pPr>
        <w:snapToGrid w:val="0"/>
        <w:spacing w:line="360" w:lineRule="auto"/>
        <w:ind w:firstLine="5520" w:firstLineChars="23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zh-CN"/>
        </w:rPr>
        <w:t>供应商名称(电子签名)：</w:t>
      </w:r>
    </w:p>
    <w:p>
      <w:pPr>
        <w:snapToGrid w:val="0"/>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zh-CN"/>
        </w:rPr>
        <w:t xml:space="preserve">                        </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日期</w:t>
      </w:r>
      <w:r>
        <w:rPr>
          <w:rFonts w:hint="eastAsia" w:asciiTheme="minorEastAsia" w:hAnsiTheme="minorEastAsia" w:eastAsiaTheme="minorEastAsia" w:cstheme="minorEastAsia"/>
          <w:kern w:val="0"/>
          <w:sz w:val="24"/>
        </w:rPr>
        <w:t xml:space="preserve">：  年  </w:t>
      </w:r>
      <w:r>
        <w:rPr>
          <w:rFonts w:hint="eastAsia" w:asciiTheme="minorEastAsia" w:hAnsiTheme="minorEastAsia" w:eastAsiaTheme="minorEastAsia" w:cstheme="minorEastAsia"/>
          <w:kern w:val="0"/>
          <w:sz w:val="24"/>
          <w:lang w:val="zh-CN"/>
        </w:rPr>
        <w:t>月</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w:t>
      </w: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pStyle w:val="37"/>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b/>
          <w:kern w:val="0"/>
          <w:sz w:val="32"/>
          <w:szCs w:val="32"/>
        </w:rPr>
      </w:pPr>
    </w:p>
    <w:p>
      <w:pPr>
        <w:pStyle w:val="37"/>
        <w:rPr>
          <w:rFonts w:hint="eastAsia"/>
        </w:rPr>
      </w:pPr>
    </w:p>
    <w:p>
      <w:pPr>
        <w:snapToGrid w:val="0"/>
        <w:spacing w:line="360" w:lineRule="auto"/>
        <w:ind w:right="480"/>
        <w:jc w:val="center"/>
        <w:rPr>
          <w:rFonts w:hint="eastAsia" w:asciiTheme="minorEastAsia" w:hAnsiTheme="minorEastAsia" w:eastAsiaTheme="minorEastAsia" w:cstheme="minorEastAsia"/>
          <w:b/>
          <w:kern w:val="0"/>
          <w:sz w:val="32"/>
          <w:szCs w:val="32"/>
          <w:lang w:val="en-US" w:eastAsia="zh-CN"/>
        </w:rPr>
      </w:pPr>
      <w:r>
        <w:rPr>
          <w:rFonts w:hint="eastAsia" w:asciiTheme="minorEastAsia" w:hAnsiTheme="minorEastAsia" w:eastAsiaTheme="minorEastAsia" w:cstheme="minorEastAsia"/>
          <w:b/>
          <w:kern w:val="0"/>
          <w:sz w:val="32"/>
          <w:szCs w:val="32"/>
          <w:lang w:val="en-US" w:eastAsia="zh-CN"/>
        </w:rPr>
        <w:t>二</w:t>
      </w:r>
      <w:r>
        <w:rPr>
          <w:rFonts w:hint="eastAsia" w:asciiTheme="minorEastAsia" w:hAnsiTheme="minorEastAsia" w:eastAsiaTheme="minorEastAsia" w:cstheme="minorEastAsia"/>
          <w:b/>
          <w:kern w:val="0"/>
          <w:sz w:val="32"/>
          <w:szCs w:val="32"/>
        </w:rPr>
        <w:t>、</w:t>
      </w:r>
      <w:r>
        <w:rPr>
          <w:rFonts w:hint="eastAsia" w:asciiTheme="minorEastAsia" w:hAnsiTheme="minorEastAsia" w:eastAsiaTheme="minorEastAsia" w:cstheme="minorEastAsia"/>
          <w:b/>
          <w:kern w:val="0"/>
          <w:sz w:val="32"/>
          <w:szCs w:val="32"/>
          <w:lang w:val="en-US" w:eastAsia="zh-CN"/>
        </w:rPr>
        <w:t>营业执照</w:t>
      </w:r>
    </w:p>
    <w:p>
      <w:pPr>
        <w:pStyle w:val="5"/>
        <w:ind w:left="0" w:leftChars="0" w:firstLine="0" w:firstLineChars="0"/>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asciiTheme="minorEastAsia" w:hAnsiTheme="minorEastAsia" w:eastAsiaTheme="minorEastAsia" w:cstheme="minorEastAsia"/>
          <w:b w:val="0"/>
          <w:bCs w:val="0"/>
        </w:rPr>
      </w:pPr>
    </w:p>
    <w:p>
      <w:pPr>
        <w:pStyle w:val="37"/>
        <w:rPr>
          <w:rFonts w:hint="eastAsia" w:asciiTheme="minorEastAsia" w:hAnsiTheme="minorEastAsia" w:eastAsiaTheme="minorEastAsia" w:cstheme="minorEastAsia"/>
          <w:b w:val="0"/>
          <w:bCs w:val="0"/>
        </w:rPr>
      </w:pPr>
    </w:p>
    <w:p>
      <w:pPr>
        <w:rPr>
          <w:rFonts w:hint="eastAsia"/>
        </w:rPr>
      </w:pPr>
    </w:p>
    <w:p>
      <w:pPr>
        <w:rPr>
          <w:rFonts w:hint="eastAsia" w:asciiTheme="minorEastAsia" w:hAnsiTheme="minorEastAsia" w:eastAsiaTheme="minorEastAsia" w:cstheme="minorEastAsia"/>
        </w:rPr>
      </w:pPr>
    </w:p>
    <w:p>
      <w:pPr>
        <w:spacing w:line="360" w:lineRule="auto"/>
        <w:ind w:right="420"/>
        <w:jc w:val="center"/>
        <w:rPr>
          <w:rFonts w:hint="eastAsia"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商务技术文件部分</w:t>
      </w:r>
    </w:p>
    <w:p>
      <w:pPr>
        <w:spacing w:line="360" w:lineRule="auto"/>
        <w:jc w:val="center"/>
        <w:rPr>
          <w:rFonts w:hint="eastAsia" w:asciiTheme="minorEastAsia" w:hAnsiTheme="minorEastAsia" w:eastAsiaTheme="minorEastAsia" w:cstheme="minorEastAsia"/>
          <w:b/>
          <w:kern w:val="0"/>
          <w:sz w:val="24"/>
        </w:rPr>
      </w:pPr>
    </w:p>
    <w:p>
      <w:pPr>
        <w:spacing w:line="360" w:lineRule="auto"/>
        <w:jc w:val="center"/>
        <w:outlineLvl w:val="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rPr>
        <w:t>目录</w:t>
      </w: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（1）投标函</w:t>
      </w:r>
      <w:r>
        <w:rPr>
          <w:rFonts w:hint="eastAsia" w:asciiTheme="minorEastAsia" w:hAnsiTheme="minorEastAsia" w:eastAsiaTheme="minorEastAsia" w:cstheme="minorEastAsia"/>
        </w:rPr>
        <w:t>……………………………………………………………………………………（页码）</w:t>
      </w: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（2）授权委托书或法定代表人（单位负责人、自然人本人）身份证明</w:t>
      </w:r>
      <w:r>
        <w:rPr>
          <w:rFonts w:hint="eastAsia" w:asciiTheme="minorEastAsia" w:hAnsiTheme="minorEastAsia" w:eastAsiaTheme="minorEastAsia" w:cstheme="minorEastAsia"/>
        </w:rPr>
        <w:t>………（页码）</w:t>
      </w: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（3）符合性审查资料</w:t>
      </w:r>
      <w:r>
        <w:rPr>
          <w:rFonts w:hint="eastAsia" w:asciiTheme="minorEastAsia" w:hAnsiTheme="minorEastAsia" w:eastAsiaTheme="minorEastAsia" w:cstheme="minorEastAsia"/>
        </w:rPr>
        <w:t>………………………………………………………………………（页码）</w:t>
      </w: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）评标标准相应的商务技术资料</w:t>
      </w:r>
      <w:r>
        <w:rPr>
          <w:rFonts w:hint="eastAsia" w:asciiTheme="minorEastAsia" w:hAnsiTheme="minorEastAsia" w:eastAsiaTheme="minorEastAsia" w:cstheme="minorEastAsia"/>
        </w:rPr>
        <w:t>……………………………………………………（页码）</w:t>
      </w: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）商务技术偏离表</w:t>
      </w:r>
      <w:r>
        <w:rPr>
          <w:rFonts w:hint="eastAsia" w:asciiTheme="minorEastAsia" w:hAnsiTheme="minorEastAsia" w:eastAsiaTheme="minorEastAsia" w:cstheme="minorEastAsia"/>
        </w:rPr>
        <w:t>………………………………………………………………………（页码）</w:t>
      </w: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lang w:val="zh-CN"/>
        </w:rPr>
        <w:t>）政府采购供应商廉洁自律承诺书</w:t>
      </w:r>
      <w:r>
        <w:rPr>
          <w:rFonts w:hint="eastAsia" w:asciiTheme="minorEastAsia" w:hAnsiTheme="minorEastAsia" w:eastAsiaTheme="minorEastAsia" w:cstheme="minorEastAsia"/>
        </w:rPr>
        <w:t>…………………………………………………（页码）</w:t>
      </w:r>
    </w:p>
    <w:p>
      <w:pPr>
        <w:snapToGrid w:val="0"/>
        <w:spacing w:line="360" w:lineRule="auto"/>
        <w:jc w:val="center"/>
        <w:rPr>
          <w:rFonts w:hint="eastAsia" w:asciiTheme="minorEastAsia" w:hAnsiTheme="minorEastAsia" w:eastAsiaTheme="minorEastAsia" w:cstheme="minorEastAsia"/>
          <w:b/>
          <w:kern w:val="0"/>
          <w:sz w:val="32"/>
          <w:szCs w:val="32"/>
          <w:lang w:val="zh-CN"/>
        </w:rPr>
      </w:pPr>
    </w:p>
    <w:p>
      <w:pPr>
        <w:snapToGrid w:val="0"/>
        <w:spacing w:line="360" w:lineRule="auto"/>
        <w:jc w:val="center"/>
        <w:rPr>
          <w:rFonts w:hint="eastAsia" w:asciiTheme="minorEastAsia" w:hAnsiTheme="minorEastAsia" w:eastAsiaTheme="minorEastAsia" w:cstheme="minorEastAsia"/>
          <w:b/>
          <w:kern w:val="0"/>
          <w:sz w:val="32"/>
          <w:szCs w:val="32"/>
          <w:lang w:val="zh-CN"/>
        </w:rPr>
      </w:pPr>
    </w:p>
    <w:p>
      <w:pPr>
        <w:snapToGrid w:val="0"/>
        <w:spacing w:line="360" w:lineRule="auto"/>
        <w:jc w:val="center"/>
        <w:rPr>
          <w:rFonts w:hint="eastAsia" w:asciiTheme="minorEastAsia" w:hAnsiTheme="minorEastAsia" w:eastAsiaTheme="minorEastAsia" w:cstheme="minorEastAsia"/>
          <w:b/>
          <w:kern w:val="0"/>
          <w:sz w:val="32"/>
          <w:szCs w:val="32"/>
          <w:lang w:val="zh-CN"/>
        </w:rPr>
      </w:pPr>
    </w:p>
    <w:p>
      <w:pPr>
        <w:snapToGrid w:val="0"/>
        <w:spacing w:line="360" w:lineRule="auto"/>
        <w:jc w:val="center"/>
        <w:rPr>
          <w:rFonts w:hint="eastAsia" w:asciiTheme="minorEastAsia" w:hAnsiTheme="minorEastAsia" w:eastAsiaTheme="minorEastAsia" w:cstheme="minorEastAsia"/>
          <w:b/>
          <w:kern w:val="0"/>
          <w:sz w:val="32"/>
          <w:szCs w:val="32"/>
          <w:lang w:val="zh-CN"/>
        </w:rPr>
      </w:pPr>
    </w:p>
    <w:p>
      <w:pPr>
        <w:snapToGrid w:val="0"/>
        <w:spacing w:line="360" w:lineRule="auto"/>
        <w:jc w:val="center"/>
        <w:rPr>
          <w:rFonts w:hint="eastAsia" w:asciiTheme="minorEastAsia" w:hAnsiTheme="minorEastAsia" w:eastAsiaTheme="minorEastAsia" w:cstheme="minorEastAsia"/>
          <w:b/>
          <w:kern w:val="0"/>
          <w:sz w:val="32"/>
          <w:szCs w:val="32"/>
          <w:lang w:val="zh-CN"/>
        </w:rPr>
      </w:pPr>
    </w:p>
    <w:p>
      <w:pPr>
        <w:snapToGrid w:val="0"/>
        <w:spacing w:line="360" w:lineRule="auto"/>
        <w:jc w:val="center"/>
        <w:rPr>
          <w:rFonts w:hint="eastAsia" w:asciiTheme="minorEastAsia" w:hAnsiTheme="minorEastAsia" w:eastAsiaTheme="minorEastAsia" w:cstheme="minorEastAsia"/>
          <w:b/>
          <w:kern w:val="0"/>
          <w:sz w:val="32"/>
          <w:szCs w:val="32"/>
        </w:rPr>
      </w:pPr>
    </w:p>
    <w:p>
      <w:pPr>
        <w:snapToGrid w:val="0"/>
        <w:spacing w:line="360" w:lineRule="auto"/>
        <w:jc w:val="center"/>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rPr>
      </w:pPr>
    </w:p>
    <w:p>
      <w:pPr>
        <w:snapToGrid w:val="0"/>
        <w:spacing w:line="360" w:lineRule="auto"/>
        <w:jc w:val="center"/>
        <w:rPr>
          <w:rFonts w:hint="eastAsia" w:asciiTheme="minorEastAsia" w:hAnsiTheme="minorEastAsia" w:eastAsiaTheme="minorEastAsia" w:cstheme="minorEastAsia"/>
          <w:b/>
          <w:kern w:val="0"/>
          <w:sz w:val="32"/>
          <w:szCs w:val="32"/>
        </w:rPr>
      </w:pPr>
    </w:p>
    <w:p>
      <w:pPr>
        <w:snapToGrid w:val="0"/>
        <w:spacing w:line="360" w:lineRule="auto"/>
        <w:jc w:val="center"/>
        <w:rPr>
          <w:rFonts w:hint="eastAsia" w:asciiTheme="minorEastAsia" w:hAnsiTheme="minorEastAsia" w:eastAsiaTheme="minorEastAsia" w:cstheme="minorEastAsia"/>
          <w:b/>
          <w:kern w:val="0"/>
          <w:sz w:val="32"/>
          <w:szCs w:val="32"/>
        </w:rPr>
      </w:pPr>
    </w:p>
    <w:p>
      <w:pPr>
        <w:snapToGrid w:val="0"/>
        <w:spacing w:line="360" w:lineRule="auto"/>
        <w:jc w:val="center"/>
        <w:rPr>
          <w:rFonts w:hint="eastAsia" w:asciiTheme="minorEastAsia" w:hAnsiTheme="minorEastAsia" w:eastAsiaTheme="minorEastAsia" w:cstheme="minorEastAsia"/>
          <w:b/>
          <w:kern w:val="0"/>
          <w:sz w:val="32"/>
          <w:szCs w:val="32"/>
        </w:rPr>
      </w:pPr>
    </w:p>
    <w:p>
      <w:pPr>
        <w:pStyle w:val="37"/>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b/>
          <w:kern w:val="0"/>
          <w:sz w:val="32"/>
          <w:szCs w:val="32"/>
        </w:rPr>
      </w:pPr>
    </w:p>
    <w:p>
      <w:pPr>
        <w:pStyle w:val="37"/>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b/>
          <w:kern w:val="0"/>
          <w:sz w:val="32"/>
          <w:szCs w:val="32"/>
        </w:rPr>
      </w:pPr>
    </w:p>
    <w:p>
      <w:pPr>
        <w:pStyle w:val="37"/>
        <w:rPr>
          <w:rFonts w:hint="eastAsia"/>
        </w:rPr>
      </w:pPr>
    </w:p>
    <w:p>
      <w:pPr>
        <w:pStyle w:val="3"/>
        <w:ind w:left="0" w:leftChars="0" w:firstLine="0" w:firstLineChars="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napToGrid w:val="0"/>
        <w:spacing w:line="360" w:lineRule="auto"/>
        <w:jc w:val="center"/>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kern w:val="0"/>
          <w:sz w:val="32"/>
          <w:szCs w:val="32"/>
        </w:rPr>
        <w:t>一、投标</w:t>
      </w:r>
      <w:r>
        <w:rPr>
          <w:rFonts w:hint="eastAsia" w:asciiTheme="minorEastAsia" w:hAnsiTheme="minorEastAsia" w:eastAsiaTheme="minorEastAsia" w:cstheme="minorEastAsia"/>
          <w:b/>
          <w:sz w:val="32"/>
          <w:szCs w:val="32"/>
        </w:rPr>
        <w:t>函</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lang w:eastAsia="zh-CN"/>
        </w:rPr>
        <w:t>桐庐县企业服务中心</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eastAsia="zh-CN"/>
        </w:rPr>
        <w:t>杭州市建设工程管理集团有限公司</w:t>
      </w:r>
      <w:r>
        <w:rPr>
          <w:rFonts w:hint="eastAsia" w:asciiTheme="minorEastAsia" w:hAnsiTheme="minorEastAsia" w:eastAsiaTheme="minorEastAsia" w:cstheme="minorEastAsia"/>
          <w:color w:val="FF0000"/>
          <w:sz w:val="24"/>
        </w:rPr>
        <w:t>：</w:t>
      </w:r>
    </w:p>
    <w:p>
      <w:pPr>
        <w:snapToGrid w:val="0"/>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我方参加你方组织的</w:t>
      </w:r>
      <w:r>
        <w:rPr>
          <w:rFonts w:hint="eastAsia" w:asciiTheme="minorEastAsia" w:hAnsiTheme="minorEastAsia" w:eastAsiaTheme="minorEastAsia" w:cstheme="minorEastAsia"/>
          <w:sz w:val="24"/>
          <w:lang w:eastAsia="zh-CN"/>
        </w:rPr>
        <w:t>2024-2025年桐庐经济开发区绿地养护项目</w:t>
      </w:r>
      <w:r>
        <w:rPr>
          <w:rFonts w:hint="eastAsia" w:asciiTheme="minorEastAsia" w:hAnsiTheme="minorEastAsia" w:eastAsiaTheme="minorEastAsia" w:cstheme="minorEastAsia"/>
          <w:sz w:val="24"/>
        </w:rPr>
        <w:t>【招标编号：</w:t>
      </w:r>
      <w:r>
        <w:rPr>
          <w:rFonts w:hint="eastAsia" w:asciiTheme="minorEastAsia" w:hAnsiTheme="minorEastAsia" w:eastAsiaTheme="minorEastAsia" w:cstheme="minorEastAsia"/>
          <w:sz w:val="24"/>
          <w:lang w:eastAsia="zh-CN"/>
        </w:rPr>
        <w:t>HZSJS2024-TLZFCG002</w:t>
      </w:r>
      <w:r>
        <w:rPr>
          <w:rFonts w:hint="eastAsia" w:asciiTheme="minorEastAsia" w:hAnsiTheme="minorEastAsia" w:eastAsiaTheme="minorEastAsia" w:cstheme="minorEastAsia"/>
          <w:sz w:val="24"/>
        </w:rPr>
        <w:t>】招标的有关活动，并对此项目进行投标。为此：</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1、我方承诺投标有效期从提交磋商响应文件的截止之日起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天（不少于90天）</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24"/>
        </w:rPr>
        <w:t>本磋商响应文件在投标有效期满之前均具有约束力。</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2、我方的磋商响应文件包括以下内容：</w:t>
      </w:r>
    </w:p>
    <w:p>
      <w:pPr>
        <w:snapToGrid w:val="0"/>
        <w:spacing w:line="360" w:lineRule="auto"/>
        <w:ind w:left="210" w:lef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2.1资格文件：</w:t>
      </w:r>
    </w:p>
    <w:p>
      <w:pPr>
        <w:snapToGrid w:val="0"/>
        <w:spacing w:line="360" w:lineRule="auto"/>
        <w:ind w:left="420" w:leftChars="2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2.1.1符合参加政府采购活动应当具备的一般条件的承诺函；</w:t>
      </w:r>
    </w:p>
    <w:p>
      <w:pPr>
        <w:snapToGrid w:val="0"/>
        <w:spacing w:line="360" w:lineRule="auto"/>
        <w:ind w:left="420" w:leftChars="200" w:firstLine="480" w:firstLineChars="200"/>
        <w:rPr>
          <w:rFonts w:hint="eastAsia"/>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z w:val="24"/>
          <w:lang w:val="en-US" w:eastAsia="zh-CN"/>
        </w:rPr>
        <w:t>2营业执照</w:t>
      </w:r>
      <w:r>
        <w:rPr>
          <w:rFonts w:hint="eastAsia" w:asciiTheme="minorEastAsia" w:hAnsiTheme="minorEastAsia" w:eastAsiaTheme="minorEastAsia" w:cstheme="minorEastAsia"/>
          <w:sz w:val="24"/>
        </w:rPr>
        <w:t>；</w:t>
      </w:r>
    </w:p>
    <w:p>
      <w:pPr>
        <w:snapToGrid w:val="0"/>
        <w:spacing w:line="360" w:lineRule="auto"/>
        <w:ind w:left="210" w:leftChars="100" w:firstLine="480" w:firstLineChars="200"/>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 xml:space="preserve"> </w:t>
      </w:r>
      <w:r>
        <w:rPr>
          <w:rFonts w:hint="eastAsia" w:asciiTheme="minorEastAsia" w:hAnsiTheme="minorEastAsia" w:eastAsiaTheme="minorEastAsia" w:cstheme="minorEastAsia"/>
          <w:sz w:val="24"/>
        </w:rPr>
        <w:t>商务技术</w:t>
      </w:r>
      <w:r>
        <w:rPr>
          <w:rFonts w:hint="eastAsia" w:asciiTheme="minorEastAsia" w:hAnsiTheme="minorEastAsia" w:eastAsiaTheme="minorEastAsia" w:cstheme="minorEastAsia"/>
          <w:sz w:val="24"/>
          <w:lang w:val="zh-CN"/>
        </w:rPr>
        <w:t>文件：</w:t>
      </w:r>
    </w:p>
    <w:p>
      <w:pPr>
        <w:snapToGrid w:val="0"/>
        <w:spacing w:line="360" w:lineRule="auto"/>
        <w:ind w:left="420" w:leftChars="2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2.2.1投标函；</w:t>
      </w:r>
      <w:r>
        <w:rPr>
          <w:rFonts w:hint="eastAsia" w:asciiTheme="minorEastAsia" w:hAnsiTheme="minorEastAsia" w:eastAsiaTheme="minorEastAsia" w:cstheme="minorEastAsia"/>
          <w:sz w:val="24"/>
          <w:lang w:val="zh-CN"/>
        </w:rPr>
        <w:t xml:space="preserve"> </w:t>
      </w:r>
    </w:p>
    <w:p>
      <w:pPr>
        <w:snapToGrid w:val="0"/>
        <w:spacing w:line="360" w:lineRule="auto"/>
        <w:ind w:left="420" w:leftChars="2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2.2.2授权委托书或法定代表人（单位负责人）身份证明；</w:t>
      </w:r>
    </w:p>
    <w:p>
      <w:pPr>
        <w:snapToGrid w:val="0"/>
        <w:spacing w:line="360" w:lineRule="auto"/>
        <w:ind w:left="420" w:leftChars="2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2.2.3符合性审查资料；</w:t>
      </w:r>
    </w:p>
    <w:p>
      <w:pPr>
        <w:snapToGrid w:val="0"/>
        <w:spacing w:line="360" w:lineRule="auto"/>
        <w:ind w:left="420" w:leftChars="20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评标标准相应的商务技术资料；</w:t>
      </w:r>
    </w:p>
    <w:p>
      <w:pPr>
        <w:snapToGrid w:val="0"/>
        <w:spacing w:line="360" w:lineRule="auto"/>
        <w:ind w:left="420" w:leftChars="2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商务技术偏离表；</w:t>
      </w:r>
    </w:p>
    <w:p>
      <w:pPr>
        <w:snapToGrid w:val="0"/>
        <w:spacing w:line="360" w:lineRule="auto"/>
        <w:ind w:left="420" w:leftChars="200" w:firstLine="480" w:firstLineChars="200"/>
        <w:rPr>
          <w:rFonts w:hint="eastAsia"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lang w:val="zh-CN"/>
        </w:rPr>
        <w:t>政府采购供应商廉洁自律承诺书；</w:t>
      </w:r>
    </w:p>
    <w:p>
      <w:pPr>
        <w:snapToGrid w:val="0"/>
        <w:spacing w:line="360" w:lineRule="auto"/>
        <w:ind w:left="210" w:lef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w:t>
      </w:r>
      <w:r>
        <w:rPr>
          <w:rFonts w:hint="eastAsia" w:asciiTheme="minorEastAsia" w:hAnsiTheme="minorEastAsia" w:eastAsiaTheme="minorEastAsia" w:cstheme="minorEastAsia"/>
          <w:sz w:val="24"/>
        </w:rPr>
        <w:t>3报价文件</w:t>
      </w:r>
    </w:p>
    <w:p>
      <w:pPr>
        <w:snapToGrid w:val="0"/>
        <w:spacing w:line="360" w:lineRule="auto"/>
        <w:ind w:left="420" w:leftChars="2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2.3.1开标一览表（报价表）；</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3、我方承诺除商务技术偏离表列出的偏离外，我方响应竞争性磋商文件的全部要求。</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4、如我方中标，我方承诺：</w:t>
      </w:r>
    </w:p>
    <w:p>
      <w:pPr>
        <w:snapToGrid w:val="0"/>
        <w:spacing w:line="360" w:lineRule="auto"/>
        <w:ind w:left="210" w:lef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4.2在签订合同时不向你方提出附加条件； </w:t>
      </w:r>
    </w:p>
    <w:p>
      <w:pPr>
        <w:snapToGrid w:val="0"/>
        <w:spacing w:line="360" w:lineRule="auto"/>
        <w:ind w:left="210" w:lef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4.3按照竞争性磋商文件要求提交履约保证金； </w:t>
      </w:r>
    </w:p>
    <w:p>
      <w:pPr>
        <w:snapToGrid w:val="0"/>
        <w:spacing w:line="360" w:lineRule="auto"/>
        <w:ind w:left="210" w:lef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4.4在合同约定的期限内完成合同规定的全部义务。 </w:t>
      </w:r>
    </w:p>
    <w:p>
      <w:pPr>
        <w:snapToGrid w:val="0"/>
        <w:spacing w:line="360" w:lineRule="auto"/>
        <w:ind w:left="210" w:lef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5、其他补充说明: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560" w:firstLineChars="19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供应商名称（电子签名）：                          </w:t>
      </w:r>
    </w:p>
    <w:p>
      <w:pPr>
        <w:spacing w:line="360" w:lineRule="auto"/>
        <w:jc w:val="center"/>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日期：  年   月   日</w:t>
      </w:r>
    </w:p>
    <w:p>
      <w:pP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w:t>
      </w:r>
      <w:r>
        <w:rPr>
          <w:rFonts w:hint="eastAsia" w:ascii="宋体" w:hAnsi="宋体" w:eastAsia="宋体" w:cs="宋体"/>
          <w:b/>
          <w:kern w:val="0"/>
          <w:sz w:val="32"/>
          <w:szCs w:val="32"/>
          <w:highlight w:val="yellow"/>
          <w:lang w:val="zh-CN"/>
        </w:rPr>
        <w:t>或</w:t>
      </w:r>
      <w:r>
        <w:rPr>
          <w:rFonts w:hint="eastAsia" w:ascii="宋体" w:hAnsi="宋体" w:eastAsia="宋体" w:cs="宋体"/>
          <w:b/>
          <w:kern w:val="0"/>
          <w:sz w:val="32"/>
          <w:szCs w:val="32"/>
          <w:lang w:val="zh-CN"/>
        </w:rPr>
        <w:t>法定代表人身份证明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3511" w:firstLineChars="1093"/>
        <w:rPr>
          <w:rFonts w:hint="eastAsia" w:ascii="宋体" w:hAnsi="宋体" w:eastAsia="宋体" w:cs="宋体"/>
        </w:rPr>
      </w:pPr>
      <w:r>
        <w:rPr>
          <w:rFonts w:hint="eastAsia" w:ascii="宋体" w:hAnsi="宋体" w:eastAsia="宋体" w:cs="宋体"/>
          <w:b/>
          <w:kern w:val="0"/>
          <w:sz w:val="32"/>
          <w:szCs w:val="32"/>
          <w:lang w:val="zh-CN"/>
        </w:rPr>
        <w:t>授权委托书</w:t>
      </w:r>
      <w:r>
        <w:rPr>
          <w:rFonts w:hint="eastAsia" w:ascii="宋体" w:hAnsi="宋体" w:eastAsia="宋体" w:cs="宋体"/>
        </w:rPr>
        <w:t xml:space="preserve">                               </w:t>
      </w:r>
    </w:p>
    <w:p>
      <w:pPr>
        <w:spacing w:before="120" w:beforeLines="50" w:line="360" w:lineRule="auto"/>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lang w:eastAsia="zh-CN"/>
        </w:rPr>
        <w:t>桐庐县企业服务中心</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eastAsia="zh-CN"/>
        </w:rPr>
        <w:t>杭州市建设工程管理集团有限公司</w:t>
      </w:r>
      <w:r>
        <w:rPr>
          <w:rFonts w:hint="eastAsia" w:asciiTheme="minorEastAsia" w:hAnsiTheme="minorEastAsia" w:eastAsiaTheme="minorEastAsia" w:cstheme="minorEastAsia"/>
          <w:color w:val="FF0000"/>
          <w:sz w:val="24"/>
        </w:rPr>
        <w:t>：</w:t>
      </w:r>
    </w:p>
    <w:p>
      <w:pPr>
        <w:snapToGrid w:val="0"/>
        <w:spacing w:line="360" w:lineRule="auto"/>
        <w:ind w:firstLine="576"/>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现</w:t>
      </w:r>
      <w:r>
        <w:rPr>
          <w:rFonts w:hint="eastAsia" w:asciiTheme="minorEastAsia" w:hAnsiTheme="minorEastAsia" w:eastAsiaTheme="minorEastAsia" w:cstheme="minorEastAsia"/>
          <w:kern w:val="0"/>
          <w:sz w:val="24"/>
          <w:lang w:val="zh-CN"/>
        </w:rPr>
        <w:t>委托</w:t>
      </w:r>
      <w:r>
        <w:rPr>
          <w:rFonts w:hint="eastAsia" w:asciiTheme="minorEastAsia" w:hAnsiTheme="minorEastAsia" w:eastAsiaTheme="minorEastAsia" w:cstheme="minorEastAsia"/>
          <w:kern w:val="0"/>
          <w:sz w:val="24"/>
          <w:u w:val="single"/>
          <w:lang w:val="zh-CN"/>
        </w:rPr>
        <w:t xml:space="preserve">          </w:t>
      </w:r>
      <w:r>
        <w:rPr>
          <w:rFonts w:hint="eastAsia" w:asciiTheme="minorEastAsia" w:hAnsiTheme="minorEastAsia" w:eastAsiaTheme="minorEastAsia" w:cstheme="minorEastAsia"/>
          <w:kern w:val="0"/>
          <w:sz w:val="24"/>
          <w:lang w:val="zh-CN"/>
        </w:rPr>
        <w:t>（姓名）为我方代理人（身份证号码：</w:t>
      </w:r>
      <w:r>
        <w:rPr>
          <w:rFonts w:hint="eastAsia" w:asciiTheme="minorEastAsia" w:hAnsiTheme="minorEastAsia" w:eastAsiaTheme="minorEastAsia" w:cstheme="minorEastAsia"/>
          <w:kern w:val="0"/>
          <w:sz w:val="24"/>
          <w:u w:val="single"/>
          <w:lang w:val="zh-CN"/>
        </w:rPr>
        <w:t xml:space="preserve">          </w:t>
      </w:r>
      <w:r>
        <w:rPr>
          <w:rFonts w:hint="eastAsia" w:asciiTheme="minorEastAsia" w:hAnsiTheme="minorEastAsia" w:eastAsiaTheme="minorEastAsia" w:cstheme="minorEastAsia"/>
          <w:kern w:val="0"/>
          <w:sz w:val="24"/>
          <w:lang w:val="zh-CN"/>
        </w:rPr>
        <w:t>，手机：</w:t>
      </w:r>
      <w:r>
        <w:rPr>
          <w:rFonts w:hint="eastAsia" w:asciiTheme="minorEastAsia" w:hAnsiTheme="minorEastAsia" w:eastAsiaTheme="minorEastAsia" w:cstheme="minorEastAsia"/>
          <w:kern w:val="0"/>
          <w:sz w:val="24"/>
          <w:u w:val="single"/>
          <w:lang w:val="zh-CN"/>
        </w:rPr>
        <w:t xml:space="preserve">          </w:t>
      </w:r>
      <w:r>
        <w:rPr>
          <w:rFonts w:hint="eastAsia" w:asciiTheme="minorEastAsia" w:hAnsiTheme="minorEastAsia" w:eastAsiaTheme="minorEastAsia" w:cstheme="minorEastAsia"/>
          <w:kern w:val="0"/>
          <w:sz w:val="24"/>
          <w:lang w:val="zh-CN"/>
        </w:rPr>
        <w:t>），以我方名义处理</w:t>
      </w:r>
      <w:r>
        <w:rPr>
          <w:rFonts w:hint="eastAsia" w:asciiTheme="minorEastAsia" w:hAnsiTheme="minorEastAsia" w:eastAsiaTheme="minorEastAsia" w:cstheme="minorEastAsia"/>
          <w:sz w:val="24"/>
          <w:lang w:eastAsia="zh-CN"/>
        </w:rPr>
        <w:t>2024-2025年桐庐经济开发区绿地养护项目</w:t>
      </w:r>
      <w:r>
        <w:rPr>
          <w:rFonts w:hint="eastAsia" w:asciiTheme="minorEastAsia" w:hAnsiTheme="minorEastAsia" w:eastAsiaTheme="minorEastAsia" w:cstheme="minorEastAsia"/>
          <w:sz w:val="24"/>
        </w:rPr>
        <w:t>【招标编号：</w:t>
      </w:r>
      <w:r>
        <w:rPr>
          <w:rFonts w:hint="eastAsia" w:asciiTheme="minorEastAsia" w:hAnsiTheme="minorEastAsia" w:eastAsiaTheme="minorEastAsia" w:cstheme="minorEastAsia"/>
          <w:sz w:val="24"/>
          <w:lang w:eastAsia="zh-CN"/>
        </w:rPr>
        <w:t>HZSJS2024-TLZFCG002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lang w:val="zh-CN"/>
        </w:rPr>
        <w:t>政府采购投标的一切事项，其法律后果由我方承担。</w:t>
      </w:r>
    </w:p>
    <w:p>
      <w:pPr>
        <w:snapToGrid w:val="0"/>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委托期限</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zh-CN"/>
        </w:rPr>
        <w:t>自</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年</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月</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日起至</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年</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月</w:t>
      </w: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日止。</w:t>
      </w:r>
    </w:p>
    <w:p>
      <w:pPr>
        <w:snapToGrid w:val="0"/>
        <w:spacing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zh-CN"/>
        </w:rPr>
        <w:t>特此告知。</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left="0" w:leftChars="0"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法人身份证</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9207" w:type="dxa"/>
          </w:tcPr>
          <w:p>
            <w:pPr>
              <w:pStyle w:val="150"/>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50"/>
              <w:adjustRightInd w:val="0"/>
              <w:spacing w:line="360" w:lineRule="auto"/>
              <w:rPr>
                <w:rFonts w:hint="eastAsia" w:ascii="宋体" w:hAnsi="宋体" w:eastAsia="宋体" w:cs="宋体"/>
                <w:bCs/>
                <w:sz w:val="24"/>
              </w:rPr>
            </w:pPr>
          </w:p>
        </w:tc>
      </w:tr>
    </w:tbl>
    <w:p>
      <w:pPr>
        <w:snapToGrid w:val="0"/>
        <w:spacing w:line="360" w:lineRule="auto"/>
        <w:ind w:left="0" w:leftChars="0" w:firstLine="0" w:firstLineChars="0"/>
        <w:rPr>
          <w:rFonts w:hint="eastAsia" w:ascii="宋体" w:hAnsi="宋体" w:eastAsia="宋体" w:cs="宋体"/>
          <w:sz w:val="24"/>
          <w:lang w:val="en-US" w:eastAsia="zh-CN"/>
        </w:rPr>
      </w:pPr>
      <w:r>
        <w:rPr>
          <w:rFonts w:hint="eastAsia" w:ascii="宋体" w:hAnsi="宋体" w:eastAsia="宋体" w:cs="宋体"/>
          <w:sz w:val="24"/>
          <w:lang w:val="en-US" w:eastAsia="zh-CN"/>
        </w:rPr>
        <w:t>代理人身份证</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jc w:val="center"/>
        </w:trPr>
        <w:tc>
          <w:tcPr>
            <w:tcW w:w="9207" w:type="dxa"/>
          </w:tcPr>
          <w:p>
            <w:pPr>
              <w:pStyle w:val="150"/>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50"/>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 xml:space="preserve">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 xml:space="preserve"> 日期：  年  月  日</w:t>
      </w:r>
    </w:p>
    <w:p>
      <w:pPr>
        <w:tabs>
          <w:tab w:val="left" w:pos="3381"/>
        </w:tabs>
        <w:rPr>
          <w:rFonts w:hint="eastAsia" w:ascii="宋体" w:hAnsi="宋体" w:cs="宋体"/>
          <w:b/>
          <w:kern w:val="0"/>
          <w:sz w:val="32"/>
          <w:szCs w:val="32"/>
          <w:lang w:eastAsia="zh-CN"/>
        </w:rPr>
      </w:pPr>
      <w:r>
        <w:rPr>
          <w:rFonts w:hint="eastAsia" w:ascii="宋体" w:hAnsi="宋体" w:cs="宋体"/>
          <w:b/>
          <w:kern w:val="0"/>
          <w:sz w:val="32"/>
          <w:szCs w:val="32"/>
          <w:lang w:eastAsia="zh-CN"/>
        </w:rPr>
        <w:tab/>
      </w:r>
    </w:p>
    <w:p>
      <w:pPr>
        <w:keepNext w:val="0"/>
        <w:keepLines w:val="0"/>
        <w:pageBreakBefore w:val="0"/>
        <w:widowControl w:val="0"/>
        <w:kinsoku/>
        <w:wordWrap/>
        <w:overflowPunct/>
        <w:topLinePunct w:val="0"/>
        <w:autoSpaceDE/>
        <w:autoSpaceDN/>
        <w:bidi w:val="0"/>
        <w:adjustRightInd w:val="0"/>
        <w:snapToGrid/>
        <w:spacing w:before="469" w:beforeLines="150"/>
        <w:jc w:val="center"/>
        <w:textAlignment w:val="auto"/>
        <w:rPr>
          <w:rFonts w:hint="eastAsia" w:ascii="宋体" w:hAnsi="宋体" w:eastAsia="宋体" w:cs="宋体"/>
          <w:sz w:val="22"/>
          <w:szCs w:val="22"/>
          <w:highlight w:val="none"/>
        </w:rPr>
      </w:pPr>
    </w:p>
    <w:p>
      <w:pPr>
        <w:keepNext w:val="0"/>
        <w:keepLines w:val="0"/>
        <w:pageBreakBefore w:val="0"/>
        <w:widowControl w:val="0"/>
        <w:kinsoku/>
        <w:wordWrap/>
        <w:overflowPunct/>
        <w:topLinePunct w:val="0"/>
        <w:autoSpaceDE/>
        <w:autoSpaceDN/>
        <w:bidi w:val="0"/>
        <w:adjustRightInd w:val="0"/>
        <w:snapToGrid/>
        <w:spacing w:before="469" w:beforeLines="150"/>
        <w:jc w:val="center"/>
        <w:textAlignment w:val="auto"/>
        <w:rPr>
          <w:rFonts w:hint="eastAsia" w:ascii="宋体" w:hAnsi="宋体" w:eastAsia="宋体" w:cs="宋体"/>
          <w:sz w:val="24"/>
          <w:szCs w:val="24"/>
        </w:rPr>
      </w:pPr>
      <w:r>
        <w:rPr>
          <w:rFonts w:hint="eastAsia" w:ascii="宋体" w:hAnsi="宋体" w:eastAsia="宋体" w:cs="宋体"/>
          <w:sz w:val="22"/>
          <w:szCs w:val="22"/>
          <w:highlight w:val="none"/>
        </w:rPr>
        <w:t xml:space="preserve">  </w:t>
      </w:r>
      <w:r>
        <w:rPr>
          <w:rFonts w:hint="eastAsia" w:ascii="宋体" w:hAnsi="宋体" w:eastAsia="宋体" w:cs="宋体"/>
          <w:sz w:val="32"/>
          <w:szCs w:val="32"/>
        </w:rPr>
        <w:t>法定代表人身份证明书</w:t>
      </w:r>
    </w:p>
    <w:p>
      <w:pPr>
        <w:keepNext w:val="0"/>
        <w:keepLines w:val="0"/>
        <w:pageBreakBefore w:val="0"/>
        <w:widowControl w:val="0"/>
        <w:kinsoku/>
        <w:wordWrap/>
        <w:overflowPunct/>
        <w:topLinePunct w:val="0"/>
        <w:autoSpaceDE/>
        <w:autoSpaceDN/>
        <w:bidi w:val="0"/>
        <w:adjustRightInd/>
        <w:snapToGrid/>
        <w:spacing w:before="313" w:beforeLines="100" w:line="48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单位名称</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rPr>
        <w:t>单位性质</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rPr>
        <w:t>电话号码</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eastAsia="zh-CN"/>
        </w:rPr>
      </w:pPr>
      <w:r>
        <w:rPr>
          <w:rFonts w:hint="eastAsia" w:ascii="宋体" w:hAnsi="宋体" w:eastAsia="宋体" w:cs="宋体"/>
          <w:sz w:val="24"/>
          <w:szCs w:val="24"/>
        </w:rPr>
        <w:t>成立时间</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经营期限</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b w:val="0"/>
          <w:bCs w:val="0"/>
          <w:sz w:val="22"/>
          <w:szCs w:val="22"/>
          <w:u w:val="single"/>
          <w:lang w:val="en-US" w:eastAsia="zh-CN"/>
        </w:rPr>
      </w:pPr>
      <w:r>
        <w:rPr>
          <w:rFonts w:hint="eastAsia" w:ascii="宋体" w:hAnsi="宋体" w:eastAsia="宋体" w:cs="宋体"/>
          <w:sz w:val="24"/>
          <w:szCs w:val="24"/>
        </w:rPr>
        <w:t>姓 名</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sz w:val="24"/>
          <w:szCs w:val="24"/>
        </w:rPr>
        <w:t>性别</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sz w:val="24"/>
          <w:szCs w:val="24"/>
        </w:rPr>
        <w:t>年龄</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sz w:val="24"/>
          <w:szCs w:val="24"/>
        </w:rPr>
        <w:t>职务</w:t>
      </w:r>
      <w:r>
        <w:rPr>
          <w:rFonts w:hint="eastAsia" w:ascii="宋体" w:hAnsi="宋体" w:eastAsia="宋体" w:cs="宋体"/>
          <w:sz w:val="24"/>
          <w:szCs w:val="24"/>
          <w:lang w:eastAsia="zh-CN"/>
        </w:rPr>
        <w:t>：</w:t>
      </w:r>
      <w:r>
        <w:rPr>
          <w:rFonts w:hint="eastAsia" w:ascii="宋体" w:hAnsi="宋体" w:eastAsia="宋体" w:cs="宋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b w:val="0"/>
          <w:bCs w:val="0"/>
          <w:sz w:val="22"/>
          <w:szCs w:val="22"/>
          <w:u w:val="single"/>
          <w:lang w:val="en-US" w:eastAsia="zh-CN"/>
        </w:rPr>
        <w:t xml:space="preserve">              </w:t>
      </w:r>
      <w:r>
        <w:rPr>
          <w:rFonts w:hint="eastAsia" w:ascii="宋体" w:hAnsi="宋体" w:cs="宋体"/>
          <w:b w:val="0"/>
          <w:bCs w:val="0"/>
          <w:sz w:val="22"/>
          <w:szCs w:val="22"/>
          <w:u w:val="single"/>
          <w:lang w:val="en-US" w:eastAsia="zh-CN"/>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sz w:val="24"/>
          <w:szCs w:val="24"/>
          <w:u w:val="single"/>
          <w:lang w:val="en-US" w:eastAsia="zh-CN"/>
        </w:rPr>
        <w:t>（单位名称）</w:t>
      </w:r>
      <w:r>
        <w:rPr>
          <w:rFonts w:hint="eastAsia" w:ascii="宋体" w:hAnsi="宋体" w:eastAsia="宋体" w:cs="宋体"/>
          <w:sz w:val="24"/>
          <w:szCs w:val="24"/>
        </w:rPr>
        <w:t>的法定代表人。</w:t>
      </w:r>
    </w:p>
    <w:p>
      <w:pPr>
        <w:pStyle w:val="37"/>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特此证明。</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附：法定代表人有效身份证件的复印件</w:t>
      </w:r>
    </w:p>
    <w:tbl>
      <w:tblPr>
        <w:tblStyle w:val="64"/>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jc w:val="center"/>
        </w:trPr>
        <w:tc>
          <w:tcPr>
            <w:tcW w:w="8285"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正面：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反面：</w:t>
            </w:r>
          </w:p>
          <w:p>
            <w:pPr>
              <w:keepNext w:val="0"/>
              <w:keepLines w:val="0"/>
              <w:pageBreakBefore w:val="0"/>
              <w:widowControl w:val="0"/>
              <w:kinsoku/>
              <w:wordWrap/>
              <w:overflowPunct/>
              <w:topLinePunct w:val="0"/>
              <w:autoSpaceDE/>
              <w:autoSpaceDN/>
              <w:bidi w:val="0"/>
              <w:adjustRightInd/>
              <w:snapToGrid/>
              <w:spacing w:line="480" w:lineRule="auto"/>
              <w:ind w:firstLine="240" w:firstLineChars="10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rPr>
      </w:pPr>
    </w:p>
    <w:p>
      <w:pPr>
        <w:pStyle w:val="37"/>
        <w:rPr>
          <w:rFonts w:hint="eastAsia" w:ascii="宋体" w:hAnsi="宋体" w:eastAsia="宋体" w:cs="宋体"/>
          <w:sz w:val="28"/>
          <w:szCs w:val="28"/>
        </w:rPr>
      </w:pPr>
    </w:p>
    <w:p>
      <w:pPr>
        <w:rPr>
          <w:rFonts w:hint="eastAsia" w:ascii="宋体" w:hAnsi="宋体" w:eastAsia="宋体" w:cs="宋体"/>
        </w:rPr>
      </w:pP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kern w:val="0"/>
          <w:lang w:val="en-US" w:eastAsia="zh-CN"/>
        </w:rPr>
        <w:t xml:space="preserve">       </w:t>
      </w:r>
      <w:r>
        <w:rPr>
          <w:rFonts w:hint="eastAsia" w:ascii="宋体" w:hAnsi="宋体" w:eastAsia="宋体" w:cs="宋体"/>
          <w:kern w:val="0"/>
          <w:sz w:val="24"/>
          <w:lang w:val="zh-CN"/>
        </w:rPr>
        <w:t xml:space="preserve">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 xml:space="preserve"> </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val="zh-CN"/>
        </w:rPr>
        <w:t>日期：  年  月  日</w:t>
      </w:r>
    </w:p>
    <w:p>
      <w:pPr>
        <w:pStyle w:val="37"/>
        <w:rPr>
          <w:rFonts w:hint="eastAsia" w:ascii="宋体" w:hAnsi="宋体" w:eastAsia="宋体" w:cs="宋体"/>
          <w:kern w:val="0"/>
          <w:sz w:val="24"/>
          <w:lang w:val="zh-CN"/>
        </w:rPr>
      </w:pPr>
    </w:p>
    <w:p>
      <w:pPr>
        <w:rPr>
          <w:rFonts w:hint="eastAsia" w:ascii="宋体" w:hAnsi="宋体" w:eastAsia="宋体" w:cs="宋体"/>
          <w:kern w:val="0"/>
          <w:sz w:val="24"/>
          <w:lang w:val="zh-CN"/>
        </w:rPr>
      </w:pPr>
    </w:p>
    <w:p>
      <w:pPr>
        <w:pStyle w:val="37"/>
        <w:rPr>
          <w:rFonts w:hint="eastAsia" w:ascii="宋体" w:hAnsi="宋体" w:eastAsia="宋体" w:cs="宋体"/>
          <w:kern w:val="0"/>
          <w:sz w:val="24"/>
          <w:lang w:val="zh-CN"/>
        </w:rPr>
      </w:pPr>
    </w:p>
    <w:p>
      <w:pPr>
        <w:rPr>
          <w:rFonts w:hint="eastAsia" w:ascii="宋体" w:hAnsi="宋体" w:eastAsia="宋体" w:cs="宋体"/>
          <w:kern w:val="0"/>
          <w:sz w:val="24"/>
          <w:lang w:val="zh-CN"/>
        </w:rPr>
      </w:pPr>
    </w:p>
    <w:p>
      <w:pPr>
        <w:pStyle w:val="37"/>
        <w:rPr>
          <w:rFonts w:hint="eastAsia"/>
          <w:lang w:val="zh-CN"/>
        </w:rPr>
      </w:pPr>
    </w:p>
    <w:p>
      <w:pPr>
        <w:jc w:val="center"/>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三、符合性审查资料</w:t>
      </w:r>
    </w:p>
    <w:p>
      <w:pPr>
        <w:jc w:val="center"/>
        <w:rPr>
          <w:rFonts w:hint="eastAsia" w:asciiTheme="minorEastAsia" w:hAnsiTheme="minorEastAsia" w:eastAsiaTheme="minorEastAsia" w:cstheme="minorEastAsia"/>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4991" w:type="dxa"/>
            <w:vAlign w:val="center"/>
          </w:tcPr>
          <w:p>
            <w:pPr>
              <w:snapToGrid w:val="0"/>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实质性要求</w:t>
            </w:r>
          </w:p>
        </w:tc>
        <w:tc>
          <w:tcPr>
            <w:tcW w:w="2551" w:type="dxa"/>
            <w:vAlign w:val="center"/>
          </w:tcPr>
          <w:p>
            <w:pPr>
              <w:snapToGrid w:val="0"/>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需要提供的符合性审查资料</w:t>
            </w:r>
          </w:p>
        </w:tc>
        <w:tc>
          <w:tcPr>
            <w:tcW w:w="1418" w:type="dxa"/>
            <w:vAlign w:val="center"/>
          </w:tcPr>
          <w:p>
            <w:pPr>
              <w:snapToGrid w:val="0"/>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磋商响应文件中的</w:t>
            </w:r>
          </w:p>
          <w:p>
            <w:pPr>
              <w:snapToGrid w:val="0"/>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4991" w:type="dxa"/>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磋商响应文件按照竞争性磋商文件要求签署、盖章。</w:t>
            </w:r>
          </w:p>
        </w:tc>
        <w:tc>
          <w:tcPr>
            <w:tcW w:w="2551"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需要使用电子签名或者签字盖章的磋商响应文件的组成部分</w:t>
            </w:r>
          </w:p>
        </w:tc>
        <w:tc>
          <w:tcPr>
            <w:tcW w:w="1418" w:type="dxa"/>
          </w:tcPr>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见磋商响应文件</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第</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4991" w:type="dxa"/>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磋商响应文件中承诺的投标有效期不少于竞争性磋商文件中载明的投标有效期。</w:t>
            </w:r>
          </w:p>
        </w:tc>
        <w:tc>
          <w:tcPr>
            <w:tcW w:w="2551"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磋商承诺函</w:t>
            </w:r>
          </w:p>
        </w:tc>
        <w:tc>
          <w:tcPr>
            <w:tcW w:w="1418"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见磋商响应文件第</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4991" w:type="dxa"/>
          </w:tcPr>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磋商响应文件满足竞争性磋商文件的其它实质性要求。</w:t>
            </w:r>
          </w:p>
        </w:tc>
        <w:tc>
          <w:tcPr>
            <w:tcW w:w="2551" w:type="dxa"/>
            <w:vAlign w:val="center"/>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竞争性磋商文件其它实质性要求相应的材料（“▲” 系指实质性要求条款，竞争性磋商文件无其它实质性要求的，无需提供）</w:t>
            </w:r>
          </w:p>
        </w:tc>
        <w:tc>
          <w:tcPr>
            <w:tcW w:w="1418"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见磋商响应文件第</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页</w:t>
            </w:r>
          </w:p>
        </w:tc>
      </w:tr>
    </w:tbl>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 xml:space="preserve">            </w:t>
      </w: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pStyle w:val="3"/>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pStyle w:val="27"/>
        <w:ind w:left="0" w:leftChars="0" w:firstLine="0" w:firstLineChars="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b/>
          <w:kern w:val="0"/>
          <w:sz w:val="32"/>
          <w:szCs w:val="32"/>
          <w:lang w:val="en-US" w:eastAsia="zh-CN"/>
        </w:rPr>
        <w:t>四</w:t>
      </w:r>
      <w:r>
        <w:rPr>
          <w:rFonts w:hint="eastAsia" w:asciiTheme="minorEastAsia" w:hAnsiTheme="minorEastAsia" w:eastAsiaTheme="minorEastAsia" w:cstheme="minorEastAsia"/>
          <w:b/>
          <w:kern w:val="0"/>
          <w:sz w:val="32"/>
          <w:szCs w:val="32"/>
        </w:rPr>
        <w:t>、评标标准相应的商务技术资料</w:t>
      </w:r>
    </w:p>
    <w:p>
      <w:pPr>
        <w:snapToGrid w:val="0"/>
        <w:spacing w:line="360" w:lineRule="auto"/>
        <w:jc w:val="left"/>
        <w:rPr>
          <w:rFonts w:hint="eastAsia" w:asciiTheme="minorEastAsia" w:hAnsiTheme="minorEastAsia" w:eastAsiaTheme="minorEastAsia" w:cstheme="minorEastAsia"/>
          <w:b/>
          <w:sz w:val="24"/>
        </w:rPr>
      </w:pPr>
    </w:p>
    <w:p>
      <w:pPr>
        <w:snapToGrid w:val="0"/>
        <w:spacing w:line="360" w:lineRule="auto"/>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（按竞争性磋商文件第四部分评标办法前附表中“磋商响应文件中评标标准相应的商务技术资料目录”提供资料）</w:t>
      </w:r>
    </w:p>
    <w:p>
      <w:pPr>
        <w:jc w:val="center"/>
        <w:rPr>
          <w:rFonts w:hint="eastAsia" w:asciiTheme="minorEastAsia" w:hAnsiTheme="minorEastAsia" w:eastAsiaTheme="minorEastAsia" w:cstheme="minorEastAsia"/>
          <w:b/>
          <w:kern w:val="0"/>
          <w:sz w:val="32"/>
          <w:szCs w:val="32"/>
        </w:rPr>
      </w:pPr>
    </w:p>
    <w:p>
      <w:pPr>
        <w:spacing w:line="440" w:lineRule="exact"/>
        <w:rPr>
          <w:rFonts w:hint="eastAsia" w:asciiTheme="minorEastAsia" w:hAnsiTheme="minorEastAsia" w:eastAsiaTheme="minorEastAsia" w:cstheme="minorEastAsia"/>
          <w:sz w:val="24"/>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sz w:val="24"/>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sz w:val="24"/>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sz w:val="24"/>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8"/>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kern w:val="0"/>
          <w:sz w:val="32"/>
          <w:szCs w:val="32"/>
        </w:rPr>
      </w:pPr>
    </w:p>
    <w:p>
      <w:pPr>
        <w:numPr>
          <w:ilvl w:val="0"/>
          <w:numId w:val="0"/>
        </w:numPr>
        <w:jc w:val="center"/>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lang w:val="en-US" w:eastAsia="zh-CN"/>
        </w:rPr>
        <w:t>五、</w:t>
      </w:r>
      <w:r>
        <w:rPr>
          <w:rFonts w:hint="eastAsia" w:asciiTheme="minorEastAsia" w:hAnsiTheme="minorEastAsia" w:eastAsiaTheme="minorEastAsia" w:cstheme="minorEastAsia"/>
          <w:b/>
          <w:kern w:val="0"/>
          <w:sz w:val="32"/>
          <w:szCs w:val="32"/>
        </w:rPr>
        <w:t>商务技术偏离表</w:t>
      </w:r>
    </w:p>
    <w:p>
      <w:pPr>
        <w:pStyle w:val="27"/>
        <w:ind w:firstLine="0"/>
        <w:rPr>
          <w:rFonts w:hint="eastAsia" w:asciiTheme="minorEastAsia" w:hAnsiTheme="minorEastAsia" w:eastAsiaTheme="minorEastAsia" w:cstheme="minorEastAsia"/>
        </w:rPr>
      </w:pP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3683" w:type="dxa"/>
          </w:tcPr>
          <w:p>
            <w:pPr>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竞争性磋商文件章节及具体内容</w:t>
            </w:r>
          </w:p>
        </w:tc>
        <w:tc>
          <w:tcPr>
            <w:tcW w:w="3546" w:type="dxa"/>
          </w:tcPr>
          <w:p>
            <w:pPr>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磋商响应文件章节及具体内容</w:t>
            </w:r>
          </w:p>
        </w:tc>
        <w:tc>
          <w:tcPr>
            <w:tcW w:w="1276" w:type="dxa"/>
          </w:tcPr>
          <w:p>
            <w:pPr>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3683" w:type="dxa"/>
          </w:tcPr>
          <w:p>
            <w:pPr>
              <w:jc w:val="center"/>
              <w:rPr>
                <w:rFonts w:hint="eastAsia" w:asciiTheme="minorEastAsia" w:hAnsiTheme="minorEastAsia" w:eastAsiaTheme="minorEastAsia" w:cstheme="minorEastAsia"/>
                <w:b/>
                <w:kern w:val="0"/>
                <w:sz w:val="32"/>
                <w:szCs w:val="32"/>
              </w:rPr>
            </w:pPr>
          </w:p>
        </w:tc>
        <w:tc>
          <w:tcPr>
            <w:tcW w:w="3546" w:type="dxa"/>
          </w:tcPr>
          <w:p>
            <w:pPr>
              <w:jc w:val="center"/>
              <w:rPr>
                <w:rFonts w:hint="eastAsia" w:asciiTheme="minorEastAsia" w:hAnsiTheme="minorEastAsia" w:eastAsiaTheme="minorEastAsia" w:cstheme="minorEastAsia"/>
                <w:b/>
                <w:kern w:val="0"/>
                <w:sz w:val="32"/>
                <w:szCs w:val="32"/>
              </w:rPr>
            </w:pPr>
          </w:p>
        </w:tc>
        <w:tc>
          <w:tcPr>
            <w:tcW w:w="1276" w:type="dxa"/>
          </w:tcPr>
          <w:p>
            <w:pPr>
              <w:jc w:val="center"/>
              <w:rPr>
                <w:rFonts w:hint="eastAsia" w:asciiTheme="minorEastAsia" w:hAnsiTheme="minorEastAsia" w:eastAsiaTheme="minorEastAsia" w:cs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3683" w:type="dxa"/>
          </w:tcPr>
          <w:p>
            <w:pPr>
              <w:jc w:val="center"/>
              <w:rPr>
                <w:rFonts w:hint="eastAsia" w:asciiTheme="minorEastAsia" w:hAnsiTheme="minorEastAsia" w:eastAsiaTheme="minorEastAsia" w:cstheme="minorEastAsia"/>
                <w:b/>
                <w:kern w:val="0"/>
                <w:sz w:val="32"/>
                <w:szCs w:val="32"/>
              </w:rPr>
            </w:pPr>
          </w:p>
        </w:tc>
        <w:tc>
          <w:tcPr>
            <w:tcW w:w="3546" w:type="dxa"/>
          </w:tcPr>
          <w:p>
            <w:pPr>
              <w:jc w:val="center"/>
              <w:rPr>
                <w:rFonts w:hint="eastAsia" w:asciiTheme="minorEastAsia" w:hAnsiTheme="minorEastAsia" w:eastAsiaTheme="minorEastAsia" w:cstheme="minorEastAsia"/>
                <w:b/>
                <w:kern w:val="0"/>
                <w:sz w:val="32"/>
                <w:szCs w:val="32"/>
              </w:rPr>
            </w:pPr>
          </w:p>
        </w:tc>
        <w:tc>
          <w:tcPr>
            <w:tcW w:w="1276" w:type="dxa"/>
          </w:tcPr>
          <w:p>
            <w:pPr>
              <w:jc w:val="center"/>
              <w:rPr>
                <w:rFonts w:hint="eastAsia" w:asciiTheme="minorEastAsia" w:hAnsiTheme="minorEastAsia" w:eastAsiaTheme="minorEastAsia" w:cs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3683" w:type="dxa"/>
          </w:tcPr>
          <w:p>
            <w:pPr>
              <w:jc w:val="center"/>
              <w:rPr>
                <w:rFonts w:hint="eastAsia" w:asciiTheme="minorEastAsia" w:hAnsiTheme="minorEastAsia" w:eastAsiaTheme="minorEastAsia" w:cstheme="minorEastAsia"/>
                <w:b/>
                <w:kern w:val="0"/>
                <w:sz w:val="32"/>
                <w:szCs w:val="32"/>
              </w:rPr>
            </w:pPr>
          </w:p>
        </w:tc>
        <w:tc>
          <w:tcPr>
            <w:tcW w:w="3546" w:type="dxa"/>
          </w:tcPr>
          <w:p>
            <w:pPr>
              <w:jc w:val="center"/>
              <w:rPr>
                <w:rFonts w:hint="eastAsia" w:asciiTheme="minorEastAsia" w:hAnsiTheme="minorEastAsia" w:eastAsiaTheme="minorEastAsia" w:cstheme="minorEastAsia"/>
                <w:b/>
                <w:kern w:val="0"/>
                <w:sz w:val="32"/>
                <w:szCs w:val="32"/>
              </w:rPr>
            </w:pPr>
          </w:p>
        </w:tc>
        <w:tc>
          <w:tcPr>
            <w:tcW w:w="1276" w:type="dxa"/>
          </w:tcPr>
          <w:p>
            <w:pPr>
              <w:jc w:val="center"/>
              <w:rPr>
                <w:rFonts w:hint="eastAsia" w:asciiTheme="minorEastAsia" w:hAnsiTheme="minorEastAsia" w:eastAsiaTheme="minorEastAsia" w:cstheme="minorEastAsia"/>
                <w:b/>
                <w:kern w:val="0"/>
                <w:sz w:val="32"/>
                <w:szCs w:val="32"/>
              </w:rPr>
            </w:pPr>
          </w:p>
        </w:tc>
      </w:tr>
    </w:tbl>
    <w:p>
      <w:pPr>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供应商保证：除商务技术偏离表列出的偏离外，供应商响应竞争性磋商文件的全部要求</w:t>
      </w: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jc w:val="center"/>
        <w:rPr>
          <w:rFonts w:hint="eastAsia" w:asciiTheme="minorEastAsia" w:hAnsiTheme="minorEastAsia" w:eastAsiaTheme="minorEastAsia" w:cstheme="minorEastAsia"/>
          <w:b/>
          <w:kern w:val="0"/>
          <w:sz w:val="32"/>
          <w:szCs w:val="32"/>
        </w:rPr>
      </w:pPr>
    </w:p>
    <w:p>
      <w:pPr>
        <w:ind w:firstLine="2891" w:firstLineChars="900"/>
        <w:rPr>
          <w:rFonts w:hint="eastAsia" w:asciiTheme="minorEastAsia" w:hAnsiTheme="minorEastAsia" w:eastAsiaTheme="minorEastAsia" w:cstheme="minorEastAsia"/>
          <w:b/>
          <w:bCs/>
          <w:sz w:val="32"/>
          <w:szCs w:val="32"/>
        </w:rPr>
      </w:pPr>
    </w:p>
    <w:p>
      <w:pPr>
        <w:ind w:firstLine="2891" w:firstLineChars="900"/>
        <w:rPr>
          <w:rFonts w:hint="eastAsia" w:asciiTheme="minorEastAsia" w:hAnsiTheme="minorEastAsia" w:eastAsiaTheme="minorEastAsia" w:cstheme="minorEastAsia"/>
          <w:b/>
          <w:bCs/>
          <w:sz w:val="32"/>
          <w:szCs w:val="32"/>
        </w:rPr>
      </w:pPr>
    </w:p>
    <w:p>
      <w:pPr>
        <w:ind w:firstLine="2891" w:firstLineChars="900"/>
        <w:rPr>
          <w:rFonts w:hint="eastAsia" w:asciiTheme="minorEastAsia" w:hAnsiTheme="minorEastAsia" w:eastAsiaTheme="minorEastAsia" w:cstheme="minorEastAsia"/>
          <w:b/>
          <w:bCs/>
          <w:sz w:val="32"/>
          <w:szCs w:val="32"/>
        </w:rPr>
      </w:pPr>
    </w:p>
    <w:p>
      <w:pPr>
        <w:ind w:firstLine="2891" w:firstLineChars="900"/>
        <w:rPr>
          <w:rFonts w:hint="eastAsia" w:asciiTheme="minorEastAsia" w:hAnsiTheme="minorEastAsia" w:eastAsiaTheme="minorEastAsia" w:cstheme="minorEastAsia"/>
          <w:b/>
          <w:bCs/>
          <w:sz w:val="32"/>
          <w:szCs w:val="32"/>
        </w:rPr>
      </w:pPr>
    </w:p>
    <w:p>
      <w:pPr>
        <w:ind w:firstLine="2891" w:firstLineChars="900"/>
        <w:rPr>
          <w:rFonts w:hint="eastAsia" w:asciiTheme="minorEastAsia" w:hAnsiTheme="minorEastAsia" w:eastAsiaTheme="minorEastAsia" w:cstheme="minorEastAsia"/>
          <w:b/>
          <w:bCs/>
          <w:sz w:val="32"/>
          <w:szCs w:val="32"/>
        </w:rPr>
      </w:pPr>
    </w:p>
    <w:p>
      <w:pPr>
        <w:ind w:firstLine="2891" w:firstLineChars="900"/>
        <w:rPr>
          <w:rFonts w:hint="eastAsia" w:asciiTheme="minorEastAsia" w:hAnsiTheme="minorEastAsia" w:eastAsiaTheme="minorEastAsia" w:cstheme="minorEastAsia"/>
          <w:b/>
          <w:bCs/>
          <w:sz w:val="32"/>
          <w:szCs w:val="32"/>
        </w:rPr>
      </w:pPr>
    </w:p>
    <w:p>
      <w:pPr>
        <w:ind w:firstLine="2891" w:firstLineChars="900"/>
        <w:rPr>
          <w:rFonts w:hint="eastAsia" w:asciiTheme="minorEastAsia" w:hAnsiTheme="minorEastAsia" w:eastAsiaTheme="minorEastAsia" w:cstheme="minorEastAsia"/>
          <w:b/>
          <w:kern w:val="0"/>
          <w:sz w:val="32"/>
          <w:szCs w:val="32"/>
        </w:rPr>
      </w:pPr>
    </w:p>
    <w:p>
      <w:pPr>
        <w:ind w:firstLine="2891" w:firstLineChars="900"/>
        <w:rPr>
          <w:rFonts w:hint="eastAsia" w:asciiTheme="minorEastAsia" w:hAnsiTheme="minorEastAsia" w:eastAsiaTheme="minorEastAsia" w:cstheme="minorEastAsia"/>
          <w:b/>
          <w:kern w:val="0"/>
          <w:sz w:val="32"/>
          <w:szCs w:val="32"/>
        </w:rPr>
      </w:pPr>
    </w:p>
    <w:p>
      <w:pPr>
        <w:ind w:firstLine="2891" w:firstLineChars="900"/>
        <w:rPr>
          <w:rFonts w:hint="eastAsia" w:asciiTheme="minorEastAsia" w:hAnsiTheme="minorEastAsia" w:eastAsiaTheme="minorEastAsia" w:cstheme="minorEastAsia"/>
          <w:b/>
          <w:kern w:val="0"/>
          <w:sz w:val="32"/>
          <w:szCs w:val="32"/>
        </w:rPr>
      </w:pPr>
    </w:p>
    <w:p>
      <w:pPr>
        <w:ind w:firstLine="2891" w:firstLineChars="900"/>
        <w:rPr>
          <w:rFonts w:hint="eastAsia" w:asciiTheme="minorEastAsia" w:hAnsiTheme="minorEastAsia" w:eastAsiaTheme="minorEastAsia" w:cstheme="minorEastAsia"/>
          <w:b/>
          <w:kern w:val="0"/>
          <w:sz w:val="32"/>
          <w:szCs w:val="32"/>
        </w:rPr>
      </w:pPr>
    </w:p>
    <w:p>
      <w:pPr>
        <w:ind w:firstLine="2891" w:firstLineChars="900"/>
        <w:rPr>
          <w:rFonts w:hint="eastAsia" w:asciiTheme="minorEastAsia" w:hAnsiTheme="minorEastAsia" w:eastAsiaTheme="minorEastAsia" w:cstheme="minorEastAsia"/>
          <w:b/>
          <w:kern w:val="0"/>
          <w:sz w:val="32"/>
          <w:szCs w:val="32"/>
        </w:rPr>
      </w:pPr>
    </w:p>
    <w:p>
      <w:pPr>
        <w:ind w:firstLine="2891" w:firstLineChars="900"/>
        <w:rPr>
          <w:rFonts w:hint="eastAsia" w:asciiTheme="minorEastAsia" w:hAnsiTheme="minorEastAsia" w:eastAsiaTheme="minorEastAsia" w:cstheme="minorEastAsia"/>
          <w:b/>
          <w:kern w:val="0"/>
          <w:sz w:val="32"/>
          <w:szCs w:val="32"/>
        </w:rPr>
      </w:pPr>
    </w:p>
    <w:p>
      <w:pPr>
        <w:pStyle w:val="27"/>
        <w:rPr>
          <w:rFonts w:hint="eastAsia" w:asciiTheme="minorEastAsia" w:hAnsiTheme="minorEastAsia" w:eastAsiaTheme="minorEastAsia" w:cstheme="minorEastAsia"/>
        </w:rPr>
      </w:pPr>
    </w:p>
    <w:p>
      <w:pPr>
        <w:pStyle w:val="27"/>
        <w:ind w:left="0" w:leftChars="0" w:firstLine="0" w:firstLineChars="0"/>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kern w:val="0"/>
          <w:sz w:val="32"/>
          <w:szCs w:val="32"/>
          <w:lang w:val="en-US" w:eastAsia="zh-CN"/>
        </w:rPr>
      </w:pPr>
      <w:r>
        <w:rPr>
          <w:rFonts w:hint="eastAsia" w:asciiTheme="minorEastAsia" w:hAnsiTheme="minorEastAsia" w:eastAsiaTheme="minorEastAsia" w:cstheme="minorEastAsia"/>
          <w:b/>
          <w:kern w:val="0"/>
          <w:sz w:val="32"/>
          <w:szCs w:val="32"/>
          <w:lang w:val="en-US" w:eastAsia="zh-CN"/>
        </w:rPr>
        <w:br w:type="page"/>
      </w:r>
    </w:p>
    <w:p>
      <w:pPr>
        <w:ind w:firstLine="1911" w:firstLineChars="595"/>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lang w:val="en-US" w:eastAsia="zh-CN"/>
        </w:rPr>
        <w:t>六</w:t>
      </w:r>
      <w:r>
        <w:rPr>
          <w:rFonts w:hint="eastAsia" w:asciiTheme="minorEastAsia" w:hAnsiTheme="minorEastAsia" w:eastAsiaTheme="minorEastAsia" w:cstheme="minorEastAsia"/>
          <w:b/>
          <w:kern w:val="0"/>
          <w:sz w:val="32"/>
          <w:szCs w:val="32"/>
        </w:rPr>
        <w:t>、</w:t>
      </w:r>
      <w:r>
        <w:rPr>
          <w:rFonts w:hint="eastAsia" w:asciiTheme="minorEastAsia" w:hAnsiTheme="minorEastAsia" w:eastAsiaTheme="minorEastAsia" w:cstheme="minorEastAsia"/>
          <w:b/>
          <w:kern w:val="0"/>
          <w:sz w:val="32"/>
          <w:szCs w:val="32"/>
          <w:lang w:val="zh-CN"/>
        </w:rPr>
        <w:t>政府采购供应商廉洁自律承诺书</w:t>
      </w:r>
    </w:p>
    <w:p>
      <w:pPr>
        <w:snapToGrid w:val="0"/>
        <w:spacing w:line="360" w:lineRule="auto"/>
        <w:rPr>
          <w:rFonts w:hint="eastAsia" w:asciiTheme="minorEastAsia" w:hAnsiTheme="minorEastAsia" w:eastAsiaTheme="minorEastAsia" w:cstheme="minorEastAsia"/>
          <w:sz w:val="24"/>
        </w:rPr>
      </w:pPr>
    </w:p>
    <w:p>
      <w:pPr>
        <w:spacing w:before="120" w:beforeLines="50" w:line="360" w:lineRule="auto"/>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lang w:eastAsia="zh-CN"/>
        </w:rPr>
        <w:t>桐庐县企业服务中心</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eastAsia="zh-CN"/>
        </w:rPr>
        <w:t>杭州市建设工程管理集团有限公司</w:t>
      </w:r>
      <w:r>
        <w:rPr>
          <w:rFonts w:hint="eastAsia" w:asciiTheme="minorEastAsia" w:hAnsiTheme="minorEastAsia" w:eastAsiaTheme="minorEastAsia" w:cstheme="minorEastAsia"/>
          <w:color w:val="FF0000"/>
          <w:sz w:val="24"/>
        </w:rPr>
        <w:t>：</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我单位响应你</w:t>
      </w:r>
      <w:r>
        <w:rPr>
          <w:rFonts w:hint="eastAsia" w:asciiTheme="minorEastAsia" w:hAnsiTheme="minorEastAsia" w:eastAsiaTheme="minorEastAsia" w:cstheme="minorEastAsia"/>
          <w:sz w:val="24"/>
        </w:rPr>
        <w:t>单位</w:t>
      </w:r>
      <w:r>
        <w:rPr>
          <w:rFonts w:hint="eastAsia" w:asciiTheme="minorEastAsia" w:hAnsiTheme="minorEastAsia" w:eastAsiaTheme="minorEastAsia" w:cstheme="minorEastAsia"/>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四、不为项目有关人员及部门出国（境）、旅游等提供方便；</w:t>
      </w:r>
    </w:p>
    <w:p>
      <w:pPr>
        <w:autoSpaceDE w:val="0"/>
        <w:autoSpaceDN w:val="0"/>
        <w:spacing w:line="360" w:lineRule="auto"/>
        <w:ind w:left="481" w:leftChars="229"/>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五、不为项目有关人员个人装修住房、婚丧嫁娶、配偶子女工作安排等提供</w:t>
      </w:r>
    </w:p>
    <w:p>
      <w:pPr>
        <w:autoSpaceDE w:val="0"/>
        <w:autoSpaceDN w:val="0"/>
        <w:spacing w:line="360" w:lineRule="auto"/>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好处；</w:t>
      </w:r>
    </w:p>
    <w:p>
      <w:pPr>
        <w:autoSpaceDE w:val="0"/>
        <w:autoSpaceDN w:val="0"/>
        <w:spacing w:line="360" w:lineRule="auto"/>
        <w:ind w:left="481" w:leftChars="229"/>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六、严格遵守《</w:t>
      </w:r>
      <w:r>
        <w:rPr>
          <w:rFonts w:hint="eastAsia" w:asciiTheme="minorEastAsia" w:hAnsiTheme="minorEastAsia" w:eastAsiaTheme="minorEastAsia" w:cstheme="minorEastAsia"/>
          <w:sz w:val="24"/>
          <w:lang w:val="zh-CN"/>
        </w:rPr>
        <w:t>中华人民共和国</w:t>
      </w:r>
      <w:r>
        <w:rPr>
          <w:rFonts w:hint="eastAsia" w:asciiTheme="minorEastAsia" w:hAnsiTheme="minorEastAsia" w:eastAsiaTheme="minorEastAsia" w:cstheme="minorEastAsia"/>
          <w:kern w:val="0"/>
          <w:sz w:val="24"/>
          <w:lang w:val="zh-CN"/>
        </w:rPr>
        <w:t>政府采购法》《</w:t>
      </w:r>
      <w:r>
        <w:rPr>
          <w:rFonts w:hint="eastAsia" w:asciiTheme="minorEastAsia" w:hAnsiTheme="minorEastAsia" w:eastAsiaTheme="minorEastAsia" w:cstheme="minorEastAsia"/>
          <w:sz w:val="24"/>
          <w:lang w:val="zh-CN"/>
        </w:rPr>
        <w:t>中华人民共和国</w:t>
      </w:r>
      <w:r>
        <w:rPr>
          <w:rFonts w:hint="eastAsia" w:asciiTheme="minorEastAsia" w:hAnsiTheme="minorEastAsia" w:eastAsiaTheme="minorEastAsia" w:cstheme="minorEastAsia"/>
          <w:kern w:val="0"/>
          <w:sz w:val="24"/>
          <w:lang w:val="zh-CN"/>
        </w:rPr>
        <w:t>招标投标</w:t>
      </w:r>
    </w:p>
    <w:p>
      <w:pPr>
        <w:autoSpaceDE w:val="0"/>
        <w:autoSpaceDN w:val="0"/>
        <w:spacing w:line="360" w:lineRule="auto"/>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法》</w:t>
      </w:r>
      <w:r>
        <w:rPr>
          <w:rFonts w:hint="eastAsia" w:asciiTheme="minorEastAsia" w:hAnsiTheme="minorEastAsia" w:eastAsiaTheme="minorEastAsia" w:cstheme="minorEastAsia"/>
          <w:sz w:val="24"/>
          <w:lang w:val="zh-CN"/>
        </w:rPr>
        <w:t>《中华人民共和国民法典》</w:t>
      </w:r>
      <w:r>
        <w:rPr>
          <w:rFonts w:hint="eastAsia" w:asciiTheme="minorEastAsia" w:hAnsiTheme="minorEastAsia" w:eastAsiaTheme="minorEastAsia" w:cs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如违反上述承诺，你</w:t>
      </w:r>
      <w:r>
        <w:rPr>
          <w:rFonts w:hint="eastAsia" w:asciiTheme="minorEastAsia" w:hAnsiTheme="minorEastAsia" w:eastAsiaTheme="minorEastAsia" w:cstheme="minorEastAsia"/>
          <w:sz w:val="24"/>
        </w:rPr>
        <w:t>单位</w:t>
      </w:r>
      <w:r>
        <w:rPr>
          <w:rFonts w:hint="eastAsia" w:asciiTheme="minorEastAsia" w:hAnsiTheme="minorEastAsia" w:eastAsiaTheme="minorEastAsia" w:cstheme="minorEastAsia"/>
          <w:kern w:val="0"/>
          <w:sz w:val="24"/>
          <w:lang w:val="zh-CN"/>
        </w:rPr>
        <w:t>有权立即取消我单位投标、中标或在建项目的建设资格，有权拒绝我单位在一定时期内进入你</w:t>
      </w:r>
      <w:r>
        <w:rPr>
          <w:rFonts w:hint="eastAsia" w:asciiTheme="minorEastAsia" w:hAnsiTheme="minorEastAsia" w:eastAsiaTheme="minorEastAsia" w:cstheme="minorEastAsia"/>
          <w:sz w:val="24"/>
        </w:rPr>
        <w:t>单位</w:t>
      </w:r>
      <w:r>
        <w:rPr>
          <w:rFonts w:hint="eastAsia" w:asciiTheme="minorEastAsia" w:hAnsiTheme="minorEastAsia" w:eastAsiaTheme="minorEastAsia" w:cs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Theme="minorEastAsia" w:hAnsiTheme="minorEastAsia" w:eastAsiaTheme="minorEastAsia" w:cstheme="minorEastAsia"/>
          <w:kern w:val="0"/>
          <w:sz w:val="24"/>
          <w:lang w:val="zh-CN"/>
        </w:rPr>
      </w:pPr>
    </w:p>
    <w:p>
      <w:pPr>
        <w:autoSpaceDE w:val="0"/>
        <w:autoSpaceDN w:val="0"/>
        <w:spacing w:line="360" w:lineRule="auto"/>
        <w:ind w:left="2"/>
        <w:jc w:val="left"/>
        <w:rPr>
          <w:rFonts w:hint="eastAsia" w:asciiTheme="minorEastAsia" w:hAnsiTheme="minorEastAsia" w:eastAsiaTheme="minorEastAsia" w:cstheme="minorEastAsia"/>
          <w:kern w:val="0"/>
          <w:sz w:val="24"/>
          <w:lang w:val="zh-CN"/>
        </w:rPr>
      </w:pPr>
    </w:p>
    <w:p>
      <w:pPr>
        <w:autoSpaceDE w:val="0"/>
        <w:autoSpaceDN w:val="0"/>
        <w:spacing w:line="360" w:lineRule="auto"/>
        <w:ind w:left="2"/>
        <w:jc w:val="left"/>
        <w:rPr>
          <w:rFonts w:hint="eastAsia" w:asciiTheme="minorEastAsia" w:hAnsiTheme="minorEastAsia" w:eastAsiaTheme="minorEastAsia" w:cstheme="minorEastAsia"/>
          <w:kern w:val="0"/>
          <w:sz w:val="24"/>
          <w:lang w:val="zh-CN"/>
        </w:rPr>
      </w:pPr>
    </w:p>
    <w:p>
      <w:pPr>
        <w:autoSpaceDE w:val="0"/>
        <w:autoSpaceDN w:val="0"/>
        <w:spacing w:line="360" w:lineRule="auto"/>
        <w:ind w:right="1120"/>
        <w:jc w:val="righ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供应商名称（</w:t>
      </w:r>
      <w:r>
        <w:rPr>
          <w:rFonts w:hint="eastAsia" w:asciiTheme="minorEastAsia" w:hAnsiTheme="minorEastAsia" w:eastAsiaTheme="minorEastAsia" w:cstheme="minorEastAsia"/>
          <w:sz w:val="24"/>
        </w:rPr>
        <w:t>电子签名</w:t>
      </w:r>
      <w:r>
        <w:rPr>
          <w:rFonts w:hint="eastAsia" w:asciiTheme="minorEastAsia" w:hAnsiTheme="minorEastAsia" w:eastAsiaTheme="minorEastAsia" w:cstheme="minorEastAsia"/>
          <w:kern w:val="0"/>
          <w:sz w:val="24"/>
          <w:lang w:val="zh-CN"/>
        </w:rPr>
        <w:t xml:space="preserve">）：                                                                                                                                                                                                               </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lang w:val="zh-CN"/>
        </w:rPr>
        <w:t>日期</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zh-CN"/>
        </w:rPr>
        <w:t xml:space="preserve">   年   月   日</w:t>
      </w:r>
    </w:p>
    <w:p>
      <w:pPr>
        <w:spacing w:line="360" w:lineRule="auto"/>
        <w:jc w:val="center"/>
        <w:outlineLvl w:val="0"/>
        <w:rPr>
          <w:rFonts w:hint="eastAsia" w:asciiTheme="minorEastAsia" w:hAnsiTheme="minorEastAsia" w:eastAsiaTheme="minorEastAsia" w:cstheme="minorEastAsia"/>
          <w:b/>
          <w:kern w:val="0"/>
          <w:sz w:val="36"/>
          <w:szCs w:val="36"/>
        </w:rPr>
      </w:pPr>
    </w:p>
    <w:p>
      <w:pPr>
        <w:spacing w:line="360" w:lineRule="auto"/>
        <w:jc w:val="center"/>
        <w:outlineLvl w:val="0"/>
        <w:rPr>
          <w:rFonts w:hint="eastAsia" w:asciiTheme="minorEastAsia" w:hAnsiTheme="minorEastAsia" w:eastAsiaTheme="minorEastAsia" w:cstheme="minorEastAsia"/>
          <w:b/>
          <w:kern w:val="0"/>
          <w:sz w:val="36"/>
          <w:szCs w:val="36"/>
        </w:rPr>
      </w:pPr>
    </w:p>
    <w:p>
      <w:pPr>
        <w:spacing w:line="360" w:lineRule="auto"/>
        <w:jc w:val="center"/>
        <w:outlineLvl w:val="0"/>
        <w:rPr>
          <w:rFonts w:hint="eastAsia" w:asciiTheme="minorEastAsia" w:hAnsiTheme="minorEastAsia" w:eastAsiaTheme="minorEastAsia" w:cstheme="minorEastAsia"/>
          <w:b/>
          <w:kern w:val="0"/>
          <w:sz w:val="36"/>
          <w:szCs w:val="36"/>
        </w:rPr>
      </w:pPr>
    </w:p>
    <w:p>
      <w:pPr>
        <w:spacing w:line="360" w:lineRule="auto"/>
        <w:jc w:val="center"/>
        <w:outlineLvl w:val="0"/>
        <w:rPr>
          <w:rFonts w:hint="eastAsia" w:asciiTheme="minorEastAsia" w:hAnsiTheme="minorEastAsia" w:eastAsiaTheme="minorEastAsia" w:cstheme="minorEastAsia"/>
          <w:b/>
          <w:kern w:val="0"/>
          <w:sz w:val="36"/>
          <w:szCs w:val="36"/>
        </w:rPr>
      </w:pPr>
    </w:p>
    <w:p>
      <w:pPr>
        <w:spacing w:line="360" w:lineRule="auto"/>
        <w:jc w:val="center"/>
        <w:outlineLvl w:val="0"/>
        <w:rPr>
          <w:rFonts w:hint="eastAsia" w:asciiTheme="minorEastAsia" w:hAnsiTheme="minorEastAsia" w:eastAsiaTheme="minorEastAsia" w:cstheme="minorEastAsia"/>
          <w:b/>
          <w:kern w:val="0"/>
          <w:sz w:val="36"/>
          <w:szCs w:val="36"/>
        </w:rPr>
      </w:pPr>
    </w:p>
    <w:p>
      <w:pPr>
        <w:spacing w:line="360" w:lineRule="auto"/>
        <w:jc w:val="center"/>
        <w:outlineLvl w:val="0"/>
        <w:rPr>
          <w:rFonts w:hint="eastAsia"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报价文件部分</w:t>
      </w:r>
    </w:p>
    <w:p>
      <w:pPr>
        <w:spacing w:line="360" w:lineRule="auto"/>
        <w:jc w:val="center"/>
        <w:outlineLvl w:val="0"/>
        <w:rPr>
          <w:rFonts w:hint="eastAsia" w:asciiTheme="minorEastAsia" w:hAnsiTheme="minorEastAsia" w:eastAsiaTheme="minorEastAsia" w:cstheme="minorEastAsia"/>
          <w:b/>
          <w:kern w:val="0"/>
          <w:sz w:val="36"/>
          <w:szCs w:val="36"/>
        </w:rPr>
      </w:pPr>
      <w:r>
        <w:rPr>
          <w:rFonts w:hint="eastAsia" w:asciiTheme="minorEastAsia" w:hAnsiTheme="minorEastAsia" w:eastAsiaTheme="minorEastAsia" w:cstheme="minorEastAsia"/>
          <w:b/>
          <w:kern w:val="0"/>
          <w:sz w:val="36"/>
          <w:szCs w:val="36"/>
        </w:rPr>
        <w:t>目录</w:t>
      </w:r>
    </w:p>
    <w:p>
      <w:pPr>
        <w:spacing w:line="360" w:lineRule="auto"/>
        <w:jc w:val="center"/>
        <w:rPr>
          <w:rFonts w:hint="eastAsia" w:asciiTheme="minorEastAsia" w:hAnsiTheme="minorEastAsia" w:eastAsiaTheme="minorEastAsia" w:cstheme="minorEastAsia"/>
          <w:b/>
          <w:kern w:val="0"/>
          <w:sz w:val="36"/>
          <w:szCs w:val="36"/>
        </w:rPr>
      </w:pPr>
    </w:p>
    <w:p>
      <w:pPr>
        <w:snapToGrid w:val="0"/>
        <w:spacing w:line="360" w:lineRule="auto"/>
        <w:outlineLvl w:val="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（1）开标一览表（报价表）………………………………………………………（页码）</w:t>
      </w: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pStyle w:val="37"/>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b/>
          <w:kern w:val="0"/>
          <w:sz w:val="32"/>
          <w:szCs w:val="32"/>
        </w:rPr>
      </w:pPr>
    </w:p>
    <w:p>
      <w:pPr>
        <w:pStyle w:val="37"/>
        <w:rPr>
          <w:rFonts w:hint="eastAsia" w:asciiTheme="minorEastAsia" w:hAnsiTheme="minorEastAsia" w:eastAsiaTheme="minorEastAsia" w:cstheme="minorEastAsia"/>
          <w:b/>
          <w:kern w:val="0"/>
          <w:sz w:val="32"/>
          <w:szCs w:val="32"/>
        </w:rPr>
      </w:pPr>
    </w:p>
    <w:p>
      <w:pPr>
        <w:rPr>
          <w:rFonts w:hint="eastAsia"/>
        </w:rPr>
      </w:pPr>
    </w:p>
    <w:p>
      <w:pPr>
        <w:snapToGrid w:val="0"/>
        <w:spacing w:line="360" w:lineRule="auto"/>
        <w:ind w:right="480"/>
        <w:jc w:val="center"/>
        <w:rPr>
          <w:rFonts w:hint="eastAsia" w:asciiTheme="minorEastAsia" w:hAnsiTheme="minorEastAsia" w:eastAsiaTheme="minorEastAsia" w:cstheme="minorEastAsia"/>
          <w:b/>
          <w:kern w:val="0"/>
          <w:sz w:val="32"/>
          <w:szCs w:val="32"/>
        </w:rPr>
      </w:pPr>
    </w:p>
    <w:p>
      <w:pPr>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br w:type="page"/>
      </w:r>
    </w:p>
    <w:p>
      <w:pPr>
        <w:pStyle w:val="692"/>
        <w:keepNext w:val="0"/>
        <w:pageBreakBefore w:val="0"/>
        <w:tabs>
          <w:tab w:val="clear" w:pos="720"/>
        </w:tabs>
        <w:snapToGrid w:val="0"/>
        <w:spacing w:before="120" w:after="120"/>
        <w:ind w:firstLine="643"/>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2"/>
          <w:sz w:val="32"/>
          <w:szCs w:val="32"/>
        </w:rPr>
        <w:t>一、开标一览表（报价表）</w:t>
      </w:r>
    </w:p>
    <w:p>
      <w:pPr>
        <w:spacing w:before="120" w:beforeLines="50" w:line="360" w:lineRule="auto"/>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lang w:eastAsia="zh-CN"/>
        </w:rPr>
        <w:t>桐庐县企业服务中心</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eastAsia="zh-CN"/>
        </w:rPr>
        <w:t>杭州市建设工程管理集团有限公司</w:t>
      </w:r>
      <w:r>
        <w:rPr>
          <w:rFonts w:hint="eastAsia" w:asciiTheme="minorEastAsia" w:hAnsiTheme="minorEastAsia" w:eastAsiaTheme="minorEastAsia" w:cstheme="minorEastAsia"/>
          <w:color w:val="FF0000"/>
          <w:sz w:val="24"/>
        </w:rPr>
        <w:t>：</w:t>
      </w:r>
    </w:p>
    <w:p>
      <w:pPr>
        <w:spacing w:line="360" w:lineRule="auto"/>
        <w:jc w:val="center"/>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开标一览表（报价表）(单位均为人民币元)</w:t>
      </w:r>
    </w:p>
    <w:tbl>
      <w:tblPr>
        <w:tblStyle w:val="64"/>
        <w:tblW w:w="9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499"/>
        <w:gridCol w:w="1279"/>
        <w:gridCol w:w="1611"/>
        <w:gridCol w:w="1436"/>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36" w:type="dxa"/>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2499" w:type="dxa"/>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名称</w:t>
            </w:r>
          </w:p>
        </w:tc>
        <w:tc>
          <w:tcPr>
            <w:tcW w:w="1279" w:type="dxa"/>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数量</w:t>
            </w:r>
          </w:p>
        </w:tc>
        <w:tc>
          <w:tcPr>
            <w:tcW w:w="1611" w:type="dxa"/>
            <w:vAlign w:val="center"/>
          </w:tcPr>
          <w:p>
            <w:pPr>
              <w:spacing w:line="360" w:lineRule="auto"/>
              <w:jc w:val="center"/>
              <w:rPr>
                <w:rFonts w:hint="default" w:asciiTheme="minorEastAsia" w:hAnsiTheme="minorEastAsia" w:eastAsiaTheme="minorEastAsia" w:cstheme="minorEastAsia"/>
                <w:b/>
                <w:sz w:val="24"/>
                <w:lang w:val="en-US" w:eastAsia="zh-CN"/>
              </w:rPr>
            </w:pPr>
            <w:r>
              <w:rPr>
                <w:rFonts w:hint="eastAsia" w:asciiTheme="minorEastAsia" w:hAnsiTheme="minorEastAsia" w:eastAsiaTheme="minorEastAsia" w:cstheme="minorEastAsia"/>
                <w:b/>
                <w:sz w:val="24"/>
                <w:lang w:val="en-US" w:eastAsia="zh-CN"/>
              </w:rPr>
              <w:t>单价限价（元）</w:t>
            </w:r>
          </w:p>
        </w:tc>
        <w:tc>
          <w:tcPr>
            <w:tcW w:w="1436" w:type="dxa"/>
            <w:vAlign w:val="center"/>
          </w:tcPr>
          <w:p>
            <w:pPr>
              <w:spacing w:line="360" w:lineRule="auto"/>
              <w:jc w:val="center"/>
              <w:rPr>
                <w:rFonts w:hint="eastAsia" w:asciiTheme="minorEastAsia" w:hAnsiTheme="minorEastAsia" w:eastAsiaTheme="minorEastAsia" w:cstheme="minorEastAsia"/>
                <w:b/>
                <w:sz w:val="24"/>
                <w:lang w:val="en-US" w:eastAsia="zh-CN"/>
              </w:rPr>
            </w:pPr>
            <w:r>
              <w:rPr>
                <w:rFonts w:hint="eastAsia" w:asciiTheme="minorEastAsia" w:hAnsiTheme="minorEastAsia" w:eastAsiaTheme="minorEastAsia" w:cstheme="minorEastAsia"/>
                <w:b/>
                <w:sz w:val="24"/>
                <w:lang w:val="en-US" w:eastAsia="zh-CN"/>
              </w:rPr>
              <w:t>单价</w:t>
            </w:r>
          </w:p>
        </w:tc>
        <w:tc>
          <w:tcPr>
            <w:tcW w:w="1642" w:type="dxa"/>
            <w:vAlign w:val="center"/>
          </w:tcPr>
          <w:p>
            <w:pPr>
              <w:spacing w:line="360" w:lineRule="auto"/>
              <w:jc w:val="center"/>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rPr>
              <w:t>总价</w:t>
            </w:r>
            <w:r>
              <w:rPr>
                <w:rFonts w:hint="eastAsia" w:asciiTheme="minorEastAsia" w:hAnsiTheme="minorEastAsia" w:eastAsiaTheme="minorEastAsia" w:cstheme="minorEastAsia"/>
                <w:b/>
                <w:sz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2499" w:type="dxa"/>
            <w:vAlign w:val="center"/>
          </w:tcPr>
          <w:p>
            <w:pPr>
              <w:snapToGrid w:val="0"/>
              <w:spacing w:line="360" w:lineRule="auto"/>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一级绿化养护（㎡）</w:t>
            </w:r>
          </w:p>
        </w:tc>
        <w:tc>
          <w:tcPr>
            <w:tcW w:w="1279" w:type="dxa"/>
            <w:vAlign w:val="center"/>
          </w:tcPr>
          <w:p>
            <w:pPr>
              <w:snapToGrid w:val="0"/>
              <w:spacing w:line="360" w:lineRule="auto"/>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131974</w:t>
            </w:r>
          </w:p>
        </w:tc>
        <w:tc>
          <w:tcPr>
            <w:tcW w:w="1611" w:type="dxa"/>
            <w:vAlign w:val="center"/>
          </w:tcPr>
          <w:p>
            <w:pPr>
              <w:snapToGrid w:val="0"/>
              <w:spacing w:line="360" w:lineRule="auto"/>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11</w:t>
            </w:r>
          </w:p>
        </w:tc>
        <w:tc>
          <w:tcPr>
            <w:tcW w:w="1436" w:type="dxa"/>
            <w:vAlign w:val="center"/>
          </w:tcPr>
          <w:p>
            <w:pPr>
              <w:snapToGrid w:val="0"/>
              <w:spacing w:line="360" w:lineRule="auto"/>
              <w:jc w:val="center"/>
              <w:rPr>
                <w:rFonts w:hint="eastAsia" w:asciiTheme="minorEastAsia" w:hAnsiTheme="minorEastAsia" w:eastAsiaTheme="minorEastAsia" w:cstheme="minorEastAsia"/>
                <w:kern w:val="0"/>
                <w:sz w:val="24"/>
              </w:rPr>
            </w:pPr>
          </w:p>
        </w:tc>
        <w:tc>
          <w:tcPr>
            <w:tcW w:w="1642" w:type="dxa"/>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2</w:t>
            </w:r>
          </w:p>
        </w:tc>
        <w:tc>
          <w:tcPr>
            <w:tcW w:w="2499" w:type="dxa"/>
            <w:vAlign w:val="center"/>
          </w:tcPr>
          <w:p>
            <w:pPr>
              <w:snapToGrid w:val="0"/>
              <w:spacing w:line="360" w:lineRule="auto"/>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二级绿化养护（㎡）</w:t>
            </w:r>
          </w:p>
        </w:tc>
        <w:tc>
          <w:tcPr>
            <w:tcW w:w="1279" w:type="dxa"/>
            <w:vAlign w:val="center"/>
          </w:tcPr>
          <w:p>
            <w:pPr>
              <w:snapToGrid w:val="0"/>
              <w:spacing w:line="360" w:lineRule="auto"/>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627684</w:t>
            </w:r>
          </w:p>
        </w:tc>
        <w:tc>
          <w:tcPr>
            <w:tcW w:w="1611" w:type="dxa"/>
            <w:vAlign w:val="center"/>
          </w:tcPr>
          <w:p>
            <w:pPr>
              <w:snapToGrid w:val="0"/>
              <w:spacing w:line="360" w:lineRule="auto"/>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9</w:t>
            </w:r>
          </w:p>
        </w:tc>
        <w:tc>
          <w:tcPr>
            <w:tcW w:w="1436" w:type="dxa"/>
            <w:vAlign w:val="center"/>
          </w:tcPr>
          <w:p>
            <w:pPr>
              <w:snapToGrid w:val="0"/>
              <w:spacing w:line="360" w:lineRule="auto"/>
              <w:jc w:val="center"/>
              <w:rPr>
                <w:rFonts w:hint="eastAsia" w:asciiTheme="minorEastAsia" w:hAnsiTheme="minorEastAsia" w:eastAsiaTheme="minorEastAsia" w:cstheme="minorEastAsia"/>
                <w:kern w:val="0"/>
                <w:sz w:val="24"/>
              </w:rPr>
            </w:pPr>
          </w:p>
        </w:tc>
        <w:tc>
          <w:tcPr>
            <w:tcW w:w="1642" w:type="dxa"/>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3</w:t>
            </w:r>
          </w:p>
        </w:tc>
        <w:tc>
          <w:tcPr>
            <w:tcW w:w="2499" w:type="dxa"/>
            <w:vAlign w:val="center"/>
          </w:tcPr>
          <w:p>
            <w:pPr>
              <w:snapToGrid w:val="0"/>
              <w:spacing w:line="360" w:lineRule="auto"/>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三级绿化养护（㎡）</w:t>
            </w:r>
          </w:p>
        </w:tc>
        <w:tc>
          <w:tcPr>
            <w:tcW w:w="1279" w:type="dxa"/>
            <w:vAlign w:val="center"/>
          </w:tcPr>
          <w:p>
            <w:pPr>
              <w:snapToGrid w:val="0"/>
              <w:spacing w:line="360" w:lineRule="auto"/>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251953</w:t>
            </w:r>
          </w:p>
        </w:tc>
        <w:tc>
          <w:tcPr>
            <w:tcW w:w="1611" w:type="dxa"/>
            <w:vAlign w:val="center"/>
          </w:tcPr>
          <w:p>
            <w:pPr>
              <w:snapToGrid w:val="0"/>
              <w:spacing w:line="360" w:lineRule="auto"/>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7</w:t>
            </w:r>
          </w:p>
        </w:tc>
        <w:tc>
          <w:tcPr>
            <w:tcW w:w="1436" w:type="dxa"/>
            <w:vAlign w:val="center"/>
          </w:tcPr>
          <w:p>
            <w:pPr>
              <w:snapToGrid w:val="0"/>
              <w:spacing w:line="360" w:lineRule="auto"/>
              <w:jc w:val="center"/>
              <w:rPr>
                <w:rFonts w:hint="eastAsia" w:asciiTheme="minorEastAsia" w:hAnsiTheme="minorEastAsia" w:eastAsiaTheme="minorEastAsia" w:cstheme="minorEastAsia"/>
                <w:kern w:val="0"/>
                <w:sz w:val="24"/>
              </w:rPr>
            </w:pPr>
          </w:p>
        </w:tc>
        <w:tc>
          <w:tcPr>
            <w:tcW w:w="1642" w:type="dxa"/>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4</w:t>
            </w:r>
          </w:p>
        </w:tc>
        <w:tc>
          <w:tcPr>
            <w:tcW w:w="2499" w:type="dxa"/>
            <w:vAlign w:val="center"/>
          </w:tcPr>
          <w:p>
            <w:pPr>
              <w:snapToGrid w:val="0"/>
              <w:spacing w:line="360" w:lineRule="auto"/>
              <w:rPr>
                <w:rFonts w:hint="default"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行道树（株）</w:t>
            </w:r>
          </w:p>
        </w:tc>
        <w:tc>
          <w:tcPr>
            <w:tcW w:w="1279" w:type="dxa"/>
            <w:vAlign w:val="center"/>
          </w:tcPr>
          <w:p>
            <w:pPr>
              <w:snapToGrid w:val="0"/>
              <w:spacing w:line="360" w:lineRule="auto"/>
              <w:jc w:val="center"/>
              <w:rPr>
                <w:rFonts w:hint="default"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13547</w:t>
            </w:r>
          </w:p>
        </w:tc>
        <w:tc>
          <w:tcPr>
            <w:tcW w:w="1611" w:type="dxa"/>
            <w:vAlign w:val="center"/>
          </w:tcPr>
          <w:p>
            <w:pPr>
              <w:snapToGrid w:val="0"/>
              <w:spacing w:line="360" w:lineRule="auto"/>
              <w:jc w:val="center"/>
              <w:rPr>
                <w:rFonts w:hint="default"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100</w:t>
            </w:r>
          </w:p>
        </w:tc>
        <w:tc>
          <w:tcPr>
            <w:tcW w:w="1436" w:type="dxa"/>
            <w:vAlign w:val="center"/>
          </w:tcPr>
          <w:p>
            <w:pPr>
              <w:snapToGrid w:val="0"/>
              <w:spacing w:line="360" w:lineRule="auto"/>
              <w:jc w:val="center"/>
              <w:rPr>
                <w:rFonts w:hint="eastAsia" w:asciiTheme="minorEastAsia" w:hAnsiTheme="minorEastAsia" w:eastAsiaTheme="minorEastAsia" w:cstheme="minorEastAsia"/>
                <w:b w:val="0"/>
                <w:bCs w:val="0"/>
                <w:kern w:val="0"/>
                <w:sz w:val="24"/>
              </w:rPr>
            </w:pPr>
          </w:p>
        </w:tc>
        <w:tc>
          <w:tcPr>
            <w:tcW w:w="1642" w:type="dxa"/>
            <w:vAlign w:val="center"/>
          </w:tcPr>
          <w:p>
            <w:pPr>
              <w:spacing w:line="360" w:lineRule="auto"/>
              <w:jc w:val="center"/>
              <w:rPr>
                <w:rFonts w:hint="eastAsia" w:asciiTheme="minorEastAsia" w:hAnsiTheme="minorEastAsia" w:eastAsiaTheme="minorEastAsia" w:cstheme="minorEastAsia"/>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default"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5</w:t>
            </w:r>
          </w:p>
        </w:tc>
        <w:tc>
          <w:tcPr>
            <w:tcW w:w="6825" w:type="dxa"/>
            <w:gridSpan w:val="4"/>
            <w:vAlign w:val="center"/>
          </w:tcPr>
          <w:p>
            <w:pPr>
              <w:snapToGrid w:val="0"/>
              <w:spacing w:line="360" w:lineRule="auto"/>
              <w:jc w:val="center"/>
              <w:rPr>
                <w:rFonts w:hint="eastAsia" w:asciiTheme="minorEastAsia" w:hAnsiTheme="minorEastAsia" w:eastAsiaTheme="minorEastAsia" w:cstheme="minorEastAsia"/>
                <w:b w:val="0"/>
                <w:bCs w:val="0"/>
                <w:kern w:val="0"/>
                <w:sz w:val="24"/>
              </w:rPr>
            </w:pPr>
            <w:r>
              <w:rPr>
                <w:rFonts w:hint="eastAsia" w:asciiTheme="minorEastAsia" w:hAnsiTheme="minorEastAsia" w:eastAsiaTheme="minorEastAsia" w:cstheme="minorEastAsia"/>
                <w:b w:val="0"/>
                <w:bCs w:val="0"/>
                <w:kern w:val="0"/>
                <w:sz w:val="24"/>
                <w:lang w:val="en-US" w:eastAsia="zh-CN"/>
              </w:rPr>
              <w:t>暂列金</w:t>
            </w:r>
          </w:p>
        </w:tc>
        <w:tc>
          <w:tcPr>
            <w:tcW w:w="1642" w:type="dxa"/>
            <w:vAlign w:val="center"/>
          </w:tcPr>
          <w:p>
            <w:pPr>
              <w:spacing w:line="360" w:lineRule="auto"/>
              <w:jc w:val="center"/>
              <w:rPr>
                <w:rFonts w:hint="default" w:asciiTheme="minorEastAsia" w:hAnsiTheme="minorEastAsia" w:eastAsiaTheme="minorEastAsia" w:cstheme="minorEastAsia"/>
                <w:b w:val="0"/>
                <w:bCs w:val="0"/>
                <w:sz w:val="24"/>
                <w:lang w:val="en-US" w:eastAsia="zh-CN"/>
              </w:rPr>
            </w:pPr>
            <w:r>
              <w:rPr>
                <w:rFonts w:hint="eastAsia" w:asciiTheme="minorEastAsia" w:hAnsiTheme="minorEastAsia" w:eastAsiaTheme="minorEastAsia" w:cstheme="minorEastAsia"/>
                <w:b w:val="0"/>
                <w:bCs w:val="0"/>
                <w:sz w:val="24"/>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203" w:type="dxa"/>
            <w:gridSpan w:val="6"/>
            <w:vAlign w:val="center"/>
          </w:tcPr>
          <w:p>
            <w:pPr>
              <w:spacing w:line="360" w:lineRule="auto"/>
              <w:jc w:val="center"/>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投标报价（大写）：</w:t>
            </w:r>
            <w:r>
              <w:rPr>
                <w:rFonts w:hint="eastAsia" w:asciiTheme="minorEastAsia" w:hAnsiTheme="minorEastAsia" w:eastAsiaTheme="minorEastAsia" w:cstheme="minorEastAsia"/>
                <w:b w:val="0"/>
                <w:bCs w:val="0"/>
                <w:sz w:val="24"/>
                <w:u w:val="single"/>
              </w:rPr>
              <w:t xml:space="preserve">                    </w:t>
            </w:r>
            <w:r>
              <w:rPr>
                <w:rFonts w:hint="eastAsia" w:asciiTheme="minorEastAsia" w:hAnsiTheme="minorEastAsia" w:eastAsiaTheme="minorEastAsia" w:cstheme="minorEastAsia"/>
                <w:b w:val="0"/>
                <w:bCs w:val="0"/>
                <w:sz w:val="24"/>
                <w:u w:val="single"/>
                <w:lang w:eastAsia="zh-CN"/>
              </w:rPr>
              <w:t>元</w:t>
            </w:r>
          </w:p>
        </w:tc>
      </w:tr>
    </w:tbl>
    <w:p>
      <w:pPr>
        <w:snapToGrid w:val="0"/>
        <w:spacing w:line="360" w:lineRule="auto"/>
        <w:ind w:left="480"/>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注：</w:t>
      </w:r>
    </w:p>
    <w:p>
      <w:pPr>
        <w:spacing w:line="360" w:lineRule="auto"/>
        <w:ind w:left="-2" w:leftChars="-1"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1、供应商需按本表格式填写，不得自行更改。</w:t>
      </w:r>
    </w:p>
    <w:p>
      <w:pPr>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2、有关本项目实施所涉及的一切费用均计入报价。</w:t>
      </w:r>
      <w:r>
        <w:rPr>
          <w:rFonts w:hint="eastAsia" w:asciiTheme="minorEastAsia" w:hAnsiTheme="minorEastAsia" w:eastAsiaTheme="minorEastAsia" w:cstheme="minorEastAsia"/>
          <w:b/>
          <w:kern w:val="0"/>
          <w:sz w:val="24"/>
          <w:lang w:val="zh-CN"/>
        </w:rPr>
        <w:t>采购人将以合同形式有偿取得货物或服务，不接受供应商给予的赠品、回扣或者与采购无关的其他商品、服务</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b/>
          <w:kern w:val="0"/>
          <w:sz w:val="24"/>
          <w:lang w:val="zh-CN"/>
        </w:rPr>
        <w:t>不得出现“0元”“免费赠送”等形式的无偿报价，</w:t>
      </w:r>
      <w:r>
        <w:rPr>
          <w:rFonts w:hint="eastAsia" w:asciiTheme="minorEastAsia" w:hAnsiTheme="minorEastAsia" w:eastAsiaTheme="minorEastAsia" w:cstheme="minorEastAsia"/>
          <w:b/>
          <w:kern w:val="0"/>
          <w:sz w:val="24"/>
        </w:rPr>
        <w:t>否则视为</w:t>
      </w:r>
      <w:r>
        <w:rPr>
          <w:rFonts w:hint="eastAsia" w:asciiTheme="minorEastAsia" w:hAnsiTheme="minorEastAsia" w:eastAsiaTheme="minorEastAsia" w:cstheme="minorEastAsia"/>
          <w:b/>
          <w:sz w:val="24"/>
        </w:rPr>
        <w:t>磋商响应文件含有采购人不能接受的附加条件的，投标无效</w:t>
      </w:r>
      <w:r>
        <w:rPr>
          <w:rFonts w:hint="eastAsia" w:asciiTheme="minorEastAsia" w:hAnsiTheme="minorEastAsia" w:eastAsiaTheme="minorEastAsia" w:cstheme="minorEastAsia"/>
          <w:b/>
          <w:kern w:val="0"/>
          <w:sz w:val="24"/>
          <w:lang w:val="zh-CN"/>
        </w:rPr>
        <w:t>。</w:t>
      </w:r>
    </w:p>
    <w:p>
      <w:pPr>
        <w:snapToGrid w:val="0"/>
        <w:spacing w:line="360" w:lineRule="auto"/>
        <w:ind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en-US" w:eastAsia="zh-CN"/>
        </w:rPr>
        <w:t>3</w:t>
      </w:r>
      <w:r>
        <w:rPr>
          <w:rFonts w:hint="eastAsia" w:asciiTheme="minorEastAsia" w:hAnsiTheme="minorEastAsia" w:eastAsiaTheme="minorEastAsia" w:cstheme="minorEastAsia"/>
          <w:kern w:val="0"/>
          <w:sz w:val="24"/>
          <w:lang w:val="zh-CN"/>
        </w:rPr>
        <w:t>、特别提示：采购机构将对2024-2025年桐庐经济开发区绿地养护项目和项目编号，中标供应商名称、地址和中标金额，主要中标标的的名称、规格型号、数量、单价、服务要求等予以公示。</w:t>
      </w:r>
    </w:p>
    <w:p>
      <w:pPr>
        <w:pStyle w:val="692"/>
        <w:keepNext w:val="0"/>
        <w:pageBreakBefore w:val="0"/>
        <w:tabs>
          <w:tab w:val="clear" w:pos="720"/>
        </w:tabs>
        <w:snapToGrid w:val="0"/>
        <w:spacing w:before="120" w:after="120"/>
        <w:jc w:val="both"/>
        <w:outlineLvl w:val="9"/>
        <w:rPr>
          <w:rFonts w:hint="eastAsia" w:asciiTheme="minorEastAsia" w:hAnsiTheme="minorEastAsia" w:eastAsiaTheme="minorEastAsia" w:cstheme="minorEastAsia"/>
          <w:kern w:val="2"/>
          <w:sz w:val="32"/>
          <w:szCs w:val="32"/>
        </w:rPr>
      </w:pPr>
    </w:p>
    <w:p>
      <w:pPr>
        <w:autoSpaceDE w:val="0"/>
        <w:autoSpaceDN w:val="0"/>
        <w:spacing w:line="360" w:lineRule="auto"/>
        <w:ind w:right="1120"/>
        <w:jc w:val="righ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lang w:val="zh-CN"/>
        </w:rPr>
        <w:t>供应商名称（</w:t>
      </w:r>
      <w:r>
        <w:rPr>
          <w:rFonts w:hint="eastAsia" w:asciiTheme="minorEastAsia" w:hAnsiTheme="minorEastAsia" w:eastAsiaTheme="minorEastAsia" w:cstheme="minorEastAsia"/>
          <w:sz w:val="24"/>
        </w:rPr>
        <w:t>电子签名</w:t>
      </w:r>
      <w:r>
        <w:rPr>
          <w:rFonts w:hint="eastAsia" w:asciiTheme="minorEastAsia" w:hAnsiTheme="minorEastAsia" w:eastAsiaTheme="minorEastAsia" w:cstheme="minorEastAsia"/>
          <w:kern w:val="0"/>
          <w:sz w:val="24"/>
          <w:lang w:val="zh-CN"/>
        </w:rPr>
        <w:t xml:space="preserve">）：                                                                                                                                                                                                               </w:t>
      </w:r>
    </w:p>
    <w:p>
      <w:pPr>
        <w:jc w:val="center"/>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lang w:val="zh-CN"/>
        </w:rPr>
        <w:t>日期</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zh-CN"/>
        </w:rPr>
        <w:t xml:space="preserve">   年   月   日</w:t>
      </w:r>
    </w:p>
    <w:p>
      <w:pPr>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br w:type="page"/>
      </w:r>
    </w:p>
    <w:p>
      <w:pPr>
        <w:jc w:val="center"/>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t>第八部分  最后报价格式</w:t>
      </w:r>
    </w:p>
    <w:p>
      <w:pPr>
        <w:pStyle w:val="692"/>
        <w:keepNext w:val="0"/>
        <w:pageBreakBefore w:val="0"/>
        <w:tabs>
          <w:tab w:val="clear" w:pos="720"/>
        </w:tabs>
        <w:ind w:firstLine="640"/>
        <w:outlineLvl w:val="9"/>
        <w:rPr>
          <w:rFonts w:hint="eastAsia" w:asciiTheme="minorEastAsia" w:hAnsiTheme="minorEastAsia" w:eastAsiaTheme="minorEastAsia" w:cstheme="minorEastAsia"/>
          <w:color w:val="auto"/>
          <w:kern w:val="2"/>
          <w:sz w:val="32"/>
          <w:szCs w:val="32"/>
          <w:highlight w:val="none"/>
        </w:rPr>
      </w:pPr>
      <w:r>
        <w:rPr>
          <w:rFonts w:hint="eastAsia" w:asciiTheme="minorEastAsia" w:hAnsiTheme="minorEastAsia" w:eastAsiaTheme="minorEastAsia" w:cstheme="minorEastAsia"/>
          <w:color w:val="auto"/>
          <w:kern w:val="2"/>
          <w:sz w:val="32"/>
          <w:szCs w:val="32"/>
          <w:highlight w:val="yellow"/>
          <w:lang w:eastAsia="zh-CN"/>
        </w:rPr>
        <w:t>二次</w:t>
      </w:r>
      <w:r>
        <w:rPr>
          <w:rFonts w:hint="eastAsia" w:asciiTheme="minorEastAsia" w:hAnsiTheme="minorEastAsia" w:eastAsiaTheme="minorEastAsia" w:cstheme="minorEastAsia"/>
          <w:color w:val="auto"/>
          <w:kern w:val="2"/>
          <w:sz w:val="32"/>
          <w:szCs w:val="32"/>
          <w:highlight w:val="yellow"/>
        </w:rPr>
        <w:t>报价一览表</w:t>
      </w:r>
    </w:p>
    <w:p>
      <w:pPr>
        <w:spacing w:before="120" w:beforeLines="50" w:line="360" w:lineRule="auto"/>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lang w:eastAsia="zh-CN"/>
        </w:rPr>
        <w:t>桐庐县企业服务中心</w:t>
      </w:r>
      <w:r>
        <w:rPr>
          <w:rFonts w:hint="eastAsia" w:asciiTheme="minorEastAsia" w:hAnsiTheme="minorEastAsia" w:eastAsiaTheme="minorEastAsia" w:cstheme="minorEastAsia"/>
          <w:color w:val="FF0000"/>
          <w:sz w:val="24"/>
        </w:rPr>
        <w:t>、</w:t>
      </w:r>
      <w:r>
        <w:rPr>
          <w:rFonts w:hint="eastAsia" w:asciiTheme="minorEastAsia" w:hAnsiTheme="minorEastAsia" w:eastAsiaTheme="minorEastAsia" w:cstheme="minorEastAsia"/>
          <w:color w:val="FF0000"/>
          <w:sz w:val="24"/>
          <w:lang w:eastAsia="zh-CN"/>
        </w:rPr>
        <w:t>杭州市建设工程管理集团有限公司</w:t>
      </w:r>
      <w:r>
        <w:rPr>
          <w:rFonts w:hint="eastAsia" w:asciiTheme="minorEastAsia" w:hAnsiTheme="minorEastAsia" w:eastAsiaTheme="minorEastAsia" w:cstheme="minorEastAsia"/>
          <w:color w:val="FF0000"/>
          <w:sz w:val="24"/>
        </w:rPr>
        <w:t>：</w:t>
      </w:r>
    </w:p>
    <w:p>
      <w:pPr>
        <w:snapToGrid w:val="0"/>
        <w:spacing w:line="360" w:lineRule="auto"/>
        <w:ind w:firstLine="482"/>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按你方竞争性磋商文件要求，我们，本磋商响应文件签字方，谨此向你方发出要约如下：如你方接受本投标，我方承诺按照如下开标一览表（报价表）的价格完成</w:t>
      </w:r>
      <w:r>
        <w:rPr>
          <w:rFonts w:hint="eastAsia" w:asciiTheme="minorEastAsia" w:hAnsiTheme="minorEastAsia" w:eastAsiaTheme="minorEastAsia" w:cstheme="minorEastAsia"/>
          <w:sz w:val="24"/>
          <w:lang w:eastAsia="zh-CN"/>
        </w:rPr>
        <w:t>2024-2025年桐庐经济开发区绿地养护项目</w:t>
      </w:r>
      <w:r>
        <w:rPr>
          <w:rFonts w:hint="eastAsia" w:asciiTheme="minorEastAsia" w:hAnsiTheme="minorEastAsia" w:eastAsiaTheme="minorEastAsia" w:cstheme="minorEastAsia"/>
          <w:kern w:val="0"/>
          <w:sz w:val="24"/>
          <w:lang w:val="zh-CN"/>
        </w:rPr>
        <w:t>【招标编号：</w:t>
      </w:r>
      <w:r>
        <w:rPr>
          <w:rFonts w:hint="eastAsia" w:asciiTheme="minorEastAsia" w:hAnsiTheme="minorEastAsia" w:eastAsiaTheme="minorEastAsia" w:cstheme="minorEastAsia"/>
          <w:kern w:val="0"/>
          <w:sz w:val="24"/>
          <w:lang w:eastAsia="zh-CN"/>
        </w:rPr>
        <w:t>HZSJS2024-TLZFCG002</w:t>
      </w:r>
      <w:r>
        <w:rPr>
          <w:rFonts w:hint="eastAsia" w:asciiTheme="minorEastAsia" w:hAnsiTheme="minorEastAsia" w:eastAsiaTheme="minorEastAsia" w:cstheme="minorEastAsia"/>
          <w:sz w:val="24"/>
        </w:rPr>
        <w:t>】的实施</w:t>
      </w:r>
      <w:r>
        <w:rPr>
          <w:rFonts w:hint="eastAsia" w:asciiTheme="minorEastAsia" w:hAnsiTheme="minorEastAsia" w:eastAsiaTheme="minorEastAsia" w:cstheme="minorEastAsia"/>
          <w:kern w:val="0"/>
          <w:sz w:val="24"/>
          <w:lang w:val="zh-CN"/>
        </w:rPr>
        <w:t>。</w:t>
      </w:r>
    </w:p>
    <w:p>
      <w:pPr>
        <w:spacing w:line="360" w:lineRule="auto"/>
        <w:jc w:val="center"/>
        <w:rPr>
          <w:rFonts w:hint="eastAsia" w:asciiTheme="minorEastAsia" w:hAnsiTheme="minorEastAsia" w:eastAsiaTheme="minorEastAsia" w:cstheme="minorEastAsia"/>
          <w:b/>
          <w:kern w:val="0"/>
          <w:sz w:val="24"/>
          <w:lang w:val="zh-CN"/>
        </w:rPr>
      </w:pPr>
      <w:bookmarkStart w:id="447" w:name="_Toc465665161"/>
      <w:r>
        <w:rPr>
          <w:rFonts w:hint="eastAsia" w:asciiTheme="minorEastAsia" w:hAnsiTheme="minorEastAsia" w:eastAsiaTheme="minorEastAsia" w:cstheme="minorEastAsia"/>
          <w:b/>
          <w:kern w:val="0"/>
          <w:sz w:val="24"/>
          <w:lang w:val="zh-CN"/>
        </w:rPr>
        <w:t>开标一览表（报价表）(单位均为人民币元)</w:t>
      </w:r>
    </w:p>
    <w:tbl>
      <w:tblPr>
        <w:tblStyle w:val="64"/>
        <w:tblW w:w="9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499"/>
        <w:gridCol w:w="1279"/>
        <w:gridCol w:w="1611"/>
        <w:gridCol w:w="1436"/>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36" w:type="dxa"/>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2499" w:type="dxa"/>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名称</w:t>
            </w:r>
          </w:p>
        </w:tc>
        <w:tc>
          <w:tcPr>
            <w:tcW w:w="1279" w:type="dxa"/>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数量</w:t>
            </w:r>
          </w:p>
        </w:tc>
        <w:tc>
          <w:tcPr>
            <w:tcW w:w="1611" w:type="dxa"/>
            <w:vAlign w:val="center"/>
          </w:tcPr>
          <w:p>
            <w:pPr>
              <w:spacing w:line="360" w:lineRule="auto"/>
              <w:jc w:val="center"/>
              <w:rPr>
                <w:rFonts w:hint="default" w:asciiTheme="minorEastAsia" w:hAnsiTheme="minorEastAsia" w:eastAsiaTheme="minorEastAsia" w:cstheme="minorEastAsia"/>
                <w:b/>
                <w:sz w:val="24"/>
                <w:lang w:val="en-US" w:eastAsia="zh-CN"/>
              </w:rPr>
            </w:pPr>
            <w:r>
              <w:rPr>
                <w:rFonts w:hint="eastAsia" w:asciiTheme="minorEastAsia" w:hAnsiTheme="minorEastAsia" w:eastAsiaTheme="minorEastAsia" w:cstheme="minorEastAsia"/>
                <w:b/>
                <w:sz w:val="24"/>
                <w:lang w:val="en-US" w:eastAsia="zh-CN"/>
              </w:rPr>
              <w:t>单价限价（元）</w:t>
            </w:r>
          </w:p>
        </w:tc>
        <w:tc>
          <w:tcPr>
            <w:tcW w:w="1436" w:type="dxa"/>
            <w:vAlign w:val="center"/>
          </w:tcPr>
          <w:p>
            <w:pPr>
              <w:spacing w:line="360" w:lineRule="auto"/>
              <w:jc w:val="center"/>
              <w:rPr>
                <w:rFonts w:hint="eastAsia" w:asciiTheme="minorEastAsia" w:hAnsiTheme="minorEastAsia" w:eastAsiaTheme="minorEastAsia" w:cstheme="minorEastAsia"/>
                <w:b/>
                <w:sz w:val="24"/>
                <w:lang w:val="en-US" w:eastAsia="zh-CN"/>
              </w:rPr>
            </w:pPr>
            <w:r>
              <w:rPr>
                <w:rFonts w:hint="eastAsia" w:asciiTheme="minorEastAsia" w:hAnsiTheme="minorEastAsia" w:eastAsiaTheme="minorEastAsia" w:cstheme="minorEastAsia"/>
                <w:b/>
                <w:sz w:val="24"/>
                <w:lang w:val="en-US" w:eastAsia="zh-CN"/>
              </w:rPr>
              <w:t>单价</w:t>
            </w:r>
          </w:p>
        </w:tc>
        <w:tc>
          <w:tcPr>
            <w:tcW w:w="1642" w:type="dxa"/>
            <w:vAlign w:val="center"/>
          </w:tcPr>
          <w:p>
            <w:pPr>
              <w:spacing w:line="360" w:lineRule="auto"/>
              <w:jc w:val="center"/>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rPr>
              <w:t>总价</w:t>
            </w:r>
            <w:r>
              <w:rPr>
                <w:rFonts w:hint="eastAsia" w:asciiTheme="minorEastAsia" w:hAnsiTheme="minorEastAsia" w:eastAsiaTheme="minorEastAsia" w:cstheme="minorEastAsia"/>
                <w:b/>
                <w:sz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2499" w:type="dxa"/>
            <w:vAlign w:val="center"/>
          </w:tcPr>
          <w:p>
            <w:pPr>
              <w:snapToGrid w:val="0"/>
              <w:spacing w:line="360" w:lineRule="auto"/>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一级绿化养护（㎡）</w:t>
            </w:r>
          </w:p>
        </w:tc>
        <w:tc>
          <w:tcPr>
            <w:tcW w:w="1279" w:type="dxa"/>
            <w:vAlign w:val="center"/>
          </w:tcPr>
          <w:p>
            <w:pPr>
              <w:snapToGrid w:val="0"/>
              <w:spacing w:line="360" w:lineRule="auto"/>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131974</w:t>
            </w:r>
          </w:p>
        </w:tc>
        <w:tc>
          <w:tcPr>
            <w:tcW w:w="1611" w:type="dxa"/>
            <w:vAlign w:val="center"/>
          </w:tcPr>
          <w:p>
            <w:pPr>
              <w:snapToGrid w:val="0"/>
              <w:spacing w:line="360" w:lineRule="auto"/>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11</w:t>
            </w:r>
          </w:p>
        </w:tc>
        <w:tc>
          <w:tcPr>
            <w:tcW w:w="1436" w:type="dxa"/>
            <w:vAlign w:val="center"/>
          </w:tcPr>
          <w:p>
            <w:pPr>
              <w:snapToGrid w:val="0"/>
              <w:spacing w:line="360" w:lineRule="auto"/>
              <w:jc w:val="center"/>
              <w:rPr>
                <w:rFonts w:hint="eastAsia" w:asciiTheme="minorEastAsia" w:hAnsiTheme="minorEastAsia" w:eastAsiaTheme="minorEastAsia" w:cstheme="minorEastAsia"/>
                <w:kern w:val="0"/>
                <w:sz w:val="24"/>
              </w:rPr>
            </w:pPr>
          </w:p>
        </w:tc>
        <w:tc>
          <w:tcPr>
            <w:tcW w:w="1642" w:type="dxa"/>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2</w:t>
            </w:r>
          </w:p>
        </w:tc>
        <w:tc>
          <w:tcPr>
            <w:tcW w:w="2499" w:type="dxa"/>
            <w:vAlign w:val="center"/>
          </w:tcPr>
          <w:p>
            <w:pPr>
              <w:snapToGrid w:val="0"/>
              <w:spacing w:line="360" w:lineRule="auto"/>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二级绿化养护（㎡）</w:t>
            </w:r>
          </w:p>
        </w:tc>
        <w:tc>
          <w:tcPr>
            <w:tcW w:w="1279" w:type="dxa"/>
            <w:vAlign w:val="center"/>
          </w:tcPr>
          <w:p>
            <w:pPr>
              <w:snapToGrid w:val="0"/>
              <w:spacing w:line="360" w:lineRule="auto"/>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627684</w:t>
            </w:r>
          </w:p>
        </w:tc>
        <w:tc>
          <w:tcPr>
            <w:tcW w:w="1611" w:type="dxa"/>
            <w:vAlign w:val="center"/>
          </w:tcPr>
          <w:p>
            <w:pPr>
              <w:snapToGrid w:val="0"/>
              <w:spacing w:line="360" w:lineRule="auto"/>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9</w:t>
            </w:r>
          </w:p>
        </w:tc>
        <w:tc>
          <w:tcPr>
            <w:tcW w:w="1436" w:type="dxa"/>
            <w:vAlign w:val="center"/>
          </w:tcPr>
          <w:p>
            <w:pPr>
              <w:snapToGrid w:val="0"/>
              <w:spacing w:line="360" w:lineRule="auto"/>
              <w:jc w:val="center"/>
              <w:rPr>
                <w:rFonts w:hint="eastAsia" w:asciiTheme="minorEastAsia" w:hAnsiTheme="minorEastAsia" w:eastAsiaTheme="minorEastAsia" w:cstheme="minorEastAsia"/>
                <w:kern w:val="0"/>
                <w:sz w:val="24"/>
              </w:rPr>
            </w:pPr>
          </w:p>
        </w:tc>
        <w:tc>
          <w:tcPr>
            <w:tcW w:w="1642" w:type="dxa"/>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3</w:t>
            </w:r>
          </w:p>
        </w:tc>
        <w:tc>
          <w:tcPr>
            <w:tcW w:w="2499" w:type="dxa"/>
            <w:vAlign w:val="center"/>
          </w:tcPr>
          <w:p>
            <w:pPr>
              <w:snapToGrid w:val="0"/>
              <w:spacing w:line="360" w:lineRule="auto"/>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三级绿化养护（㎡）</w:t>
            </w:r>
          </w:p>
        </w:tc>
        <w:tc>
          <w:tcPr>
            <w:tcW w:w="1279" w:type="dxa"/>
            <w:vAlign w:val="center"/>
          </w:tcPr>
          <w:p>
            <w:pPr>
              <w:snapToGrid w:val="0"/>
              <w:spacing w:line="360" w:lineRule="auto"/>
              <w:jc w:val="center"/>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251953</w:t>
            </w:r>
          </w:p>
        </w:tc>
        <w:tc>
          <w:tcPr>
            <w:tcW w:w="1611" w:type="dxa"/>
            <w:vAlign w:val="center"/>
          </w:tcPr>
          <w:p>
            <w:pPr>
              <w:snapToGrid w:val="0"/>
              <w:spacing w:line="360" w:lineRule="auto"/>
              <w:jc w:val="center"/>
              <w:rPr>
                <w:rFonts w:hint="eastAsia"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7</w:t>
            </w:r>
          </w:p>
        </w:tc>
        <w:tc>
          <w:tcPr>
            <w:tcW w:w="1436" w:type="dxa"/>
            <w:vAlign w:val="center"/>
          </w:tcPr>
          <w:p>
            <w:pPr>
              <w:snapToGrid w:val="0"/>
              <w:spacing w:line="360" w:lineRule="auto"/>
              <w:jc w:val="center"/>
              <w:rPr>
                <w:rFonts w:hint="eastAsia" w:asciiTheme="minorEastAsia" w:hAnsiTheme="minorEastAsia" w:eastAsiaTheme="minorEastAsia" w:cstheme="minorEastAsia"/>
                <w:kern w:val="0"/>
                <w:sz w:val="24"/>
              </w:rPr>
            </w:pPr>
          </w:p>
        </w:tc>
        <w:tc>
          <w:tcPr>
            <w:tcW w:w="1642" w:type="dxa"/>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4</w:t>
            </w:r>
          </w:p>
        </w:tc>
        <w:tc>
          <w:tcPr>
            <w:tcW w:w="2499" w:type="dxa"/>
            <w:vAlign w:val="center"/>
          </w:tcPr>
          <w:p>
            <w:pPr>
              <w:snapToGrid w:val="0"/>
              <w:spacing w:line="360" w:lineRule="auto"/>
              <w:rPr>
                <w:rFonts w:hint="default"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行道树（株）</w:t>
            </w:r>
          </w:p>
        </w:tc>
        <w:tc>
          <w:tcPr>
            <w:tcW w:w="1279" w:type="dxa"/>
            <w:vAlign w:val="center"/>
          </w:tcPr>
          <w:p>
            <w:pPr>
              <w:snapToGrid w:val="0"/>
              <w:spacing w:line="360" w:lineRule="auto"/>
              <w:jc w:val="center"/>
              <w:rPr>
                <w:rFonts w:hint="default"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13547</w:t>
            </w:r>
          </w:p>
        </w:tc>
        <w:tc>
          <w:tcPr>
            <w:tcW w:w="1611" w:type="dxa"/>
            <w:vAlign w:val="center"/>
          </w:tcPr>
          <w:p>
            <w:pPr>
              <w:snapToGrid w:val="0"/>
              <w:spacing w:line="360" w:lineRule="auto"/>
              <w:jc w:val="center"/>
              <w:rPr>
                <w:rFonts w:hint="default"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100</w:t>
            </w:r>
          </w:p>
        </w:tc>
        <w:tc>
          <w:tcPr>
            <w:tcW w:w="1436" w:type="dxa"/>
            <w:vAlign w:val="center"/>
          </w:tcPr>
          <w:p>
            <w:pPr>
              <w:snapToGrid w:val="0"/>
              <w:spacing w:line="360" w:lineRule="auto"/>
              <w:jc w:val="center"/>
              <w:rPr>
                <w:rFonts w:hint="eastAsia" w:asciiTheme="minorEastAsia" w:hAnsiTheme="minorEastAsia" w:eastAsiaTheme="minorEastAsia" w:cstheme="minorEastAsia"/>
                <w:b w:val="0"/>
                <w:bCs w:val="0"/>
                <w:kern w:val="0"/>
                <w:sz w:val="24"/>
              </w:rPr>
            </w:pPr>
          </w:p>
        </w:tc>
        <w:tc>
          <w:tcPr>
            <w:tcW w:w="1642" w:type="dxa"/>
            <w:vAlign w:val="center"/>
          </w:tcPr>
          <w:p>
            <w:pPr>
              <w:spacing w:line="360" w:lineRule="auto"/>
              <w:jc w:val="center"/>
              <w:rPr>
                <w:rFonts w:hint="eastAsia" w:asciiTheme="minorEastAsia" w:hAnsiTheme="minorEastAsia" w:eastAsiaTheme="minorEastAsia" w:cstheme="minorEastAsia"/>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736" w:type="dxa"/>
            <w:vAlign w:val="center"/>
          </w:tcPr>
          <w:p>
            <w:pPr>
              <w:snapToGrid w:val="0"/>
              <w:spacing w:line="360" w:lineRule="auto"/>
              <w:jc w:val="center"/>
              <w:rPr>
                <w:rFonts w:hint="default"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val="0"/>
                <w:bCs w:val="0"/>
                <w:kern w:val="0"/>
                <w:sz w:val="24"/>
                <w:lang w:val="en-US" w:eastAsia="zh-CN"/>
              </w:rPr>
              <w:t>5</w:t>
            </w:r>
          </w:p>
        </w:tc>
        <w:tc>
          <w:tcPr>
            <w:tcW w:w="6825" w:type="dxa"/>
            <w:gridSpan w:val="4"/>
            <w:vAlign w:val="center"/>
          </w:tcPr>
          <w:p>
            <w:pPr>
              <w:snapToGrid w:val="0"/>
              <w:spacing w:line="360" w:lineRule="auto"/>
              <w:jc w:val="center"/>
              <w:rPr>
                <w:rFonts w:hint="eastAsia" w:asciiTheme="minorEastAsia" w:hAnsiTheme="minorEastAsia" w:eastAsiaTheme="minorEastAsia" w:cstheme="minorEastAsia"/>
                <w:b w:val="0"/>
                <w:bCs w:val="0"/>
                <w:kern w:val="0"/>
                <w:sz w:val="24"/>
              </w:rPr>
            </w:pPr>
            <w:r>
              <w:rPr>
                <w:rFonts w:hint="eastAsia" w:asciiTheme="minorEastAsia" w:hAnsiTheme="minorEastAsia" w:eastAsiaTheme="minorEastAsia" w:cstheme="minorEastAsia"/>
                <w:b w:val="0"/>
                <w:bCs w:val="0"/>
                <w:kern w:val="0"/>
                <w:sz w:val="24"/>
                <w:lang w:val="en-US" w:eastAsia="zh-CN"/>
              </w:rPr>
              <w:t>暂列金</w:t>
            </w:r>
          </w:p>
        </w:tc>
        <w:tc>
          <w:tcPr>
            <w:tcW w:w="1642" w:type="dxa"/>
            <w:vAlign w:val="center"/>
          </w:tcPr>
          <w:p>
            <w:pPr>
              <w:spacing w:line="360" w:lineRule="auto"/>
              <w:jc w:val="center"/>
              <w:rPr>
                <w:rFonts w:hint="default" w:asciiTheme="minorEastAsia" w:hAnsiTheme="minorEastAsia" w:eastAsiaTheme="minorEastAsia" w:cstheme="minorEastAsia"/>
                <w:b w:val="0"/>
                <w:bCs w:val="0"/>
                <w:sz w:val="24"/>
                <w:lang w:val="en-US" w:eastAsia="zh-CN"/>
              </w:rPr>
            </w:pPr>
            <w:r>
              <w:rPr>
                <w:rFonts w:hint="eastAsia" w:asciiTheme="minorEastAsia" w:hAnsiTheme="minorEastAsia" w:eastAsiaTheme="minorEastAsia" w:cstheme="minorEastAsia"/>
                <w:b w:val="0"/>
                <w:bCs w:val="0"/>
                <w:sz w:val="24"/>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9203" w:type="dxa"/>
            <w:gridSpan w:val="6"/>
            <w:vAlign w:val="center"/>
          </w:tcPr>
          <w:p>
            <w:pPr>
              <w:spacing w:line="360" w:lineRule="auto"/>
              <w:jc w:val="center"/>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投标报价（大写）：</w:t>
            </w:r>
            <w:r>
              <w:rPr>
                <w:rFonts w:hint="eastAsia" w:asciiTheme="minorEastAsia" w:hAnsiTheme="minorEastAsia" w:eastAsiaTheme="minorEastAsia" w:cstheme="minorEastAsia"/>
                <w:b w:val="0"/>
                <w:bCs w:val="0"/>
                <w:sz w:val="24"/>
                <w:u w:val="single"/>
              </w:rPr>
              <w:t xml:space="preserve">                    </w:t>
            </w:r>
            <w:r>
              <w:rPr>
                <w:rFonts w:hint="eastAsia" w:asciiTheme="minorEastAsia" w:hAnsiTheme="minorEastAsia" w:eastAsiaTheme="minorEastAsia" w:cstheme="minorEastAsia"/>
                <w:b w:val="0"/>
                <w:bCs w:val="0"/>
                <w:sz w:val="24"/>
                <w:u w:val="single"/>
                <w:lang w:eastAsia="zh-CN"/>
              </w:rPr>
              <w:t>元</w:t>
            </w:r>
          </w:p>
        </w:tc>
      </w:tr>
    </w:tbl>
    <w:p>
      <w:pPr>
        <w:snapToGrid w:val="0"/>
        <w:spacing w:line="360" w:lineRule="auto"/>
        <w:ind w:left="480"/>
        <w:rPr>
          <w:rFonts w:hint="eastAsia" w:asciiTheme="minorEastAsia" w:hAnsiTheme="minorEastAsia" w:eastAsiaTheme="minorEastAsia" w:cstheme="minorEastAsia"/>
          <w:b/>
          <w:kern w:val="0"/>
          <w:sz w:val="24"/>
          <w:lang w:val="zh-CN"/>
        </w:rPr>
      </w:pPr>
      <w:r>
        <w:rPr>
          <w:rFonts w:hint="eastAsia" w:asciiTheme="minorEastAsia" w:hAnsiTheme="minorEastAsia" w:eastAsiaTheme="minorEastAsia" w:cstheme="minorEastAsia"/>
          <w:b/>
          <w:kern w:val="0"/>
          <w:sz w:val="24"/>
          <w:lang w:val="zh-CN"/>
        </w:rPr>
        <w:t>注：</w:t>
      </w:r>
    </w:p>
    <w:p>
      <w:pPr>
        <w:spacing w:line="360" w:lineRule="auto"/>
        <w:ind w:left="-2" w:leftChars="-1"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1、供应商需按本表格式填写，不得自行更改。</w:t>
      </w:r>
    </w:p>
    <w:p>
      <w:pPr>
        <w:spacing w:line="360" w:lineRule="auto"/>
        <w:ind w:firstLine="480" w:firstLineChars="200"/>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2、有关本项目实施所涉及的一切费用均计入报价。</w:t>
      </w:r>
      <w:r>
        <w:rPr>
          <w:rFonts w:hint="eastAsia" w:asciiTheme="minorEastAsia" w:hAnsiTheme="minorEastAsia" w:eastAsiaTheme="minorEastAsia" w:cstheme="minorEastAsia"/>
          <w:b/>
          <w:kern w:val="0"/>
          <w:sz w:val="24"/>
          <w:lang w:val="zh-CN"/>
        </w:rPr>
        <w:t>采购人将以合同形式有偿取得货物或服务，不接受供应商给予的赠品、回扣或者与采购无关的其他商品、服务</w:t>
      </w:r>
      <w:r>
        <w:rPr>
          <w:rFonts w:hint="eastAsia" w:asciiTheme="minorEastAsia" w:hAnsiTheme="minorEastAsia" w:eastAsiaTheme="minorEastAsia" w:cstheme="minorEastAsia"/>
          <w:kern w:val="0"/>
          <w:sz w:val="24"/>
          <w:lang w:val="zh-CN"/>
        </w:rPr>
        <w:t>，</w:t>
      </w:r>
      <w:r>
        <w:rPr>
          <w:rFonts w:hint="eastAsia" w:asciiTheme="minorEastAsia" w:hAnsiTheme="minorEastAsia" w:eastAsiaTheme="minorEastAsia" w:cstheme="minorEastAsia"/>
          <w:b/>
          <w:kern w:val="0"/>
          <w:sz w:val="24"/>
          <w:lang w:val="zh-CN"/>
        </w:rPr>
        <w:t>不得出现“0元”“免费赠送”等形式的无偿报价，</w:t>
      </w:r>
      <w:r>
        <w:rPr>
          <w:rFonts w:hint="eastAsia" w:asciiTheme="minorEastAsia" w:hAnsiTheme="minorEastAsia" w:eastAsiaTheme="minorEastAsia" w:cstheme="minorEastAsia"/>
          <w:b/>
          <w:kern w:val="0"/>
          <w:sz w:val="24"/>
        </w:rPr>
        <w:t>否则视为</w:t>
      </w:r>
      <w:r>
        <w:rPr>
          <w:rFonts w:hint="eastAsia" w:asciiTheme="minorEastAsia" w:hAnsiTheme="minorEastAsia" w:eastAsiaTheme="minorEastAsia" w:cstheme="minorEastAsia"/>
          <w:b/>
          <w:sz w:val="24"/>
        </w:rPr>
        <w:t>磋商响应文件含有采购人不能接受的附加条件的，投标无效</w:t>
      </w:r>
      <w:r>
        <w:rPr>
          <w:rFonts w:hint="eastAsia" w:asciiTheme="minorEastAsia" w:hAnsiTheme="minorEastAsia" w:eastAsiaTheme="minorEastAsia" w:cstheme="minorEastAsia"/>
          <w:b/>
          <w:kern w:val="0"/>
          <w:sz w:val="24"/>
          <w:lang w:val="zh-CN"/>
        </w:rPr>
        <w:t>。</w:t>
      </w:r>
    </w:p>
    <w:p>
      <w:pPr>
        <w:snapToGrid w:val="0"/>
        <w:spacing w:line="360" w:lineRule="auto"/>
        <w:ind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en-US" w:eastAsia="zh-CN"/>
        </w:rPr>
        <w:t>3</w:t>
      </w:r>
      <w:r>
        <w:rPr>
          <w:rFonts w:hint="eastAsia" w:asciiTheme="minorEastAsia" w:hAnsiTheme="minorEastAsia" w:eastAsiaTheme="minorEastAsia" w:cstheme="minorEastAsia"/>
          <w:kern w:val="0"/>
          <w:sz w:val="24"/>
          <w:lang w:val="zh-CN"/>
        </w:rPr>
        <w:t>、特别提示：采购机构将对2024-2025年桐庐经济开发区绿地养护项目和项目编号，中标供应商名称、地址和中标金额，主要中标标的的名称、规格型号、数量、单价、服务要求等予以公示。</w:t>
      </w:r>
    </w:p>
    <w:p>
      <w:pPr>
        <w:pStyle w:val="692"/>
        <w:keepNext w:val="0"/>
        <w:pageBreakBefore w:val="0"/>
        <w:tabs>
          <w:tab w:val="clear" w:pos="720"/>
        </w:tabs>
        <w:snapToGrid w:val="0"/>
        <w:spacing w:before="120" w:after="120"/>
        <w:jc w:val="both"/>
        <w:outlineLvl w:val="9"/>
        <w:rPr>
          <w:rFonts w:hint="eastAsia" w:asciiTheme="minorEastAsia" w:hAnsiTheme="minorEastAsia" w:eastAsiaTheme="minorEastAsia" w:cstheme="minorEastAsia"/>
          <w:kern w:val="2"/>
          <w:sz w:val="32"/>
          <w:szCs w:val="32"/>
        </w:rPr>
      </w:pPr>
    </w:p>
    <w:p>
      <w:pPr>
        <w:autoSpaceDE w:val="0"/>
        <w:autoSpaceDN w:val="0"/>
        <w:spacing w:line="360" w:lineRule="auto"/>
        <w:ind w:right="1120"/>
        <w:jc w:val="righ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lang w:val="zh-CN"/>
        </w:rPr>
        <w:t>供应商名称（</w:t>
      </w:r>
      <w:r>
        <w:rPr>
          <w:rFonts w:hint="eastAsia" w:asciiTheme="minorEastAsia" w:hAnsiTheme="minorEastAsia" w:eastAsiaTheme="minorEastAsia" w:cstheme="minorEastAsia"/>
          <w:sz w:val="24"/>
        </w:rPr>
        <w:t>电子签名</w:t>
      </w:r>
      <w:r>
        <w:rPr>
          <w:rFonts w:hint="eastAsia" w:asciiTheme="minorEastAsia" w:hAnsiTheme="minorEastAsia" w:eastAsiaTheme="minorEastAsia" w:cstheme="minorEastAsia"/>
          <w:kern w:val="0"/>
          <w:sz w:val="24"/>
          <w:lang w:val="zh-CN"/>
        </w:rPr>
        <w:t xml:space="preserve">）：                                                                                                                                                                                                               </w:t>
      </w:r>
    </w:p>
    <w:p>
      <w:pPr>
        <w:jc w:val="center"/>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en-US" w:eastAsia="zh-CN"/>
        </w:rPr>
        <w:t xml:space="preserve">                           </w:t>
      </w:r>
      <w:r>
        <w:rPr>
          <w:rFonts w:hint="eastAsia" w:asciiTheme="minorEastAsia" w:hAnsiTheme="minorEastAsia" w:eastAsiaTheme="minorEastAsia" w:cstheme="minorEastAsia"/>
          <w:kern w:val="0"/>
          <w:sz w:val="24"/>
          <w:lang w:val="zh-CN"/>
        </w:rPr>
        <w:t>日期</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zh-CN"/>
        </w:rPr>
        <w:t xml:space="preserve">   年   月   日</w:t>
      </w:r>
    </w:p>
    <w:p>
      <w:pPr>
        <w:pStyle w:val="2"/>
        <w:keepNext w:val="0"/>
        <w:keepLines w:val="0"/>
        <w:pageBreakBefore/>
        <w:widowControl/>
        <w:spacing w:before="100" w:beforeAutospacing="1" w:after="100" w:afterAutospacing="1" w:line="360" w:lineRule="auto"/>
        <w:ind w:left="1290" w:firstLine="3092" w:firstLineChars="700"/>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w:t>
      </w:r>
      <w:bookmarkEnd w:id="447"/>
    </w:p>
    <w:p>
      <w:pPr>
        <w:spacing w:line="360" w:lineRule="auto"/>
        <w:outlineLvl w:val="0"/>
        <w:rPr>
          <w:rFonts w:hint="eastAsia"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附件1：</w:t>
      </w:r>
    </w:p>
    <w:p>
      <w:pPr>
        <w:spacing w:line="360" w:lineRule="auto"/>
        <w:jc w:val="center"/>
        <w:rPr>
          <w:rFonts w:hint="eastAsia" w:asciiTheme="minorEastAsia" w:hAnsiTheme="minorEastAsia" w:eastAsiaTheme="minorEastAsia" w:cstheme="minorEastAsia"/>
          <w:b/>
          <w:spacing w:val="6"/>
          <w:sz w:val="32"/>
          <w:szCs w:val="32"/>
        </w:rPr>
      </w:pPr>
      <w:bookmarkStart w:id="448" w:name="OLE_LINK14"/>
      <w:bookmarkStart w:id="449" w:name="OLE_LINK13"/>
      <w:r>
        <w:rPr>
          <w:rFonts w:hint="eastAsia" w:asciiTheme="minorEastAsia" w:hAnsiTheme="minorEastAsia" w:eastAsiaTheme="minorEastAsia" w:cstheme="minorEastAsia"/>
          <w:b/>
          <w:spacing w:val="6"/>
          <w:sz w:val="32"/>
          <w:szCs w:val="32"/>
        </w:rPr>
        <w:t>残疾人福利性单位声明函</w:t>
      </w:r>
    </w:p>
    <w:bookmarkEnd w:id="448"/>
    <w:bookmarkEnd w:id="449"/>
    <w:p>
      <w:pPr>
        <w:spacing w:line="360" w:lineRule="auto"/>
        <w:rPr>
          <w:rFonts w:hint="eastAsia" w:asciiTheme="minorEastAsia" w:hAnsiTheme="minorEastAsia" w:eastAsiaTheme="minorEastAsia" w:cstheme="minorEastAsia"/>
          <w:b/>
          <w:spacing w:val="6"/>
          <w:sz w:val="30"/>
          <w:szCs w:val="30"/>
        </w:rPr>
      </w:pP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本单位对上述声明的真实性负责。如有虚假，将依法承担相应责任。</w:t>
      </w:r>
    </w:p>
    <w:p>
      <w:pPr>
        <w:spacing w:line="360" w:lineRule="auto"/>
        <w:ind w:firstLine="480" w:firstLineChars="200"/>
        <w:rPr>
          <w:rFonts w:hint="eastAsia" w:asciiTheme="minorEastAsia" w:hAnsiTheme="minorEastAsia" w:eastAsiaTheme="minorEastAsia" w:cstheme="minorEastAsia"/>
          <w:sz w:val="24"/>
        </w:rPr>
      </w:pPr>
    </w:p>
    <w:p>
      <w:pPr>
        <w:spacing w:line="360" w:lineRule="auto"/>
        <w:ind w:firstLine="480" w:firstLineChars="200"/>
        <w:rPr>
          <w:rFonts w:hint="eastAsia" w:asciiTheme="minorEastAsia" w:hAnsiTheme="minorEastAsia" w:eastAsiaTheme="minorEastAsia" w:cstheme="minorEastAsia"/>
          <w:sz w:val="24"/>
        </w:rPr>
      </w:pPr>
    </w:p>
    <w:p>
      <w:pPr>
        <w:tabs>
          <w:tab w:val="left" w:pos="4860"/>
        </w:tabs>
        <w:spacing w:line="360" w:lineRule="auto"/>
        <w:ind w:right="1560" w:firstLine="480" w:firstLineChars="20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kern w:val="0"/>
          <w:sz w:val="24"/>
          <w:lang w:val="zh-CN"/>
        </w:rPr>
        <w:t>供应商名称（电子签名）</w:t>
      </w:r>
      <w:r>
        <w:rPr>
          <w:rFonts w:hint="eastAsia" w:asciiTheme="minorEastAsia" w:hAnsiTheme="minorEastAsia" w:eastAsiaTheme="minorEastAsia" w:cstheme="minorEastAsia"/>
          <w:sz w:val="24"/>
        </w:rPr>
        <w:t>：</w:t>
      </w:r>
    </w:p>
    <w:p>
      <w:pPr>
        <w:tabs>
          <w:tab w:val="left" w:pos="4860"/>
        </w:tabs>
        <w:spacing w:line="360" w:lineRule="auto"/>
        <w:ind w:right="1560" w:firstLine="480" w:firstLineChars="20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  期：</w:t>
      </w:r>
    </w:p>
    <w:p>
      <w:pPr>
        <w:spacing w:line="360" w:lineRule="auto"/>
        <w:ind w:firstLine="480" w:firstLineChars="200"/>
        <w:rPr>
          <w:rFonts w:hint="eastAsia" w:asciiTheme="minorEastAsia" w:hAnsiTheme="minorEastAsia" w:eastAsiaTheme="minorEastAsia" w:cstheme="minorEastAsia"/>
          <w:sz w:val="24"/>
        </w:rPr>
      </w:pPr>
    </w:p>
    <w:p>
      <w:pPr>
        <w:spacing w:line="360" w:lineRule="auto"/>
        <w:ind w:firstLine="420" w:firstLineChars="200"/>
        <w:rPr>
          <w:rFonts w:hint="eastAsia" w:asciiTheme="minorEastAsia" w:hAnsiTheme="minorEastAsia" w:eastAsiaTheme="minorEastAsia" w:cstheme="minorEastAsia"/>
        </w:rPr>
      </w:pPr>
    </w:p>
    <w:p>
      <w:pPr>
        <w:spacing w:line="360" w:lineRule="auto"/>
        <w:ind w:firstLine="420" w:firstLineChars="200"/>
        <w:rPr>
          <w:rFonts w:hint="eastAsia" w:asciiTheme="minorEastAsia" w:hAnsiTheme="minorEastAsia" w:eastAsiaTheme="minorEastAsia" w:cstheme="minorEastAsia"/>
        </w:rPr>
      </w:pPr>
    </w:p>
    <w:p>
      <w:pPr>
        <w:spacing w:line="360" w:lineRule="auto"/>
        <w:ind w:firstLine="420" w:firstLineChars="200"/>
        <w:rPr>
          <w:rFonts w:hint="eastAsia" w:asciiTheme="minorEastAsia" w:hAnsiTheme="minorEastAsia" w:eastAsiaTheme="minorEastAsia" w:cstheme="minorEastAsia"/>
        </w:rPr>
      </w:pPr>
    </w:p>
    <w:p>
      <w:pPr>
        <w:spacing w:line="360" w:lineRule="auto"/>
        <w:ind w:firstLine="420" w:firstLineChars="200"/>
        <w:rPr>
          <w:rFonts w:hint="eastAsia" w:asciiTheme="minorEastAsia" w:hAnsiTheme="minorEastAsia" w:eastAsiaTheme="minorEastAsia" w:cstheme="minorEastAsia"/>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pStyle w:val="37"/>
        <w:rPr>
          <w:rFonts w:hint="eastAsia" w:asciiTheme="minorEastAsia" w:hAnsiTheme="minorEastAsia" w:eastAsiaTheme="minorEastAsia" w:cstheme="minorEastAsia"/>
          <w:b/>
          <w:sz w:val="24"/>
        </w:rPr>
      </w:pPr>
    </w:p>
    <w:p>
      <w:pPr>
        <w:rPr>
          <w:rFonts w:hint="eastAsia"/>
        </w:rPr>
      </w:pPr>
    </w:p>
    <w:p>
      <w:pPr>
        <w:spacing w:line="360" w:lineRule="auto"/>
        <w:jc w:val="left"/>
        <w:outlineLvl w:val="0"/>
        <w:rPr>
          <w:rFonts w:hint="eastAsia"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附件2：质疑函范本及制作说明</w:t>
      </w:r>
    </w:p>
    <w:p>
      <w:pPr>
        <w:spacing w:line="360" w:lineRule="auto"/>
        <w:jc w:val="center"/>
        <w:rPr>
          <w:rFonts w:hint="eastAsia"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质疑函范本</w:t>
      </w:r>
    </w:p>
    <w:p>
      <w:pPr>
        <w:snapToGrid w:val="0"/>
        <w:spacing w:before="240" w:beforeLines="100" w:line="36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一、质疑供应商基本信息</w:t>
      </w:r>
    </w:p>
    <w:p>
      <w:pPr>
        <w:snapToGrid w:val="0"/>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质疑供应商：</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授权代表：</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 xml:space="preserve"> </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地址： </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二、质疑项目基本情况</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质疑项目的名称：</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质疑项目的编号：</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包号：</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采购人名称：</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采购文件获取日期：</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三、质疑事项具体内容</w:t>
      </w:r>
    </w:p>
    <w:p>
      <w:pPr>
        <w:snapToGrid w:val="0"/>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质疑事项1：</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事实依据：</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法律依据：</w:t>
      </w: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u w:val="dotted"/>
        </w:rPr>
        <w:t xml:space="preserve">                                                     </w:t>
      </w:r>
    </w:p>
    <w:p>
      <w:pPr>
        <w:snapToGrid w:val="0"/>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质疑事项2</w:t>
      </w:r>
    </w:p>
    <w:p>
      <w:pPr>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napToGrid w:val="0"/>
        <w:spacing w:line="36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四、与质疑事项相关的质疑请求</w:t>
      </w:r>
    </w:p>
    <w:p>
      <w:pPr>
        <w:snapToGrid w:val="0"/>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请求：</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签字(签章)：                   公章：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日期：    </w:t>
      </w:r>
    </w:p>
    <w:p>
      <w:pPr>
        <w:spacing w:line="360" w:lineRule="auto"/>
        <w:jc w:val="center"/>
        <w:rPr>
          <w:rFonts w:hint="eastAsia" w:asciiTheme="minorEastAsia" w:hAnsiTheme="minorEastAsia" w:eastAsiaTheme="minorEastAsia" w:cstheme="minorEastAsia"/>
          <w:b/>
          <w:bCs/>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质疑函制作说明：</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1.供应商提出质疑时，应提交质疑函和必要的证明材料。</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3.质疑供应商若对项目的某一分包进行质疑，质疑函中应列明具体分包号。</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4.质疑函的质疑事项应具体、明确，并有必要的事实依据和法律依据。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5.质疑函的质疑请求应与质疑事项相关。</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Theme="minorEastAsia" w:hAnsiTheme="minorEastAsia" w:eastAsiaTheme="minorEastAsia" w:cstheme="minorEastAsia"/>
          <w:sz w:val="30"/>
          <w:szCs w:val="30"/>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center"/>
        <w:rPr>
          <w:rFonts w:hint="eastAsia" w:asciiTheme="minorEastAsia" w:hAnsiTheme="minorEastAsia" w:eastAsiaTheme="minorEastAsia" w:cstheme="minorEastAsia"/>
          <w:b/>
          <w:spacing w:val="6"/>
          <w:sz w:val="32"/>
          <w:szCs w:val="32"/>
        </w:rPr>
      </w:pPr>
    </w:p>
    <w:p>
      <w:pPr>
        <w:spacing w:line="360" w:lineRule="auto"/>
        <w:jc w:val="left"/>
        <w:rPr>
          <w:rFonts w:hint="eastAsia" w:asciiTheme="minorEastAsia" w:hAnsiTheme="minorEastAsia" w:eastAsiaTheme="minorEastAsia" w:cstheme="minorEastAsia"/>
          <w:b/>
          <w:spacing w:val="6"/>
          <w:sz w:val="32"/>
          <w:szCs w:val="32"/>
        </w:rPr>
      </w:pPr>
    </w:p>
    <w:p>
      <w:pPr>
        <w:spacing w:line="360" w:lineRule="auto"/>
        <w:jc w:val="left"/>
        <w:outlineLvl w:val="0"/>
        <w:rPr>
          <w:rFonts w:hint="eastAsia"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附件3：投诉书范本及制作说明</w:t>
      </w:r>
    </w:p>
    <w:p>
      <w:pPr>
        <w:spacing w:line="360" w:lineRule="auto"/>
        <w:jc w:val="center"/>
        <w:rPr>
          <w:rFonts w:hint="eastAsia" w:asciiTheme="minorEastAsia" w:hAnsiTheme="minorEastAsia" w:eastAsiaTheme="minorEastAsia" w:cstheme="minorEastAsia"/>
          <w:b/>
          <w:sz w:val="24"/>
        </w:rPr>
      </w:pPr>
    </w:p>
    <w:p>
      <w:pPr>
        <w:spacing w:line="360" w:lineRule="auto"/>
        <w:jc w:val="center"/>
        <w:rPr>
          <w:rFonts w:hint="eastAsia" w:asciiTheme="minorEastAsia" w:hAnsiTheme="minorEastAsia" w:eastAsiaTheme="minorEastAsia" w:cstheme="minorEastAsia"/>
          <w:b/>
          <w:spacing w:val="6"/>
          <w:sz w:val="32"/>
          <w:szCs w:val="32"/>
        </w:rPr>
      </w:pPr>
      <w:r>
        <w:rPr>
          <w:rFonts w:hint="eastAsia" w:asciiTheme="minorEastAsia" w:hAnsiTheme="minorEastAsia" w:eastAsiaTheme="minorEastAsia" w:cstheme="minorEastAsia"/>
          <w:b/>
          <w:spacing w:val="6"/>
          <w:sz w:val="32"/>
          <w:szCs w:val="32"/>
        </w:rPr>
        <w:t>投诉书范本</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一、投诉相关主体基本情况</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投诉人：</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tabs>
          <w:tab w:val="left" w:pos="6510"/>
        </w:tabs>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法定代表人/主要负责人：</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 xml:space="preserve">  </w:t>
      </w:r>
    </w:p>
    <w:p>
      <w:pPr>
        <w:tabs>
          <w:tab w:val="left" w:pos="6510"/>
        </w:tabs>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授权代表：</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被投诉人1：</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被投诉人2</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相关供应商：</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二、投诉项目基本情况</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采购</w:t>
      </w:r>
      <w:r>
        <w:rPr>
          <w:rFonts w:hint="eastAsia" w:asciiTheme="minorEastAsia" w:hAnsiTheme="minorEastAsia" w:eastAsiaTheme="minorEastAsia" w:cstheme="minorEastAsia"/>
          <w:sz w:val="24"/>
          <w:lang w:eastAsia="zh-CN"/>
        </w:rPr>
        <w:t>2024-2025年桐庐经济开发区绿地养护项目</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采购项目编号：</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包号：</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采购人名称：</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代理机构名称：</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采购文件公告:</w:t>
      </w:r>
      <w:r>
        <w:rPr>
          <w:rFonts w:hint="eastAsia" w:asciiTheme="minorEastAsia" w:hAnsiTheme="minorEastAsia" w:eastAsiaTheme="minorEastAsia" w:cstheme="minorEastAsia"/>
          <w:sz w:val="24"/>
          <w:u w:val="dotted"/>
        </w:rPr>
        <w:t xml:space="preserve">是/否 </w:t>
      </w:r>
      <w:r>
        <w:rPr>
          <w:rFonts w:hint="eastAsia" w:asciiTheme="minorEastAsia" w:hAnsiTheme="minorEastAsia" w:eastAsiaTheme="minorEastAsia" w:cstheme="minorEastAsia"/>
          <w:sz w:val="24"/>
        </w:rPr>
        <w:t>公告期限：</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采购结果公告:</w:t>
      </w:r>
      <w:r>
        <w:rPr>
          <w:rFonts w:hint="eastAsia" w:asciiTheme="minorEastAsia" w:hAnsiTheme="minorEastAsia" w:eastAsiaTheme="minorEastAsia" w:cstheme="minorEastAsia"/>
          <w:sz w:val="24"/>
          <w:u w:val="dotted"/>
        </w:rPr>
        <w:t xml:space="preserve">是/否 </w:t>
      </w:r>
      <w:r>
        <w:rPr>
          <w:rFonts w:hint="eastAsia" w:asciiTheme="minorEastAsia" w:hAnsiTheme="minorEastAsia" w:eastAsiaTheme="minorEastAsia" w:cstheme="minorEastAsia"/>
          <w:sz w:val="24"/>
        </w:rPr>
        <w:t>公告期限：</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三、质疑基本情况</w:t>
      </w:r>
    </w:p>
    <w:p>
      <w:pPr>
        <w:spacing w:line="360" w:lineRule="auto"/>
        <w:ind w:firstLine="480" w:firstLineChars="200"/>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投诉人于</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日,向</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提出质疑，质疑事项为：</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 xml:space="preserve">  </w:t>
      </w:r>
    </w:p>
    <w:p>
      <w:pPr>
        <w:spacing w:line="360" w:lineRule="auto"/>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dotted"/>
        </w:rPr>
        <w:t>采购人/代理机构</w:t>
      </w:r>
      <w:r>
        <w:rPr>
          <w:rFonts w:hint="eastAsia" w:asciiTheme="minorEastAsia" w:hAnsiTheme="minorEastAsia" w:eastAsiaTheme="minorEastAsia" w:cstheme="minorEastAsia"/>
          <w:sz w:val="24"/>
        </w:rPr>
        <w:t>于</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日,就质疑事项作出了答复/没有在法定期限内作出答复。</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四、投诉事项具体内容</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投诉事项 1：</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事实依据：</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法律依据：</w:t>
      </w: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u w:val="dotted"/>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投诉事项2</w:t>
      </w:r>
    </w:p>
    <w:p>
      <w:pPr>
        <w:spacing w:line="360" w:lineRule="auto"/>
        <w:rPr>
          <w:rFonts w:hint="eastAsia"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五、与投诉事项相关的投诉请求</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请求：</w:t>
      </w:r>
      <w:r>
        <w:rPr>
          <w:rFonts w:hint="eastAsia" w:asciiTheme="minorEastAsia" w:hAnsiTheme="minorEastAsia" w:eastAsiaTheme="minorEastAsia" w:cstheme="minorEastAsia"/>
          <w:sz w:val="24"/>
          <w:u w:val="dotted"/>
        </w:rPr>
        <w:t xml:space="preserve">                                              </w:t>
      </w: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签字(签章)：                   公章：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日期：    </w:t>
      </w: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投诉书制作说明：</w:t>
      </w:r>
    </w:p>
    <w:p>
      <w:pPr>
        <w:widowControl/>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2.投诉人若委托代理人进行投诉的，投诉书应按照要求列明“授权代表”的有关内容，并在附件中提交由</w:t>
      </w:r>
      <w:r>
        <w:rPr>
          <w:rFonts w:hint="eastAsia" w:asciiTheme="minorEastAsia" w:hAnsiTheme="minorEastAsia" w:eastAsiaTheme="minorEastAsia" w:cs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3.投诉人若对项目的某一分包进行投诉，投诉书应列明具体分包号。</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4.投诉书应简要列明质疑事项，质疑函、质疑答复等作为附件材料提供。</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5.投诉书的投诉事项应具体、明确，并有必要的事实依据和法律依据。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6.投诉书的投诉请求应与投诉事项相关。</w:t>
      </w:r>
    </w:p>
    <w:p>
      <w:pPr>
        <w:widowControl/>
        <w:spacing w:line="360" w:lineRule="auto"/>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Theme="minorEastAsia" w:hAnsiTheme="minorEastAsia" w:eastAsiaTheme="minorEastAsia" w:cstheme="minorEastAsia"/>
          <w:b/>
          <w:sz w:val="24"/>
        </w:rPr>
      </w:pPr>
    </w:p>
    <w:sectPr>
      <w:headerReference r:id="rId7" w:type="first"/>
      <w:footerReference r:id="rId9" w:type="first"/>
      <w:headerReference r:id="rId6" w:type="default"/>
      <w:footerReference r:id="rId8" w:type="default"/>
      <w:pgSz w:w="11906" w:h="16838"/>
      <w:pgMar w:top="1417" w:right="1587" w:bottom="1417" w:left="1587" w:header="851" w:footer="992" w:gutter="0"/>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35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left"/>
      <w:rPr>
        <w:rFonts w:ascii="仿宋_GB2312" w:eastAsia="仿宋_GB2312"/>
        <w:i/>
        <w:sz w:val="16"/>
        <w:szCs w:val="16"/>
        <w:u w:val="single"/>
      </w:rPr>
    </w:pPr>
    <w:r>
      <w:rPr>
        <w:rFonts w:hint="eastAsia"/>
        <w:sz w:val="16"/>
        <w:szCs w:val="16"/>
        <w:lang w:val="zh-CN"/>
      </w:rPr>
      <w:t>2024-2025年桐庐经济开发区绿地养护项目</w:t>
    </w:r>
    <w:r>
      <w:rPr>
        <w:rFonts w:hint="eastAsia"/>
        <w:sz w:val="16"/>
        <w:szCs w:val="16"/>
      </w:rPr>
      <w:t xml:space="preserve">             </w:t>
    </w:r>
    <w:r>
      <w:rPr>
        <w:rFonts w:hint="eastAsia"/>
        <w:sz w:val="16"/>
        <w:szCs w:val="16"/>
        <w:lang w:val="en-US" w:eastAsia="zh-CN"/>
      </w:rPr>
      <w:t xml:space="preserve">          </w:t>
    </w:r>
    <w:r>
      <w:rPr>
        <w:rFonts w:hint="eastAsia"/>
        <w:sz w:val="16"/>
        <w:szCs w:val="16"/>
      </w:rPr>
      <w:t xml:space="preserve">  </w:t>
    </w:r>
    <w:r>
      <w:rPr>
        <w:rFonts w:hint="eastAsia"/>
        <w:sz w:val="16"/>
        <w:szCs w:val="16"/>
        <w:lang w:val="en-US" w:eastAsia="zh-CN"/>
      </w:rPr>
      <w:t xml:space="preserve">            </w:t>
    </w:r>
    <w:r>
      <w:rPr>
        <w:rFonts w:hint="eastAsia"/>
        <w:sz w:val="16"/>
        <w:szCs w:val="16"/>
      </w:rPr>
      <w:t xml:space="preserve">               </w:t>
    </w:r>
    <w:r>
      <w:rPr>
        <w:rFonts w:hint="eastAsia"/>
        <w:sz w:val="16"/>
        <w:szCs w:val="16"/>
        <w:lang w:val="en-US" w:eastAsia="zh-CN"/>
      </w:rPr>
      <w:t xml:space="preserve">  </w:t>
    </w:r>
    <w:r>
      <w:rPr>
        <w:rFonts w:hint="eastAsia"/>
        <w:sz w:val="16"/>
        <w:szCs w:val="16"/>
      </w:rPr>
      <w:t xml:space="preserve">   【</w:t>
    </w:r>
    <w:r>
      <w:rPr>
        <w:rFonts w:hint="eastAsia"/>
        <w:sz w:val="16"/>
        <w:szCs w:val="16"/>
        <w:lang w:val="zh-CN"/>
      </w:rPr>
      <w:t>竞争性磋商</w:t>
    </w:r>
    <w:r>
      <w:rPr>
        <w:rFonts w:hint="eastAsia"/>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hint="eastAsia"/>
        <w:sz w:val="16"/>
        <w:szCs w:val="16"/>
        <w:lang w:val="zh-CN"/>
      </w:rPr>
      <w:t>2024-2025年桐庐经济开发区绿地养护项目</w:t>
    </w:r>
    <w:r>
      <w:rPr>
        <w:rFonts w:hint="eastAsia"/>
        <w:sz w:val="16"/>
        <w:szCs w:val="16"/>
      </w:rPr>
      <w:t xml:space="preserve">       </w:t>
    </w:r>
    <w:r>
      <w:rPr>
        <w:rFonts w:hint="eastAsia"/>
        <w:sz w:val="16"/>
        <w:szCs w:val="16"/>
        <w:lang w:val="en-US" w:eastAsia="zh-CN"/>
      </w:rPr>
      <w:t xml:space="preserve">          </w:t>
    </w:r>
    <w:r>
      <w:rPr>
        <w:rFonts w:hint="eastAsia"/>
        <w:sz w:val="16"/>
        <w:szCs w:val="16"/>
      </w:rPr>
      <w:t xml:space="preserve">        </w:t>
    </w:r>
    <w:r>
      <w:rPr>
        <w:rFonts w:hint="eastAsia"/>
        <w:sz w:val="16"/>
        <w:szCs w:val="16"/>
        <w:lang w:val="en-US" w:eastAsia="zh-CN"/>
      </w:rPr>
      <w:t xml:space="preserve">            </w:t>
    </w:r>
    <w:r>
      <w:rPr>
        <w:rFonts w:hint="eastAsia"/>
        <w:sz w:val="16"/>
        <w:szCs w:val="16"/>
      </w:rPr>
      <w:t xml:space="preserve">               </w:t>
    </w:r>
    <w:r>
      <w:rPr>
        <w:rFonts w:hint="eastAsia"/>
        <w:sz w:val="16"/>
        <w:szCs w:val="16"/>
        <w:lang w:val="en-US" w:eastAsia="zh-CN"/>
      </w:rPr>
      <w:t xml:space="preserve">  </w:t>
    </w:r>
    <w:r>
      <w:rPr>
        <w:rFonts w:hint="eastAsia"/>
        <w:sz w:val="16"/>
        <w:szCs w:val="16"/>
      </w:rPr>
      <w:t xml:space="preserve">   【</w:t>
    </w:r>
    <w:r>
      <w:rPr>
        <w:rFonts w:hint="eastAsia"/>
        <w:sz w:val="16"/>
        <w:szCs w:val="16"/>
        <w:lang w:val="zh-CN"/>
      </w:rPr>
      <w:t>竞争性磋商</w:t>
    </w:r>
    <w:r>
      <w:rPr>
        <w:rFonts w:hint="eastAsia"/>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sz w:val="16"/>
        <w:szCs w:val="16"/>
        <w:lang w:val="zh-CN"/>
      </w:rPr>
      <w:t>2024-2025年桐庐经济开发区绿地养护项目</w:t>
    </w:r>
    <w:r>
      <w:rPr>
        <w:rFonts w:hint="eastAsia"/>
        <w:sz w:val="16"/>
        <w:szCs w:val="16"/>
      </w:rPr>
      <w:t xml:space="preserve">      </w:t>
    </w:r>
    <w:r>
      <w:rPr>
        <w:rFonts w:hint="eastAsia"/>
        <w:sz w:val="16"/>
        <w:szCs w:val="16"/>
        <w:lang w:val="en-US" w:eastAsia="zh-CN"/>
      </w:rPr>
      <w:t xml:space="preserve">          </w:t>
    </w:r>
    <w:r>
      <w:rPr>
        <w:rFonts w:hint="eastAsia"/>
        <w:sz w:val="16"/>
        <w:szCs w:val="16"/>
      </w:rPr>
      <w:t xml:space="preserve">         </w:t>
    </w:r>
    <w:r>
      <w:rPr>
        <w:rFonts w:hint="eastAsia"/>
        <w:sz w:val="16"/>
        <w:szCs w:val="16"/>
        <w:lang w:val="en-US" w:eastAsia="zh-CN"/>
      </w:rPr>
      <w:t xml:space="preserve">            </w:t>
    </w:r>
    <w:r>
      <w:rPr>
        <w:rFonts w:hint="eastAsia"/>
        <w:sz w:val="16"/>
        <w:szCs w:val="16"/>
      </w:rPr>
      <w:t xml:space="preserve">               </w:t>
    </w:r>
    <w:r>
      <w:rPr>
        <w:rFonts w:hint="eastAsia"/>
        <w:sz w:val="16"/>
        <w:szCs w:val="16"/>
        <w:lang w:val="en-US" w:eastAsia="zh-CN"/>
      </w:rPr>
      <w:t xml:space="preserve">  </w:t>
    </w:r>
    <w:r>
      <w:rPr>
        <w:rFonts w:hint="eastAsia"/>
        <w:sz w:val="16"/>
        <w:szCs w:val="16"/>
      </w:rPr>
      <w:t xml:space="preserve">   【</w:t>
    </w:r>
    <w:r>
      <w:rPr>
        <w:rFonts w:hint="eastAsia"/>
        <w:sz w:val="16"/>
        <w:szCs w:val="16"/>
        <w:lang w:val="zh-CN"/>
      </w:rPr>
      <w:t>竞争性磋商</w:t>
    </w:r>
    <w:r>
      <w:rPr>
        <w:rFonts w:hint="eastAsia"/>
        <w:sz w:val="16"/>
        <w:szCs w:val="16"/>
      </w:rPr>
      <w:t>】</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mOTBmMTliMDBlYWQ0YjE3NjJiNGMzOTQ3MGI4MTQifQ=="/>
    <w:docVar w:name="KSO_WPS_MARK_KEY" w:val="fc8172fa-814d-4949-9f5e-53b5c9db8d2a"/>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4EE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21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19C"/>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656"/>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33B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00A"/>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D42"/>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6BE"/>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003"/>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B4D"/>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C42"/>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0A3"/>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13D6B"/>
    <w:rsid w:val="011F6449"/>
    <w:rsid w:val="01236AFB"/>
    <w:rsid w:val="018977A9"/>
    <w:rsid w:val="01995B0E"/>
    <w:rsid w:val="019F7441"/>
    <w:rsid w:val="01B37585"/>
    <w:rsid w:val="01D55165"/>
    <w:rsid w:val="01DB1C83"/>
    <w:rsid w:val="01DF6BF8"/>
    <w:rsid w:val="01EC0334"/>
    <w:rsid w:val="01EC2C57"/>
    <w:rsid w:val="02290C40"/>
    <w:rsid w:val="026B2E25"/>
    <w:rsid w:val="02824D4D"/>
    <w:rsid w:val="02DC4B10"/>
    <w:rsid w:val="02DD76CE"/>
    <w:rsid w:val="02E132C9"/>
    <w:rsid w:val="02F13C5C"/>
    <w:rsid w:val="02F36323"/>
    <w:rsid w:val="02F5619C"/>
    <w:rsid w:val="0326446A"/>
    <w:rsid w:val="032D5555"/>
    <w:rsid w:val="03350A88"/>
    <w:rsid w:val="036634D2"/>
    <w:rsid w:val="038C592B"/>
    <w:rsid w:val="039C5442"/>
    <w:rsid w:val="03C85BD1"/>
    <w:rsid w:val="03D6002B"/>
    <w:rsid w:val="03D96696"/>
    <w:rsid w:val="03DD35E4"/>
    <w:rsid w:val="04076900"/>
    <w:rsid w:val="04163446"/>
    <w:rsid w:val="041A5A3B"/>
    <w:rsid w:val="042311BA"/>
    <w:rsid w:val="042B157A"/>
    <w:rsid w:val="048F763B"/>
    <w:rsid w:val="049F330E"/>
    <w:rsid w:val="04AA775C"/>
    <w:rsid w:val="04AD3DAA"/>
    <w:rsid w:val="04AF1889"/>
    <w:rsid w:val="04BF3ADE"/>
    <w:rsid w:val="04D13B30"/>
    <w:rsid w:val="04F66F48"/>
    <w:rsid w:val="04FE4606"/>
    <w:rsid w:val="04FF6F28"/>
    <w:rsid w:val="05015EA4"/>
    <w:rsid w:val="05104339"/>
    <w:rsid w:val="05251E14"/>
    <w:rsid w:val="05A16594"/>
    <w:rsid w:val="05A7762D"/>
    <w:rsid w:val="05C56ED2"/>
    <w:rsid w:val="060E5941"/>
    <w:rsid w:val="06110FAF"/>
    <w:rsid w:val="06377D37"/>
    <w:rsid w:val="06493CA7"/>
    <w:rsid w:val="065A6178"/>
    <w:rsid w:val="0664493D"/>
    <w:rsid w:val="066F1CF3"/>
    <w:rsid w:val="06930BB8"/>
    <w:rsid w:val="06936FD0"/>
    <w:rsid w:val="069B7C33"/>
    <w:rsid w:val="071C5217"/>
    <w:rsid w:val="07245D42"/>
    <w:rsid w:val="072639A0"/>
    <w:rsid w:val="07264C62"/>
    <w:rsid w:val="075E138C"/>
    <w:rsid w:val="07646421"/>
    <w:rsid w:val="0779354C"/>
    <w:rsid w:val="079C1EB4"/>
    <w:rsid w:val="08061376"/>
    <w:rsid w:val="082E052D"/>
    <w:rsid w:val="08387E2F"/>
    <w:rsid w:val="08452D77"/>
    <w:rsid w:val="085B1E2C"/>
    <w:rsid w:val="086401F8"/>
    <w:rsid w:val="08751CAA"/>
    <w:rsid w:val="087E4C40"/>
    <w:rsid w:val="08940DDD"/>
    <w:rsid w:val="08966904"/>
    <w:rsid w:val="08D66AD6"/>
    <w:rsid w:val="08DA33A3"/>
    <w:rsid w:val="08E80F13"/>
    <w:rsid w:val="09335624"/>
    <w:rsid w:val="0944690F"/>
    <w:rsid w:val="094840A2"/>
    <w:rsid w:val="09535675"/>
    <w:rsid w:val="095F057D"/>
    <w:rsid w:val="09642282"/>
    <w:rsid w:val="09733572"/>
    <w:rsid w:val="09772C16"/>
    <w:rsid w:val="097F55EA"/>
    <w:rsid w:val="098353B5"/>
    <w:rsid w:val="09A92330"/>
    <w:rsid w:val="09B06B87"/>
    <w:rsid w:val="09C13146"/>
    <w:rsid w:val="09E04166"/>
    <w:rsid w:val="09F65832"/>
    <w:rsid w:val="09F8748A"/>
    <w:rsid w:val="0A1C0718"/>
    <w:rsid w:val="0A326B00"/>
    <w:rsid w:val="0A344626"/>
    <w:rsid w:val="0A3E7710"/>
    <w:rsid w:val="0A5B7E63"/>
    <w:rsid w:val="0AA374A5"/>
    <w:rsid w:val="0AAB7649"/>
    <w:rsid w:val="0ABC5606"/>
    <w:rsid w:val="0AD32091"/>
    <w:rsid w:val="0AFE045A"/>
    <w:rsid w:val="0B30404E"/>
    <w:rsid w:val="0B4C6C14"/>
    <w:rsid w:val="0B631A88"/>
    <w:rsid w:val="0B683D45"/>
    <w:rsid w:val="0B7F3F11"/>
    <w:rsid w:val="0B884417"/>
    <w:rsid w:val="0BBF2615"/>
    <w:rsid w:val="0BF6188C"/>
    <w:rsid w:val="0BF73C91"/>
    <w:rsid w:val="0C083FBC"/>
    <w:rsid w:val="0C170175"/>
    <w:rsid w:val="0C571A41"/>
    <w:rsid w:val="0C5C1171"/>
    <w:rsid w:val="0C5E1CBC"/>
    <w:rsid w:val="0C615B50"/>
    <w:rsid w:val="0C7B02EA"/>
    <w:rsid w:val="0C8445DA"/>
    <w:rsid w:val="0C87121B"/>
    <w:rsid w:val="0CC007F7"/>
    <w:rsid w:val="0CCF0636"/>
    <w:rsid w:val="0CD93263"/>
    <w:rsid w:val="0CFE707A"/>
    <w:rsid w:val="0D063BDA"/>
    <w:rsid w:val="0D08375F"/>
    <w:rsid w:val="0D184CFB"/>
    <w:rsid w:val="0D4733F5"/>
    <w:rsid w:val="0D4A7419"/>
    <w:rsid w:val="0D6671EC"/>
    <w:rsid w:val="0D827401"/>
    <w:rsid w:val="0D84094E"/>
    <w:rsid w:val="0D8A00E9"/>
    <w:rsid w:val="0D8D589E"/>
    <w:rsid w:val="0DA01C73"/>
    <w:rsid w:val="0DC9777B"/>
    <w:rsid w:val="0DD63300"/>
    <w:rsid w:val="0DF50604"/>
    <w:rsid w:val="0DF702FE"/>
    <w:rsid w:val="0DF76096"/>
    <w:rsid w:val="0DFC26C6"/>
    <w:rsid w:val="0E060E51"/>
    <w:rsid w:val="0E3E5A73"/>
    <w:rsid w:val="0E5604B2"/>
    <w:rsid w:val="0E6D5D79"/>
    <w:rsid w:val="0E9D0089"/>
    <w:rsid w:val="0EB65F51"/>
    <w:rsid w:val="0EB803EE"/>
    <w:rsid w:val="0ECC307F"/>
    <w:rsid w:val="0EF20BA1"/>
    <w:rsid w:val="0EF94D4B"/>
    <w:rsid w:val="0F1862C4"/>
    <w:rsid w:val="0F296723"/>
    <w:rsid w:val="0F4958DC"/>
    <w:rsid w:val="0F515DF7"/>
    <w:rsid w:val="0F587009"/>
    <w:rsid w:val="0F596BA8"/>
    <w:rsid w:val="0F6248D2"/>
    <w:rsid w:val="0F625791"/>
    <w:rsid w:val="0F661726"/>
    <w:rsid w:val="0F693536"/>
    <w:rsid w:val="0F7B0511"/>
    <w:rsid w:val="0F7B76D9"/>
    <w:rsid w:val="0F816ACD"/>
    <w:rsid w:val="0F9832DB"/>
    <w:rsid w:val="0FBF3FD2"/>
    <w:rsid w:val="0FBF7FF3"/>
    <w:rsid w:val="0FE8213B"/>
    <w:rsid w:val="0FF54858"/>
    <w:rsid w:val="101F18D4"/>
    <w:rsid w:val="103A5728"/>
    <w:rsid w:val="10646583"/>
    <w:rsid w:val="107D4B15"/>
    <w:rsid w:val="108A3C80"/>
    <w:rsid w:val="10A65B52"/>
    <w:rsid w:val="10C15663"/>
    <w:rsid w:val="10C26171"/>
    <w:rsid w:val="10C9171C"/>
    <w:rsid w:val="10F33360"/>
    <w:rsid w:val="10FC16EA"/>
    <w:rsid w:val="110F1D40"/>
    <w:rsid w:val="11266F33"/>
    <w:rsid w:val="11717F0E"/>
    <w:rsid w:val="118045F5"/>
    <w:rsid w:val="118963A1"/>
    <w:rsid w:val="11983F0E"/>
    <w:rsid w:val="11C40985"/>
    <w:rsid w:val="11C6522A"/>
    <w:rsid w:val="11D87F8D"/>
    <w:rsid w:val="11E104CC"/>
    <w:rsid w:val="11E20309"/>
    <w:rsid w:val="12255233"/>
    <w:rsid w:val="12367560"/>
    <w:rsid w:val="12530213"/>
    <w:rsid w:val="127723A9"/>
    <w:rsid w:val="12862074"/>
    <w:rsid w:val="12883966"/>
    <w:rsid w:val="12922FDC"/>
    <w:rsid w:val="129E45B4"/>
    <w:rsid w:val="12A4224F"/>
    <w:rsid w:val="12D81596"/>
    <w:rsid w:val="12F928B1"/>
    <w:rsid w:val="13072A44"/>
    <w:rsid w:val="131274CE"/>
    <w:rsid w:val="135F4BE2"/>
    <w:rsid w:val="1365717A"/>
    <w:rsid w:val="13764217"/>
    <w:rsid w:val="138656F9"/>
    <w:rsid w:val="139B1A0A"/>
    <w:rsid w:val="139D25C7"/>
    <w:rsid w:val="13A9398F"/>
    <w:rsid w:val="13BB36C2"/>
    <w:rsid w:val="13BF3CE4"/>
    <w:rsid w:val="13EE3A98"/>
    <w:rsid w:val="13FA068E"/>
    <w:rsid w:val="141008D8"/>
    <w:rsid w:val="14125FE6"/>
    <w:rsid w:val="141A488D"/>
    <w:rsid w:val="14531B4D"/>
    <w:rsid w:val="145C4EA5"/>
    <w:rsid w:val="14601C37"/>
    <w:rsid w:val="146D271E"/>
    <w:rsid w:val="14982588"/>
    <w:rsid w:val="149A5AD9"/>
    <w:rsid w:val="14A7619D"/>
    <w:rsid w:val="14BE346A"/>
    <w:rsid w:val="14C52A4A"/>
    <w:rsid w:val="150536C3"/>
    <w:rsid w:val="150B2427"/>
    <w:rsid w:val="150C1963"/>
    <w:rsid w:val="151447A0"/>
    <w:rsid w:val="151B08BC"/>
    <w:rsid w:val="154A6454"/>
    <w:rsid w:val="15762120"/>
    <w:rsid w:val="15B30AF5"/>
    <w:rsid w:val="160B0931"/>
    <w:rsid w:val="16225C7A"/>
    <w:rsid w:val="16711FB3"/>
    <w:rsid w:val="16A448E1"/>
    <w:rsid w:val="16A8729C"/>
    <w:rsid w:val="16B33777"/>
    <w:rsid w:val="16BC70A7"/>
    <w:rsid w:val="16C6339E"/>
    <w:rsid w:val="16F2389F"/>
    <w:rsid w:val="1703785A"/>
    <w:rsid w:val="171172B7"/>
    <w:rsid w:val="172041CB"/>
    <w:rsid w:val="172F2D79"/>
    <w:rsid w:val="17557BEF"/>
    <w:rsid w:val="17683B61"/>
    <w:rsid w:val="17897EF2"/>
    <w:rsid w:val="17D349C1"/>
    <w:rsid w:val="17E23913"/>
    <w:rsid w:val="18277578"/>
    <w:rsid w:val="1830729E"/>
    <w:rsid w:val="18581E27"/>
    <w:rsid w:val="1870062C"/>
    <w:rsid w:val="18817102"/>
    <w:rsid w:val="18830A15"/>
    <w:rsid w:val="18852B28"/>
    <w:rsid w:val="188B3FAB"/>
    <w:rsid w:val="188B5321"/>
    <w:rsid w:val="18B84674"/>
    <w:rsid w:val="18CF43F7"/>
    <w:rsid w:val="19876E02"/>
    <w:rsid w:val="19932372"/>
    <w:rsid w:val="19A20DD5"/>
    <w:rsid w:val="19A60971"/>
    <w:rsid w:val="19AE03F1"/>
    <w:rsid w:val="19F16090"/>
    <w:rsid w:val="1A07140F"/>
    <w:rsid w:val="1A071A03"/>
    <w:rsid w:val="1A1F16AE"/>
    <w:rsid w:val="1A3B5C77"/>
    <w:rsid w:val="1A3F504D"/>
    <w:rsid w:val="1A900D86"/>
    <w:rsid w:val="1A984BAD"/>
    <w:rsid w:val="1AB8220E"/>
    <w:rsid w:val="1AC94917"/>
    <w:rsid w:val="1AE4166C"/>
    <w:rsid w:val="1AF06CFB"/>
    <w:rsid w:val="1AF11B8D"/>
    <w:rsid w:val="1B11359C"/>
    <w:rsid w:val="1B26620D"/>
    <w:rsid w:val="1B2A271F"/>
    <w:rsid w:val="1B414DF5"/>
    <w:rsid w:val="1B4842CC"/>
    <w:rsid w:val="1B530544"/>
    <w:rsid w:val="1B530684"/>
    <w:rsid w:val="1B713184"/>
    <w:rsid w:val="1B7C7BDB"/>
    <w:rsid w:val="1B813443"/>
    <w:rsid w:val="1B9C202B"/>
    <w:rsid w:val="1BA209CF"/>
    <w:rsid w:val="1BB4777D"/>
    <w:rsid w:val="1BB630ED"/>
    <w:rsid w:val="1BD21EF1"/>
    <w:rsid w:val="1BD75AB8"/>
    <w:rsid w:val="1BE560E6"/>
    <w:rsid w:val="1BF14125"/>
    <w:rsid w:val="1C0459C2"/>
    <w:rsid w:val="1C1918CE"/>
    <w:rsid w:val="1C1B3B4A"/>
    <w:rsid w:val="1C215C83"/>
    <w:rsid w:val="1C654B13"/>
    <w:rsid w:val="1C88086E"/>
    <w:rsid w:val="1CBC0BD7"/>
    <w:rsid w:val="1CDF48C5"/>
    <w:rsid w:val="1D183933"/>
    <w:rsid w:val="1D216C8C"/>
    <w:rsid w:val="1D266CE1"/>
    <w:rsid w:val="1D2822C8"/>
    <w:rsid w:val="1D3963AF"/>
    <w:rsid w:val="1D4A1E7A"/>
    <w:rsid w:val="1D5801D4"/>
    <w:rsid w:val="1D65301C"/>
    <w:rsid w:val="1D6A673C"/>
    <w:rsid w:val="1D9247AE"/>
    <w:rsid w:val="1D993A50"/>
    <w:rsid w:val="1DB4365C"/>
    <w:rsid w:val="1DB567EC"/>
    <w:rsid w:val="1DF20628"/>
    <w:rsid w:val="1DF51A98"/>
    <w:rsid w:val="1E013579"/>
    <w:rsid w:val="1E0B5246"/>
    <w:rsid w:val="1E3D060F"/>
    <w:rsid w:val="1E3F7D2E"/>
    <w:rsid w:val="1E4134E4"/>
    <w:rsid w:val="1E5062B3"/>
    <w:rsid w:val="1E523514"/>
    <w:rsid w:val="1E714A66"/>
    <w:rsid w:val="1E802593"/>
    <w:rsid w:val="1EA703CC"/>
    <w:rsid w:val="1EB7330C"/>
    <w:rsid w:val="1EF821D6"/>
    <w:rsid w:val="1F0A0FF3"/>
    <w:rsid w:val="1F134CFA"/>
    <w:rsid w:val="1F5771FF"/>
    <w:rsid w:val="1F775289"/>
    <w:rsid w:val="1F8D3B80"/>
    <w:rsid w:val="1FD06747"/>
    <w:rsid w:val="1FE868A9"/>
    <w:rsid w:val="20034907"/>
    <w:rsid w:val="20146634"/>
    <w:rsid w:val="20173E4B"/>
    <w:rsid w:val="204E48BC"/>
    <w:rsid w:val="2054520E"/>
    <w:rsid w:val="208921B3"/>
    <w:rsid w:val="20973DEB"/>
    <w:rsid w:val="20983709"/>
    <w:rsid w:val="20A35C0A"/>
    <w:rsid w:val="20B26522"/>
    <w:rsid w:val="20B44310"/>
    <w:rsid w:val="20BA367F"/>
    <w:rsid w:val="20DF4F83"/>
    <w:rsid w:val="21101501"/>
    <w:rsid w:val="2110329F"/>
    <w:rsid w:val="211116EB"/>
    <w:rsid w:val="21182154"/>
    <w:rsid w:val="213879C6"/>
    <w:rsid w:val="216133FC"/>
    <w:rsid w:val="216D06F2"/>
    <w:rsid w:val="217157F7"/>
    <w:rsid w:val="21D56769"/>
    <w:rsid w:val="21E52EF3"/>
    <w:rsid w:val="21FB5D7B"/>
    <w:rsid w:val="220B1C3D"/>
    <w:rsid w:val="221D1D20"/>
    <w:rsid w:val="22334A87"/>
    <w:rsid w:val="2236569B"/>
    <w:rsid w:val="22401962"/>
    <w:rsid w:val="22592A24"/>
    <w:rsid w:val="226B2757"/>
    <w:rsid w:val="22AD2D70"/>
    <w:rsid w:val="22BE6801"/>
    <w:rsid w:val="22F17100"/>
    <w:rsid w:val="232D0A25"/>
    <w:rsid w:val="233500BF"/>
    <w:rsid w:val="23377FF7"/>
    <w:rsid w:val="236B425F"/>
    <w:rsid w:val="237C23D4"/>
    <w:rsid w:val="23836192"/>
    <w:rsid w:val="23901F29"/>
    <w:rsid w:val="23957A8C"/>
    <w:rsid w:val="239C0061"/>
    <w:rsid w:val="23AA4AC5"/>
    <w:rsid w:val="23B908A4"/>
    <w:rsid w:val="23C91E2B"/>
    <w:rsid w:val="23E95BEF"/>
    <w:rsid w:val="23FD0064"/>
    <w:rsid w:val="24500FB2"/>
    <w:rsid w:val="245375B0"/>
    <w:rsid w:val="24561911"/>
    <w:rsid w:val="24642C0A"/>
    <w:rsid w:val="247B4ED4"/>
    <w:rsid w:val="248A3369"/>
    <w:rsid w:val="24A26071"/>
    <w:rsid w:val="24AC56A6"/>
    <w:rsid w:val="24B22173"/>
    <w:rsid w:val="24B95AD9"/>
    <w:rsid w:val="24BE24DA"/>
    <w:rsid w:val="24CF5825"/>
    <w:rsid w:val="24D663E6"/>
    <w:rsid w:val="24D77F2B"/>
    <w:rsid w:val="25056E93"/>
    <w:rsid w:val="25455EB9"/>
    <w:rsid w:val="258B00E2"/>
    <w:rsid w:val="259F2CA8"/>
    <w:rsid w:val="25A917A6"/>
    <w:rsid w:val="25A94488"/>
    <w:rsid w:val="25BE27CC"/>
    <w:rsid w:val="25F0369F"/>
    <w:rsid w:val="25F74A5C"/>
    <w:rsid w:val="26093479"/>
    <w:rsid w:val="2628662C"/>
    <w:rsid w:val="262D45DE"/>
    <w:rsid w:val="267C6B2D"/>
    <w:rsid w:val="26A12BEB"/>
    <w:rsid w:val="26A53EF9"/>
    <w:rsid w:val="26A94201"/>
    <w:rsid w:val="26AC274F"/>
    <w:rsid w:val="26AF5721"/>
    <w:rsid w:val="26CD1C32"/>
    <w:rsid w:val="26F31699"/>
    <w:rsid w:val="26F62F37"/>
    <w:rsid w:val="26FE16CF"/>
    <w:rsid w:val="27044A29"/>
    <w:rsid w:val="271D34C8"/>
    <w:rsid w:val="27257379"/>
    <w:rsid w:val="27280C17"/>
    <w:rsid w:val="273D41BF"/>
    <w:rsid w:val="27565784"/>
    <w:rsid w:val="276142BF"/>
    <w:rsid w:val="276A122F"/>
    <w:rsid w:val="27765B4A"/>
    <w:rsid w:val="27783712"/>
    <w:rsid w:val="27907362"/>
    <w:rsid w:val="27EC7E96"/>
    <w:rsid w:val="28333E1D"/>
    <w:rsid w:val="28454BD6"/>
    <w:rsid w:val="28455253"/>
    <w:rsid w:val="28551971"/>
    <w:rsid w:val="285717B4"/>
    <w:rsid w:val="285B1C53"/>
    <w:rsid w:val="287179D5"/>
    <w:rsid w:val="287F0D0A"/>
    <w:rsid w:val="28885E11"/>
    <w:rsid w:val="289F7086"/>
    <w:rsid w:val="28C32028"/>
    <w:rsid w:val="28CC490F"/>
    <w:rsid w:val="28DE40AA"/>
    <w:rsid w:val="28F25980"/>
    <w:rsid w:val="290A0F1C"/>
    <w:rsid w:val="2925610E"/>
    <w:rsid w:val="29345E77"/>
    <w:rsid w:val="294C65AD"/>
    <w:rsid w:val="29806583"/>
    <w:rsid w:val="298B3C4C"/>
    <w:rsid w:val="29D67050"/>
    <w:rsid w:val="29F26D24"/>
    <w:rsid w:val="2A15033F"/>
    <w:rsid w:val="2A1662C1"/>
    <w:rsid w:val="2A17169B"/>
    <w:rsid w:val="2A1C7367"/>
    <w:rsid w:val="2A2815FA"/>
    <w:rsid w:val="2A3B6ACC"/>
    <w:rsid w:val="2A6754EA"/>
    <w:rsid w:val="2A6D6092"/>
    <w:rsid w:val="2A7D76B4"/>
    <w:rsid w:val="2AB21765"/>
    <w:rsid w:val="2AE01F34"/>
    <w:rsid w:val="2B125E66"/>
    <w:rsid w:val="2B195446"/>
    <w:rsid w:val="2B437463"/>
    <w:rsid w:val="2B7807EE"/>
    <w:rsid w:val="2B8E1990"/>
    <w:rsid w:val="2B9B5E5B"/>
    <w:rsid w:val="2BBF00EC"/>
    <w:rsid w:val="2BC058C2"/>
    <w:rsid w:val="2BC37CFD"/>
    <w:rsid w:val="2BD5237F"/>
    <w:rsid w:val="2BE536CE"/>
    <w:rsid w:val="2BE758D9"/>
    <w:rsid w:val="2C09049E"/>
    <w:rsid w:val="2C091017"/>
    <w:rsid w:val="2C0A653C"/>
    <w:rsid w:val="2C130F9E"/>
    <w:rsid w:val="2C191F85"/>
    <w:rsid w:val="2C276A75"/>
    <w:rsid w:val="2C3A7318"/>
    <w:rsid w:val="2C495D7B"/>
    <w:rsid w:val="2C536736"/>
    <w:rsid w:val="2C67477C"/>
    <w:rsid w:val="2C9A4365"/>
    <w:rsid w:val="2CD05FD9"/>
    <w:rsid w:val="2CD31625"/>
    <w:rsid w:val="2CE82D6F"/>
    <w:rsid w:val="2CF86E5C"/>
    <w:rsid w:val="2D343236"/>
    <w:rsid w:val="2D776454"/>
    <w:rsid w:val="2D8F0606"/>
    <w:rsid w:val="2DAF26BA"/>
    <w:rsid w:val="2DB94CBF"/>
    <w:rsid w:val="2DD15014"/>
    <w:rsid w:val="2DD41AF8"/>
    <w:rsid w:val="2DE806A9"/>
    <w:rsid w:val="2DF72DE4"/>
    <w:rsid w:val="2E0220AF"/>
    <w:rsid w:val="2E034A0D"/>
    <w:rsid w:val="2E474078"/>
    <w:rsid w:val="2E4B082A"/>
    <w:rsid w:val="2E5D4E86"/>
    <w:rsid w:val="2E5D790B"/>
    <w:rsid w:val="2E9A3C18"/>
    <w:rsid w:val="2EAE5EA6"/>
    <w:rsid w:val="2EBB0FEE"/>
    <w:rsid w:val="2EC63002"/>
    <w:rsid w:val="2ED94FD0"/>
    <w:rsid w:val="2F0A6B38"/>
    <w:rsid w:val="2F2F7275"/>
    <w:rsid w:val="2F946CCB"/>
    <w:rsid w:val="2FD25781"/>
    <w:rsid w:val="2FE06533"/>
    <w:rsid w:val="2FFD7934"/>
    <w:rsid w:val="300246FB"/>
    <w:rsid w:val="303E7AD5"/>
    <w:rsid w:val="30503F21"/>
    <w:rsid w:val="30711881"/>
    <w:rsid w:val="30733ACD"/>
    <w:rsid w:val="308C3862"/>
    <w:rsid w:val="309379D8"/>
    <w:rsid w:val="30A270F7"/>
    <w:rsid w:val="30A532D8"/>
    <w:rsid w:val="30C877FC"/>
    <w:rsid w:val="30D77936"/>
    <w:rsid w:val="30DF1478"/>
    <w:rsid w:val="30EC586F"/>
    <w:rsid w:val="31230DCD"/>
    <w:rsid w:val="312406A1"/>
    <w:rsid w:val="31552F50"/>
    <w:rsid w:val="31563938"/>
    <w:rsid w:val="317D375D"/>
    <w:rsid w:val="319C6071"/>
    <w:rsid w:val="31AC537E"/>
    <w:rsid w:val="31AF08B2"/>
    <w:rsid w:val="31C9603C"/>
    <w:rsid w:val="31E3679B"/>
    <w:rsid w:val="31E732FD"/>
    <w:rsid w:val="31ED4F37"/>
    <w:rsid w:val="32517576"/>
    <w:rsid w:val="328C4750"/>
    <w:rsid w:val="329B0E37"/>
    <w:rsid w:val="32BE5C2C"/>
    <w:rsid w:val="32DF6F75"/>
    <w:rsid w:val="32FB6478"/>
    <w:rsid w:val="33263B3F"/>
    <w:rsid w:val="336963EB"/>
    <w:rsid w:val="33816EEB"/>
    <w:rsid w:val="33D46D22"/>
    <w:rsid w:val="33EB55CD"/>
    <w:rsid w:val="33EC4C02"/>
    <w:rsid w:val="33F46A50"/>
    <w:rsid w:val="340D2360"/>
    <w:rsid w:val="3410665D"/>
    <w:rsid w:val="34211214"/>
    <w:rsid w:val="342A4817"/>
    <w:rsid w:val="342E63AB"/>
    <w:rsid w:val="34607C42"/>
    <w:rsid w:val="34950E68"/>
    <w:rsid w:val="34986E94"/>
    <w:rsid w:val="349E2F26"/>
    <w:rsid w:val="34AF62C9"/>
    <w:rsid w:val="34CB4388"/>
    <w:rsid w:val="34FA6E12"/>
    <w:rsid w:val="34FB796B"/>
    <w:rsid w:val="358D5588"/>
    <w:rsid w:val="35C80195"/>
    <w:rsid w:val="362D7FF8"/>
    <w:rsid w:val="363A3B40"/>
    <w:rsid w:val="365302AE"/>
    <w:rsid w:val="36607A0A"/>
    <w:rsid w:val="366E227C"/>
    <w:rsid w:val="366F2E0D"/>
    <w:rsid w:val="367B6A5C"/>
    <w:rsid w:val="36A24542"/>
    <w:rsid w:val="36A74ADA"/>
    <w:rsid w:val="36AD60D5"/>
    <w:rsid w:val="36B224F9"/>
    <w:rsid w:val="36E95049"/>
    <w:rsid w:val="36EC0CC9"/>
    <w:rsid w:val="372E5DD5"/>
    <w:rsid w:val="373F410B"/>
    <w:rsid w:val="373F7FE3"/>
    <w:rsid w:val="374C0952"/>
    <w:rsid w:val="3753122D"/>
    <w:rsid w:val="37643EED"/>
    <w:rsid w:val="379B2CA5"/>
    <w:rsid w:val="37B3277F"/>
    <w:rsid w:val="37BF1123"/>
    <w:rsid w:val="37EE7094"/>
    <w:rsid w:val="38190D25"/>
    <w:rsid w:val="381C20D2"/>
    <w:rsid w:val="381C47C8"/>
    <w:rsid w:val="38296C89"/>
    <w:rsid w:val="383002EB"/>
    <w:rsid w:val="38586797"/>
    <w:rsid w:val="38B75E60"/>
    <w:rsid w:val="38BC0149"/>
    <w:rsid w:val="38D87D1C"/>
    <w:rsid w:val="38EF5451"/>
    <w:rsid w:val="390C4194"/>
    <w:rsid w:val="39175A86"/>
    <w:rsid w:val="39636459"/>
    <w:rsid w:val="396A50BF"/>
    <w:rsid w:val="396B7F6C"/>
    <w:rsid w:val="397C3770"/>
    <w:rsid w:val="39837B1F"/>
    <w:rsid w:val="39B417A9"/>
    <w:rsid w:val="39FC5695"/>
    <w:rsid w:val="3A006D8E"/>
    <w:rsid w:val="3A06128C"/>
    <w:rsid w:val="3A3651E5"/>
    <w:rsid w:val="3A3A2CE3"/>
    <w:rsid w:val="3A744481"/>
    <w:rsid w:val="3A8C7BEF"/>
    <w:rsid w:val="3A906246"/>
    <w:rsid w:val="3AC151B3"/>
    <w:rsid w:val="3ACB01E2"/>
    <w:rsid w:val="3AFD61EB"/>
    <w:rsid w:val="3B20012B"/>
    <w:rsid w:val="3B2349B7"/>
    <w:rsid w:val="3B616CFF"/>
    <w:rsid w:val="3B6259F6"/>
    <w:rsid w:val="3B810D72"/>
    <w:rsid w:val="3B976654"/>
    <w:rsid w:val="3BC01EFC"/>
    <w:rsid w:val="3BCA786A"/>
    <w:rsid w:val="3BD31E2F"/>
    <w:rsid w:val="3BD3519D"/>
    <w:rsid w:val="3BF15831"/>
    <w:rsid w:val="3C08753D"/>
    <w:rsid w:val="3C0D4B53"/>
    <w:rsid w:val="3C105946"/>
    <w:rsid w:val="3C215F09"/>
    <w:rsid w:val="3C444A12"/>
    <w:rsid w:val="3C44609B"/>
    <w:rsid w:val="3C471448"/>
    <w:rsid w:val="3C5A766D"/>
    <w:rsid w:val="3C5F759A"/>
    <w:rsid w:val="3C6C525A"/>
    <w:rsid w:val="3C9E1C4F"/>
    <w:rsid w:val="3CCE23CB"/>
    <w:rsid w:val="3CD17D17"/>
    <w:rsid w:val="3D3C7F39"/>
    <w:rsid w:val="3D440F09"/>
    <w:rsid w:val="3D4504A0"/>
    <w:rsid w:val="3D450A5A"/>
    <w:rsid w:val="3D7604D6"/>
    <w:rsid w:val="3D8734BB"/>
    <w:rsid w:val="3D8A3F82"/>
    <w:rsid w:val="3D9A11D4"/>
    <w:rsid w:val="3DA16D89"/>
    <w:rsid w:val="3DA364BE"/>
    <w:rsid w:val="3DC02F49"/>
    <w:rsid w:val="3DDF45AE"/>
    <w:rsid w:val="3DE041CB"/>
    <w:rsid w:val="3DF95BA5"/>
    <w:rsid w:val="3E0D48F6"/>
    <w:rsid w:val="3E1868B4"/>
    <w:rsid w:val="3E377251"/>
    <w:rsid w:val="3E42664B"/>
    <w:rsid w:val="3E5A7334"/>
    <w:rsid w:val="3E7B5D6B"/>
    <w:rsid w:val="3E843E66"/>
    <w:rsid w:val="3E8F51FE"/>
    <w:rsid w:val="3E926F87"/>
    <w:rsid w:val="3E9A59DE"/>
    <w:rsid w:val="3EA64DEB"/>
    <w:rsid w:val="3EA90437"/>
    <w:rsid w:val="3EAF4836"/>
    <w:rsid w:val="3EC33DFA"/>
    <w:rsid w:val="3EDA5F2B"/>
    <w:rsid w:val="3EEF0540"/>
    <w:rsid w:val="3F060E16"/>
    <w:rsid w:val="3F1D1096"/>
    <w:rsid w:val="3F216825"/>
    <w:rsid w:val="3F2F0234"/>
    <w:rsid w:val="3F6363FE"/>
    <w:rsid w:val="3F7153F9"/>
    <w:rsid w:val="3F756B8F"/>
    <w:rsid w:val="3F95482B"/>
    <w:rsid w:val="3FBE7F13"/>
    <w:rsid w:val="3FF676AC"/>
    <w:rsid w:val="3FFC76BE"/>
    <w:rsid w:val="4010076E"/>
    <w:rsid w:val="4019356B"/>
    <w:rsid w:val="40592157"/>
    <w:rsid w:val="406E1CAE"/>
    <w:rsid w:val="40A0133A"/>
    <w:rsid w:val="40A84F06"/>
    <w:rsid w:val="40C2069E"/>
    <w:rsid w:val="40C31A53"/>
    <w:rsid w:val="40C94DC1"/>
    <w:rsid w:val="40D55514"/>
    <w:rsid w:val="40EA6924"/>
    <w:rsid w:val="40FF545D"/>
    <w:rsid w:val="410067C8"/>
    <w:rsid w:val="41202C33"/>
    <w:rsid w:val="414A5F02"/>
    <w:rsid w:val="4169774F"/>
    <w:rsid w:val="416C42E4"/>
    <w:rsid w:val="416E7E42"/>
    <w:rsid w:val="41782A6F"/>
    <w:rsid w:val="417C1E33"/>
    <w:rsid w:val="418C02C8"/>
    <w:rsid w:val="418F0D2A"/>
    <w:rsid w:val="41911D83"/>
    <w:rsid w:val="41A91615"/>
    <w:rsid w:val="41D01505"/>
    <w:rsid w:val="42474939"/>
    <w:rsid w:val="424C3C57"/>
    <w:rsid w:val="42613FF3"/>
    <w:rsid w:val="42660D96"/>
    <w:rsid w:val="428667D2"/>
    <w:rsid w:val="42AD499A"/>
    <w:rsid w:val="42CD1CE0"/>
    <w:rsid w:val="42E1381E"/>
    <w:rsid w:val="42ED6459"/>
    <w:rsid w:val="42FE58DD"/>
    <w:rsid w:val="43174B3D"/>
    <w:rsid w:val="431C38CE"/>
    <w:rsid w:val="434B790E"/>
    <w:rsid w:val="4360274F"/>
    <w:rsid w:val="43977AB6"/>
    <w:rsid w:val="43A3342B"/>
    <w:rsid w:val="43BE4985"/>
    <w:rsid w:val="43C77C27"/>
    <w:rsid w:val="43D917BF"/>
    <w:rsid w:val="43DE09EE"/>
    <w:rsid w:val="44002FAD"/>
    <w:rsid w:val="443B7D84"/>
    <w:rsid w:val="449101DD"/>
    <w:rsid w:val="44C304A5"/>
    <w:rsid w:val="44D43AEA"/>
    <w:rsid w:val="44DE1391"/>
    <w:rsid w:val="451B225C"/>
    <w:rsid w:val="452410C9"/>
    <w:rsid w:val="45317DFB"/>
    <w:rsid w:val="454D3811"/>
    <w:rsid w:val="456D3CE4"/>
    <w:rsid w:val="4579042C"/>
    <w:rsid w:val="457F0571"/>
    <w:rsid w:val="45851176"/>
    <w:rsid w:val="45C63B94"/>
    <w:rsid w:val="46024FFD"/>
    <w:rsid w:val="460E7DA5"/>
    <w:rsid w:val="461C2902"/>
    <w:rsid w:val="463B406B"/>
    <w:rsid w:val="46422483"/>
    <w:rsid w:val="4659254A"/>
    <w:rsid w:val="465B0637"/>
    <w:rsid w:val="465E3F0D"/>
    <w:rsid w:val="466A16E6"/>
    <w:rsid w:val="46751193"/>
    <w:rsid w:val="46893F2B"/>
    <w:rsid w:val="468A0B4E"/>
    <w:rsid w:val="46C4686E"/>
    <w:rsid w:val="471A45C8"/>
    <w:rsid w:val="477B778F"/>
    <w:rsid w:val="478203EC"/>
    <w:rsid w:val="47A82EF4"/>
    <w:rsid w:val="47B025FA"/>
    <w:rsid w:val="47B57E4D"/>
    <w:rsid w:val="47EC2D99"/>
    <w:rsid w:val="4800731A"/>
    <w:rsid w:val="4809698F"/>
    <w:rsid w:val="4811697D"/>
    <w:rsid w:val="4828061F"/>
    <w:rsid w:val="48435459"/>
    <w:rsid w:val="487A3E25"/>
    <w:rsid w:val="488B5503"/>
    <w:rsid w:val="48937E21"/>
    <w:rsid w:val="489A0361"/>
    <w:rsid w:val="48B94FF3"/>
    <w:rsid w:val="48E37AAB"/>
    <w:rsid w:val="48FD4B4C"/>
    <w:rsid w:val="490A68E0"/>
    <w:rsid w:val="491055FE"/>
    <w:rsid w:val="49455160"/>
    <w:rsid w:val="495F5B3E"/>
    <w:rsid w:val="496F77D7"/>
    <w:rsid w:val="497654FD"/>
    <w:rsid w:val="49AD5280"/>
    <w:rsid w:val="49B64211"/>
    <w:rsid w:val="49CF51F6"/>
    <w:rsid w:val="49F6167F"/>
    <w:rsid w:val="4A064FA0"/>
    <w:rsid w:val="4A16615C"/>
    <w:rsid w:val="4A370FED"/>
    <w:rsid w:val="4A437992"/>
    <w:rsid w:val="4A4424D7"/>
    <w:rsid w:val="4A69389D"/>
    <w:rsid w:val="4A783AE0"/>
    <w:rsid w:val="4A8368F1"/>
    <w:rsid w:val="4A985F30"/>
    <w:rsid w:val="4AAA17BF"/>
    <w:rsid w:val="4AB82D0F"/>
    <w:rsid w:val="4AEB7664"/>
    <w:rsid w:val="4AFD7C19"/>
    <w:rsid w:val="4B0567D1"/>
    <w:rsid w:val="4B236AAE"/>
    <w:rsid w:val="4B315A3D"/>
    <w:rsid w:val="4B707271"/>
    <w:rsid w:val="4B72052F"/>
    <w:rsid w:val="4B9739F7"/>
    <w:rsid w:val="4B99725C"/>
    <w:rsid w:val="4BA95F1B"/>
    <w:rsid w:val="4BEE2503"/>
    <w:rsid w:val="4C1635B0"/>
    <w:rsid w:val="4C245A30"/>
    <w:rsid w:val="4C347B6F"/>
    <w:rsid w:val="4C5B0FC3"/>
    <w:rsid w:val="4C5E176C"/>
    <w:rsid w:val="4C6B4F7E"/>
    <w:rsid w:val="4C8229F4"/>
    <w:rsid w:val="4C8F2321"/>
    <w:rsid w:val="4CB37051"/>
    <w:rsid w:val="4CB6685F"/>
    <w:rsid w:val="4CC367FE"/>
    <w:rsid w:val="4CEF5BAF"/>
    <w:rsid w:val="4CF9127D"/>
    <w:rsid w:val="4D077F3C"/>
    <w:rsid w:val="4D123355"/>
    <w:rsid w:val="4D1D096E"/>
    <w:rsid w:val="4D227D33"/>
    <w:rsid w:val="4D2A3B31"/>
    <w:rsid w:val="4D2E2B7B"/>
    <w:rsid w:val="4D312C52"/>
    <w:rsid w:val="4D323656"/>
    <w:rsid w:val="4D3A1520"/>
    <w:rsid w:val="4D6420F9"/>
    <w:rsid w:val="4D905305"/>
    <w:rsid w:val="4D950505"/>
    <w:rsid w:val="4D964A72"/>
    <w:rsid w:val="4D9C1254"/>
    <w:rsid w:val="4D9F3131"/>
    <w:rsid w:val="4DE35714"/>
    <w:rsid w:val="4E516B22"/>
    <w:rsid w:val="4E740A62"/>
    <w:rsid w:val="4E793892"/>
    <w:rsid w:val="4E7B3B9E"/>
    <w:rsid w:val="4E800872"/>
    <w:rsid w:val="4EC569ED"/>
    <w:rsid w:val="4ED50EA1"/>
    <w:rsid w:val="4ED92008"/>
    <w:rsid w:val="4EEC050C"/>
    <w:rsid w:val="4F104EC3"/>
    <w:rsid w:val="4F47354A"/>
    <w:rsid w:val="4F4F7C6B"/>
    <w:rsid w:val="4F911C54"/>
    <w:rsid w:val="4FB05ACA"/>
    <w:rsid w:val="4FC96B8B"/>
    <w:rsid w:val="4FCE5B23"/>
    <w:rsid w:val="4FE502D2"/>
    <w:rsid w:val="4FE625E0"/>
    <w:rsid w:val="4FF2271C"/>
    <w:rsid w:val="5021480F"/>
    <w:rsid w:val="50382487"/>
    <w:rsid w:val="504D3319"/>
    <w:rsid w:val="50962ECB"/>
    <w:rsid w:val="50974594"/>
    <w:rsid w:val="50A42E38"/>
    <w:rsid w:val="50A4577F"/>
    <w:rsid w:val="50B73D1F"/>
    <w:rsid w:val="50BD5BC9"/>
    <w:rsid w:val="50C11EEE"/>
    <w:rsid w:val="50E97CFC"/>
    <w:rsid w:val="50ED0658"/>
    <w:rsid w:val="50F11EF6"/>
    <w:rsid w:val="50FA4028"/>
    <w:rsid w:val="51031098"/>
    <w:rsid w:val="510D65B7"/>
    <w:rsid w:val="511157AB"/>
    <w:rsid w:val="5142540C"/>
    <w:rsid w:val="516052CE"/>
    <w:rsid w:val="51714DE5"/>
    <w:rsid w:val="518832C8"/>
    <w:rsid w:val="51A0432A"/>
    <w:rsid w:val="51A86090"/>
    <w:rsid w:val="51B7396D"/>
    <w:rsid w:val="51E33663"/>
    <w:rsid w:val="522E4CC3"/>
    <w:rsid w:val="523E73BD"/>
    <w:rsid w:val="5244713B"/>
    <w:rsid w:val="5253098E"/>
    <w:rsid w:val="525D44AE"/>
    <w:rsid w:val="52615633"/>
    <w:rsid w:val="526A01B2"/>
    <w:rsid w:val="526A7414"/>
    <w:rsid w:val="52977FD4"/>
    <w:rsid w:val="52A25790"/>
    <w:rsid w:val="52A96B6F"/>
    <w:rsid w:val="52B45975"/>
    <w:rsid w:val="52B4767F"/>
    <w:rsid w:val="52D94AA4"/>
    <w:rsid w:val="52E141EC"/>
    <w:rsid w:val="52EA3A62"/>
    <w:rsid w:val="52F50BB8"/>
    <w:rsid w:val="53097272"/>
    <w:rsid w:val="53283BC9"/>
    <w:rsid w:val="53544462"/>
    <w:rsid w:val="5365684A"/>
    <w:rsid w:val="538057B3"/>
    <w:rsid w:val="53815A5F"/>
    <w:rsid w:val="5397158E"/>
    <w:rsid w:val="53BF0089"/>
    <w:rsid w:val="54013861"/>
    <w:rsid w:val="54071A30"/>
    <w:rsid w:val="54383D52"/>
    <w:rsid w:val="54422A68"/>
    <w:rsid w:val="54487265"/>
    <w:rsid w:val="54496BDA"/>
    <w:rsid w:val="544D6070"/>
    <w:rsid w:val="54605E1E"/>
    <w:rsid w:val="54B3506A"/>
    <w:rsid w:val="54CA0D16"/>
    <w:rsid w:val="54DD4057"/>
    <w:rsid w:val="54E02C40"/>
    <w:rsid w:val="54E7490F"/>
    <w:rsid w:val="54F46459"/>
    <w:rsid w:val="54FE1085"/>
    <w:rsid w:val="550764A4"/>
    <w:rsid w:val="550B2BF6"/>
    <w:rsid w:val="55214EB5"/>
    <w:rsid w:val="55364EFD"/>
    <w:rsid w:val="5555404F"/>
    <w:rsid w:val="555D4828"/>
    <w:rsid w:val="555D5DAC"/>
    <w:rsid w:val="557A4C8B"/>
    <w:rsid w:val="558931E1"/>
    <w:rsid w:val="55923347"/>
    <w:rsid w:val="55925180"/>
    <w:rsid w:val="55983B1B"/>
    <w:rsid w:val="55A8376B"/>
    <w:rsid w:val="55DC29B6"/>
    <w:rsid w:val="55DD4241"/>
    <w:rsid w:val="55E83909"/>
    <w:rsid w:val="55EE4C56"/>
    <w:rsid w:val="560C332E"/>
    <w:rsid w:val="56244B1C"/>
    <w:rsid w:val="564B20A8"/>
    <w:rsid w:val="566B6D1E"/>
    <w:rsid w:val="56867584"/>
    <w:rsid w:val="569357FD"/>
    <w:rsid w:val="56B75990"/>
    <w:rsid w:val="57032A2C"/>
    <w:rsid w:val="570F5219"/>
    <w:rsid w:val="573E1C0D"/>
    <w:rsid w:val="57511940"/>
    <w:rsid w:val="575D12B5"/>
    <w:rsid w:val="57610A87"/>
    <w:rsid w:val="577B1140"/>
    <w:rsid w:val="577B7F21"/>
    <w:rsid w:val="577F181B"/>
    <w:rsid w:val="57921984"/>
    <w:rsid w:val="579737F0"/>
    <w:rsid w:val="57AB7B30"/>
    <w:rsid w:val="57AF5251"/>
    <w:rsid w:val="57B26373"/>
    <w:rsid w:val="57B63F04"/>
    <w:rsid w:val="57B65C47"/>
    <w:rsid w:val="57CD20C2"/>
    <w:rsid w:val="57D675AB"/>
    <w:rsid w:val="57D95FDD"/>
    <w:rsid w:val="580F5357"/>
    <w:rsid w:val="5857493E"/>
    <w:rsid w:val="58917D2F"/>
    <w:rsid w:val="5894085C"/>
    <w:rsid w:val="589B6FEB"/>
    <w:rsid w:val="58AE4F0C"/>
    <w:rsid w:val="58B85899"/>
    <w:rsid w:val="58D676A0"/>
    <w:rsid w:val="58E363A9"/>
    <w:rsid w:val="593E70C4"/>
    <w:rsid w:val="594F216F"/>
    <w:rsid w:val="595E1678"/>
    <w:rsid w:val="596D5BD4"/>
    <w:rsid w:val="597E3DD8"/>
    <w:rsid w:val="59AB1B80"/>
    <w:rsid w:val="59CC3500"/>
    <w:rsid w:val="59D2321E"/>
    <w:rsid w:val="59EF3692"/>
    <w:rsid w:val="59F80043"/>
    <w:rsid w:val="5A09252F"/>
    <w:rsid w:val="5A0B2778"/>
    <w:rsid w:val="5A0E58C7"/>
    <w:rsid w:val="5A2A7C7B"/>
    <w:rsid w:val="5A3E2560"/>
    <w:rsid w:val="5A3F0176"/>
    <w:rsid w:val="5A43311D"/>
    <w:rsid w:val="5A5D3B6E"/>
    <w:rsid w:val="5A637A76"/>
    <w:rsid w:val="5A6D33BA"/>
    <w:rsid w:val="5A792B1F"/>
    <w:rsid w:val="5A837B59"/>
    <w:rsid w:val="5A874767"/>
    <w:rsid w:val="5AAD6F28"/>
    <w:rsid w:val="5ACE14FA"/>
    <w:rsid w:val="5AD63A24"/>
    <w:rsid w:val="5B155EE3"/>
    <w:rsid w:val="5B2E1A1D"/>
    <w:rsid w:val="5B2E3D47"/>
    <w:rsid w:val="5B721E85"/>
    <w:rsid w:val="5B743E4F"/>
    <w:rsid w:val="5B7E6A7C"/>
    <w:rsid w:val="5B843A1C"/>
    <w:rsid w:val="5B873E3F"/>
    <w:rsid w:val="5B8B6B74"/>
    <w:rsid w:val="5BDF3F89"/>
    <w:rsid w:val="5C02690E"/>
    <w:rsid w:val="5C0F1DCA"/>
    <w:rsid w:val="5C196DA7"/>
    <w:rsid w:val="5C2A048C"/>
    <w:rsid w:val="5C375C2F"/>
    <w:rsid w:val="5C4001D5"/>
    <w:rsid w:val="5C5F065B"/>
    <w:rsid w:val="5C80234E"/>
    <w:rsid w:val="5C8A680C"/>
    <w:rsid w:val="5CB5471F"/>
    <w:rsid w:val="5CBB785C"/>
    <w:rsid w:val="5CDB3A5A"/>
    <w:rsid w:val="5D0C4701"/>
    <w:rsid w:val="5D0F0395"/>
    <w:rsid w:val="5D1E0ADA"/>
    <w:rsid w:val="5D221076"/>
    <w:rsid w:val="5D3466DE"/>
    <w:rsid w:val="5D397964"/>
    <w:rsid w:val="5D495E73"/>
    <w:rsid w:val="5D5A391C"/>
    <w:rsid w:val="5D5F10C0"/>
    <w:rsid w:val="5D891B7B"/>
    <w:rsid w:val="5DAD38EE"/>
    <w:rsid w:val="5DD24E5D"/>
    <w:rsid w:val="5E006862"/>
    <w:rsid w:val="5E0207B9"/>
    <w:rsid w:val="5E1834A1"/>
    <w:rsid w:val="5E261785"/>
    <w:rsid w:val="5E4A7017"/>
    <w:rsid w:val="5E5341F0"/>
    <w:rsid w:val="5E552BBA"/>
    <w:rsid w:val="5E611C10"/>
    <w:rsid w:val="5E784F5B"/>
    <w:rsid w:val="5E9F598D"/>
    <w:rsid w:val="5EB138E3"/>
    <w:rsid w:val="5EDF7EEE"/>
    <w:rsid w:val="5EFC7377"/>
    <w:rsid w:val="5F06174D"/>
    <w:rsid w:val="5F2B6F1B"/>
    <w:rsid w:val="5F3A3602"/>
    <w:rsid w:val="5F5024DD"/>
    <w:rsid w:val="5F6277C6"/>
    <w:rsid w:val="5F6D0B1D"/>
    <w:rsid w:val="5F73441E"/>
    <w:rsid w:val="5F8D0B82"/>
    <w:rsid w:val="5FCC5339"/>
    <w:rsid w:val="5FE34A5B"/>
    <w:rsid w:val="5FFE1E36"/>
    <w:rsid w:val="600734E4"/>
    <w:rsid w:val="6017124D"/>
    <w:rsid w:val="60232584"/>
    <w:rsid w:val="60675D31"/>
    <w:rsid w:val="60715976"/>
    <w:rsid w:val="607330CE"/>
    <w:rsid w:val="60782F1C"/>
    <w:rsid w:val="60825176"/>
    <w:rsid w:val="609E56D7"/>
    <w:rsid w:val="609F2AC4"/>
    <w:rsid w:val="60C767CF"/>
    <w:rsid w:val="60E27AAD"/>
    <w:rsid w:val="60FA2EE8"/>
    <w:rsid w:val="61054A27"/>
    <w:rsid w:val="610A52BC"/>
    <w:rsid w:val="611D2366"/>
    <w:rsid w:val="61421856"/>
    <w:rsid w:val="615227C4"/>
    <w:rsid w:val="61573FF7"/>
    <w:rsid w:val="61654E3F"/>
    <w:rsid w:val="6182292A"/>
    <w:rsid w:val="61923281"/>
    <w:rsid w:val="619F7F92"/>
    <w:rsid w:val="61D76A92"/>
    <w:rsid w:val="61F94C26"/>
    <w:rsid w:val="62000E56"/>
    <w:rsid w:val="621841D9"/>
    <w:rsid w:val="624F3E49"/>
    <w:rsid w:val="62632286"/>
    <w:rsid w:val="62885958"/>
    <w:rsid w:val="62976675"/>
    <w:rsid w:val="62DD22DA"/>
    <w:rsid w:val="62F40B65"/>
    <w:rsid w:val="62FC2CFE"/>
    <w:rsid w:val="63024505"/>
    <w:rsid w:val="631B72A6"/>
    <w:rsid w:val="635B1DB5"/>
    <w:rsid w:val="63711FED"/>
    <w:rsid w:val="63880DDC"/>
    <w:rsid w:val="638D750D"/>
    <w:rsid w:val="63AC6CC0"/>
    <w:rsid w:val="63C45248"/>
    <w:rsid w:val="64055776"/>
    <w:rsid w:val="64151F48"/>
    <w:rsid w:val="64240056"/>
    <w:rsid w:val="642E6B65"/>
    <w:rsid w:val="643E143A"/>
    <w:rsid w:val="648B6EEF"/>
    <w:rsid w:val="649E1F3D"/>
    <w:rsid w:val="64A07A63"/>
    <w:rsid w:val="64A7009C"/>
    <w:rsid w:val="64C158BF"/>
    <w:rsid w:val="64C51278"/>
    <w:rsid w:val="64C64FF0"/>
    <w:rsid w:val="64CE2EAA"/>
    <w:rsid w:val="64F953C5"/>
    <w:rsid w:val="653C3090"/>
    <w:rsid w:val="65444892"/>
    <w:rsid w:val="65624D19"/>
    <w:rsid w:val="65854376"/>
    <w:rsid w:val="658767BE"/>
    <w:rsid w:val="65892531"/>
    <w:rsid w:val="65B31A18"/>
    <w:rsid w:val="65EA56AA"/>
    <w:rsid w:val="66195831"/>
    <w:rsid w:val="66216AD9"/>
    <w:rsid w:val="66263F98"/>
    <w:rsid w:val="662841B4"/>
    <w:rsid w:val="662E75B1"/>
    <w:rsid w:val="66342C2E"/>
    <w:rsid w:val="663E784C"/>
    <w:rsid w:val="66501015"/>
    <w:rsid w:val="667F18FA"/>
    <w:rsid w:val="668B6A45"/>
    <w:rsid w:val="66A01F9C"/>
    <w:rsid w:val="66E37B12"/>
    <w:rsid w:val="67002A3B"/>
    <w:rsid w:val="670E4A09"/>
    <w:rsid w:val="672F3F24"/>
    <w:rsid w:val="673E055F"/>
    <w:rsid w:val="67551CE3"/>
    <w:rsid w:val="675F6227"/>
    <w:rsid w:val="67A22552"/>
    <w:rsid w:val="67B22DCC"/>
    <w:rsid w:val="67BE71AA"/>
    <w:rsid w:val="67C76A72"/>
    <w:rsid w:val="67D90273"/>
    <w:rsid w:val="67DE5875"/>
    <w:rsid w:val="67E55852"/>
    <w:rsid w:val="67EB1AB4"/>
    <w:rsid w:val="67F72090"/>
    <w:rsid w:val="67FA1285"/>
    <w:rsid w:val="68551F4F"/>
    <w:rsid w:val="68683376"/>
    <w:rsid w:val="687C10C9"/>
    <w:rsid w:val="68840C16"/>
    <w:rsid w:val="68876EFB"/>
    <w:rsid w:val="68884654"/>
    <w:rsid w:val="689F444F"/>
    <w:rsid w:val="68A93A29"/>
    <w:rsid w:val="68B96DBB"/>
    <w:rsid w:val="68BB3BA5"/>
    <w:rsid w:val="68CA2805"/>
    <w:rsid w:val="68E36170"/>
    <w:rsid w:val="68E937A3"/>
    <w:rsid w:val="68F5387E"/>
    <w:rsid w:val="68F7623C"/>
    <w:rsid w:val="69020CEC"/>
    <w:rsid w:val="693E15D3"/>
    <w:rsid w:val="69627681"/>
    <w:rsid w:val="6977531D"/>
    <w:rsid w:val="699102C2"/>
    <w:rsid w:val="69A578CA"/>
    <w:rsid w:val="69CC2BFF"/>
    <w:rsid w:val="69EE1B0B"/>
    <w:rsid w:val="69F06D97"/>
    <w:rsid w:val="69FD55B8"/>
    <w:rsid w:val="6A0B1C62"/>
    <w:rsid w:val="6A1C1BCD"/>
    <w:rsid w:val="6A2406C8"/>
    <w:rsid w:val="6A241217"/>
    <w:rsid w:val="6A7A48B2"/>
    <w:rsid w:val="6A8A71EB"/>
    <w:rsid w:val="6A955B90"/>
    <w:rsid w:val="6ADE0BD1"/>
    <w:rsid w:val="6AE35122"/>
    <w:rsid w:val="6AE96859"/>
    <w:rsid w:val="6B032AFA"/>
    <w:rsid w:val="6B032B7B"/>
    <w:rsid w:val="6B147746"/>
    <w:rsid w:val="6B24787C"/>
    <w:rsid w:val="6B573233"/>
    <w:rsid w:val="6B5B6274"/>
    <w:rsid w:val="6B826114"/>
    <w:rsid w:val="6B935D53"/>
    <w:rsid w:val="6BE20961"/>
    <w:rsid w:val="6C196F71"/>
    <w:rsid w:val="6C226FCB"/>
    <w:rsid w:val="6C270A6A"/>
    <w:rsid w:val="6C31226F"/>
    <w:rsid w:val="6C3911C2"/>
    <w:rsid w:val="6C501D6F"/>
    <w:rsid w:val="6C552F0B"/>
    <w:rsid w:val="6C8251EB"/>
    <w:rsid w:val="6C8C67B7"/>
    <w:rsid w:val="6C922387"/>
    <w:rsid w:val="6C9D744C"/>
    <w:rsid w:val="6D167928"/>
    <w:rsid w:val="6D26299B"/>
    <w:rsid w:val="6D4772EC"/>
    <w:rsid w:val="6D5533B5"/>
    <w:rsid w:val="6D592EA5"/>
    <w:rsid w:val="6D853C9A"/>
    <w:rsid w:val="6D88378A"/>
    <w:rsid w:val="6D8F751D"/>
    <w:rsid w:val="6D9078AF"/>
    <w:rsid w:val="6D934609"/>
    <w:rsid w:val="6DAA3FEF"/>
    <w:rsid w:val="6DC0172B"/>
    <w:rsid w:val="6DC9780C"/>
    <w:rsid w:val="6DCB690C"/>
    <w:rsid w:val="6DD24A05"/>
    <w:rsid w:val="6DD41A5B"/>
    <w:rsid w:val="6DF43C2E"/>
    <w:rsid w:val="6DF51CA3"/>
    <w:rsid w:val="6E0B130D"/>
    <w:rsid w:val="6E1F6417"/>
    <w:rsid w:val="6E4161AA"/>
    <w:rsid w:val="6E5042A8"/>
    <w:rsid w:val="6E5D69C5"/>
    <w:rsid w:val="6E6B2E90"/>
    <w:rsid w:val="6E8335BD"/>
    <w:rsid w:val="6E8E12EF"/>
    <w:rsid w:val="6E972936"/>
    <w:rsid w:val="6EBF02EC"/>
    <w:rsid w:val="6ED446C5"/>
    <w:rsid w:val="6EFF182A"/>
    <w:rsid w:val="6F0D2199"/>
    <w:rsid w:val="6F13764C"/>
    <w:rsid w:val="6F2A7D94"/>
    <w:rsid w:val="6F375468"/>
    <w:rsid w:val="6F481423"/>
    <w:rsid w:val="6F5C4ECE"/>
    <w:rsid w:val="6F60676D"/>
    <w:rsid w:val="6F6F69B0"/>
    <w:rsid w:val="6F8331F1"/>
    <w:rsid w:val="6FAE1A09"/>
    <w:rsid w:val="6FCA62DC"/>
    <w:rsid w:val="6FD1766A"/>
    <w:rsid w:val="6FD75BF8"/>
    <w:rsid w:val="70291255"/>
    <w:rsid w:val="707723D0"/>
    <w:rsid w:val="70B2124A"/>
    <w:rsid w:val="70C25205"/>
    <w:rsid w:val="70F5661B"/>
    <w:rsid w:val="71026BB1"/>
    <w:rsid w:val="71360107"/>
    <w:rsid w:val="713B688E"/>
    <w:rsid w:val="715907C0"/>
    <w:rsid w:val="716367C6"/>
    <w:rsid w:val="718801FD"/>
    <w:rsid w:val="718D5813"/>
    <w:rsid w:val="71D43752"/>
    <w:rsid w:val="71EF202A"/>
    <w:rsid w:val="71F1796A"/>
    <w:rsid w:val="72001B41"/>
    <w:rsid w:val="72154626"/>
    <w:rsid w:val="72262B5D"/>
    <w:rsid w:val="72283FF7"/>
    <w:rsid w:val="722E7212"/>
    <w:rsid w:val="723A0474"/>
    <w:rsid w:val="725923E4"/>
    <w:rsid w:val="72864BF7"/>
    <w:rsid w:val="729023FC"/>
    <w:rsid w:val="729329B5"/>
    <w:rsid w:val="73337CF4"/>
    <w:rsid w:val="73351CBE"/>
    <w:rsid w:val="73B01345"/>
    <w:rsid w:val="73C0646E"/>
    <w:rsid w:val="73C82B32"/>
    <w:rsid w:val="73CC2623"/>
    <w:rsid w:val="73CF6693"/>
    <w:rsid w:val="742222F5"/>
    <w:rsid w:val="74476126"/>
    <w:rsid w:val="74493C73"/>
    <w:rsid w:val="7459770E"/>
    <w:rsid w:val="74706664"/>
    <w:rsid w:val="747F3682"/>
    <w:rsid w:val="7490772F"/>
    <w:rsid w:val="749C4185"/>
    <w:rsid w:val="74EF5B6E"/>
    <w:rsid w:val="75067759"/>
    <w:rsid w:val="752E6DCD"/>
    <w:rsid w:val="753D7F1E"/>
    <w:rsid w:val="754E0E15"/>
    <w:rsid w:val="7551380D"/>
    <w:rsid w:val="75600BE5"/>
    <w:rsid w:val="7564475C"/>
    <w:rsid w:val="756B19C7"/>
    <w:rsid w:val="7583797F"/>
    <w:rsid w:val="75A666B5"/>
    <w:rsid w:val="75D20F1D"/>
    <w:rsid w:val="75DA2C18"/>
    <w:rsid w:val="75EF43A6"/>
    <w:rsid w:val="75F54412"/>
    <w:rsid w:val="761D08E0"/>
    <w:rsid w:val="7625601A"/>
    <w:rsid w:val="762F0C47"/>
    <w:rsid w:val="765D347C"/>
    <w:rsid w:val="76826699"/>
    <w:rsid w:val="76937428"/>
    <w:rsid w:val="76C87133"/>
    <w:rsid w:val="76CD08D5"/>
    <w:rsid w:val="76DB4B92"/>
    <w:rsid w:val="76DE4BEC"/>
    <w:rsid w:val="77020109"/>
    <w:rsid w:val="77052AA4"/>
    <w:rsid w:val="770E4D00"/>
    <w:rsid w:val="770E6AAE"/>
    <w:rsid w:val="77136511"/>
    <w:rsid w:val="771F2A69"/>
    <w:rsid w:val="77340A39"/>
    <w:rsid w:val="77351FD0"/>
    <w:rsid w:val="773A3D47"/>
    <w:rsid w:val="77472422"/>
    <w:rsid w:val="775D3592"/>
    <w:rsid w:val="7771703D"/>
    <w:rsid w:val="777A4144"/>
    <w:rsid w:val="777F31F2"/>
    <w:rsid w:val="77AB0124"/>
    <w:rsid w:val="77D1700D"/>
    <w:rsid w:val="77EC04CC"/>
    <w:rsid w:val="781D72B5"/>
    <w:rsid w:val="78650950"/>
    <w:rsid w:val="78775729"/>
    <w:rsid w:val="78A42DB0"/>
    <w:rsid w:val="78A656AB"/>
    <w:rsid w:val="78AD22F7"/>
    <w:rsid w:val="78B2245C"/>
    <w:rsid w:val="78BA5DFC"/>
    <w:rsid w:val="78E172CC"/>
    <w:rsid w:val="78E21FA1"/>
    <w:rsid w:val="78EA1D1F"/>
    <w:rsid w:val="7904172F"/>
    <w:rsid w:val="790F7E27"/>
    <w:rsid w:val="792A231A"/>
    <w:rsid w:val="79316829"/>
    <w:rsid w:val="793A1DDD"/>
    <w:rsid w:val="79537342"/>
    <w:rsid w:val="796B01E8"/>
    <w:rsid w:val="797E66A9"/>
    <w:rsid w:val="79A97383"/>
    <w:rsid w:val="79B25E17"/>
    <w:rsid w:val="79E27E8B"/>
    <w:rsid w:val="79F850CE"/>
    <w:rsid w:val="79FD443C"/>
    <w:rsid w:val="7A1D1975"/>
    <w:rsid w:val="7A293BFF"/>
    <w:rsid w:val="7A392094"/>
    <w:rsid w:val="7A3E5150"/>
    <w:rsid w:val="7A410F49"/>
    <w:rsid w:val="7A4670D6"/>
    <w:rsid w:val="7A534B63"/>
    <w:rsid w:val="7A615382"/>
    <w:rsid w:val="7A67303B"/>
    <w:rsid w:val="7A8157E9"/>
    <w:rsid w:val="7A990D85"/>
    <w:rsid w:val="7AA65250"/>
    <w:rsid w:val="7AAB1D04"/>
    <w:rsid w:val="7ABA4368"/>
    <w:rsid w:val="7AD05746"/>
    <w:rsid w:val="7AE15D14"/>
    <w:rsid w:val="7AE2272C"/>
    <w:rsid w:val="7AE244DA"/>
    <w:rsid w:val="7B134C31"/>
    <w:rsid w:val="7B257FFD"/>
    <w:rsid w:val="7B276391"/>
    <w:rsid w:val="7B343476"/>
    <w:rsid w:val="7B5A2978"/>
    <w:rsid w:val="7B5A7E4C"/>
    <w:rsid w:val="7B667AF9"/>
    <w:rsid w:val="7B7468F8"/>
    <w:rsid w:val="7B935D28"/>
    <w:rsid w:val="7BEE0103"/>
    <w:rsid w:val="7C014E34"/>
    <w:rsid w:val="7C0A0FE4"/>
    <w:rsid w:val="7C254906"/>
    <w:rsid w:val="7C3F3BAE"/>
    <w:rsid w:val="7C590818"/>
    <w:rsid w:val="7C7B6038"/>
    <w:rsid w:val="7C7C10F6"/>
    <w:rsid w:val="7C853BEA"/>
    <w:rsid w:val="7C881368"/>
    <w:rsid w:val="7CE27788"/>
    <w:rsid w:val="7D0C32F1"/>
    <w:rsid w:val="7D0F408D"/>
    <w:rsid w:val="7D285093"/>
    <w:rsid w:val="7D2A660C"/>
    <w:rsid w:val="7D2B3A95"/>
    <w:rsid w:val="7D3E79C1"/>
    <w:rsid w:val="7D491C6C"/>
    <w:rsid w:val="7D5429C0"/>
    <w:rsid w:val="7D6E6D43"/>
    <w:rsid w:val="7D731D61"/>
    <w:rsid w:val="7DB57A34"/>
    <w:rsid w:val="7DC10D1E"/>
    <w:rsid w:val="7DE60973"/>
    <w:rsid w:val="7DEF0916"/>
    <w:rsid w:val="7E1E5218"/>
    <w:rsid w:val="7E484F9C"/>
    <w:rsid w:val="7E74535B"/>
    <w:rsid w:val="7E9A4E1F"/>
    <w:rsid w:val="7E9A50CB"/>
    <w:rsid w:val="7EA7723A"/>
    <w:rsid w:val="7EF43F82"/>
    <w:rsid w:val="7EF56FBB"/>
    <w:rsid w:val="7F0768EB"/>
    <w:rsid w:val="7F143BEC"/>
    <w:rsid w:val="7F314E72"/>
    <w:rsid w:val="7F715AF2"/>
    <w:rsid w:val="7F886E69"/>
    <w:rsid w:val="7FA51F7A"/>
    <w:rsid w:val="7FD141DD"/>
    <w:rsid w:val="7FE26D2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4"/>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customStyle="1" w:styleId="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next w:val="16"/>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Balloon Text"/>
    <w:basedOn w:val="1"/>
    <w:next w:val="17"/>
    <w:link w:val="189"/>
    <w:autoRedefine/>
    <w:qFormat/>
    <w:uiPriority w:val="0"/>
    <w:rPr>
      <w:sz w:val="18"/>
      <w:szCs w:val="18"/>
    </w:rPr>
  </w:style>
  <w:style w:type="paragraph" w:styleId="17">
    <w:name w:val="toc 8"/>
    <w:basedOn w:val="1"/>
    <w:next w:val="1"/>
    <w:autoRedefine/>
    <w:qFormat/>
    <w:uiPriority w:val="0"/>
    <w:pPr>
      <w:ind w:left="2940" w:leftChars="1400"/>
    </w:pPr>
  </w:style>
  <w:style w:type="paragraph" w:styleId="18">
    <w:name w:val="Normal Indent"/>
    <w:basedOn w:val="1"/>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29"/>
    <w:autoRedefine/>
    <w:qFormat/>
    <w:uiPriority w:val="0"/>
    <w:rPr>
      <w:b/>
      <w:sz w:val="28"/>
      <w:szCs w:val="20"/>
    </w:rPr>
  </w:style>
  <w:style w:type="paragraph" w:styleId="20">
    <w:name w:val="index 5"/>
    <w:basedOn w:val="1"/>
    <w:next w:val="1"/>
    <w:autoRedefine/>
    <w:qFormat/>
    <w:uiPriority w:val="0"/>
    <w:pPr>
      <w:adjustRightInd/>
      <w:ind w:left="800" w:leftChars="800" w:firstLine="200" w:firstLineChars="200"/>
    </w:pPr>
  </w:style>
  <w:style w:type="paragraph" w:styleId="21">
    <w:name w:val="Document Map"/>
    <w:basedOn w:val="1"/>
    <w:link w:val="203"/>
    <w:autoRedefine/>
    <w:qFormat/>
    <w:uiPriority w:val="0"/>
    <w:pPr>
      <w:shd w:val="clear" w:color="auto" w:fill="000080"/>
    </w:pPr>
  </w:style>
  <w:style w:type="paragraph" w:styleId="22">
    <w:name w:val="annotation text"/>
    <w:basedOn w:val="1"/>
    <w:link w:val="343"/>
    <w:autoRedefine/>
    <w:qFormat/>
    <w:uiPriority w:val="99"/>
    <w:pPr>
      <w:jc w:val="left"/>
    </w:pPr>
  </w:style>
  <w:style w:type="paragraph" w:styleId="23">
    <w:name w:val="Salutation"/>
    <w:basedOn w:val="1"/>
    <w:next w:val="1"/>
    <w:link w:val="297"/>
    <w:autoRedefine/>
    <w:qFormat/>
    <w:uiPriority w:val="0"/>
    <w:rPr>
      <w:rFonts w:ascii="仿宋_GB2312" w:eastAsia="仿宋_GB2312"/>
      <w:sz w:val="28"/>
      <w:szCs w:val="20"/>
    </w:rPr>
  </w:style>
  <w:style w:type="paragraph" w:styleId="24">
    <w:name w:val="Body Text 3"/>
    <w:basedOn w:val="1"/>
    <w:link w:val="329"/>
    <w:autoRedefine/>
    <w:qFormat/>
    <w:uiPriority w:val="0"/>
    <w:pPr>
      <w:jc w:val="center"/>
    </w:pPr>
    <w:rPr>
      <w:szCs w:val="20"/>
    </w:rPr>
  </w:style>
  <w:style w:type="paragraph" w:styleId="25">
    <w:name w:val="List Bullet 3"/>
    <w:basedOn w:val="1"/>
    <w:autoRedefine/>
    <w:unhideWhenUsed/>
    <w:qFormat/>
    <w:uiPriority w:val="0"/>
    <w:pPr>
      <w:snapToGrid w:val="0"/>
      <w:spacing w:line="360" w:lineRule="auto"/>
      <w:ind w:left="360" w:right="238" w:hanging="360"/>
      <w:contextualSpacing/>
    </w:pPr>
    <w:rPr>
      <w:sz w:val="24"/>
    </w:rPr>
  </w:style>
  <w:style w:type="paragraph" w:styleId="26">
    <w:name w:val="Body Text"/>
    <w:basedOn w:val="1"/>
    <w:next w:val="27"/>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1"/>
    <w:next w:val="28"/>
    <w:link w:val="320"/>
    <w:autoRedefine/>
    <w:qFormat/>
    <w:uiPriority w:val="0"/>
    <w:pPr>
      <w:ind w:firstLine="420"/>
    </w:pPr>
    <w:rPr>
      <w:rFonts w:hAnsi="Calibri" w:cs="Times New Roman"/>
      <w:snapToGrid/>
      <w:szCs w:val="20"/>
    </w:rPr>
  </w:style>
  <w:style w:type="paragraph" w:styleId="28">
    <w:name w:val="toc 6"/>
    <w:basedOn w:val="1"/>
    <w:next w:val="1"/>
    <w:autoRedefine/>
    <w:qFormat/>
    <w:uiPriority w:val="0"/>
    <w:pPr>
      <w:ind w:left="2100" w:leftChars="1000"/>
    </w:pPr>
  </w:style>
  <w:style w:type="paragraph" w:styleId="29">
    <w:name w:val="Body Text Indent"/>
    <w:basedOn w:val="1"/>
    <w:next w:val="15"/>
    <w:link w:val="265"/>
    <w:autoRedefine/>
    <w:qFormat/>
    <w:uiPriority w:val="0"/>
    <w:pPr>
      <w:spacing w:line="480" w:lineRule="exact"/>
      <w:ind w:firstLine="480" w:firstLineChars="200"/>
    </w:pPr>
    <w:rPr>
      <w:rFonts w:ascii="宋体" w:hAnsi="宋体"/>
      <w:sz w:val="24"/>
    </w:rPr>
  </w:style>
  <w:style w:type="paragraph" w:styleId="30">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1">
    <w:name w:val="List 2"/>
    <w:basedOn w:val="1"/>
    <w:autoRedefine/>
    <w:qFormat/>
    <w:uiPriority w:val="0"/>
    <w:pPr>
      <w:adjustRightInd/>
      <w:spacing w:line="360" w:lineRule="auto"/>
      <w:ind w:left="100" w:leftChars="200" w:hanging="200" w:hangingChars="200"/>
    </w:pPr>
    <w:rPr>
      <w:rFonts w:eastAsia="微软雅黑"/>
    </w:rPr>
  </w:style>
  <w:style w:type="paragraph" w:styleId="32">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3">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4">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5">
    <w:name w:val="toc 5"/>
    <w:basedOn w:val="1"/>
    <w:next w:val="1"/>
    <w:autoRedefine/>
    <w:qFormat/>
    <w:uiPriority w:val="0"/>
    <w:pPr>
      <w:ind w:left="1680" w:leftChars="800"/>
    </w:pPr>
  </w:style>
  <w:style w:type="paragraph" w:styleId="36">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7">
    <w:name w:val="Plain Text"/>
    <w:basedOn w:val="1"/>
    <w:link w:val="126"/>
    <w:autoRedefine/>
    <w:qFormat/>
    <w:uiPriority w:val="0"/>
    <w:rPr>
      <w:rFonts w:ascii="宋体" w:hAnsi="Courier New" w:cs="Arial"/>
      <w:snapToGrid w:val="0"/>
      <w:szCs w:val="21"/>
    </w:rPr>
  </w:style>
  <w:style w:type="paragraph" w:styleId="38">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9">
    <w:name w:val="Date"/>
    <w:basedOn w:val="1"/>
    <w:next w:val="1"/>
    <w:link w:val="182"/>
    <w:autoRedefine/>
    <w:qFormat/>
    <w:uiPriority w:val="0"/>
    <w:pPr>
      <w:ind w:left="100" w:leftChars="2500"/>
    </w:pPr>
    <w:rPr>
      <w:rFonts w:ascii="宋体"/>
      <w:sz w:val="24"/>
      <w:szCs w:val="21"/>
      <w:lang w:val="zh-CN"/>
    </w:rPr>
  </w:style>
  <w:style w:type="paragraph" w:styleId="40">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30"/>
    <w:autoRedefine/>
    <w:qFormat/>
    <w:uiPriority w:val="0"/>
    <w:rPr>
      <w:lang w:val="zh-CN"/>
    </w:rPr>
  </w:style>
  <w:style w:type="paragraph" w:styleId="42">
    <w:name w:val="footer"/>
    <w:basedOn w:val="1"/>
    <w:link w:val="382"/>
    <w:autoRedefine/>
    <w:qFormat/>
    <w:uiPriority w:val="99"/>
    <w:pPr>
      <w:tabs>
        <w:tab w:val="center" w:pos="4153"/>
        <w:tab w:val="right" w:pos="8306"/>
      </w:tabs>
      <w:snapToGrid w:val="0"/>
      <w:jc w:val="left"/>
    </w:pPr>
    <w:rPr>
      <w:sz w:val="18"/>
      <w:szCs w:val="18"/>
    </w:rPr>
  </w:style>
  <w:style w:type="paragraph" w:styleId="43">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0"/>
  </w:style>
  <w:style w:type="paragraph" w:styleId="46">
    <w:name w:val="toc 4"/>
    <w:basedOn w:val="1"/>
    <w:next w:val="1"/>
    <w:autoRedefine/>
    <w:qFormat/>
    <w:uiPriority w:val="0"/>
    <w:pPr>
      <w:ind w:left="126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szCs w:val="20"/>
    </w:rPr>
  </w:style>
  <w:style w:type="paragraph" w:styleId="49">
    <w:name w:val="Subtitle"/>
    <w:basedOn w:val="1"/>
    <w:link w:val="134"/>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autoRedefine/>
    <w:qFormat/>
    <w:uiPriority w:val="0"/>
    <w:pPr>
      <w:tabs>
        <w:tab w:val="left" w:pos="902"/>
      </w:tabs>
      <w:adjustRightInd/>
      <w:spacing w:line="400" w:lineRule="exact"/>
      <w:ind w:left="902" w:hanging="420"/>
    </w:pPr>
    <w:rPr>
      <w:sz w:val="24"/>
      <w:szCs w:val="20"/>
    </w:rPr>
  </w:style>
  <w:style w:type="paragraph" w:styleId="51">
    <w:name w:val="List"/>
    <w:basedOn w:val="1"/>
    <w:autoRedefine/>
    <w:qFormat/>
    <w:uiPriority w:val="0"/>
    <w:pPr>
      <w:ind w:left="200" w:hanging="200" w:hangingChars="200"/>
    </w:pPr>
  </w:style>
  <w:style w:type="paragraph" w:styleId="52">
    <w:name w:val="footnote text"/>
    <w:basedOn w:val="18"/>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4"/>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1"/>
    <w:autoRedefine/>
    <w:qFormat/>
    <w:uiPriority w:val="0"/>
    <w:pPr>
      <w:spacing w:after="120" w:line="480" w:lineRule="auto"/>
    </w:pPr>
  </w:style>
  <w:style w:type="paragraph" w:styleId="58">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7"/>
    <w:autoRedefine/>
    <w:qFormat/>
    <w:uiPriority w:val="0"/>
    <w:rPr>
      <w:b/>
      <w:bCs/>
    </w:rPr>
  </w:style>
  <w:style w:type="paragraph" w:styleId="62">
    <w:name w:val="Body Text First Indent 2"/>
    <w:basedOn w:val="29"/>
    <w:next w:val="63"/>
    <w:link w:val="122"/>
    <w:autoRedefine/>
    <w:qFormat/>
    <w:uiPriority w:val="0"/>
    <w:pPr>
      <w:adjustRightInd/>
      <w:spacing w:after="120" w:line="240" w:lineRule="auto"/>
      <w:ind w:left="420" w:leftChars="200" w:firstLine="210"/>
    </w:pPr>
    <w:rPr>
      <w:sz w:val="21"/>
    </w:rPr>
  </w:style>
  <w:style w:type="paragraph" w:customStyle="1" w:styleId="63">
    <w:name w:val="xl5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标题 2 Char"/>
    <w:autoRedefine/>
    <w:qFormat/>
    <w:uiPriority w:val="0"/>
    <w:rPr>
      <w:rFonts w:ascii="Arial" w:hAnsi="Arial" w:eastAsia="黑体"/>
      <w:b/>
      <w:kern w:val="2"/>
      <w:sz w:val="32"/>
      <w:lang w:val="en-US" w:eastAsia="zh-CN"/>
    </w:rPr>
  </w:style>
  <w:style w:type="character" w:customStyle="1" w:styleId="82">
    <w:name w:val="标题 1 字符1"/>
    <w:link w:val="2"/>
    <w:autoRedefine/>
    <w:qFormat/>
    <w:uiPriority w:val="9"/>
    <w:rPr>
      <w:b/>
      <w:bCs/>
      <w:kern w:val="44"/>
      <w:sz w:val="44"/>
      <w:szCs w:val="44"/>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字符"/>
    <w:link w:val="61"/>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文本首行缩进 2 字符"/>
    <w:link w:val="62"/>
    <w:autoRedefine/>
    <w:qFormat/>
    <w:uiPriority w:val="0"/>
    <w:rPr>
      <w:rFonts w:ascii="宋体" w:hAnsi="宋体"/>
      <w:kern w:val="2"/>
      <w:sz w:val="21"/>
      <w:szCs w:val="24"/>
    </w:rPr>
  </w:style>
  <w:style w:type="character" w:customStyle="1" w:styleId="123">
    <w:name w:val="font11"/>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1"/>
    <w:autoRedefine/>
    <w:qFormat/>
    <w:uiPriority w:val="0"/>
    <w:rPr>
      <w:rFonts w:ascii="Arial" w:hAnsi="Arial" w:eastAsia="黑体" w:cs="Arial"/>
      <w:snapToGrid w:val="0"/>
      <w:kern w:val="0"/>
      <w:szCs w:val="21"/>
    </w:rPr>
  </w:style>
  <w:style w:type="character" w:customStyle="1" w:styleId="126">
    <w:name w:val="纯文本 字符1"/>
    <w:link w:val="37"/>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字符"/>
    <w:link w:val="49"/>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字符"/>
    <w:link w:val="8"/>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3"/>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字符"/>
    <w:link w:val="39"/>
    <w:autoRedefine/>
    <w:qFormat/>
    <w:uiPriority w:val="0"/>
    <w:rPr>
      <w:rFonts w:ascii="宋体"/>
      <w:kern w:val="2"/>
      <w:sz w:val="24"/>
      <w:szCs w:val="21"/>
      <w:lang w:val="zh-CN"/>
    </w:rPr>
  </w:style>
  <w:style w:type="character" w:customStyle="1" w:styleId="183">
    <w:name w:val="标题 9 字符"/>
    <w:link w:val="11"/>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99"/>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字符1"/>
    <w:link w:val="16"/>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字符2"/>
    <w:link w:val="18"/>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字符"/>
    <w:link w:val="21"/>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1"/>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70"/>
    <w:autoRedefine/>
    <w:qFormat/>
    <w:uiPriority w:val="0"/>
    <w:rPr>
      <w:rFonts w:ascii="仿宋_GB2312" w:hAnsi="仿宋" w:eastAsia="仿宋_GB2312" w:cs="仿宋_GB2312"/>
      <w:sz w:val="32"/>
      <w:szCs w:val="30"/>
      <w:lang w:val="zh-CN"/>
    </w:rPr>
  </w:style>
  <w:style w:type="character" w:customStyle="1" w:styleId="219">
    <w:name w:val="HTML 地址 字符"/>
    <w:link w:val="34"/>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6"/>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字符"/>
    <w:link w:val="19"/>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字符1"/>
    <w:link w:val="29"/>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60"/>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3"/>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8"/>
    <w:autoRedefine/>
    <w:qFormat/>
    <w:uiPriority w:val="0"/>
    <w:rPr>
      <w:rFonts w:ascii="黑体" w:hAnsi="Courier New" w:eastAsia="黑体"/>
    </w:rPr>
  </w:style>
  <w:style w:type="character" w:customStyle="1" w:styleId="301">
    <w:name w:val="正文文本 2 字符1"/>
    <w:link w:val="57"/>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9"/>
    <w:autoRedefine/>
    <w:qFormat/>
    <w:uiPriority w:val="0"/>
    <w:rPr>
      <w:b/>
      <w:bCs/>
      <w:kern w:val="2"/>
      <w:sz w:val="24"/>
      <w:szCs w:val="24"/>
    </w:rPr>
  </w:style>
  <w:style w:type="character" w:customStyle="1" w:styleId="307">
    <w:name w:val="正文文本缩进 2 字符"/>
    <w:link w:val="40"/>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2"/>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27"/>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4"/>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2"/>
    <w:autoRedefine/>
    <w:qFormat/>
    <w:uiPriority w:val="0"/>
    <w:rPr>
      <w:kern w:val="2"/>
      <w:sz w:val="21"/>
      <w:szCs w:val="24"/>
    </w:rPr>
  </w:style>
  <w:style w:type="character" w:customStyle="1" w:styleId="344">
    <w:name w:val="签名 字符"/>
    <w:link w:val="44"/>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4"/>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2"/>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3"/>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1"/>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18"/>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6"/>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1"/>
    <w:autoRedefine/>
    <w:qFormat/>
    <w:uiPriority w:val="0"/>
    <w:rPr>
      <w:rFonts w:ascii="Arial" w:hAnsi="Arial" w:eastAsia="黑体" w:cs="Arial"/>
      <w:snapToGrid w:val="0"/>
      <w:kern w:val="0"/>
      <w:szCs w:val="21"/>
    </w:rPr>
  </w:style>
  <w:style w:type="character" w:customStyle="1" w:styleId="431">
    <w:name w:val="hui"/>
    <w:basedOn w:val="71"/>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9"/>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5"/>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2"/>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26"/>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next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7"/>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8"/>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9"/>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7"/>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9"/>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2"/>
    <w:autoRedefine/>
    <w:qFormat/>
    <w:uiPriority w:val="0"/>
    <w:pPr>
      <w:tabs>
        <w:tab w:val="left" w:pos="840"/>
      </w:tabs>
      <w:adjustRightInd/>
      <w:ind w:left="840" w:hanging="420"/>
    </w:pPr>
  </w:style>
  <w:style w:type="paragraph" w:customStyle="1" w:styleId="625">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33"/>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6"/>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9"/>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40"/>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9"/>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6"/>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9"/>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8"/>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6"/>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40"/>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6"/>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9"/>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1"/>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6"/>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数字标题5"/>
    <w:basedOn w:val="7"/>
    <w:next w:val="1"/>
    <w:autoRedefine/>
    <w:qFormat/>
    <w:uiPriority w:val="0"/>
    <w:pPr>
      <w:tabs>
        <w:tab w:val="left" w:pos="1080"/>
      </w:tabs>
      <w:ind w:left="1080" w:hanging="1080"/>
    </w:pPr>
  </w:style>
  <w:style w:type="paragraph" w:customStyle="1" w:styleId="895">
    <w:name w:val="数字标题1"/>
    <w:basedOn w:val="2"/>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2"/>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字符"/>
    <w:link w:val="41"/>
    <w:autoRedefine/>
    <w:qFormat/>
    <w:uiPriority w:val="0"/>
    <w:rPr>
      <w:kern w:val="2"/>
      <w:sz w:val="21"/>
      <w:szCs w:val="24"/>
      <w:lang w:val="zh-CN"/>
    </w:rPr>
  </w:style>
  <w:style w:type="character" w:customStyle="1" w:styleId="931">
    <w:name w:val="无间隔 字符"/>
    <w:link w:val="482"/>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8"/>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正文"/>
    <w:basedOn w:val="1"/>
    <w:autoRedefine/>
    <w:qFormat/>
    <w:uiPriority w:val="0"/>
    <w:pPr>
      <w:spacing w:line="360" w:lineRule="auto"/>
      <w:ind w:firstLine="200" w:firstLineChars="200"/>
    </w:pPr>
    <w:rPr>
      <w:rFonts w:ascii="Calibri" w:hAnsi="Calibri" w:eastAsia="仿宋_GB2312"/>
      <w:kern w:val="0"/>
      <w:sz w:val="24"/>
    </w:rPr>
  </w:style>
  <w:style w:type="paragraph" w:customStyle="1" w:styleId="963">
    <w:name w:val="[Normal]"/>
    <w:autoRedefine/>
    <w:qFormat/>
    <w:uiPriority w:val="99"/>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05459-07BA-4852-BAFA-7ABB0273781E}">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66</Pages>
  <Words>34420</Words>
  <Characters>36510</Characters>
  <Lines>274</Lines>
  <Paragraphs>77</Paragraphs>
  <TotalTime>3</TotalTime>
  <ScaleCrop>false</ScaleCrop>
  <LinksUpToDate>false</LinksUpToDate>
  <CharactersWithSpaces>41524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2022-05-27T03:57:00Z</dcterms:created>
  <dc:creator>玥</dc:creator>
  <cp:lastModifiedBy>Crush</cp:lastModifiedBy>
  <cp:lastPrinted>2024-03-25T01:40:00Z</cp:lastPrinted>
  <dcterms:modified xsi:type="dcterms:W3CDTF">2024-04-03T02:54:44Z</dcterms:modified>
  <dc:title>杭州市市民卡扩大发卡工程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97871427991F4D5AAAA90E791FA2D4E8</vt:lpwstr>
  </property>
</Properties>
</file>