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adjustRightInd/>
        <w:spacing w:line="360" w:lineRule="auto"/>
        <w:jc w:val="center"/>
        <w:rPr>
          <w:rFonts w:ascii="仿宋" w:hAnsi="仿宋" w:eastAsia="仿宋" w:cs="仿宋_GB2312"/>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44"/>
          <w:szCs w:val="44"/>
          <w:highlight w:val="none"/>
          <w:shd w:val="clear" w:color="auto" w:fill="auto"/>
          <w:lang w:eastAsia="zh-CN"/>
        </w:rPr>
      </w:pPr>
      <w:r>
        <w:rPr>
          <w:rFonts w:hint="eastAsia" w:ascii="仿宋" w:hAnsi="仿宋" w:eastAsia="仿宋" w:cs="仿宋"/>
          <w:b/>
          <w:bCs/>
          <w:color w:val="auto"/>
          <w:sz w:val="44"/>
          <w:szCs w:val="44"/>
          <w:highlight w:val="none"/>
          <w:shd w:val="clear" w:color="auto" w:fill="auto"/>
          <w:lang w:eastAsia="zh-CN"/>
        </w:rPr>
        <w:t>县级以上及“千吨万人”饮用水源地规范化建设项目</w:t>
      </w:r>
    </w:p>
    <w:p>
      <w:pPr>
        <w:pStyle w:val="2"/>
        <w:rPr>
          <w:rFonts w:hint="eastAsia" w:ascii="仿宋" w:hAnsi="仿宋" w:eastAsia="仿宋" w:cs="仿宋"/>
          <w:b/>
          <w:color w:val="auto"/>
          <w:spacing w:val="40"/>
          <w:sz w:val="44"/>
          <w:szCs w:val="44"/>
          <w:highlight w:val="none"/>
          <w:shd w:val="clear" w:color="auto" w:fill="auto"/>
          <w:lang w:eastAsia="zh-CN"/>
        </w:rPr>
      </w:pPr>
    </w:p>
    <w:p>
      <w:pPr>
        <w:pStyle w:val="2"/>
        <w:rPr>
          <w:rFonts w:hint="eastAsia" w:ascii="仿宋" w:hAnsi="仿宋" w:eastAsia="仿宋" w:cs="仿宋"/>
          <w:b/>
          <w:color w:val="auto"/>
          <w:spacing w:val="40"/>
          <w:sz w:val="44"/>
          <w:szCs w:val="44"/>
          <w:highlight w:val="none"/>
          <w:shd w:val="clear" w:color="auto" w:fill="auto"/>
          <w:lang w:eastAsia="zh-CN"/>
        </w:rPr>
      </w:pPr>
    </w:p>
    <w:p>
      <w:pPr>
        <w:spacing w:line="480" w:lineRule="auto"/>
        <w:jc w:val="center"/>
        <w:rPr>
          <w:rFonts w:hint="eastAsia" w:ascii="仿宋" w:hAnsi="仿宋" w:eastAsia="仿宋" w:cs="仿宋"/>
          <w:b/>
          <w:bCs/>
          <w:color w:val="auto"/>
          <w:sz w:val="44"/>
          <w:szCs w:val="44"/>
          <w:highlight w:val="none"/>
          <w:shd w:val="clear" w:color="auto" w:fill="auto"/>
        </w:rPr>
      </w:pPr>
      <w:r>
        <w:rPr>
          <w:rFonts w:hint="eastAsia" w:ascii="仿宋" w:hAnsi="仿宋" w:eastAsia="仿宋" w:cs="仿宋"/>
          <w:b/>
          <w:bCs/>
          <w:color w:val="auto"/>
          <w:sz w:val="44"/>
          <w:szCs w:val="44"/>
          <w:highlight w:val="none"/>
          <w:shd w:val="clear" w:color="auto" w:fill="auto"/>
          <w:lang w:eastAsia="zh-CN"/>
        </w:rPr>
        <w:t>竞争性磋商</w:t>
      </w:r>
      <w:r>
        <w:rPr>
          <w:rFonts w:hint="eastAsia" w:ascii="仿宋" w:hAnsi="仿宋" w:eastAsia="仿宋" w:cs="仿宋"/>
          <w:b/>
          <w:bCs/>
          <w:color w:val="auto"/>
          <w:sz w:val="44"/>
          <w:szCs w:val="44"/>
          <w:highlight w:val="none"/>
          <w:shd w:val="clear" w:color="auto" w:fill="auto"/>
        </w:rPr>
        <w:t>文件</w:t>
      </w:r>
    </w:p>
    <w:p>
      <w:pPr>
        <w:pStyle w:val="2"/>
        <w:ind w:left="0" w:leftChars="0" w:firstLine="0" w:firstLineChars="0"/>
        <w:jc w:val="center"/>
        <w:rPr>
          <w:rFonts w:hint="eastAsia" w:ascii="仿宋" w:hAnsi="仿宋" w:eastAsia="仿宋" w:cs="仿宋"/>
          <w:b w:val="0"/>
          <w:bCs w:val="0"/>
          <w:color w:val="auto"/>
          <w:sz w:val="44"/>
          <w:szCs w:val="44"/>
          <w:highlight w:val="none"/>
          <w:shd w:val="clear" w:color="auto" w:fill="auto"/>
          <w:lang w:eastAsia="zh-CN"/>
        </w:rPr>
      </w:pPr>
      <w:r>
        <w:rPr>
          <w:rFonts w:hint="eastAsia" w:ascii="仿宋" w:hAnsi="仿宋" w:eastAsia="仿宋" w:cs="仿宋"/>
          <w:b w:val="0"/>
          <w:bCs w:val="0"/>
          <w:color w:val="auto"/>
          <w:sz w:val="44"/>
          <w:szCs w:val="44"/>
          <w:highlight w:val="none"/>
          <w:shd w:val="clear" w:color="auto" w:fill="auto"/>
          <w:lang w:eastAsia="zh-CN"/>
        </w:rPr>
        <w:t>（电子招投标）</w:t>
      </w:r>
    </w:p>
    <w:p>
      <w:pPr>
        <w:pStyle w:val="2"/>
        <w:jc w:val="center"/>
        <w:rPr>
          <w:rFonts w:hint="eastAsia" w:ascii="仿宋" w:hAnsi="仿宋" w:eastAsia="仿宋" w:cs="仿宋"/>
          <w:b w:val="0"/>
          <w:bCs w:val="0"/>
          <w:color w:val="auto"/>
          <w:sz w:val="44"/>
          <w:szCs w:val="44"/>
          <w:highlight w:val="none"/>
          <w:shd w:val="clear" w:color="auto" w:fill="auto"/>
          <w:lang w:eastAsia="zh-CN"/>
        </w:rPr>
      </w:pPr>
    </w:p>
    <w:p>
      <w:pPr>
        <w:spacing w:before="240" w:beforeLines="100" w:line="240" w:lineRule="atLeast"/>
        <w:ind w:right="-108"/>
        <w:jc w:val="center"/>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rPr>
        <w:t>编号：（</w:t>
      </w:r>
      <w:r>
        <w:rPr>
          <w:rFonts w:hint="eastAsia" w:ascii="仿宋" w:hAnsi="仿宋" w:eastAsia="仿宋" w:cs="仿宋"/>
          <w:color w:val="auto"/>
          <w:sz w:val="30"/>
          <w:szCs w:val="30"/>
          <w:highlight w:val="none"/>
          <w:shd w:val="clear" w:color="auto" w:fill="auto"/>
          <w:lang w:eastAsia="zh-CN"/>
        </w:rPr>
        <w:t>HZGQW</w:t>
      </w:r>
      <w:r>
        <w:rPr>
          <w:rFonts w:hint="eastAsia" w:ascii="仿宋" w:hAnsi="仿宋" w:eastAsia="仿宋" w:cs="仿宋"/>
          <w:color w:val="auto"/>
          <w:sz w:val="30"/>
          <w:szCs w:val="30"/>
          <w:highlight w:val="none"/>
          <w:shd w:val="clear" w:color="auto" w:fill="auto"/>
        </w:rPr>
        <w:t>-</w:t>
      </w:r>
      <w:r>
        <w:rPr>
          <w:rFonts w:hint="eastAsia" w:ascii="仿宋" w:hAnsi="仿宋" w:eastAsia="仿宋" w:cs="仿宋"/>
          <w:color w:val="auto"/>
          <w:sz w:val="30"/>
          <w:szCs w:val="30"/>
          <w:highlight w:val="none"/>
          <w:shd w:val="clear" w:color="auto" w:fill="auto"/>
          <w:lang w:eastAsia="zh-CN"/>
        </w:rPr>
        <w:t>2022</w:t>
      </w:r>
      <w:r>
        <w:rPr>
          <w:rFonts w:hint="eastAsia" w:ascii="仿宋" w:hAnsi="仿宋" w:eastAsia="仿宋" w:cs="仿宋"/>
          <w:color w:val="auto"/>
          <w:sz w:val="30"/>
          <w:szCs w:val="30"/>
          <w:highlight w:val="none"/>
          <w:shd w:val="clear" w:color="auto" w:fill="auto"/>
        </w:rPr>
        <w:t>-</w:t>
      </w:r>
      <w:r>
        <w:rPr>
          <w:rFonts w:hint="eastAsia" w:ascii="仿宋" w:hAnsi="仿宋" w:eastAsia="仿宋" w:cs="仿宋"/>
          <w:color w:val="auto"/>
          <w:sz w:val="30"/>
          <w:szCs w:val="30"/>
          <w:highlight w:val="none"/>
          <w:shd w:val="clear" w:color="auto" w:fill="auto"/>
          <w:lang w:val="en-US" w:eastAsia="zh-CN"/>
        </w:rPr>
        <w:t>011</w:t>
      </w:r>
      <w:r>
        <w:rPr>
          <w:rFonts w:hint="eastAsia" w:ascii="仿宋" w:hAnsi="仿宋" w:eastAsia="仿宋" w:cs="仿宋"/>
          <w:color w:val="auto"/>
          <w:sz w:val="30"/>
          <w:szCs w:val="30"/>
          <w:highlight w:val="none"/>
          <w:shd w:val="clear" w:color="auto" w:fill="auto"/>
        </w:rPr>
        <w:t>）</w:t>
      </w:r>
    </w:p>
    <w:p>
      <w:pPr>
        <w:spacing w:after="100" w:afterAutospacing="1" w:line="800" w:lineRule="exact"/>
        <w:ind w:right="-108"/>
        <w:jc w:val="center"/>
        <w:rPr>
          <w:rFonts w:hint="eastAsia" w:ascii="仿宋" w:hAnsi="仿宋" w:eastAsia="仿宋" w:cs="仿宋"/>
          <w:color w:val="auto"/>
          <w:spacing w:val="40"/>
          <w:sz w:val="24"/>
          <w:highlight w:val="none"/>
          <w:shd w:val="clear" w:color="auto" w:fill="auto"/>
        </w:rPr>
      </w:pPr>
    </w:p>
    <w:p>
      <w:pPr>
        <w:pStyle w:val="2"/>
        <w:ind w:firstLine="320"/>
        <w:rPr>
          <w:rFonts w:hint="eastAsia" w:ascii="仿宋" w:hAnsi="仿宋" w:eastAsia="仿宋" w:cs="仿宋"/>
          <w:color w:val="auto"/>
          <w:spacing w:val="40"/>
          <w:sz w:val="24"/>
          <w:highlight w:val="none"/>
          <w:shd w:val="clear" w:color="auto" w:fill="auto"/>
        </w:rPr>
      </w:pPr>
    </w:p>
    <w:p>
      <w:pPr>
        <w:pStyle w:val="2"/>
        <w:ind w:firstLine="320"/>
        <w:rPr>
          <w:rFonts w:hint="eastAsia" w:ascii="仿宋" w:hAnsi="仿宋" w:eastAsia="仿宋" w:cs="仿宋"/>
          <w:color w:val="auto"/>
          <w:spacing w:val="40"/>
          <w:sz w:val="24"/>
          <w:highlight w:val="none"/>
          <w:shd w:val="clear" w:color="auto" w:fill="auto"/>
        </w:rPr>
      </w:pPr>
    </w:p>
    <w:p>
      <w:pPr>
        <w:pStyle w:val="2"/>
        <w:ind w:firstLine="320"/>
        <w:rPr>
          <w:rFonts w:hint="eastAsia" w:ascii="仿宋" w:hAnsi="仿宋" w:eastAsia="仿宋" w:cs="仿宋"/>
          <w:color w:val="auto"/>
          <w:spacing w:val="40"/>
          <w:sz w:val="24"/>
          <w:highlight w:val="none"/>
          <w:shd w:val="clear" w:color="auto" w:fill="auto"/>
        </w:rPr>
      </w:pPr>
    </w:p>
    <w:p>
      <w:pPr>
        <w:pStyle w:val="2"/>
        <w:ind w:firstLine="320"/>
        <w:rPr>
          <w:rFonts w:hint="eastAsia" w:ascii="仿宋" w:hAnsi="仿宋" w:eastAsia="仿宋" w:cs="仿宋"/>
          <w:color w:val="auto"/>
          <w:spacing w:val="40"/>
          <w:sz w:val="24"/>
          <w:highlight w:val="none"/>
          <w:shd w:val="clear" w:color="auto" w:fill="auto"/>
        </w:rPr>
      </w:pPr>
    </w:p>
    <w:p>
      <w:pPr>
        <w:spacing w:after="100" w:afterAutospacing="1" w:line="800" w:lineRule="exact"/>
        <w:ind w:right="-108"/>
        <w:jc w:val="both"/>
        <w:rPr>
          <w:rFonts w:hint="eastAsia" w:ascii="仿宋" w:hAnsi="仿宋" w:eastAsia="仿宋" w:cs="仿宋"/>
          <w:color w:val="auto"/>
          <w:spacing w:val="40"/>
          <w:sz w:val="24"/>
          <w:highlight w:val="none"/>
          <w:shd w:val="clear" w:color="auto" w:fill="auto"/>
        </w:rPr>
      </w:pPr>
    </w:p>
    <w:p>
      <w:pPr>
        <w:pStyle w:val="2"/>
        <w:rPr>
          <w:rFonts w:hint="eastAsia" w:ascii="仿宋" w:hAnsi="仿宋" w:eastAsia="仿宋" w:cs="仿宋"/>
          <w:color w:val="auto"/>
          <w:highlight w:val="none"/>
          <w:shd w:val="clear" w:color="auto" w:fill="auto"/>
        </w:rPr>
      </w:pPr>
    </w:p>
    <w:p>
      <w:pPr>
        <w:spacing w:after="100" w:afterAutospacing="1" w:line="800" w:lineRule="exact"/>
        <w:ind w:right="-108"/>
        <w:rPr>
          <w:rFonts w:hint="eastAsia" w:ascii="仿宋" w:hAnsi="仿宋" w:eastAsia="仿宋" w:cs="仿宋"/>
          <w:color w:val="auto"/>
          <w:spacing w:val="40"/>
          <w:sz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right="532"/>
        <w:jc w:val="center"/>
        <w:textAlignment w:val="auto"/>
        <w:rPr>
          <w:rFonts w:hint="eastAsia" w:ascii="仿宋" w:hAnsi="仿宋" w:eastAsia="仿宋" w:cs="仿宋"/>
          <w:color w:val="auto"/>
          <w:spacing w:val="-11"/>
          <w:sz w:val="32"/>
          <w:szCs w:val="32"/>
          <w:highlight w:val="none"/>
          <w:u w:val="single"/>
          <w:shd w:val="clear" w:color="auto" w:fill="auto"/>
          <w:lang w:eastAsia="zh-CN"/>
        </w:rPr>
      </w:pPr>
      <w:r>
        <w:rPr>
          <w:rFonts w:hint="eastAsia" w:ascii="仿宋" w:hAnsi="仿宋" w:eastAsia="仿宋" w:cs="仿宋"/>
          <w:color w:val="auto"/>
          <w:spacing w:val="-11"/>
          <w:sz w:val="32"/>
          <w:szCs w:val="32"/>
          <w:highlight w:val="none"/>
          <w:shd w:val="clear" w:color="auto" w:fill="auto"/>
        </w:rPr>
        <w:t>采购</w:t>
      </w:r>
      <w:r>
        <w:rPr>
          <w:rFonts w:hint="eastAsia" w:ascii="仿宋" w:hAnsi="仿宋" w:eastAsia="仿宋" w:cs="仿宋"/>
          <w:color w:val="auto"/>
          <w:spacing w:val="-11"/>
          <w:sz w:val="32"/>
          <w:szCs w:val="32"/>
          <w:highlight w:val="none"/>
          <w:shd w:val="clear" w:color="auto" w:fill="auto"/>
          <w:lang w:eastAsia="zh-CN"/>
        </w:rPr>
        <w:t>人</w:t>
      </w:r>
      <w:r>
        <w:rPr>
          <w:rFonts w:hint="eastAsia" w:ascii="仿宋" w:hAnsi="仿宋" w:eastAsia="仿宋" w:cs="仿宋"/>
          <w:color w:val="auto"/>
          <w:spacing w:val="-11"/>
          <w:sz w:val="32"/>
          <w:szCs w:val="32"/>
          <w:highlight w:val="none"/>
          <w:shd w:val="clear" w:color="auto" w:fill="auto"/>
        </w:rPr>
        <w:t>：</w:t>
      </w:r>
      <w:r>
        <w:rPr>
          <w:rFonts w:hint="eastAsia" w:ascii="仿宋" w:hAnsi="仿宋" w:eastAsia="仿宋" w:cs="仿宋"/>
          <w:color w:val="auto"/>
          <w:spacing w:val="-11"/>
          <w:sz w:val="32"/>
          <w:szCs w:val="32"/>
          <w:highlight w:val="none"/>
          <w:shd w:val="clear" w:color="auto" w:fill="auto"/>
          <w:lang w:eastAsia="zh-CN"/>
        </w:rPr>
        <w:t>杭州市生态环境局临安分局</w:t>
      </w:r>
    </w:p>
    <w:p>
      <w:pPr>
        <w:keepNext w:val="0"/>
        <w:keepLines w:val="0"/>
        <w:pageBreakBefore w:val="0"/>
        <w:widowControl w:val="0"/>
        <w:kinsoku/>
        <w:wordWrap/>
        <w:overflowPunct/>
        <w:topLinePunct w:val="0"/>
        <w:autoSpaceDE/>
        <w:autoSpaceDN/>
        <w:bidi w:val="0"/>
        <w:adjustRightInd/>
        <w:snapToGrid/>
        <w:spacing w:line="360" w:lineRule="auto"/>
        <w:ind w:right="532"/>
        <w:jc w:val="center"/>
        <w:textAlignment w:val="auto"/>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eastAsia="zh-CN"/>
        </w:rPr>
        <w:t>采购机构：杭州市建设工程管理集团有限公司</w:t>
      </w:r>
    </w:p>
    <w:p>
      <w:pPr>
        <w:keepNext w:val="0"/>
        <w:keepLines w:val="0"/>
        <w:pageBreakBefore w:val="0"/>
        <w:widowControl w:val="0"/>
        <w:kinsoku/>
        <w:wordWrap/>
        <w:overflowPunct/>
        <w:topLinePunct w:val="0"/>
        <w:autoSpaceDE/>
        <w:autoSpaceDN/>
        <w:bidi w:val="0"/>
        <w:adjustRightInd/>
        <w:snapToGrid/>
        <w:spacing w:line="360" w:lineRule="auto"/>
        <w:ind w:right="532"/>
        <w:jc w:val="center"/>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eastAsia="zh-CN"/>
        </w:rPr>
        <w:t>二零二二年四月</w:t>
      </w:r>
      <w:r>
        <w:rPr>
          <w:rFonts w:hint="eastAsia" w:ascii="仿宋" w:hAnsi="仿宋" w:eastAsia="仿宋" w:cs="仿宋"/>
          <w:color w:val="auto"/>
          <w:sz w:val="32"/>
          <w:szCs w:val="32"/>
          <w:highlight w:val="none"/>
          <w:shd w:val="clear" w:color="auto" w:fill="auto"/>
          <w:lang w:val="en-US" w:eastAsia="zh-CN"/>
        </w:rPr>
        <w:t>二十七日</w:t>
      </w:r>
    </w:p>
    <w:p>
      <w:pPr>
        <w:spacing w:line="360" w:lineRule="auto"/>
        <w:jc w:val="center"/>
        <w:rPr>
          <w:rFonts w:hint="eastAsia" w:ascii="仿宋" w:hAnsi="仿宋" w:eastAsia="仿宋" w:cs="仿宋"/>
          <w:b/>
          <w:color w:val="auto"/>
          <w:sz w:val="48"/>
          <w:szCs w:val="48"/>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  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第一部分      </w:t>
      </w:r>
      <w:r>
        <w:rPr>
          <w:rFonts w:hint="eastAsia" w:ascii="仿宋" w:hAnsi="仿宋" w:eastAsia="仿宋" w:cs="仿宋_GB2312"/>
          <w:color w:val="auto"/>
          <w:sz w:val="32"/>
          <w:szCs w:val="32"/>
          <w:highlight w:val="none"/>
          <w:lang w:eastAsia="zh-CN"/>
        </w:rPr>
        <w:t>竞争性磋商</w:t>
      </w:r>
      <w:r>
        <w:rPr>
          <w:rFonts w:hint="eastAsia" w:ascii="仿宋" w:hAnsi="仿宋" w:eastAsia="仿宋" w:cs="仿宋_GB2312"/>
          <w:color w:val="auto"/>
          <w:sz w:val="32"/>
          <w:szCs w:val="32"/>
          <w:highlight w:val="none"/>
        </w:rPr>
        <w:t>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评标方法及评分标准</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      应提交的有关格式范例</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5"/>
        <w:numPr>
          <w:ilvl w:val="0"/>
          <w:numId w:val="0"/>
        </w:numPr>
        <w:ind w:leftChars="0"/>
        <w:rPr>
          <w:color w:val="auto"/>
          <w:highlight w:val="none"/>
        </w:rPr>
      </w:pPr>
    </w:p>
    <w:p>
      <w:pPr>
        <w:rPr>
          <w:color w:val="auto"/>
          <w:highlight w:val="none"/>
        </w:rPr>
      </w:pPr>
    </w:p>
    <w:p>
      <w:pPr>
        <w:rPr>
          <w:color w:val="auto"/>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rPr>
          <w:color w:val="auto"/>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_GB2312" w:hAnsi="仿宋" w:eastAsia="仿宋_GB2312" w:cs="仿宋_GB2312"/>
          <w:b/>
          <w:color w:val="auto"/>
          <w:sz w:val="36"/>
          <w:szCs w:val="20"/>
          <w:highlight w:val="none"/>
        </w:rPr>
        <w:t xml:space="preserve">第一部分 </w:t>
      </w:r>
      <w:r>
        <w:rPr>
          <w:rFonts w:hint="eastAsia" w:ascii="仿宋_GB2312" w:hAnsi="仿宋" w:eastAsia="仿宋_GB2312" w:cs="仿宋_GB2312"/>
          <w:b/>
          <w:color w:val="auto"/>
          <w:sz w:val="36"/>
          <w:szCs w:val="20"/>
          <w:highlight w:val="none"/>
          <w:lang w:eastAsia="zh-CN"/>
        </w:rPr>
        <w:t>磋商</w:t>
      </w:r>
      <w:r>
        <w:rPr>
          <w:rFonts w:hint="eastAsia" w:ascii="仿宋_GB2312" w:hAnsi="仿宋" w:eastAsia="仿宋_GB2312" w:cs="仿宋_GB2312"/>
          <w:b/>
          <w:color w:val="auto"/>
          <w:sz w:val="36"/>
          <w:szCs w:val="20"/>
          <w:highlight w:val="none"/>
        </w:rPr>
        <w:t>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s="仿宋_GB2312"/>
          <w:color w:val="auto"/>
          <w:sz w:val="24"/>
          <w:highlight w:val="none"/>
          <w:u w:val="single"/>
          <w:lang w:eastAsia="zh-CN"/>
        </w:rPr>
        <w:t>县级以上及“千吨万人”饮用水源地规范化建设项目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23"/>
          <w:rFonts w:ascii="仿宋_GB2312" w:hAnsi="仿宋" w:eastAsia="仿宋_GB2312" w:cs="Times New Roman"/>
          <w:snapToGrid/>
          <w:color w:val="auto"/>
          <w:kern w:val="2"/>
          <w:sz w:val="24"/>
          <w:szCs w:val="24"/>
          <w:highlight w:val="none"/>
        </w:rPr>
        <w:t>https://www.zcygov.cn/）获取（下载）</w:t>
      </w:r>
      <w:r>
        <w:rPr>
          <w:rStyle w:val="23"/>
          <w:rFonts w:hint="eastAsia" w:ascii="仿宋_GB2312" w:hAnsi="仿宋" w:eastAsia="仿宋_GB2312" w:cs="Times New Roman"/>
          <w:snapToGrid/>
          <w:color w:val="auto"/>
          <w:kern w:val="2"/>
          <w:sz w:val="24"/>
          <w:szCs w:val="24"/>
          <w:highlight w:val="none"/>
          <w:lang w:eastAsia="zh-CN"/>
        </w:rPr>
        <w:t>磋商</w:t>
      </w:r>
      <w:r>
        <w:rPr>
          <w:rStyle w:val="23"/>
          <w:rFonts w:ascii="仿宋_GB2312" w:hAnsi="仿宋" w:eastAsia="仿宋_GB2312" w:cs="Times New Roman"/>
          <w:snapToGrid/>
          <w:color w:val="auto"/>
          <w:kern w:val="2"/>
          <w:sz w:val="24"/>
          <w:szCs w:val="24"/>
          <w:highlight w:val="none"/>
        </w:rPr>
        <w:t>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w:t>
      </w:r>
      <w:r>
        <w:rPr>
          <w:rFonts w:hint="eastAsia" w:ascii="仿宋_GB2312" w:hAnsi="仿宋" w:eastAsia="仿宋_GB2312"/>
          <w:color w:val="auto"/>
          <w:sz w:val="24"/>
          <w:highlight w:val="none"/>
          <w:lang w:eastAsia="zh-CN"/>
        </w:rPr>
        <w:t>响应文件</w:t>
      </w:r>
      <w:r>
        <w:rPr>
          <w:rFonts w:hint="eastAsia" w:ascii="仿宋_GB2312" w:hAnsi="仿宋" w:eastAsia="仿宋_GB2312"/>
          <w:color w:val="auto"/>
          <w:sz w:val="24"/>
          <w:highlight w:val="none"/>
        </w:rPr>
        <w:t>。</w:t>
      </w:r>
      <w:r>
        <w:rPr>
          <w:rFonts w:ascii="仿宋_GB2312" w:hAnsi="仿宋" w:eastAsia="仿宋_GB2312"/>
          <w:b/>
          <w:color w:val="auto"/>
          <w:sz w:val="24"/>
          <w:highlight w:val="none"/>
        </w:rPr>
        <w:t xml:space="preserve">                       </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HZGQW</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2022</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011</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Cs/>
          <w:color w:val="auto"/>
          <w:sz w:val="24"/>
          <w:highlight w:val="none"/>
          <w:lang w:eastAsia="zh-CN"/>
        </w:rPr>
        <w:t>县级以上及“千吨万人”饮用水源地规范化建设项目</w:t>
      </w:r>
    </w:p>
    <w:p>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1200000</w:t>
      </w:r>
    </w:p>
    <w:p>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1200000</w:t>
      </w:r>
    </w:p>
    <w:p>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采购需求：</w:t>
      </w:r>
    </w:p>
    <w:p>
      <w:pPr>
        <w:pStyle w:val="50"/>
        <w:keepNext w:val="0"/>
        <w:keepLines w:val="0"/>
        <w:pageBreakBefore w:val="0"/>
        <w:numPr>
          <w:ilvl w:val="0"/>
          <w:numId w:val="0"/>
        </w:numPr>
        <w:kinsoku/>
        <w:wordWrap/>
        <w:overflowPunct/>
        <w:topLinePunct w:val="0"/>
        <w:autoSpaceDE/>
        <w:autoSpaceDN/>
        <w:bidi w:val="0"/>
        <w:adjustRightInd/>
        <w:spacing w:line="580" w:lineRule="exact"/>
        <w:ind w:left="0" w:leftChars="0" w:firstLine="480" w:firstLineChars="200"/>
        <w:contextualSpacing/>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合同履行期限：签订合同</w:t>
      </w:r>
      <w:r>
        <w:rPr>
          <w:rFonts w:hint="eastAsia" w:ascii="仿宋" w:hAnsi="仿宋" w:eastAsia="仿宋" w:cs="仿宋"/>
          <w:bCs/>
          <w:color w:val="auto"/>
          <w:sz w:val="24"/>
          <w:highlight w:val="none"/>
          <w:lang w:eastAsia="zh-CN"/>
        </w:rPr>
        <w:t>之日起</w:t>
      </w:r>
      <w:r>
        <w:rPr>
          <w:rFonts w:hint="eastAsia" w:ascii="仿宋" w:hAnsi="仿宋" w:eastAsia="仿宋" w:cs="仿宋"/>
          <w:color w:val="auto"/>
          <w:kern w:val="0"/>
          <w:sz w:val="24"/>
          <w:szCs w:val="24"/>
          <w:highlight w:val="none"/>
          <w:lang w:val="en-US" w:eastAsia="zh-CN" w:bidi="ar"/>
        </w:rPr>
        <w:t>至2022年12月31日止。</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简要规格描述：详见</w:t>
      </w:r>
      <w:r>
        <w:rPr>
          <w:rFonts w:hint="eastAsia" w:ascii="仿宋" w:hAnsi="仿宋" w:eastAsia="仿宋" w:cs="仿宋"/>
          <w:bCs/>
          <w:color w:val="auto"/>
          <w:sz w:val="24"/>
          <w:highlight w:val="none"/>
          <w:lang w:eastAsia="zh-CN"/>
        </w:rPr>
        <w:t>竞争性磋商</w:t>
      </w:r>
      <w:r>
        <w:rPr>
          <w:rFonts w:hint="eastAsia" w:ascii="仿宋" w:hAnsi="仿宋" w:eastAsia="仿宋" w:cs="仿宋"/>
          <w:bCs/>
          <w:color w:val="auto"/>
          <w:sz w:val="24"/>
          <w:highlight w:val="none"/>
        </w:rPr>
        <w:t xml:space="preserve">文件 </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详见第三部分采购需求。</w:t>
      </w:r>
    </w:p>
    <w:p>
      <w:pPr>
        <w:spacing w:line="360" w:lineRule="auto"/>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本项目接受联合体投标：☐是，</w:t>
      </w:r>
      <w:r>
        <w:rPr>
          <w:rFonts w:hint="eastAsia" w:ascii="仿宋" w:hAnsi="仿宋" w:eastAsia="仿宋" w:cs="仿宋"/>
          <w:b/>
          <w:color w:val="auto"/>
          <w:highlight w:val="none"/>
        </w:rPr>
        <w:sym w:font="Wingdings 2" w:char="0052"/>
      </w:r>
      <w:r>
        <w:rPr>
          <w:rFonts w:hint="eastAsia" w:ascii="仿宋" w:hAnsi="仿宋" w:eastAsia="仿宋" w:cs="仿宋"/>
          <w:b/>
          <w:color w:val="auto"/>
          <w:highlight w:val="none"/>
        </w:rPr>
        <w:t>否。</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2.落实政府采购政策需满足的资格要求：无；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3.本项目的特定资格要求：专门面向中小企业。</w:t>
      </w:r>
    </w:p>
    <w:p>
      <w:pPr>
        <w:spacing w:line="360" w:lineRule="auto"/>
        <w:ind w:firstLine="480" w:firstLineChars="200"/>
        <w:rPr>
          <w:rFonts w:hint="default" w:eastAsia="仿宋"/>
          <w:color w:val="auto"/>
          <w:highlight w:val="none"/>
          <w:lang w:val="en-US" w:eastAsia="zh-CN"/>
        </w:rPr>
      </w:pPr>
      <w:r>
        <w:rPr>
          <w:rFonts w:hint="eastAsia" w:ascii="仿宋" w:hAnsi="仿宋" w:eastAsia="仿宋" w:cs="仿宋"/>
          <w:color w:val="auto"/>
          <w:sz w:val="24"/>
          <w:highlight w:val="none"/>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 xml:space="preserve">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开标时间</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lang w:eastAsia="zh-CN"/>
        </w:rPr>
        <w:t>2022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政府采购云平台（www.zcygov.cn）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分00秒</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w:t>
      </w:r>
      <w:r>
        <w:rPr>
          <w:rFonts w:hint="eastAsia" w:ascii="仿宋" w:hAnsi="仿宋" w:eastAsia="仿宋" w:cs="仿宋"/>
          <w:color w:val="auto"/>
          <w:sz w:val="24"/>
          <w:highlight w:val="none"/>
        </w:rPr>
        <w:t>在政府采购云平台（www.zcygov.cn）上开启</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文件的第二部分总则。（2）电子招投标的说明：①电子招投标：本项目以数据电文形式，依托“政府采购云平台（www.zcygov.cn）”进行招投标活动，不接受纸质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的制作：在“政采云电子交易客户端”中完成“填写基本信息”、“导入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的传输递交：投标人在投标截止时间前将加密的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上传至政府采购云平台，还可以在投标截止时间前直接提交或者以邮政快递方式递交备份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的制作、存储、密封详见招标文件第二部分第15点—“备份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的解密：投标人按照平台提示和招标文件的规定在半小时内完成在线解密。通过“政府采购云平台”上传递交的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无法按时解密，投标供应商递交了备份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自动失效。投标人仅提交备份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，没有在电子交易平台传输递交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szCs w:val="24"/>
          <w:highlight w:val="none"/>
          <w:lang w:eastAsia="zh-CN"/>
        </w:rPr>
        <w:t>杭州市生态环境局临安分局</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址：杭州市临安区锦北街道科技大道4398号市民中心4号楼</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eastAsia="zh-CN"/>
        </w:rPr>
        <w:t>吴张成</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w:t>
      </w:r>
      <w:r>
        <w:rPr>
          <w:rFonts w:hint="eastAsia" w:ascii="仿宋" w:hAnsi="仿宋" w:eastAsia="仿宋" w:cs="仿宋"/>
          <w:color w:val="auto"/>
          <w:sz w:val="24"/>
          <w:highlight w:val="none"/>
          <w:lang w:val="en-US" w:eastAsia="zh-CN"/>
        </w:rPr>
        <w:t>0571-61072051</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质疑联系人：陈思远</w:t>
      </w:r>
    </w:p>
    <w:p>
      <w:pPr>
        <w:spacing w:line="360" w:lineRule="auto"/>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sz w:val="24"/>
          <w:highlight w:val="none"/>
          <w:lang w:eastAsia="zh-CN"/>
        </w:rPr>
        <w:t>质疑联系方式：</w:t>
      </w:r>
      <w:r>
        <w:rPr>
          <w:rFonts w:hint="eastAsia" w:ascii="仿宋" w:hAnsi="仿宋" w:eastAsia="仿宋" w:cs="仿宋"/>
          <w:color w:val="auto"/>
          <w:sz w:val="24"/>
          <w:highlight w:val="none"/>
          <w:lang w:val="en-US" w:eastAsia="zh-CN"/>
        </w:rPr>
        <w:t>0571-63920277</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杭州市建设工程管理集团有限公司</w:t>
      </w:r>
    </w:p>
    <w:p>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址：杭州市临安区</w:t>
      </w:r>
      <w:r>
        <w:rPr>
          <w:rFonts w:hint="eastAsia" w:ascii="仿宋" w:hAnsi="仿宋" w:eastAsia="仿宋" w:cs="仿宋"/>
          <w:color w:val="auto"/>
          <w:sz w:val="24"/>
          <w:highlight w:val="none"/>
          <w:lang w:eastAsia="zh-CN"/>
        </w:rPr>
        <w:t>钱王街</w:t>
      </w:r>
      <w:r>
        <w:rPr>
          <w:rFonts w:hint="eastAsia" w:ascii="仿宋" w:hAnsi="仿宋" w:eastAsia="仿宋" w:cs="仿宋"/>
          <w:color w:val="auto"/>
          <w:sz w:val="24"/>
          <w:highlight w:val="none"/>
          <w:lang w:val="en-US" w:eastAsia="zh-CN"/>
        </w:rPr>
        <w:t>855号华兴集团三楼</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真：0571-</w:t>
      </w:r>
      <w:r>
        <w:rPr>
          <w:rFonts w:hint="eastAsia" w:ascii="仿宋" w:hAnsi="仿宋" w:eastAsia="仿宋" w:cs="仿宋"/>
          <w:color w:val="auto"/>
          <w:sz w:val="24"/>
          <w:highlight w:val="none"/>
          <w:lang w:val="en-US" w:eastAsia="zh-CN"/>
        </w:rPr>
        <w:t>61088882</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w:t>
      </w:r>
      <w:r>
        <w:rPr>
          <w:rFonts w:hint="eastAsia" w:ascii="仿宋" w:hAnsi="仿宋" w:eastAsia="仿宋" w:cs="仿宋"/>
          <w:color w:val="auto"/>
          <w:sz w:val="24"/>
          <w:highlight w:val="none"/>
          <w:lang w:eastAsia="zh-CN"/>
        </w:rPr>
        <w:t>陈晓菲</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项目联系方式：0571-</w:t>
      </w:r>
      <w:r>
        <w:rPr>
          <w:rFonts w:hint="eastAsia" w:ascii="仿宋" w:hAnsi="仿宋" w:eastAsia="仿宋" w:cs="仿宋"/>
          <w:color w:val="auto"/>
          <w:sz w:val="24"/>
          <w:highlight w:val="none"/>
          <w:lang w:val="en-US" w:eastAsia="zh-CN"/>
        </w:rPr>
        <w:t>61088882</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eastAsia="zh-CN"/>
        </w:rPr>
        <w:t>宣婧</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质疑联系方式：0571-61088882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称：杭州市临安区财政局政府采购监督管理科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址：杭州市临安区锦北街道科技大道4398号市民中心4号楼B座1129</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真：0571-63722886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：喻伟建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监督投诉电话：0571-61073953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color w:val="auto"/>
          <w:highlight w:val="none"/>
        </w:rPr>
      </w:pPr>
      <w:r>
        <w:rPr>
          <w:rFonts w:hint="eastAsia" w:ascii="仿宋" w:hAnsi="仿宋" w:eastAsia="仿宋" w:cs="仿宋"/>
          <w:color w:val="auto"/>
          <w:sz w:val="24"/>
          <w:highlight w:val="none"/>
        </w:rPr>
        <w:t>CA问题联系电话（人工）：汇信CA 400-888-4636；天谷CA 400-087-8198。</w:t>
      </w:r>
    </w:p>
    <w:p>
      <w:pPr>
        <w:adjustRightInd/>
        <w:spacing w:line="360" w:lineRule="auto"/>
        <w:outlineLvl w:val="0"/>
        <w:rPr>
          <w:rFonts w:ascii="仿宋" w:hAnsi="仿宋" w:eastAsia="仿宋" w:cs="仿宋_GB2312"/>
          <w:b/>
          <w:color w:val="auto"/>
          <w:sz w:val="36"/>
          <w:szCs w:val="20"/>
          <w:highlight w:val="none"/>
        </w:rPr>
      </w:pPr>
    </w:p>
    <w:p>
      <w:pPr>
        <w:pStyle w:val="5"/>
        <w:numPr>
          <w:ilvl w:val="0"/>
          <w:numId w:val="0"/>
        </w:numPr>
        <w:ind w:leftChars="0"/>
        <w:rPr>
          <w:color w:val="auto"/>
          <w:highlight w:val="none"/>
        </w:rPr>
      </w:pPr>
    </w:p>
    <w:p>
      <w:pPr>
        <w:rPr>
          <w:color w:val="auto"/>
          <w:highlight w:val="none"/>
        </w:rPr>
      </w:pPr>
    </w:p>
    <w:p>
      <w:pPr>
        <w:pStyle w:val="6"/>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adjustRightInd/>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第二部分 投标人须知</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18"/>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8"/>
        <w:gridCol w:w="1409"/>
        <w:gridCol w:w="70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4"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color w:val="auto"/>
                <w:sz w:val="24"/>
                <w:highlight w:val="none"/>
              </w:rPr>
            </w:pPr>
          </w:p>
          <w:p>
            <w:pPr>
              <w:snapToGrid w:val="0"/>
              <w:spacing w:line="360" w:lineRule="auto"/>
              <w:jc w:val="center"/>
              <w:rPr>
                <w:rFonts w:ascii="仿宋" w:hAnsi="仿宋" w:eastAsia="仿宋" w:cs="仿宋_GB2312"/>
                <w:color w:val="auto"/>
                <w:sz w:val="24"/>
                <w:highlight w:val="none"/>
              </w:rPr>
            </w:pPr>
          </w:p>
          <w:p>
            <w:pPr>
              <w:snapToGrid w:val="0"/>
              <w:spacing w:line="360" w:lineRule="auto"/>
              <w:jc w:val="center"/>
              <w:rPr>
                <w:rFonts w:ascii="仿宋" w:hAnsi="仿宋" w:eastAsia="仿宋" w:cs="仿宋_GB2312"/>
                <w:color w:val="auto"/>
                <w:sz w:val="24"/>
                <w:highlight w:val="none"/>
              </w:rPr>
            </w:pPr>
          </w:p>
          <w:p>
            <w:pPr>
              <w:snapToGrid w:val="0"/>
              <w:spacing w:line="360" w:lineRule="auto"/>
              <w:jc w:val="center"/>
              <w:rPr>
                <w:rFonts w:ascii="仿宋" w:hAnsi="仿宋" w:eastAsia="仿宋" w:cs="仿宋_GB2312"/>
                <w:color w:val="auto"/>
                <w:sz w:val="24"/>
                <w:highlight w:val="none"/>
              </w:rPr>
            </w:pPr>
          </w:p>
          <w:p>
            <w:pPr>
              <w:snapToGrid w:val="0"/>
              <w:spacing w:line="360" w:lineRule="auto"/>
              <w:jc w:val="center"/>
              <w:rPr>
                <w:rFonts w:ascii="仿宋" w:hAnsi="仿宋" w:eastAsia="仿宋" w:cs="仿宋_GB2312"/>
                <w:color w:val="auto"/>
                <w:sz w:val="24"/>
                <w:highlight w:val="none"/>
              </w:rPr>
            </w:pPr>
          </w:p>
          <w:p>
            <w:pPr>
              <w:snapToGrid w:val="0"/>
              <w:spacing w:line="360" w:lineRule="auto"/>
              <w:jc w:val="center"/>
              <w:rPr>
                <w:rFonts w:ascii="仿宋" w:hAnsi="仿宋" w:eastAsia="仿宋" w:cs="仿宋_GB2312"/>
                <w:color w:val="auto"/>
                <w:sz w:val="24"/>
                <w:highlight w:val="none"/>
              </w:rPr>
            </w:pPr>
          </w:p>
          <w:p>
            <w:pPr>
              <w:snapToGrid w:val="0"/>
              <w:spacing w:line="360" w:lineRule="auto"/>
              <w:jc w:val="center"/>
              <w:rPr>
                <w:rFonts w:ascii="仿宋" w:hAnsi="仿宋" w:eastAsia="仿宋" w:cs="仿宋_GB2312"/>
                <w:color w:val="auto"/>
                <w:sz w:val="24"/>
                <w:highlight w:val="none"/>
              </w:rPr>
            </w:pPr>
          </w:p>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。响应文件中价格全部采用人民币报价。招标文件未列明，而投标人认为必需的费用也需列入报价。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响应文件出现不是唯一的、有选择性投标报价的；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投标报价超过磋商文件中规定的预算金额或者最高限价的</w:t>
            </w:r>
            <w:r>
              <w:rPr>
                <w:rFonts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rPr>
                <w:rFonts w:hint="eastAsia" w:ascii="仿宋_GB2312" w:hAnsi="仿宋" w:eastAsia="仿宋_GB2312"/>
                <w:b/>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p>
            <w:pPr>
              <w:spacing w:line="360" w:lineRule="auto"/>
              <w:rPr>
                <w:rFonts w:hint="eastAsia" w:ascii="仿宋" w:hAnsi="仿宋" w:eastAsia="仿宋"/>
                <w:color w:val="auto"/>
                <w:sz w:val="24"/>
                <w:highlight w:val="none"/>
                <w:lang w:eastAsia="zh-CN"/>
              </w:rPr>
            </w:pPr>
            <w:r>
              <w:rPr>
                <w:rFonts w:hint="eastAsia" w:ascii="微软雅黑" w:hAnsi="微软雅黑" w:eastAsia="微软雅黑" w:cs="微软雅黑"/>
                <w:b/>
                <w:color w:val="auto"/>
                <w:sz w:val="24"/>
                <w:highlight w:val="none"/>
                <w:lang w:eastAsia="zh-CN"/>
              </w:rPr>
              <w:t>▲</w:t>
            </w:r>
            <w:r>
              <w:rPr>
                <w:rFonts w:hint="eastAsia" w:ascii="仿宋_GB2312" w:hAnsi="仿宋" w:eastAsia="仿宋_GB2312"/>
                <w:b/>
                <w:color w:val="auto"/>
                <w:sz w:val="24"/>
                <w:highlight w:val="none"/>
                <w:lang w:eastAsia="zh-CN"/>
              </w:rPr>
              <w:t>本项目</w:t>
            </w:r>
            <w:r>
              <w:rPr>
                <w:rFonts w:hint="eastAsia" w:ascii="仿宋_GB2312" w:hAnsi="仿宋" w:eastAsia="仿宋_GB2312"/>
                <w:b/>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7"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color w:val="auto"/>
                <w:sz w:val="24"/>
                <w:highlight w:val="none"/>
              </w:rPr>
            </w:pPr>
          </w:p>
          <w:p>
            <w:pPr>
              <w:snapToGrid w:val="0"/>
              <w:spacing w:line="360" w:lineRule="auto"/>
              <w:jc w:val="center"/>
              <w:rPr>
                <w:rFonts w:ascii="仿宋" w:hAnsi="仿宋" w:eastAsia="仿宋" w:cs="仿宋_GB2312"/>
                <w:color w:val="auto"/>
                <w:sz w:val="24"/>
                <w:highlight w:val="none"/>
              </w:rPr>
            </w:pPr>
          </w:p>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投标人应当提供的资格、资信证明文件</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（1）资格证明文件：见</w:t>
            </w:r>
            <w:r>
              <w:rPr>
                <w:rFonts w:hint="eastAsia" w:ascii="仿宋" w:hAnsi="仿宋" w:eastAsia="仿宋"/>
                <w:color w:val="auto"/>
                <w:sz w:val="24"/>
                <w:highlight w:val="none"/>
                <w:lang w:eastAsia="zh-CN"/>
              </w:rPr>
              <w:t>磋商</w:t>
            </w:r>
            <w:r>
              <w:rPr>
                <w:rFonts w:hint="eastAsia" w:ascii="仿宋" w:hAnsi="仿宋" w:eastAsia="仿宋"/>
                <w:color w:val="auto"/>
                <w:sz w:val="24"/>
                <w:highlight w:val="none"/>
              </w:rPr>
              <w:t>文件第二部分</w:t>
            </w:r>
            <w:r>
              <w:rPr>
                <w:rFonts w:hint="eastAsia" w:ascii="仿宋" w:hAnsi="仿宋" w:eastAsia="仿宋" w:cs="仿宋_GB2312"/>
                <w:color w:val="auto"/>
                <w:sz w:val="24"/>
                <w:highlight w:val="none"/>
              </w:rPr>
              <w:t>11.1。</w:t>
            </w:r>
          </w:p>
          <w:p>
            <w:pPr>
              <w:spacing w:line="360" w:lineRule="auto"/>
              <w:rPr>
                <w:rFonts w:hint="eastAsia" w:ascii="仿宋" w:hAnsi="仿宋" w:eastAsia="仿宋" w:cs="仿宋_GB2312"/>
                <w:b/>
                <w:color w:val="auto"/>
                <w:sz w:val="24"/>
                <w:highlight w:val="none"/>
              </w:rPr>
            </w:pPr>
            <w:r>
              <w:rPr>
                <w:rFonts w:hint="eastAsia" w:ascii="仿宋" w:hAnsi="仿宋" w:eastAsia="仿宋"/>
                <w:color w:val="auto"/>
                <w:sz w:val="24"/>
                <w:highlight w:val="none"/>
              </w:rPr>
              <w:t>▲</w:t>
            </w:r>
            <w:r>
              <w:rPr>
                <w:rFonts w:hint="eastAsia" w:ascii="仿宋" w:hAnsi="仿宋" w:eastAsia="仿宋" w:cs="仿宋_GB2312"/>
                <w:b/>
                <w:color w:val="auto"/>
                <w:sz w:val="24"/>
                <w:highlight w:val="none"/>
              </w:rPr>
              <w:t>投标人未提供有效的资格证明文件的，视为投标人不具备</w:t>
            </w:r>
            <w:r>
              <w:rPr>
                <w:rFonts w:hint="eastAsia" w:ascii="仿宋" w:hAnsi="仿宋" w:eastAsia="仿宋" w:cs="仿宋_GB2312"/>
                <w:b/>
                <w:color w:val="auto"/>
                <w:sz w:val="24"/>
                <w:highlight w:val="none"/>
                <w:lang w:eastAsia="zh-CN"/>
              </w:rPr>
              <w:t>磋商</w:t>
            </w:r>
            <w:r>
              <w:rPr>
                <w:rFonts w:hint="eastAsia" w:ascii="仿宋" w:hAnsi="仿宋" w:eastAsia="仿宋" w:cs="仿宋_GB2312"/>
                <w:b/>
                <w:color w:val="auto"/>
                <w:sz w:val="24"/>
                <w:highlight w:val="none"/>
              </w:rPr>
              <w:t>文件中规定的资格要求，投标无效。</w:t>
            </w:r>
          </w:p>
          <w:p>
            <w:pPr>
              <w:spacing w:line="360" w:lineRule="auto"/>
              <w:rPr>
                <w:rFonts w:ascii="仿宋" w:hAnsi="仿宋" w:eastAsia="仿宋"/>
                <w:color w:val="auto"/>
                <w:kern w:val="0"/>
                <w:sz w:val="24"/>
                <w:highlight w:val="none"/>
              </w:rPr>
            </w:pPr>
            <w:r>
              <w:rPr>
                <w:rFonts w:hint="eastAsia" w:ascii="仿宋" w:hAnsi="仿宋" w:eastAsia="仿宋"/>
                <w:color w:val="auto"/>
                <w:sz w:val="24"/>
                <w:highlight w:val="none"/>
              </w:rPr>
              <w:t>（2）资信证明文件：根据</w:t>
            </w:r>
            <w:r>
              <w:rPr>
                <w:rFonts w:hint="eastAsia" w:ascii="仿宋" w:hAnsi="仿宋" w:eastAsia="仿宋"/>
                <w:color w:val="auto"/>
                <w:sz w:val="24"/>
                <w:highlight w:val="none"/>
                <w:lang w:eastAsia="zh-CN"/>
              </w:rPr>
              <w:t>磋商</w:t>
            </w:r>
            <w:r>
              <w:rPr>
                <w:rFonts w:hint="eastAsia" w:ascii="仿宋" w:hAnsi="仿宋" w:eastAsia="仿宋"/>
                <w:color w:val="auto"/>
                <w:sz w:val="24"/>
                <w:highlight w:val="none"/>
              </w:rPr>
              <w:t>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trPr>
        <w:tc>
          <w:tcPr>
            <w:tcW w:w="3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olor w:val="auto"/>
                <w:sz w:val="24"/>
                <w:szCs w:val="20"/>
                <w:highlight w:val="none"/>
              </w:rPr>
            </w:pPr>
            <w:r>
              <w:rPr>
                <w:rFonts w:hint="eastAsia" w:ascii="仿宋" w:hAnsi="仿宋" w:eastAsia="仿宋"/>
                <w:color w:val="auto"/>
                <w:sz w:val="24"/>
                <w:szCs w:val="20"/>
                <w:highlight w:val="none"/>
              </w:rPr>
              <w:t>采购单位不集中安排潜在投标人勘踏现场，请各潜在投标人自行查看现场。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3" w:hRule="atLeast"/>
          <w:tblHeader/>
        </w:trPr>
        <w:tc>
          <w:tcPr>
            <w:tcW w:w="3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3861" w:type="pct"/>
            <w:tcBorders>
              <w:top w:val="single" w:color="000000" w:sz="8" w:space="0"/>
              <w:left w:val="single" w:color="000000" w:sz="2" w:space="0"/>
              <w:bottom w:val="single" w:color="000000" w:sz="8" w:space="0"/>
              <w:right w:val="single" w:color="000000" w:sz="8" w:space="0"/>
            </w:tcBorders>
            <w:vAlign w:val="center"/>
          </w:tcPr>
          <w:p>
            <w:pPr>
              <w:widowControl/>
              <w:spacing w:before="100" w:beforeAutospacing="1" w:after="240" w:line="360" w:lineRule="auto"/>
              <w:jc w:val="left"/>
              <w:rPr>
                <w:rFonts w:hint="eastAsia" w:ascii="仿宋" w:hAnsi="仿宋" w:eastAsia="仿宋"/>
                <w:b/>
                <w:color w:val="auto"/>
                <w:sz w:val="24"/>
                <w:highlight w:val="none"/>
                <w:lang w:eastAsia="zh-CN"/>
              </w:rPr>
            </w:pPr>
            <w:r>
              <w:rPr>
                <w:rFonts w:hint="eastAsia" w:ascii="仿宋" w:hAnsi="仿宋" w:eastAsia="仿宋" w:cs="仿宋_GB2312"/>
                <w:bCs/>
                <w:color w:val="auto"/>
                <w:kern w:val="0"/>
                <w:sz w:val="24"/>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方案讲解演示</w:t>
            </w:r>
          </w:p>
        </w:tc>
        <w:tc>
          <w:tcPr>
            <w:tcW w:w="3861" w:type="pct"/>
            <w:tcBorders>
              <w:top w:val="single" w:color="000000" w:sz="8" w:space="0"/>
              <w:left w:val="single" w:color="000000" w:sz="2" w:space="0"/>
              <w:bottom w:val="single" w:color="000000" w:sz="8" w:space="0"/>
              <w:right w:val="single" w:color="000000" w:sz="8" w:space="0"/>
            </w:tcBorders>
            <w:vAlign w:val="center"/>
          </w:tcPr>
          <w:p>
            <w:pPr>
              <w:pStyle w:val="10"/>
              <w:jc w:val="left"/>
              <w:rPr>
                <w:rFonts w:ascii="仿宋" w:hAnsi="仿宋" w:eastAsia="仿宋" w:cs="仿宋_GB2312"/>
                <w:b/>
                <w:snapToGrid/>
                <w:color w:val="auto"/>
                <w:kern w:val="0"/>
                <w:sz w:val="24"/>
                <w:szCs w:val="20"/>
                <w:highlight w:val="none"/>
                <w:lang w:val="zh-CN"/>
              </w:rPr>
            </w:pPr>
            <w:r>
              <w:rPr>
                <w:rFonts w:hint="eastAsia" w:ascii="仿宋" w:hAnsi="仿宋" w:eastAsia="仿宋"/>
                <w:color w:val="auto"/>
                <w:sz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b/>
                <w:color w:val="auto"/>
                <w:sz w:val="24"/>
                <w:highlight w:val="none"/>
              </w:rPr>
              <w:t>项目属性</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color w:val="auto"/>
                <w:kern w:val="0"/>
                <w:sz w:val="24"/>
                <w:szCs w:val="20"/>
                <w:highlight w:val="none"/>
                <w:lang w:val="zh-CN"/>
              </w:rPr>
            </w:pP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6" w:type="pct"/>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中小企业划分标准所属行业</w:t>
            </w:r>
          </w:p>
        </w:tc>
        <w:tc>
          <w:tcPr>
            <w:tcW w:w="3861"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采购标的：</w:t>
            </w:r>
            <w:r>
              <w:rPr>
                <w:rFonts w:hint="eastAsia" w:ascii="仿宋" w:hAnsi="仿宋" w:eastAsia="仿宋" w:cs="仿宋"/>
                <w:color w:val="auto"/>
                <w:sz w:val="24"/>
                <w:highlight w:val="none"/>
                <w:u w:val="single"/>
                <w:lang w:eastAsia="zh-CN"/>
              </w:rPr>
              <w:t>县级以上及“千吨万人”饮用水源地规范化建设项目</w:t>
            </w:r>
            <w:r>
              <w:rPr>
                <w:rFonts w:hint="eastAsia" w:ascii="仿宋" w:hAnsi="仿宋" w:eastAsia="仿宋" w:cs="仿宋"/>
                <w:color w:val="auto"/>
                <w:sz w:val="24"/>
                <w:highlight w:val="none"/>
              </w:rPr>
              <w:t>；所属行业：</w:t>
            </w:r>
            <w:r>
              <w:rPr>
                <w:rFonts w:hint="eastAsia" w:ascii="仿宋" w:hAnsi="仿宋" w:eastAsia="仿宋" w:cs="仿宋"/>
                <w:color w:val="auto"/>
                <w:sz w:val="24"/>
                <w:highlight w:val="none"/>
                <w:u w:val="single"/>
                <w:lang w:eastAsia="zh-CN"/>
              </w:rPr>
              <w:t>其他未列明行业</w:t>
            </w:r>
            <w:r>
              <w:rPr>
                <w:rFonts w:hint="eastAsia" w:ascii="仿宋" w:hAnsi="仿宋" w:eastAsia="仿宋" w:cs="仿宋"/>
                <w:color w:val="auto"/>
                <w:sz w:val="24"/>
                <w:highlight w:val="none"/>
                <w:u w:val="single"/>
              </w:rPr>
              <w:t>。</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u w:val="single"/>
              </w:rPr>
              <w:t>注：《中小企业声明函》中所列行业与采购文件所明确的行业不一致但不改变划型结果的不影响声明有效性。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8</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小微企业有关政策</w:t>
            </w:r>
          </w:p>
          <w:p>
            <w:pPr>
              <w:snapToGrid w:val="0"/>
              <w:spacing w:line="360" w:lineRule="auto"/>
              <w:jc w:val="center"/>
              <w:rPr>
                <w:rFonts w:hint="eastAsia" w:ascii="仿宋_GB2312" w:hAnsi="仿宋" w:eastAsia="仿宋_GB2312" w:cs="仿宋_GB2312"/>
                <w:b/>
                <w:color w:val="auto"/>
                <w:sz w:val="24"/>
                <w:highlight w:val="none"/>
              </w:rPr>
            </w:pPr>
          </w:p>
        </w:tc>
        <w:tc>
          <w:tcPr>
            <w:tcW w:w="3861"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根据财库〔2011〕181号和《关于优化营商环境进一步加强政府采购监督管理工作的通知》杭财采监〔2020〕7号的相关规定，在评审时对小型和微型企业的投标报价给予10%的扣除（专门面向中小企业的项目，对小微企业给予8%的价格扣除），用扣除后的价格参与评审。属于小型和微型企业的，</w:t>
            </w:r>
            <w:r>
              <w:rPr>
                <w:rFonts w:hint="eastAsia" w:ascii="仿宋" w:hAnsi="仿宋" w:eastAsia="仿宋" w:cs="仿宋"/>
                <w:color w:val="auto"/>
                <w:sz w:val="24"/>
                <w:highlight w:val="none"/>
                <w:u w:val="none"/>
                <w:lang w:eastAsia="zh-CN"/>
              </w:rPr>
              <w:t>响应文件</w:t>
            </w:r>
            <w:r>
              <w:rPr>
                <w:rFonts w:hint="eastAsia" w:ascii="仿宋" w:hAnsi="仿宋" w:eastAsia="仿宋" w:cs="仿宋"/>
                <w:color w:val="auto"/>
                <w:sz w:val="24"/>
                <w:highlight w:val="none"/>
                <w:u w:val="none"/>
              </w:rPr>
              <w:t>中投标人必须提供的《中小企业声明函》以及本单位、制造商（如有）“国家企业信用信息公示系统——小微企业名录”页面查询结果（查询时间为投标前一周内，并加盖本单位公章），并在报价明细表中说明制造商情况。</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2、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ascii="仿宋" w:hAnsi="仿宋" w:eastAsia="仿宋" w:cs="仿宋"/>
                <w:color w:val="auto"/>
                <w:sz w:val="24"/>
                <w:highlight w:val="none"/>
                <w:u w:val="none"/>
                <w:lang w:eastAsia="zh-CN"/>
              </w:rPr>
              <w:t>响应文件</w:t>
            </w:r>
            <w:r>
              <w:rPr>
                <w:rFonts w:hint="eastAsia" w:ascii="仿宋" w:hAnsi="仿宋" w:eastAsia="仿宋" w:cs="仿宋"/>
                <w:color w:val="auto"/>
                <w:sz w:val="24"/>
                <w:highlight w:val="none"/>
                <w:u w:val="none"/>
              </w:rPr>
              <w:t>中提供残疾人福利性单位声明函（见附件）。</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3、根据财库[2014]68号的相关规定，在政府采购活动中，监狱企业视同小型、微型企业，享受评审中价格扣除政策，并在</w:t>
            </w:r>
            <w:r>
              <w:rPr>
                <w:rFonts w:hint="eastAsia" w:ascii="仿宋" w:hAnsi="仿宋" w:eastAsia="仿宋" w:cs="仿宋"/>
                <w:color w:val="auto"/>
                <w:sz w:val="24"/>
                <w:highlight w:val="none"/>
                <w:u w:val="none"/>
                <w:lang w:eastAsia="zh-CN"/>
              </w:rPr>
              <w:t>响应文件</w:t>
            </w:r>
            <w:r>
              <w:rPr>
                <w:rFonts w:hint="eastAsia" w:ascii="仿宋" w:hAnsi="仿宋" w:eastAsia="仿宋" w:cs="仿宋"/>
                <w:color w:val="auto"/>
                <w:sz w:val="24"/>
                <w:highlight w:val="none"/>
                <w:u w:val="none"/>
              </w:rPr>
              <w:t>中提供由省级以上监狱管理局、戒毒管理局（含新疆生产建设兵团）出具的属于监狱企业的证明文件（格式自拟）。”</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9" w:hRule="atLeast"/>
          <w:tblHeader/>
        </w:trPr>
        <w:tc>
          <w:tcPr>
            <w:tcW w:w="366" w:type="pct"/>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i w:val="0"/>
                <w:iCs w:val="0"/>
                <w:color w:val="auto"/>
                <w:sz w:val="24"/>
                <w:highlight w:val="none"/>
                <w:lang w:val="en-US" w:eastAsia="zh-CN"/>
              </w:rPr>
              <w:t>9</w:t>
            </w:r>
          </w:p>
        </w:tc>
        <w:tc>
          <w:tcPr>
            <w:tcW w:w="772" w:type="pct"/>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中小企业信用融资</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9" w:hRule="atLeast"/>
          <w:tblHeader/>
        </w:trPr>
        <w:tc>
          <w:tcPr>
            <w:tcW w:w="366" w:type="pct"/>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i w:val="0"/>
                <w:iCs w:val="0"/>
                <w:color w:val="auto"/>
                <w:sz w:val="24"/>
                <w:highlight w:val="none"/>
                <w:lang w:val="en-US" w:eastAsia="zh-CN"/>
              </w:rPr>
            </w:pPr>
          </w:p>
        </w:tc>
        <w:tc>
          <w:tcPr>
            <w:tcW w:w="772" w:type="pct"/>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_GB2312"/>
                <w:b/>
                <w:color w:val="auto"/>
                <w:sz w:val="24"/>
                <w:highlight w:val="none"/>
              </w:rPr>
            </w:pP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Arial"/>
                <w:snapToGrid w:val="0"/>
                <w:color w:val="auto"/>
                <w:sz w:val="24"/>
                <w:szCs w:val="21"/>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4"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highlight w:val="none"/>
                <w:lang w:val="en-US" w:eastAsia="zh-CN"/>
              </w:rPr>
              <w:t>10</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
                <w:b/>
                <w:i w:val="0"/>
                <w:iCs w:val="0"/>
                <w:color w:val="auto"/>
                <w:sz w:val="24"/>
                <w:highlight w:val="none"/>
                <w:lang w:eastAsia="zh-CN"/>
              </w:rPr>
              <w:t>响应文件</w:t>
            </w:r>
            <w:r>
              <w:rPr>
                <w:rFonts w:hint="eastAsia" w:ascii="仿宋" w:hAnsi="仿宋" w:eastAsia="仿宋" w:cs="仿宋"/>
                <w:b/>
                <w:i w:val="0"/>
                <w:iCs w:val="0"/>
                <w:color w:val="auto"/>
                <w:sz w:val="24"/>
                <w:highlight w:val="none"/>
              </w:rPr>
              <w:t>的份数</w:t>
            </w:r>
          </w:p>
        </w:tc>
        <w:tc>
          <w:tcPr>
            <w:tcW w:w="3861" w:type="pct"/>
            <w:tcBorders>
              <w:top w:val="single" w:color="000000" w:sz="8" w:space="0"/>
              <w:left w:val="single" w:color="000000" w:sz="2" w:space="0"/>
              <w:bottom w:val="single" w:color="000000" w:sz="8" w:space="0"/>
              <w:right w:val="single" w:color="000000" w:sz="8" w:space="0"/>
            </w:tcBorders>
            <w:vAlign w:val="center"/>
          </w:tcPr>
          <w:p>
            <w:pPr>
              <w:pStyle w:val="10"/>
              <w:keepNext w:val="0"/>
              <w:keepLines w:val="0"/>
              <w:pageBreakBefore w:val="0"/>
              <w:widowControl w:val="0"/>
              <w:kinsoku/>
              <w:wordWrap/>
              <w:overflowPunct/>
              <w:topLinePunct w:val="0"/>
              <w:autoSpaceDE/>
              <w:autoSpaceDN/>
              <w:bidi w:val="0"/>
              <w:adjustRightInd w:val="0"/>
              <w:snapToGrid w:val="0"/>
              <w:spacing w:before="120" w:after="120" w:line="280" w:lineRule="exact"/>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本项目实行电子投标。</w:t>
            </w:r>
          </w:p>
          <w:p>
            <w:pPr>
              <w:pStyle w:val="10"/>
              <w:keepNext w:val="0"/>
              <w:keepLines w:val="0"/>
              <w:pageBreakBefore w:val="0"/>
              <w:widowControl w:val="0"/>
              <w:kinsoku/>
              <w:wordWrap/>
              <w:overflowPunct/>
              <w:topLinePunct w:val="0"/>
              <w:autoSpaceDE/>
              <w:autoSpaceDN/>
              <w:bidi w:val="0"/>
              <w:adjustRightInd w:val="0"/>
              <w:snapToGrid w:val="0"/>
              <w:spacing w:before="120" w:after="120" w:line="280" w:lineRule="exact"/>
              <w:ind w:firstLine="360" w:firstLineChars="15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供应商应准备电子</w:t>
            </w:r>
            <w:r>
              <w:rPr>
                <w:rFonts w:hint="eastAsia" w:ascii="仿宋" w:hAnsi="仿宋" w:eastAsia="仿宋" w:cs="仿宋"/>
                <w:i w:val="0"/>
                <w:iCs w:val="0"/>
                <w:color w:val="auto"/>
                <w:sz w:val="24"/>
                <w:highlight w:val="none"/>
                <w:lang w:eastAsia="zh-CN"/>
              </w:rPr>
              <w:t>响应文件</w:t>
            </w:r>
            <w:r>
              <w:rPr>
                <w:rFonts w:hint="eastAsia" w:ascii="仿宋" w:hAnsi="仿宋" w:eastAsia="仿宋" w:cs="仿宋"/>
                <w:i w:val="0"/>
                <w:iCs w:val="0"/>
                <w:color w:val="auto"/>
                <w:sz w:val="24"/>
                <w:highlight w:val="none"/>
              </w:rPr>
              <w:t>参与投标：</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before="120" w:after="120" w:line="280" w:lineRule="exact"/>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电子</w:t>
            </w:r>
            <w:r>
              <w:rPr>
                <w:rFonts w:hint="eastAsia" w:ascii="仿宋" w:hAnsi="仿宋" w:eastAsia="仿宋" w:cs="仿宋"/>
                <w:i w:val="0"/>
                <w:iCs w:val="0"/>
                <w:color w:val="auto"/>
                <w:sz w:val="24"/>
                <w:highlight w:val="none"/>
                <w:lang w:eastAsia="zh-CN"/>
              </w:rPr>
              <w:t>响应文件</w:t>
            </w:r>
            <w:r>
              <w:rPr>
                <w:rFonts w:hint="eastAsia" w:ascii="仿宋" w:hAnsi="仿宋" w:eastAsia="仿宋" w:cs="仿宋"/>
                <w:i w:val="0"/>
                <w:iCs w:val="0"/>
                <w:color w:val="auto"/>
                <w:sz w:val="24"/>
                <w:highlight w:val="none"/>
              </w:rPr>
              <w:t>，按政采云平台项目采购-电子招投标操作指南及本</w:t>
            </w:r>
            <w:r>
              <w:rPr>
                <w:rFonts w:hint="eastAsia" w:ascii="仿宋" w:hAnsi="仿宋" w:eastAsia="仿宋" w:cs="仿宋"/>
                <w:i w:val="0"/>
                <w:iCs w:val="0"/>
                <w:color w:val="auto"/>
                <w:sz w:val="24"/>
                <w:highlight w:val="none"/>
                <w:lang w:eastAsia="zh-CN"/>
              </w:rPr>
              <w:t>磋商</w:t>
            </w:r>
            <w:r>
              <w:rPr>
                <w:rFonts w:hint="eastAsia" w:ascii="仿宋" w:hAnsi="仿宋" w:eastAsia="仿宋" w:cs="仿宋"/>
                <w:i w:val="0"/>
                <w:iCs w:val="0"/>
                <w:color w:val="auto"/>
                <w:sz w:val="24"/>
                <w:highlight w:val="none"/>
              </w:rPr>
              <w:t>文件要求递交。</w:t>
            </w:r>
          </w:p>
          <w:p>
            <w:pPr>
              <w:keepNext w:val="0"/>
              <w:keepLines w:val="0"/>
              <w:pageBreakBefore w:val="0"/>
              <w:widowControl w:val="0"/>
              <w:kinsoku/>
              <w:wordWrap/>
              <w:overflowPunct/>
              <w:topLinePunct w:val="0"/>
              <w:autoSpaceDE/>
              <w:autoSpaceDN/>
              <w:bidi w:val="0"/>
              <w:adjustRightInd w:val="0"/>
              <w:spacing w:line="280" w:lineRule="exact"/>
              <w:textAlignment w:val="auto"/>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▲未传输递交电子</w:t>
            </w:r>
            <w:r>
              <w:rPr>
                <w:rFonts w:hint="eastAsia" w:ascii="仿宋" w:hAnsi="仿宋" w:eastAsia="仿宋" w:cs="仿宋"/>
                <w:b/>
                <w:i w:val="0"/>
                <w:iCs w:val="0"/>
                <w:color w:val="auto"/>
                <w:sz w:val="24"/>
                <w:highlight w:val="none"/>
                <w:lang w:eastAsia="zh-CN"/>
              </w:rPr>
              <w:t>响应文件</w:t>
            </w:r>
            <w:r>
              <w:rPr>
                <w:rFonts w:hint="eastAsia" w:ascii="仿宋" w:hAnsi="仿宋" w:eastAsia="仿宋" w:cs="仿宋"/>
                <w:b/>
                <w:i w:val="0"/>
                <w:iCs w:val="0"/>
                <w:color w:val="auto"/>
                <w:sz w:val="24"/>
                <w:highlight w:val="none"/>
              </w:rPr>
              <w:t>的，投标无效。</w:t>
            </w:r>
          </w:p>
          <w:p>
            <w:pPr>
              <w:keepNext w:val="0"/>
              <w:keepLines w:val="0"/>
              <w:pageBreakBefore w:val="0"/>
              <w:widowControl w:val="0"/>
              <w:kinsoku/>
              <w:wordWrap/>
              <w:overflowPunct/>
              <w:topLinePunct w:val="0"/>
              <w:autoSpaceDE/>
              <w:autoSpaceDN/>
              <w:bidi w:val="0"/>
              <w:adjustRightInd w:val="0"/>
              <w:spacing w:line="280" w:lineRule="exact"/>
              <w:textAlignment w:val="auto"/>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▲未在系统解密时间内完成解密的，视为投标人自行放弃投标，投标无效。</w:t>
            </w:r>
          </w:p>
          <w:p>
            <w:pPr>
              <w:keepNext w:val="0"/>
              <w:keepLines w:val="0"/>
              <w:pageBreakBefore w:val="0"/>
              <w:widowControl w:val="0"/>
              <w:kinsoku/>
              <w:wordWrap/>
              <w:overflowPunct/>
              <w:topLinePunct w:val="0"/>
              <w:autoSpaceDE/>
              <w:autoSpaceDN/>
              <w:bidi w:val="0"/>
              <w:adjustRightInd w:val="0"/>
              <w:spacing w:line="280" w:lineRule="exact"/>
              <w:textAlignment w:val="auto"/>
              <w:rPr>
                <w:rFonts w:hint="eastAsia" w:ascii="仿宋" w:hAnsi="仿宋" w:eastAsia="仿宋" w:cs="Arial"/>
                <w:snapToGrid w:val="0"/>
                <w:color w:val="auto"/>
                <w:sz w:val="24"/>
                <w:szCs w:val="21"/>
                <w:highlight w:val="none"/>
              </w:rPr>
            </w:pPr>
            <w:r>
              <w:rPr>
                <w:rFonts w:hint="eastAsia" w:ascii="仿宋" w:hAnsi="仿宋" w:eastAsia="仿宋" w:cs="仿宋"/>
                <w:b/>
                <w:i w:val="0"/>
                <w:iCs w:val="0"/>
                <w:color w:val="auto"/>
                <w:sz w:val="24"/>
                <w:highlight w:val="none"/>
              </w:rPr>
              <w:t>本项目备份</w:t>
            </w:r>
            <w:r>
              <w:rPr>
                <w:rFonts w:hint="eastAsia" w:ascii="仿宋" w:hAnsi="仿宋" w:eastAsia="仿宋" w:cs="仿宋"/>
                <w:b/>
                <w:i w:val="0"/>
                <w:iCs w:val="0"/>
                <w:color w:val="auto"/>
                <w:sz w:val="24"/>
                <w:highlight w:val="none"/>
                <w:lang w:eastAsia="zh-CN"/>
              </w:rPr>
              <w:t>响应文件</w:t>
            </w:r>
            <w:r>
              <w:rPr>
                <w:rFonts w:hint="eastAsia" w:ascii="仿宋" w:hAnsi="仿宋" w:eastAsia="仿宋" w:cs="仿宋"/>
                <w:b/>
                <w:i w:val="0"/>
                <w:iCs w:val="0"/>
                <w:color w:val="auto"/>
                <w:sz w:val="24"/>
                <w:highlight w:val="none"/>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9"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hint="default" w:ascii="仿宋" w:hAnsi="仿宋" w:eastAsia="宋体" w:cs="仿宋"/>
                <w:i w:val="0"/>
                <w:iCs w:val="0"/>
                <w:color w:val="auto"/>
                <w:kern w:val="2"/>
                <w:sz w:val="24"/>
                <w:szCs w:val="24"/>
                <w:highlight w:val="none"/>
                <w:lang w:val="en-US" w:eastAsia="zh-CN" w:bidi="ar-SA"/>
              </w:rPr>
            </w:pPr>
            <w:r>
              <w:rPr>
                <w:rFonts w:hint="eastAsia" w:ascii="宋体" w:hAnsi="宋体" w:cs="Arial"/>
                <w:color w:val="auto"/>
                <w:kern w:val="0"/>
                <w:szCs w:val="21"/>
                <w:highlight w:val="none"/>
              </w:rPr>
              <w:t>1</w:t>
            </w:r>
            <w:r>
              <w:rPr>
                <w:rFonts w:hint="eastAsia" w:ascii="宋体" w:hAnsi="宋体" w:cs="Arial"/>
                <w:color w:val="auto"/>
                <w:kern w:val="0"/>
                <w:szCs w:val="21"/>
                <w:highlight w:val="none"/>
                <w:lang w:val="en-US" w:eastAsia="zh-CN"/>
              </w:rPr>
              <w:t>1</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采购机构代理费用</w:t>
            </w:r>
          </w:p>
        </w:tc>
        <w:tc>
          <w:tcPr>
            <w:tcW w:w="3861"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 w:hAnsi="仿宋" w:eastAsia="仿宋" w:cs="仿宋"/>
                <w:b/>
                <w:i w:val="0"/>
                <w:iCs w:val="0"/>
                <w:color w:val="auto"/>
                <w:sz w:val="24"/>
                <w:highlight w:val="none"/>
              </w:rPr>
            </w:pPr>
            <w:r>
              <w:rPr>
                <w:rFonts w:hint="eastAsia" w:ascii="仿宋" w:hAnsi="仿宋" w:eastAsia="仿宋" w:cs="仿宋"/>
                <w:i w:val="0"/>
                <w:iCs w:val="0"/>
                <w:color w:val="auto"/>
                <w:sz w:val="24"/>
                <w:highlight w:val="none"/>
                <w:lang w:eastAsia="zh-CN"/>
              </w:rPr>
              <w:t>由中标单位支付，在领取中标通知书前付清，按《招标代理服务收费管理暂行办法》</w:t>
            </w:r>
            <w:r>
              <w:rPr>
                <w:rFonts w:hint="eastAsia" w:ascii="仿宋" w:hAnsi="仿宋" w:eastAsia="仿宋" w:cs="仿宋"/>
                <w:i w:val="0"/>
                <w:iCs w:val="0"/>
                <w:color w:val="auto"/>
                <w:sz w:val="24"/>
                <w:highlight w:val="none"/>
              </w:rPr>
              <w:t>[2002]1980号文件</w:t>
            </w:r>
            <w:r>
              <w:rPr>
                <w:rFonts w:hint="eastAsia" w:ascii="仿宋" w:hAnsi="仿宋" w:eastAsia="仿宋" w:cs="仿宋"/>
                <w:i w:val="0"/>
                <w:iCs w:val="0"/>
                <w:color w:val="auto"/>
                <w:sz w:val="24"/>
                <w:highlight w:val="none"/>
                <w:lang w:eastAsia="zh-CN"/>
              </w:rPr>
              <w:t>收费标准的</w:t>
            </w:r>
            <w:r>
              <w:rPr>
                <w:rFonts w:hint="eastAsia" w:ascii="仿宋" w:hAnsi="仿宋" w:eastAsia="仿宋" w:cs="仿宋"/>
                <w:i w:val="0"/>
                <w:iCs w:val="0"/>
                <w:color w:val="auto"/>
                <w:sz w:val="24"/>
                <w:highlight w:val="none"/>
                <w:lang w:val="en-US" w:eastAsia="zh-CN"/>
              </w:rPr>
              <w:t>80%计取，最低不少于4000元</w:t>
            </w:r>
            <w:r>
              <w:rPr>
                <w:rFonts w:hint="eastAsia" w:ascii="仿宋" w:hAnsi="仿宋" w:eastAsia="仿宋" w:cs="仿宋"/>
                <w:i w:val="0"/>
                <w:iCs w:val="0"/>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4"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hint="default" w:ascii="仿宋" w:hAnsi="仿宋" w:eastAsia="宋体" w:cs="仿宋"/>
                <w:i w:val="0"/>
                <w:iCs w:val="0"/>
                <w:color w:val="auto"/>
                <w:sz w:val="24"/>
                <w:highlight w:val="none"/>
                <w:lang w:val="en-US" w:eastAsia="zh-CN"/>
              </w:rPr>
            </w:pPr>
            <w:r>
              <w:rPr>
                <w:rFonts w:hint="eastAsia" w:ascii="仿宋" w:hAnsi="仿宋" w:cs="仿宋"/>
                <w:i w:val="0"/>
                <w:iCs w:val="0"/>
                <w:color w:val="auto"/>
                <w:sz w:val="24"/>
                <w:highlight w:val="none"/>
                <w:lang w:val="en-US" w:eastAsia="zh-CN"/>
              </w:rPr>
              <w:t>12</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20" w:lineRule="exact"/>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成交候选人</w:t>
            </w:r>
          </w:p>
        </w:tc>
        <w:tc>
          <w:tcPr>
            <w:tcW w:w="3861"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8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auto"/>
                <w:sz w:val="24"/>
                <w:highlight w:val="none"/>
                <w:lang w:eastAsia="zh-CN"/>
              </w:rPr>
              <w:t>数量：</w:t>
            </w:r>
            <w:r>
              <w:rPr>
                <w:rFonts w:hint="eastAsia" w:ascii="仿宋" w:hAnsi="仿宋" w:eastAsia="仿宋" w:cs="仿宋"/>
                <w:i w:val="0"/>
                <w:iCs w:val="0"/>
                <w:color w:val="auto"/>
                <w:sz w:val="24"/>
                <w:highlight w:val="none"/>
                <w:lang w:val="en-US" w:eastAsia="zh-CN"/>
              </w:rPr>
              <w:t>1</w:t>
            </w:r>
            <w:r>
              <w:rPr>
                <w:rFonts w:hint="eastAsia" w:ascii="仿宋" w:hAnsi="仿宋" w:eastAsia="仿宋" w:cs="仿宋"/>
                <w:i w:val="0"/>
                <w:iCs w:val="0"/>
                <w:color w:val="auto"/>
                <w:sz w:val="24"/>
                <w:highlight w:val="none"/>
                <w:lang w:eastAsia="zh-CN"/>
              </w:rPr>
              <w:t>家</w:t>
            </w:r>
            <w:r>
              <w:rPr>
                <w:rFonts w:hint="eastAsia" w:ascii="仿宋" w:hAnsi="仿宋" w:eastAsia="仿宋" w:cs="仿宋"/>
                <w:i w:val="0"/>
                <w:iCs w:val="0"/>
                <w:color w:val="auto"/>
                <w:sz w:val="24"/>
                <w:highlight w:val="none"/>
                <w:lang w:val="zh-TW" w:eastAsia="zh-TW"/>
              </w:rPr>
              <w:t>。</w:t>
            </w:r>
          </w:p>
          <w:p>
            <w:pPr>
              <w:keepNext w:val="0"/>
              <w:keepLines w:val="0"/>
              <w:pageBreakBefore w:val="0"/>
              <w:widowControl w:val="0"/>
              <w:kinsoku/>
              <w:wordWrap/>
              <w:overflowPunct/>
              <w:topLinePunct w:val="0"/>
              <w:autoSpaceDE/>
              <w:autoSpaceDN/>
              <w:bidi w:val="0"/>
              <w:adjustRightInd w:val="0"/>
              <w:spacing w:line="280" w:lineRule="exact"/>
              <w:jc w:val="left"/>
              <w:textAlignment w:val="auto"/>
              <w:rPr>
                <w:rFonts w:hint="eastAsia" w:ascii="仿宋" w:hAnsi="仿宋" w:eastAsia="仿宋" w:cs="仿宋"/>
                <w:i w:val="0"/>
                <w:iCs w:val="0"/>
                <w:color w:val="auto"/>
                <w:sz w:val="24"/>
                <w:highlight w:val="none"/>
                <w:lang w:eastAsia="zh-CN"/>
              </w:rPr>
            </w:pPr>
            <w:r>
              <w:rPr>
                <w:rFonts w:hint="eastAsia" w:ascii="仿宋" w:hAnsi="仿宋" w:eastAsia="仿宋" w:cs="仿宋"/>
                <w:color w:val="auto"/>
                <w:sz w:val="24"/>
                <w:szCs w:val="24"/>
                <w:highlight w:val="none"/>
                <w:lang w:eastAsia="zh-CN"/>
              </w:rPr>
              <w:t>如</w:t>
            </w:r>
            <w:r>
              <w:rPr>
                <w:rFonts w:hint="eastAsia" w:ascii="仿宋" w:hAnsi="仿宋" w:eastAsia="仿宋" w:cs="仿宋"/>
                <w:i w:val="0"/>
                <w:iCs w:val="0"/>
                <w:color w:val="auto"/>
                <w:sz w:val="24"/>
                <w:highlight w:val="none"/>
                <w:lang w:eastAsia="zh-CN"/>
              </w:rPr>
              <w:t>综合评分得分相同的，按照最后报价由低到高的顺序推荐。综合评分得分且最后报价相同的，按照技术指标优劣顺序推荐</w:t>
            </w:r>
            <w:r>
              <w:rPr>
                <w:rFonts w:hint="eastAsia" w:ascii="仿宋" w:hAnsi="仿宋" w:eastAsia="仿宋" w:cs="仿宋"/>
                <w:i w:val="0"/>
                <w:iCs w:val="0"/>
                <w:color w:val="auto"/>
                <w:sz w:val="24"/>
                <w:highlight w:val="none"/>
                <w:lang w:val="zh-TW" w:eastAsia="zh-TW"/>
              </w:rPr>
              <w:t>。报价和技术指标均相同的，采取随机抽取的方式确定。</w:t>
            </w:r>
          </w:p>
        </w:tc>
      </w:tr>
    </w:tbl>
    <w:p>
      <w:pPr>
        <w:adjustRightInd/>
        <w:spacing w:line="360" w:lineRule="auto"/>
        <w:jc w:val="both"/>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p>
    <w:p>
      <w:pPr>
        <w:pStyle w:val="9"/>
        <w:rPr>
          <w:rFonts w:hint="eastAsia" w:ascii="仿宋" w:hAnsi="仿宋" w:eastAsia="仿宋" w:cs="仿宋"/>
          <w:b/>
          <w:color w:val="auto"/>
          <w:sz w:val="32"/>
          <w:szCs w:val="20"/>
          <w:highlight w:val="none"/>
        </w:rPr>
      </w:pPr>
    </w:p>
    <w:p>
      <w:pPr>
        <w:rPr>
          <w:rFonts w:hint="eastAsia" w:ascii="仿宋" w:hAnsi="仿宋" w:eastAsia="仿宋" w:cs="仿宋"/>
          <w:b/>
          <w:color w:val="auto"/>
          <w:sz w:val="32"/>
          <w:szCs w:val="20"/>
          <w:highlight w:val="none"/>
        </w:rPr>
      </w:pPr>
    </w:p>
    <w:p>
      <w:pPr>
        <w:pStyle w:val="9"/>
        <w:rPr>
          <w:rFonts w:hint="eastAsia" w:ascii="仿宋" w:hAnsi="仿宋" w:eastAsia="仿宋" w:cs="仿宋"/>
          <w:b/>
          <w:color w:val="auto"/>
          <w:sz w:val="32"/>
          <w:szCs w:val="20"/>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“采购机构”系指</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公告中载明的本项目的采购机构。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3.3.2在政府采购活动中，投标人提供的货物、工程或者服务符合下列情形的，享受中小企业扶持政策：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3.3.2.1在货物采购项目中，货物由中小企业制造，即货物由中小企业生产且使用该中小企业商号或者注册商标；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3.3.2.2在工程采购项目中，工程由中小企业承建，即工程施工单位为中小企业；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3.3.2.3在服务采购项目中，服务由中小企业承接，即提供服务的人员为中小企业依照《中华人民共和国劳动合同法》订立劳动合同的从业人员。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在货物采购项目中，投标人提供的货物既有中小企业制造货物，也有大型企业制造货物的，不享受中小企业扶持政策。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olor w:val="auto"/>
          <w:sz w:val="24"/>
          <w:highlight w:val="none"/>
        </w:rPr>
        <w:cr/>
      </w:r>
      <w:r>
        <w:rPr>
          <w:rFonts w:hint="eastAsia" w:ascii="仿宋" w:hAnsi="仿宋" w:eastAsia="仿宋"/>
          <w:b/>
          <w:color w:val="auto"/>
          <w:sz w:val="24"/>
          <w:highlight w:val="none"/>
        </w:rPr>
        <w:t>4.询问、质疑、投诉</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4.1供应商询问</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4.2供应商质疑</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4.2.1提出质疑的供应商应当是参与所质疑项目采购活动的供应商。潜在供应商已依法获取其可质疑的招标文件的，可以对该文件提出质疑。</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4.2.2.1对招标文件提出质疑的，质疑期限为供应商获得招标文件之日或者招标文件公告期限届满之日起计算。</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4.2.2.2对采购过程提出质疑的，质疑期限为各采购程序环节结束之日起计算。对同一采购程序环节的质疑，供应商须一次性提出。</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4.2.2.3对采购结果提出质疑的，质疑期限自采购结果公告期限届满之日起计算。</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4.2.3供应商提出质疑应当提交质疑函和必要的证明材料。质疑函应当包括下列内容：</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4.2.3.1供应商的姓名或者名称、地址、邮编、联系人及联系电话；</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4.2.3.2质疑项目的名称、编号；</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4.2.3.3具体、明确的质疑事项和与质疑事项相关的请求；</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4.2.3.4事实依据；</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4.2.3.5必要的法律依据；</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4.2.3.6提出质疑的日期。</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质疑函范本及制作说明详见附件2。</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4.3供应商投诉</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4.3.2供应商投诉的事项不得超出已质疑事项的范围，基于质疑答复内容提出的投诉事项除外。</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4.3.3供应商投诉应当有明确的请求和必要的证明材料。</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4.3.5 以联合体形式参加政府采购活动的，其投诉应当由组成联合体的所有供应商共同提出。</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投诉书范本及制作说明详见附件3。</w:t>
      </w:r>
    </w:p>
    <w:p>
      <w:pPr>
        <w:pStyle w:val="29"/>
        <w:snapToGrid w:val="0"/>
        <w:spacing w:after="240" w:afterAutospacing="0" w:line="360" w:lineRule="auto"/>
        <w:ind w:firstLine="480"/>
        <w:contextualSpacing/>
        <w:rPr>
          <w:rFonts w:hint="eastAsia"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4.4在线质疑、投诉。</w:t>
      </w:r>
    </w:p>
    <w:p>
      <w:pPr>
        <w:pStyle w:val="29"/>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微软雅黑"/>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hint="eastAsia" w:ascii="仿宋" w:hAnsi="仿宋" w:eastAsia="仿宋" w:cs="仿宋"/>
          <w:b/>
          <w:color w:val="auto"/>
          <w:sz w:val="32"/>
          <w:szCs w:val="20"/>
          <w:highlight w:val="none"/>
        </w:rPr>
      </w:pPr>
      <w:bookmarkStart w:id="0" w:name="_Toc91899879"/>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w:t>
      </w:r>
      <w:r>
        <w:rPr>
          <w:rFonts w:hint="eastAsia" w:ascii="仿宋" w:hAnsi="仿宋" w:eastAsia="仿宋" w:cs="仿宋"/>
          <w:b/>
          <w:color w:val="auto"/>
          <w:sz w:val="32"/>
          <w:szCs w:val="20"/>
          <w:highlight w:val="none"/>
          <w:lang w:eastAsia="zh-CN"/>
        </w:rPr>
        <w:t>磋商</w:t>
      </w:r>
      <w:r>
        <w:rPr>
          <w:rFonts w:hint="eastAsia" w:ascii="仿宋" w:hAnsi="仿宋" w:eastAsia="仿宋" w:cs="仿宋"/>
          <w:b/>
          <w:color w:val="auto"/>
          <w:sz w:val="32"/>
          <w:szCs w:val="20"/>
          <w:highlight w:val="none"/>
        </w:rPr>
        <w:t>文件</w:t>
      </w:r>
      <w:bookmarkEnd w:id="0"/>
      <w:r>
        <w:rPr>
          <w:rFonts w:hint="eastAsia" w:ascii="仿宋" w:hAnsi="仿宋" w:eastAsia="仿宋" w:cs="仿宋"/>
          <w:b/>
          <w:color w:val="auto"/>
          <w:sz w:val="32"/>
          <w:szCs w:val="20"/>
          <w:highlight w:val="none"/>
        </w:rPr>
        <w:t>的构成、澄清、修改</w:t>
      </w:r>
    </w:p>
    <w:p>
      <w:pPr>
        <w:pStyle w:val="10"/>
        <w:spacing w:line="360" w:lineRule="auto"/>
        <w:rPr>
          <w:rFonts w:hint="eastAsia" w:ascii="仿宋" w:hAnsi="仿宋" w:eastAsia="仿宋" w:cs="仿宋"/>
          <w:b/>
          <w:color w:val="auto"/>
          <w:sz w:val="24"/>
          <w:szCs w:val="24"/>
          <w:highlight w:val="none"/>
        </w:rPr>
      </w:pPr>
      <w:bookmarkStart w:id="1" w:name="_Toc91899880"/>
      <w:bookmarkStart w:id="2" w:name="_Hlt74730307"/>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rPr>
        <w:t>文件的构成</w:t>
      </w:r>
      <w:bookmarkEnd w:id="1"/>
    </w:p>
    <w:bookmarkEnd w:id="2"/>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磋商文件包括下列文件及附件</w:t>
      </w:r>
    </w:p>
    <w:p>
      <w:pPr>
        <w:pStyle w:val="10"/>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第一部分 </w:t>
      </w:r>
      <w:r>
        <w:rPr>
          <w:rFonts w:hint="eastAsia" w:ascii="仿宋" w:hAnsi="仿宋" w:eastAsia="仿宋" w:cs="仿宋"/>
          <w:color w:val="auto"/>
          <w:sz w:val="24"/>
          <w:szCs w:val="24"/>
          <w:highlight w:val="none"/>
          <w:lang w:eastAsia="zh-CN"/>
        </w:rPr>
        <w:t>竞争性磋商</w:t>
      </w:r>
      <w:r>
        <w:rPr>
          <w:rFonts w:hint="eastAsia" w:ascii="仿宋" w:hAnsi="仿宋" w:eastAsia="仿宋" w:cs="仿宋"/>
          <w:color w:val="auto"/>
          <w:sz w:val="24"/>
          <w:szCs w:val="24"/>
          <w:highlight w:val="none"/>
        </w:rPr>
        <w:t>公告</w:t>
      </w:r>
    </w:p>
    <w:p>
      <w:pPr>
        <w:pStyle w:val="10"/>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投标人须知</w:t>
      </w:r>
    </w:p>
    <w:p>
      <w:pPr>
        <w:pStyle w:val="10"/>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采购需求</w:t>
      </w:r>
    </w:p>
    <w:p>
      <w:pPr>
        <w:pStyle w:val="10"/>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评标方法及评分标准</w:t>
      </w:r>
    </w:p>
    <w:p>
      <w:pPr>
        <w:pStyle w:val="10"/>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拟签订的合同文本</w:t>
      </w:r>
    </w:p>
    <w:p>
      <w:pPr>
        <w:pStyle w:val="10"/>
        <w:numPr>
          <w:ilvl w:val="0"/>
          <w:numId w:val="3"/>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w:t>
      </w:r>
      <w:r>
        <w:rPr>
          <w:rFonts w:hint="eastAsia" w:ascii="仿宋" w:hAnsi="仿宋" w:eastAsia="仿宋" w:cs="仿宋"/>
          <w:bCs/>
          <w:color w:val="auto"/>
          <w:sz w:val="24"/>
          <w:highlight w:val="none"/>
          <w:lang w:eastAsia="zh-CN"/>
        </w:rPr>
        <w:t>磋商</w:t>
      </w:r>
      <w:r>
        <w:rPr>
          <w:rFonts w:hint="eastAsia" w:ascii="仿宋" w:hAnsi="仿宋" w:eastAsia="仿宋" w:cs="仿宋"/>
          <w:bCs/>
          <w:color w:val="auto"/>
          <w:sz w:val="24"/>
          <w:highlight w:val="none"/>
        </w:rPr>
        <w:t>文件的组成部分</w:t>
      </w:r>
      <w:r>
        <w:rPr>
          <w:rFonts w:hint="eastAsia" w:ascii="仿宋" w:hAnsi="仿宋" w:eastAsia="仿宋" w:cs="仿宋"/>
          <w:color w:val="auto"/>
          <w:sz w:val="24"/>
          <w:highlight w:val="none"/>
        </w:rPr>
        <w:t>。</w:t>
      </w:r>
    </w:p>
    <w:p>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rPr>
        <w:t>文件的澄清、修改</w:t>
      </w:r>
    </w:p>
    <w:p>
      <w:pPr>
        <w:pStyle w:val="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文件的潜在投标人，若有问题需要澄清，应于投标截止时间前，以书面形式向采购机构提出。</w:t>
      </w:r>
    </w:p>
    <w:p>
      <w:pPr>
        <w:pStyle w:val="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采购机构对采购文件进行澄清或修改的，将同时通过电子交易平台通知已获取采购文件的潜在投标人。依法应当公告的，将按规定公告，同时视情况延长投标截止时间和开标时间。该澄清或者修改的内容为</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文件的组成部分。</w:t>
      </w:r>
    </w:p>
    <w:p>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lang w:eastAsia="zh-CN"/>
        </w:rPr>
        <w:t>响应</w:t>
      </w:r>
      <w:r>
        <w:rPr>
          <w:rFonts w:hint="eastAsia" w:ascii="仿宋" w:hAnsi="仿宋" w:eastAsia="仿宋" w:cs="仿宋"/>
          <w:b/>
          <w:color w:val="auto"/>
          <w:sz w:val="24"/>
          <w:szCs w:val="21"/>
          <w:highlight w:val="none"/>
        </w:rPr>
        <w:t>文件未按磋商文件的澄清、修改的内容编制，又不符合实质性要求的，投标无效。</w:t>
      </w:r>
    </w:p>
    <w:p>
      <w:pPr>
        <w:adjustRightInd/>
        <w:spacing w:line="360" w:lineRule="auto"/>
        <w:jc w:val="center"/>
        <w:outlineLvl w:val="0"/>
        <w:rPr>
          <w:rFonts w:hint="eastAsia" w:ascii="仿宋" w:hAnsi="仿宋" w:eastAsia="仿宋" w:cs="仿宋"/>
          <w:b/>
          <w:color w:val="auto"/>
          <w:sz w:val="30"/>
          <w:szCs w:val="20"/>
          <w:highlight w:val="none"/>
        </w:rPr>
      </w:pPr>
      <w:bookmarkStart w:id="3" w:name="_Toc91899884"/>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bookmarkEnd w:id="3"/>
    </w:p>
    <w:p>
      <w:pPr>
        <w:pStyle w:val="10"/>
        <w:spacing w:line="360" w:lineRule="auto"/>
        <w:rPr>
          <w:rFonts w:hint="eastAsia" w:ascii="仿宋" w:hAnsi="仿宋" w:eastAsia="仿宋" w:cs="仿宋"/>
          <w:b/>
          <w:color w:val="auto"/>
          <w:sz w:val="24"/>
          <w:szCs w:val="24"/>
          <w:highlight w:val="none"/>
        </w:rPr>
      </w:pPr>
      <w:bookmarkStart w:id="4" w:name="_Toc91899892"/>
      <w:bookmarkStart w:id="5" w:name="_Toc86216991"/>
      <w:r>
        <w:rPr>
          <w:rFonts w:hint="eastAsia" w:ascii="仿宋" w:hAnsi="仿宋" w:eastAsia="仿宋" w:cs="仿宋"/>
          <w:b/>
          <w:color w:val="auto"/>
          <w:sz w:val="24"/>
          <w:szCs w:val="24"/>
          <w:highlight w:val="none"/>
        </w:rPr>
        <w:t>7.</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rPr>
        <w:t>文件的获取</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磋商</w:t>
      </w:r>
      <w:r>
        <w:rPr>
          <w:rFonts w:hint="eastAsia" w:ascii="仿宋" w:hAnsi="仿宋" w:eastAsia="仿宋" w:cs="仿宋"/>
          <w:snapToGrid w:val="0"/>
          <w:color w:val="auto"/>
          <w:kern w:val="28"/>
          <w:sz w:val="24"/>
          <w:highlight w:val="none"/>
        </w:rPr>
        <w:t>公告中获取</w:t>
      </w:r>
      <w:r>
        <w:rPr>
          <w:rFonts w:hint="eastAsia" w:ascii="仿宋" w:hAnsi="仿宋" w:eastAsia="仿宋" w:cs="仿宋"/>
          <w:snapToGrid w:val="0"/>
          <w:color w:val="auto"/>
          <w:kern w:val="28"/>
          <w:sz w:val="24"/>
          <w:highlight w:val="none"/>
          <w:lang w:eastAsia="zh-CN"/>
        </w:rPr>
        <w:t>磋商</w:t>
      </w:r>
      <w:r>
        <w:rPr>
          <w:rFonts w:hint="eastAsia" w:ascii="仿宋" w:hAnsi="仿宋" w:eastAsia="仿宋" w:cs="仿宋"/>
          <w:snapToGrid w:val="0"/>
          <w:color w:val="auto"/>
          <w:kern w:val="28"/>
          <w:sz w:val="24"/>
          <w:highlight w:val="none"/>
        </w:rPr>
        <w:t>文件的时间期限、地点、方式及</w:t>
      </w:r>
      <w:r>
        <w:rPr>
          <w:rFonts w:hint="eastAsia" w:ascii="仿宋" w:hAnsi="仿宋" w:eastAsia="仿宋" w:cs="仿宋"/>
          <w:snapToGrid w:val="0"/>
          <w:color w:val="auto"/>
          <w:kern w:val="28"/>
          <w:sz w:val="24"/>
          <w:highlight w:val="none"/>
          <w:lang w:eastAsia="zh-CN"/>
        </w:rPr>
        <w:t>磋商</w:t>
      </w:r>
      <w:r>
        <w:rPr>
          <w:rFonts w:hint="eastAsia" w:ascii="仿宋" w:hAnsi="仿宋" w:eastAsia="仿宋" w:cs="仿宋"/>
          <w:snapToGrid w:val="0"/>
          <w:color w:val="auto"/>
          <w:kern w:val="28"/>
          <w:sz w:val="24"/>
          <w:highlight w:val="none"/>
        </w:rPr>
        <w:t>文件售价。</w:t>
      </w:r>
    </w:p>
    <w:p>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1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不组织</w:t>
      </w:r>
      <w:r>
        <w:rPr>
          <w:rFonts w:hint="eastAsia" w:ascii="仿宋" w:hAnsi="仿宋" w:eastAsia="仿宋" w:cs="仿宋"/>
          <w:b/>
          <w:color w:val="auto"/>
          <w:sz w:val="24"/>
          <w:szCs w:val="24"/>
          <w:highlight w:val="none"/>
          <w:lang w:eastAsia="zh-CN"/>
        </w:rPr>
        <w:t>。</w:t>
      </w:r>
    </w:p>
    <w:p>
      <w:pPr>
        <w:pStyle w:val="10"/>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本项目不需要交纳投标保证金。</w:t>
      </w:r>
    </w:p>
    <w:p>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文件及投标人与采购有关的来往通知、函件和文件均应使用中文。</w:t>
      </w:r>
    </w:p>
    <w:p>
      <w:pPr>
        <w:pStyle w:val="1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的组成</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文件应当包括以下主要内容：</w:t>
      </w:r>
      <w:r>
        <w:rPr>
          <w:rFonts w:hint="eastAsia" w:ascii="仿宋" w:hAnsi="仿宋" w:eastAsia="仿宋" w:cs="仿宋"/>
          <w:b/>
          <w:color w:val="auto"/>
          <w:sz w:val="24"/>
          <w:szCs w:val="24"/>
          <w:highlight w:val="none"/>
        </w:rPr>
        <w:t>资格文件、报价文件、商务技术文件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文件应当对</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文件提出的要求和条件作出明确响应。</w:t>
      </w:r>
    </w:p>
    <w:p>
      <w:pPr>
        <w:snapToGrid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应包括以下内容（均需使用电子签名）：</w:t>
      </w:r>
      <w:r>
        <w:rPr>
          <w:rFonts w:hint="eastAsia" w:ascii="仿宋" w:hAnsi="仿宋" w:eastAsia="仿宋" w:cs="仿宋"/>
          <w:color w:val="auto"/>
          <w:kern w:val="0"/>
          <w:sz w:val="24"/>
          <w:highlight w:val="none"/>
        </w:rPr>
        <w:t>证明其符合《中华人民共和国政府采购法》规定的供应商基本条件和采购项目对供应商的特定条件</w:t>
      </w:r>
      <w:r>
        <w:rPr>
          <w:rFonts w:hint="eastAsia" w:ascii="仿宋" w:hAnsi="仿宋" w:eastAsia="仿宋" w:cs="仿宋"/>
          <w:color w:val="auto"/>
          <w:sz w:val="24"/>
          <w:highlight w:val="none"/>
        </w:rPr>
        <w:t>（如果项目要求）</w:t>
      </w:r>
      <w:r>
        <w:rPr>
          <w:rFonts w:hint="eastAsia" w:ascii="仿宋" w:hAnsi="仿宋" w:eastAsia="仿宋" w:cs="仿宋"/>
          <w:color w:val="auto"/>
          <w:kern w:val="0"/>
          <w:sz w:val="24"/>
          <w:highlight w:val="none"/>
        </w:rPr>
        <w:t>的有关资格证明文件。</w:t>
      </w:r>
      <w:r>
        <w:rPr>
          <w:rFonts w:hint="eastAsia" w:ascii="仿宋" w:hAnsi="仿宋" w:eastAsia="仿宋" w:cs="仿宋"/>
          <w:b/>
          <w:color w:val="auto"/>
          <w:kern w:val="0"/>
          <w:sz w:val="24"/>
          <w:highlight w:val="none"/>
        </w:rPr>
        <w:t>（以联合体形式进行政府采购的，参加联合体的供应商均应当提供）</w:t>
      </w:r>
    </w:p>
    <w:p>
      <w:pPr>
        <w:pStyle w:val="10"/>
        <w:spacing w:line="360" w:lineRule="auto"/>
        <w:ind w:firstLine="480" w:firstLineChars="200"/>
        <w:rPr>
          <w:rFonts w:hint="eastAsia" w:ascii="仿宋" w:hAnsi="仿宋" w:eastAsia="仿宋" w:cs="仿宋"/>
          <w:color w:val="auto"/>
          <w:sz w:val="24"/>
          <w:highlight w:val="none"/>
        </w:rPr>
      </w:pPr>
      <w:bookmarkStart w:id="6" w:name="_Hlt68072998"/>
      <w:bookmarkEnd w:id="6"/>
      <w:bookmarkStart w:id="7" w:name="_Hlt68073093"/>
      <w:bookmarkEnd w:id="7"/>
      <w:bookmarkStart w:id="8" w:name="_Hlt68403820"/>
      <w:bookmarkEnd w:id="8"/>
      <w:r>
        <w:rPr>
          <w:rFonts w:hint="eastAsia" w:ascii="仿宋" w:hAnsi="仿宋" w:eastAsia="仿宋" w:cs="仿宋"/>
          <w:color w:val="auto"/>
          <w:sz w:val="24"/>
          <w:highlight w:val="none"/>
        </w:rPr>
        <w:t>11.1.1</w:t>
      </w:r>
      <w:r>
        <w:rPr>
          <w:rFonts w:hint="eastAsia" w:ascii="仿宋" w:hAnsi="仿宋" w:eastAsia="仿宋" w:cs="仿宋"/>
          <w:color w:val="auto"/>
          <w:sz w:val="24"/>
          <w:szCs w:val="24"/>
          <w:highlight w:val="none"/>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 w:hAnsi="仿宋" w:eastAsia="仿宋" w:cs="仿宋"/>
          <w:color w:val="auto"/>
          <w:sz w:val="24"/>
          <w:highlight w:val="none"/>
        </w:rPr>
        <w:t>营业执照复印件；</w:t>
      </w:r>
      <w:r>
        <w:rPr>
          <w:rFonts w:hint="eastAsia" w:ascii="仿宋" w:hAnsi="仿宋" w:eastAsia="仿宋" w:cs="仿宋"/>
          <w:b/>
          <w:color w:val="auto"/>
          <w:kern w:val="0"/>
          <w:sz w:val="24"/>
          <w:highlight w:val="none"/>
        </w:rPr>
        <w:t>（以联合体形式进行政府采购的，参加联合体的供应商均应当提供）；</w:t>
      </w:r>
    </w:p>
    <w:p>
      <w:pPr>
        <w:pStyle w:val="1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11.1.2授权书（如法定代表人直接参加投标并对相应文件签字的，只需提供其身份证复印件正反面；如以联合体形式参加政府采购活动的，按</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文件有关格式范例提供联合体投标授权书）；▲</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中法人授权书所载内容与本项目内容有异的，投标无效；</w:t>
      </w:r>
    </w:p>
    <w:p>
      <w:pPr>
        <w:pStyle w:val="1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11.1.3法定代表人及其授权代表的身份证（复印件）；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11.1.4上一年度资产负债表等财务报表资料文件 (或其它</w:t>
      </w:r>
      <w:r>
        <w:rPr>
          <w:rFonts w:hint="eastAsia" w:ascii="仿宋" w:hAnsi="仿宋" w:eastAsia="仿宋" w:cs="仿宋"/>
          <w:color w:val="auto"/>
          <w:kern w:val="0"/>
          <w:sz w:val="24"/>
          <w:highlight w:val="none"/>
        </w:rPr>
        <w:t>财务状况报告，</w:t>
      </w:r>
      <w:r>
        <w:rPr>
          <w:rFonts w:hint="eastAsia" w:ascii="仿宋" w:hAnsi="仿宋" w:eastAsia="仿宋" w:cs="仿宋"/>
          <w:color w:val="auto"/>
          <w:sz w:val="24"/>
          <w:highlight w:val="none"/>
        </w:rPr>
        <w:t>新成立的公司，必须提供情况说明)；</w:t>
      </w:r>
    </w:p>
    <w:p>
      <w:pPr>
        <w:pStyle w:val="1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11.1.5具有履行合同所必需的设备和专业技术能力的承诺函；</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
          <w:color w:val="auto"/>
          <w:sz w:val="24"/>
          <w:highlight w:val="none"/>
        </w:rPr>
        <w:t>11.1.6参加政</w:t>
      </w:r>
      <w:r>
        <w:rPr>
          <w:rFonts w:hint="eastAsia" w:ascii="仿宋" w:hAnsi="仿宋" w:eastAsia="仿宋" w:cs="仿宋_GB2312"/>
          <w:color w:val="auto"/>
          <w:sz w:val="24"/>
          <w:highlight w:val="none"/>
        </w:rPr>
        <w:t>府采购活动前三年内，在经营活动中没有重大违法记录的声明；</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11.1.7</w:t>
      </w:r>
      <w:r>
        <w:rPr>
          <w:rFonts w:hint="eastAsia" w:ascii="仿宋" w:hAnsi="仿宋" w:eastAsia="仿宋" w:cs="仿宋_GB2312"/>
          <w:color w:val="auto"/>
          <w:sz w:val="24"/>
          <w:szCs w:val="20"/>
          <w:highlight w:val="none"/>
        </w:rPr>
        <w:t>具有良好商业信誉的特别声明；</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11.1.8符合特定资格条件（如果项目要求）的有关证明材料（复印件）；</w:t>
      </w:r>
    </w:p>
    <w:p>
      <w:pPr>
        <w:pStyle w:val="10"/>
        <w:snapToGrid w:val="0"/>
        <w:spacing w:line="360" w:lineRule="auto"/>
        <w:ind w:firstLine="480" w:firstLineChars="20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11.1.9政府采购供应商廉洁自律承诺书</w:t>
      </w:r>
      <w:r>
        <w:rPr>
          <w:rFonts w:hint="eastAsia" w:ascii="仿宋" w:hAnsi="仿宋" w:eastAsia="仿宋" w:cs="仿宋_GB2312"/>
          <w:color w:val="auto"/>
          <w:sz w:val="24"/>
          <w:highlight w:val="none"/>
          <w:lang w:eastAsia="zh-CN"/>
        </w:rPr>
        <w:t>；</w:t>
      </w:r>
    </w:p>
    <w:p>
      <w:pPr>
        <w:pStyle w:val="10"/>
        <w:snapToGrid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11.</w:t>
      </w:r>
      <w:r>
        <w:rPr>
          <w:rFonts w:hint="eastAsia" w:ascii="仿宋" w:hAnsi="仿宋" w:eastAsia="仿宋" w:cs="仿宋_GB2312"/>
          <w:color w:val="auto"/>
          <w:sz w:val="24"/>
          <w:szCs w:val="24"/>
          <w:highlight w:val="none"/>
          <w:lang w:val="en-US" w:eastAsia="zh-CN"/>
        </w:rPr>
        <w:t>1</w:t>
      </w:r>
      <w:r>
        <w:rPr>
          <w:rFonts w:hint="eastAsia" w:ascii="仿宋" w:hAnsi="仿宋" w:eastAsia="仿宋" w:cs="仿宋_GB2312"/>
          <w:color w:val="auto"/>
          <w:sz w:val="24"/>
          <w:szCs w:val="24"/>
          <w:highlight w:val="none"/>
        </w:rPr>
        <w:t>.</w:t>
      </w:r>
      <w:r>
        <w:rPr>
          <w:rFonts w:hint="eastAsia" w:ascii="仿宋" w:hAnsi="仿宋" w:eastAsia="仿宋" w:cs="仿宋_GB2312"/>
          <w:color w:val="auto"/>
          <w:sz w:val="24"/>
          <w:szCs w:val="24"/>
          <w:highlight w:val="none"/>
          <w:lang w:val="en-US" w:eastAsia="zh-CN"/>
        </w:rPr>
        <w:t>10</w:t>
      </w:r>
      <w:r>
        <w:rPr>
          <w:rFonts w:hint="eastAsia" w:ascii="仿宋" w:hAnsi="仿宋" w:eastAsia="仿宋" w:cs="仿宋_GB2312"/>
          <w:color w:val="auto"/>
          <w:sz w:val="24"/>
          <w:szCs w:val="24"/>
          <w:highlight w:val="none"/>
        </w:rPr>
        <w:t>中小企业声明函。</w:t>
      </w:r>
    </w:p>
    <w:p>
      <w:pPr>
        <w:snapToGrid w:val="0"/>
        <w:spacing w:line="360" w:lineRule="auto"/>
        <w:ind w:firstLine="480" w:firstLineChars="200"/>
        <w:rPr>
          <w:rFonts w:ascii="仿宋" w:hAnsi="仿宋" w:eastAsia="仿宋" w:cs="仿宋_GB2312"/>
          <w:color w:val="auto"/>
          <w:sz w:val="24"/>
          <w:highlight w:val="none"/>
          <w:u w:val="single"/>
          <w:lang w:val="zh-CN"/>
        </w:rPr>
      </w:pPr>
      <w:r>
        <w:rPr>
          <w:rFonts w:hint="eastAsia" w:ascii="仿宋" w:hAnsi="仿宋" w:eastAsia="仿宋" w:cs="仿宋_GB2312"/>
          <w:color w:val="auto"/>
          <w:kern w:val="0"/>
          <w:sz w:val="24"/>
          <w:highlight w:val="none"/>
          <w:lang w:val="zh-CN"/>
        </w:rPr>
        <w:t xml:space="preserve">11.2 </w:t>
      </w:r>
      <w:r>
        <w:rPr>
          <w:rFonts w:hint="eastAsia" w:ascii="仿宋" w:hAnsi="仿宋" w:eastAsia="仿宋" w:cs="仿宋_GB2312"/>
          <w:color w:val="auto"/>
          <w:sz w:val="24"/>
          <w:highlight w:val="none"/>
        </w:rPr>
        <w:t>投标人的</w:t>
      </w:r>
      <w:r>
        <w:rPr>
          <w:rFonts w:hint="eastAsia" w:ascii="仿宋" w:hAnsi="仿宋" w:eastAsia="仿宋" w:cs="仿宋_GB2312"/>
          <w:b/>
          <w:color w:val="auto"/>
          <w:sz w:val="24"/>
          <w:highlight w:val="none"/>
        </w:rPr>
        <w:t>报价文件</w:t>
      </w:r>
      <w:r>
        <w:rPr>
          <w:rFonts w:hint="eastAsia" w:ascii="仿宋" w:hAnsi="仿宋" w:eastAsia="仿宋" w:cs="仿宋_GB2312"/>
          <w:color w:val="auto"/>
          <w:sz w:val="24"/>
          <w:highlight w:val="none"/>
        </w:rPr>
        <w:t>应包括以下内容（均需使用电子签名）：</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11.2.1</w:t>
      </w:r>
      <w:r>
        <w:rPr>
          <w:rFonts w:hint="eastAsia" w:ascii="仿宋" w:hAnsi="仿宋" w:eastAsia="仿宋" w:cs="仿宋_GB2312"/>
          <w:color w:val="auto"/>
          <w:kern w:val="0"/>
          <w:sz w:val="24"/>
          <w:highlight w:val="none"/>
        </w:rPr>
        <w:t>投标响应函</w:t>
      </w:r>
      <w:r>
        <w:rPr>
          <w:rFonts w:hint="eastAsia" w:ascii="仿宋" w:hAnsi="仿宋" w:eastAsia="仿宋" w:cs="仿宋_GB2312"/>
          <w:color w:val="auto"/>
          <w:sz w:val="24"/>
          <w:highlight w:val="none"/>
        </w:rPr>
        <w:t>；</w:t>
      </w:r>
    </w:p>
    <w:p>
      <w:pPr>
        <w:pStyle w:val="10"/>
        <w:snapToGrid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11.2.2</w:t>
      </w:r>
      <w:r>
        <w:rPr>
          <w:rFonts w:hint="eastAsia" w:ascii="仿宋" w:hAnsi="仿宋" w:eastAsia="仿宋" w:cs="仿宋_GB2312"/>
          <w:color w:val="auto"/>
          <w:sz w:val="24"/>
          <w:szCs w:val="24"/>
          <w:highlight w:val="none"/>
          <w:lang w:eastAsia="zh-CN"/>
        </w:rPr>
        <w:t>开标一览表（报价表）</w:t>
      </w:r>
      <w:r>
        <w:rPr>
          <w:rFonts w:hint="eastAsia" w:ascii="仿宋" w:hAnsi="仿宋" w:eastAsia="仿宋" w:cs="仿宋_GB2312"/>
          <w:color w:val="auto"/>
          <w:sz w:val="24"/>
          <w:szCs w:val="24"/>
          <w:highlight w:val="none"/>
        </w:rPr>
        <w:t>；</w:t>
      </w:r>
    </w:p>
    <w:p>
      <w:pPr>
        <w:pStyle w:val="10"/>
        <w:spacing w:line="360" w:lineRule="auto"/>
        <w:ind w:firstLine="480" w:firstLineChars="200"/>
        <w:rPr>
          <w:rFonts w:ascii="仿宋" w:hAnsi="仿宋" w:eastAsia="仿宋" w:cs="仿宋_GB2312"/>
          <w:color w:val="auto"/>
          <w:sz w:val="24"/>
          <w:szCs w:val="24"/>
          <w:highlight w:val="none"/>
          <w:lang w:val="zh-CN"/>
        </w:rPr>
      </w:pPr>
      <w:r>
        <w:rPr>
          <w:rFonts w:hint="eastAsia" w:ascii="仿宋" w:hAnsi="仿宋" w:eastAsia="仿宋" w:cs="仿宋_GB2312"/>
          <w:color w:val="auto"/>
          <w:kern w:val="0"/>
          <w:sz w:val="24"/>
          <w:szCs w:val="24"/>
          <w:highlight w:val="none"/>
          <w:lang w:val="zh-CN"/>
        </w:rPr>
        <w:t>11.3  投标人的</w:t>
      </w:r>
      <w:r>
        <w:rPr>
          <w:rFonts w:hint="eastAsia" w:ascii="仿宋" w:hAnsi="仿宋" w:eastAsia="仿宋" w:cs="仿宋_GB2312"/>
          <w:b/>
          <w:color w:val="auto"/>
          <w:sz w:val="24"/>
          <w:szCs w:val="24"/>
          <w:highlight w:val="none"/>
        </w:rPr>
        <w:t>商务技术</w:t>
      </w:r>
      <w:r>
        <w:rPr>
          <w:rFonts w:hint="eastAsia" w:ascii="仿宋" w:hAnsi="仿宋" w:eastAsia="仿宋" w:cs="仿宋_GB2312"/>
          <w:b/>
          <w:color w:val="auto"/>
          <w:kern w:val="0"/>
          <w:sz w:val="24"/>
          <w:szCs w:val="24"/>
          <w:highlight w:val="none"/>
          <w:lang w:val="zh-CN"/>
        </w:rPr>
        <w:t>文件应</w:t>
      </w:r>
      <w:r>
        <w:rPr>
          <w:rFonts w:hint="eastAsia" w:ascii="仿宋" w:hAnsi="仿宋" w:eastAsia="仿宋" w:cs="仿宋_GB2312"/>
          <w:color w:val="auto"/>
          <w:kern w:val="0"/>
          <w:sz w:val="24"/>
          <w:szCs w:val="24"/>
          <w:highlight w:val="none"/>
          <w:lang w:val="zh-CN"/>
        </w:rPr>
        <w:t>包括以下内容</w:t>
      </w:r>
      <w:r>
        <w:rPr>
          <w:rFonts w:hint="eastAsia" w:ascii="仿宋" w:hAnsi="仿宋" w:eastAsia="仿宋" w:cs="仿宋_GB2312"/>
          <w:color w:val="auto"/>
          <w:sz w:val="24"/>
          <w:szCs w:val="24"/>
          <w:highlight w:val="none"/>
        </w:rPr>
        <w:t>（均需使用电子签名）</w:t>
      </w:r>
      <w:r>
        <w:rPr>
          <w:rFonts w:hint="eastAsia" w:ascii="仿宋" w:hAnsi="仿宋" w:eastAsia="仿宋" w:cs="仿宋_GB2312"/>
          <w:color w:val="auto"/>
          <w:kern w:val="0"/>
          <w:sz w:val="24"/>
          <w:szCs w:val="24"/>
          <w:highlight w:val="none"/>
          <w:lang w:val="zh-CN"/>
        </w:rPr>
        <w:t>：</w:t>
      </w:r>
      <w:r>
        <w:rPr>
          <w:rFonts w:hint="eastAsia" w:ascii="仿宋" w:hAnsi="仿宋" w:eastAsia="仿宋" w:cs="仿宋_GB2312"/>
          <w:color w:val="auto"/>
          <w:sz w:val="24"/>
          <w:szCs w:val="24"/>
          <w:highlight w:val="none"/>
          <w:lang w:val="zh-CN"/>
        </w:rPr>
        <w:t xml:space="preserve"> </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rPr>
        <w:t>1资信文件：</w:t>
      </w:r>
      <w:r>
        <w:rPr>
          <w:rFonts w:hint="eastAsia" w:ascii="仿宋" w:hAnsi="仿宋" w:eastAsia="仿宋" w:cs="仿宋_GB2312"/>
          <w:color w:val="auto"/>
          <w:kern w:val="0"/>
          <w:sz w:val="24"/>
          <w:szCs w:val="20"/>
          <w:highlight w:val="none"/>
        </w:rPr>
        <w:t>见投标须知前附表所述；</w:t>
      </w:r>
    </w:p>
    <w:p>
      <w:pPr>
        <w:pStyle w:val="28"/>
        <w:snapToGrid w:val="0"/>
        <w:spacing w:before="0"/>
        <w:ind w:firstLine="480"/>
        <w:rPr>
          <w:rFonts w:ascii="仿宋" w:hAnsi="仿宋" w:eastAsia="仿宋"/>
          <w:color w:val="auto"/>
          <w:kern w:val="0"/>
          <w:highlight w:val="none"/>
          <w:lang w:val="zh-CN"/>
        </w:rPr>
      </w:pPr>
      <w:r>
        <w:rPr>
          <w:rFonts w:hint="eastAsia" w:ascii="仿宋" w:hAnsi="仿宋" w:eastAsia="仿宋" w:cs="仿宋_GB2312"/>
          <w:color w:val="auto"/>
          <w:highlight w:val="none"/>
          <w:lang w:val="zh-CN"/>
        </w:rPr>
        <w:t>11.3.</w:t>
      </w:r>
      <w:r>
        <w:rPr>
          <w:rFonts w:hint="eastAsia" w:ascii="仿宋" w:hAnsi="仿宋" w:eastAsia="仿宋" w:cs="仿宋_GB2312"/>
          <w:color w:val="auto"/>
          <w:highlight w:val="none"/>
        </w:rPr>
        <w:t>2</w:t>
      </w:r>
      <w:r>
        <w:rPr>
          <w:rFonts w:hint="eastAsia" w:ascii="仿宋" w:hAnsi="仿宋" w:eastAsia="仿宋" w:cs="宋体"/>
          <w:color w:val="auto"/>
          <w:kern w:val="0"/>
          <w:highlight w:val="none"/>
        </w:rPr>
        <w:t>投标人的主要业绩证明材料即</w:t>
      </w:r>
      <w:r>
        <w:rPr>
          <w:rFonts w:hint="eastAsia" w:ascii="仿宋" w:hAnsi="仿宋" w:eastAsia="仿宋"/>
          <w:color w:val="auto"/>
          <w:highlight w:val="none"/>
          <w:lang w:val="zh-CN"/>
        </w:rPr>
        <w:t>合同</w:t>
      </w:r>
      <w:r>
        <w:rPr>
          <w:rFonts w:hint="eastAsia" w:ascii="仿宋" w:hAnsi="仿宋" w:eastAsia="仿宋"/>
          <w:color w:val="auto"/>
          <w:highlight w:val="none"/>
        </w:rPr>
        <w:t>和用户验收报告（如需要）</w:t>
      </w:r>
      <w:r>
        <w:rPr>
          <w:rFonts w:hint="eastAsia" w:ascii="仿宋" w:hAnsi="仿宋" w:eastAsia="仿宋"/>
          <w:color w:val="auto"/>
          <w:szCs w:val="24"/>
          <w:highlight w:val="none"/>
        </w:rPr>
        <w:t>（</w:t>
      </w:r>
      <w:r>
        <w:rPr>
          <w:rFonts w:hint="eastAsia" w:ascii="仿宋" w:hAnsi="仿宋" w:eastAsia="仿宋" w:cs="Arial"/>
          <w:color w:val="auto"/>
          <w:highlight w:val="none"/>
        </w:rPr>
        <w:t>联合体投标的，联合体各方</w:t>
      </w:r>
      <w:r>
        <w:rPr>
          <w:rFonts w:hint="eastAsia" w:ascii="仿宋" w:hAnsi="仿宋" w:eastAsia="仿宋" w:cs="Helvetica"/>
          <w:color w:val="auto"/>
          <w:kern w:val="0"/>
          <w:highlight w:val="none"/>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color w:val="auto"/>
          <w:szCs w:val="24"/>
          <w:highlight w:val="none"/>
        </w:rPr>
        <w:t>)</w:t>
      </w:r>
      <w:r>
        <w:rPr>
          <w:rFonts w:hint="eastAsia" w:ascii="仿宋" w:hAnsi="仿宋" w:eastAsia="仿宋" w:cs="宋体"/>
          <w:color w:val="auto"/>
          <w:kern w:val="0"/>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rPr>
        <w:t>3</w:t>
      </w:r>
      <w:r>
        <w:rPr>
          <w:rFonts w:hint="eastAsia" w:ascii="仿宋" w:hAnsi="仿宋" w:eastAsia="仿宋" w:cs="仿宋_GB2312"/>
          <w:color w:val="auto"/>
          <w:kern w:val="0"/>
          <w:sz w:val="24"/>
          <w:highlight w:val="none"/>
          <w:lang w:val="zh-CN"/>
        </w:rPr>
        <w:t>投标人认为需要的其他商务文件或说明；</w:t>
      </w:r>
      <w:r>
        <w:rPr>
          <w:rFonts w:hint="eastAsia" w:ascii="仿宋" w:hAnsi="仿宋" w:eastAsia="仿宋" w:cs="仿宋_GB2312"/>
          <w:color w:val="auto"/>
          <w:sz w:val="24"/>
          <w:highlight w:val="none"/>
        </w:rPr>
        <w:t xml:space="preserve"> </w:t>
      </w:r>
    </w:p>
    <w:p>
      <w:pPr>
        <w:pStyle w:val="10"/>
        <w:snapToGrid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rPr>
        <w:t>4</w:t>
      </w:r>
      <w:r>
        <w:rPr>
          <w:rFonts w:hint="eastAsia" w:ascii="仿宋" w:hAnsi="仿宋" w:eastAsia="仿宋" w:cs="仿宋_GB2312"/>
          <w:color w:val="auto"/>
          <w:sz w:val="24"/>
          <w:highlight w:val="none"/>
          <w:lang w:val="zh-CN"/>
        </w:rPr>
        <w:t>投标人应提供针对项目的完整技术解决方案；</w:t>
      </w:r>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针对本项目的完整技术解决方案和实施方案；详细阐述项目方案的实现思路及关键技术；符合本项目对当前和未来发展的要求；以及对功能设计和实施计划的建议；</w:t>
      </w:r>
    </w:p>
    <w:p>
      <w:pPr>
        <w:pStyle w:val="10"/>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b/>
          <w:color w:val="auto"/>
          <w:sz w:val="24"/>
          <w:highlight w:val="none"/>
        </w:rPr>
        <w:t>）</w:t>
      </w:r>
      <w:r>
        <w:rPr>
          <w:rFonts w:hint="eastAsia" w:ascii="仿宋" w:hAnsi="仿宋" w:eastAsia="仿宋" w:cs="仿宋_GB2312"/>
          <w:b/>
          <w:color w:val="auto"/>
          <w:sz w:val="24"/>
          <w:highlight w:val="none"/>
        </w:rPr>
        <w:t>。否则</w:t>
      </w:r>
      <w:r>
        <w:rPr>
          <w:rFonts w:hint="eastAsia" w:ascii="仿宋" w:hAnsi="仿宋" w:eastAsia="仿宋" w:cs="仿宋_GB2312"/>
          <w:b/>
          <w:color w:val="auto"/>
          <w:kern w:val="0"/>
          <w:sz w:val="24"/>
          <w:highlight w:val="none"/>
          <w:lang w:val="zh-CN"/>
        </w:rPr>
        <w:t>任何含糊不清的</w:t>
      </w:r>
      <w:r>
        <w:rPr>
          <w:rFonts w:hint="eastAsia" w:ascii="仿宋" w:hAnsi="仿宋" w:eastAsia="仿宋" w:cs="仿宋_GB2312"/>
          <w:b/>
          <w:color w:val="auto"/>
          <w:sz w:val="24"/>
          <w:highlight w:val="none"/>
        </w:rPr>
        <w:t>表述导致</w:t>
      </w:r>
      <w:r>
        <w:rPr>
          <w:rFonts w:hint="eastAsia" w:ascii="仿宋" w:hAnsi="仿宋" w:eastAsia="仿宋" w:cs="仿宋_GB2312"/>
          <w:b/>
          <w:color w:val="auto"/>
          <w:kern w:val="0"/>
          <w:sz w:val="24"/>
          <w:highlight w:val="none"/>
          <w:lang w:val="zh-CN"/>
        </w:rPr>
        <w:t>评标委员会技术扣分直至认定为投标无效都将是投标人的责任</w:t>
      </w:r>
      <w:r>
        <w:rPr>
          <w:rFonts w:hint="eastAsia" w:ascii="仿宋" w:hAnsi="仿宋" w:eastAsia="仿宋" w:cs="仿宋_GB2312"/>
          <w:color w:val="auto"/>
          <w:sz w:val="24"/>
          <w:highlight w:val="none"/>
        </w:rPr>
        <w:t>。</w:t>
      </w:r>
    </w:p>
    <w:p>
      <w:pPr>
        <w:pStyle w:val="10"/>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本项目如需采购政府强制采购的节能产品的或</w:t>
      </w:r>
      <w:r>
        <w:rPr>
          <w:rFonts w:hint="eastAsia" w:ascii="仿宋" w:hAnsi="仿宋" w:eastAsia="仿宋"/>
          <w:color w:val="auto"/>
          <w:sz w:val="24"/>
          <w:highlight w:val="none"/>
        </w:rPr>
        <w:t>投标人提供的产品是环境标志产品，</w:t>
      </w:r>
      <w:r>
        <w:rPr>
          <w:rFonts w:hint="eastAsia" w:ascii="仿宋" w:hAnsi="仿宋" w:eastAsia="仿宋" w:cs="仿宋_GB2312"/>
          <w:color w:val="auto"/>
          <w:sz w:val="24"/>
          <w:highlight w:val="none"/>
        </w:rPr>
        <w:t>投标人按格式提供节能产品、环境标志产品认证证书复印件；</w:t>
      </w:r>
    </w:p>
    <w:p>
      <w:pPr>
        <w:pStyle w:val="10"/>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rPr>
        <w:t>5投标人在</w:t>
      </w:r>
      <w:r>
        <w:rPr>
          <w:rFonts w:hint="eastAsia" w:ascii="仿宋" w:hAnsi="仿宋" w:eastAsia="仿宋" w:cs="仿宋_GB2312"/>
          <w:color w:val="auto"/>
          <w:sz w:val="24"/>
          <w:highlight w:val="none"/>
          <w:lang w:eastAsia="zh-CN"/>
        </w:rPr>
        <w:t>响应文件</w:t>
      </w:r>
      <w:r>
        <w:rPr>
          <w:rFonts w:hint="eastAsia" w:ascii="仿宋" w:hAnsi="仿宋" w:eastAsia="仿宋" w:cs="仿宋_GB2312"/>
          <w:color w:val="auto"/>
          <w:sz w:val="24"/>
          <w:highlight w:val="none"/>
        </w:rPr>
        <w:t>技术偏离说明表中，</w:t>
      </w:r>
      <w:r>
        <w:rPr>
          <w:rFonts w:hint="eastAsia" w:ascii="仿宋" w:hAnsi="仿宋" w:eastAsia="仿宋" w:cs="仿宋_GB2312"/>
          <w:color w:val="auto"/>
          <w:kern w:val="0"/>
          <w:sz w:val="24"/>
          <w:highlight w:val="none"/>
          <w:lang w:val="zh-CN"/>
        </w:rPr>
        <w:t>应对</w:t>
      </w:r>
      <w:r>
        <w:rPr>
          <w:rFonts w:hint="eastAsia" w:ascii="仿宋" w:hAnsi="仿宋" w:eastAsia="仿宋" w:cs="仿宋_GB2312"/>
          <w:color w:val="auto"/>
          <w:sz w:val="24"/>
          <w:highlight w:val="none"/>
        </w:rPr>
        <w:t>采购需求</w:t>
      </w:r>
      <w:r>
        <w:rPr>
          <w:rFonts w:hint="eastAsia" w:ascii="仿宋" w:hAnsi="仿宋" w:eastAsia="仿宋" w:cs="仿宋_GB2312"/>
          <w:color w:val="auto"/>
          <w:kern w:val="0"/>
          <w:sz w:val="24"/>
          <w:highlight w:val="none"/>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rPr>
        <w:t>.6</w:t>
      </w:r>
      <w:r>
        <w:rPr>
          <w:rFonts w:hint="eastAsia" w:ascii="仿宋" w:hAnsi="仿宋" w:eastAsia="仿宋" w:cs="仿宋_GB2312"/>
          <w:color w:val="auto"/>
          <w:kern w:val="0"/>
          <w:sz w:val="24"/>
          <w:highlight w:val="none"/>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rPr>
        <w:t>7</w:t>
      </w:r>
      <w:r>
        <w:rPr>
          <w:rFonts w:hint="eastAsia" w:ascii="仿宋" w:hAnsi="仿宋" w:eastAsia="仿宋" w:cs="仿宋_GB2312"/>
          <w:color w:val="auto"/>
          <w:kern w:val="0"/>
          <w:sz w:val="24"/>
          <w:highlight w:val="none"/>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360" w:firstLineChars="15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rPr>
        <w:t>8</w:t>
      </w:r>
      <w:r>
        <w:rPr>
          <w:rFonts w:hint="eastAsia" w:ascii="仿宋" w:hAnsi="仿宋" w:eastAsia="仿宋" w:cs="仿宋_GB2312"/>
          <w:color w:val="auto"/>
          <w:kern w:val="0"/>
          <w:sz w:val="24"/>
          <w:highlight w:val="none"/>
          <w:lang w:val="zh-CN"/>
        </w:rPr>
        <w:t>投标人为完成本项目组建的工作小组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360" w:firstLineChars="15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rPr>
        <w:t>9</w:t>
      </w:r>
      <w:r>
        <w:rPr>
          <w:rFonts w:hint="eastAsia" w:ascii="仿宋" w:hAnsi="仿宋" w:eastAsia="仿宋" w:cs="仿宋_GB2312"/>
          <w:color w:val="auto"/>
          <w:kern w:val="0"/>
          <w:sz w:val="24"/>
          <w:highlight w:val="none"/>
          <w:lang w:val="zh-CN"/>
        </w:rPr>
        <w:t>优惠条件及特殊承诺；</w:t>
      </w:r>
    </w:p>
    <w:p>
      <w:pPr>
        <w:tabs>
          <w:tab w:val="left" w:pos="0"/>
          <w:tab w:val="left" w:pos="840"/>
        </w:tabs>
        <w:autoSpaceDE w:val="0"/>
        <w:autoSpaceDN w:val="0"/>
        <w:spacing w:line="360" w:lineRule="auto"/>
        <w:ind w:firstLine="360" w:firstLineChars="15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rPr>
        <w:t>10</w:t>
      </w:r>
      <w:r>
        <w:rPr>
          <w:rFonts w:hint="eastAsia" w:ascii="仿宋" w:hAnsi="仿宋" w:eastAsia="仿宋" w:cs="仿宋_GB2312"/>
          <w:color w:val="auto"/>
          <w:kern w:val="0"/>
          <w:sz w:val="24"/>
          <w:highlight w:val="none"/>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ascii="仿宋" w:hAnsi="仿宋" w:eastAsia="仿宋" w:cs="仿宋_GB2312"/>
          <w:color w:val="auto"/>
          <w:kern w:val="0"/>
          <w:sz w:val="24"/>
          <w:highlight w:val="none"/>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rPr>
        <w:t>11</w:t>
      </w:r>
      <w:r>
        <w:rPr>
          <w:rFonts w:hint="eastAsia" w:ascii="仿宋" w:hAnsi="仿宋" w:eastAsia="仿宋" w:cs="仿宋_GB2312"/>
          <w:color w:val="auto"/>
          <w:kern w:val="0"/>
          <w:sz w:val="24"/>
          <w:highlight w:val="none"/>
          <w:lang w:val="zh-CN"/>
        </w:rPr>
        <w:t>培训计划；（如果有）</w:t>
      </w:r>
    </w:p>
    <w:p>
      <w:pPr>
        <w:tabs>
          <w:tab w:val="left" w:pos="0"/>
          <w:tab w:val="left" w:pos="840"/>
        </w:tabs>
        <w:autoSpaceDE w:val="0"/>
        <w:autoSpaceDN w:val="0"/>
        <w:spacing w:line="360" w:lineRule="auto"/>
        <w:ind w:firstLine="360" w:firstLineChars="1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11.3.12验收计划；</w:t>
      </w:r>
    </w:p>
    <w:p>
      <w:pPr>
        <w:tabs>
          <w:tab w:val="left" w:pos="0"/>
          <w:tab w:val="left" w:pos="840"/>
        </w:tabs>
        <w:autoSpaceDE w:val="0"/>
        <w:autoSpaceDN w:val="0"/>
        <w:spacing w:line="360" w:lineRule="auto"/>
        <w:ind w:firstLine="360" w:firstLineChars="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11.3.</w:t>
      </w:r>
      <w:r>
        <w:rPr>
          <w:rFonts w:hint="eastAsia" w:ascii="仿宋" w:hAnsi="仿宋" w:eastAsia="仿宋" w:cs="仿宋_GB2312"/>
          <w:color w:val="auto"/>
          <w:kern w:val="0"/>
          <w:sz w:val="24"/>
          <w:highlight w:val="none"/>
        </w:rPr>
        <w:t>13</w:t>
      </w:r>
      <w:r>
        <w:rPr>
          <w:rFonts w:hint="eastAsia" w:ascii="仿宋" w:hAnsi="仿宋" w:eastAsia="仿宋" w:cs="仿宋_GB2312"/>
          <w:color w:val="auto"/>
          <w:kern w:val="0"/>
          <w:sz w:val="24"/>
          <w:highlight w:val="none"/>
          <w:lang w:val="zh-CN"/>
        </w:rPr>
        <w:t>投标人认为需要的其他技术文件或说明；</w:t>
      </w:r>
    </w:p>
    <w:p>
      <w:pPr>
        <w:tabs>
          <w:tab w:val="left" w:pos="0"/>
        </w:tabs>
        <w:autoSpaceDE w:val="0"/>
        <w:autoSpaceDN w:val="0"/>
        <w:spacing w:line="360" w:lineRule="auto"/>
        <w:ind w:firstLine="360" w:firstLineChars="15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11.3.</w:t>
      </w:r>
      <w:r>
        <w:rPr>
          <w:rFonts w:hint="eastAsia" w:ascii="仿宋" w:hAnsi="仿宋" w:eastAsia="仿宋" w:cs="仿宋_GB2312"/>
          <w:color w:val="auto"/>
          <w:sz w:val="24"/>
          <w:highlight w:val="none"/>
        </w:rPr>
        <w:t>14</w:t>
      </w:r>
      <w:r>
        <w:rPr>
          <w:rFonts w:hint="eastAsia" w:ascii="仿宋" w:hAnsi="仿宋" w:eastAsia="仿宋" w:cs="仿宋_GB2312"/>
          <w:color w:val="auto"/>
          <w:kern w:val="0"/>
          <w:sz w:val="24"/>
          <w:highlight w:val="none"/>
          <w:lang w:val="zh-CN"/>
        </w:rPr>
        <w:t>关于对磋商文件商务、合同中有关条款的拒绝声明。（如果有）</w:t>
      </w:r>
    </w:p>
    <w:p>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lang w:eastAsia="zh-CN"/>
        </w:rPr>
        <w:t>响应文件</w:t>
      </w:r>
      <w:r>
        <w:rPr>
          <w:rFonts w:hint="eastAsia" w:ascii="仿宋" w:hAnsi="仿宋" w:eastAsia="仿宋" w:cs="仿宋_GB2312"/>
          <w:b/>
          <w:color w:val="auto"/>
          <w:sz w:val="24"/>
          <w:highlight w:val="none"/>
        </w:rPr>
        <w:t>组成漏项，内容不全或内容字迹模糊辨认不清的，投标无效；</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w:t>
      </w:r>
      <w:r>
        <w:rPr>
          <w:rFonts w:hint="eastAsia" w:ascii="仿宋" w:hAnsi="仿宋" w:eastAsia="仿宋"/>
          <w:b/>
          <w:color w:val="auto"/>
          <w:sz w:val="24"/>
          <w:highlight w:val="none"/>
          <w:lang w:eastAsia="zh-CN"/>
        </w:rPr>
        <w:t>响应文件</w:t>
      </w:r>
      <w:r>
        <w:rPr>
          <w:rFonts w:hint="eastAsia" w:ascii="仿宋" w:hAnsi="仿宋" w:eastAsia="仿宋"/>
          <w:b/>
          <w:color w:val="auto"/>
          <w:sz w:val="24"/>
          <w:highlight w:val="none"/>
        </w:rPr>
        <w:t>含有采购人不能接受的附加条件的，投标无效；</w:t>
      </w:r>
    </w:p>
    <w:p>
      <w:pP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▲投标人提供虚假材料投标的，投标无效。</w:t>
      </w:r>
    </w:p>
    <w:p>
      <w:pPr>
        <w:pStyle w:val="28"/>
        <w:snapToGrid w:val="0"/>
        <w:spacing w:before="0"/>
        <w:ind w:firstLine="0" w:firstLineChars="0"/>
        <w:outlineLvl w:val="0"/>
        <w:rPr>
          <w:rFonts w:ascii="仿宋" w:hAnsi="仿宋" w:eastAsia="仿宋" w:cs="仿宋_GB2312"/>
          <w:b/>
          <w:color w:val="auto"/>
          <w:szCs w:val="24"/>
          <w:highlight w:val="none"/>
        </w:rPr>
      </w:pPr>
      <w:bookmarkStart w:id="9" w:name="_Toc91899887"/>
      <w:r>
        <w:rPr>
          <w:rFonts w:hint="eastAsia" w:ascii="仿宋" w:hAnsi="仿宋" w:eastAsia="仿宋" w:cs="仿宋_GB2312"/>
          <w:b/>
          <w:color w:val="auto"/>
          <w:szCs w:val="24"/>
          <w:highlight w:val="none"/>
        </w:rPr>
        <w:t>12</w:t>
      </w:r>
      <w:r>
        <w:rPr>
          <w:rFonts w:hint="eastAsia"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lang w:eastAsia="zh-CN"/>
        </w:rPr>
        <w:t>响应文件</w:t>
      </w:r>
      <w:r>
        <w:rPr>
          <w:rFonts w:hint="eastAsia" w:ascii="仿宋" w:hAnsi="仿宋" w:eastAsia="仿宋" w:cs="仿宋_GB2312"/>
          <w:b/>
          <w:color w:val="auto"/>
          <w:szCs w:val="24"/>
          <w:highlight w:val="none"/>
        </w:rPr>
        <w:t>的编制</w:t>
      </w:r>
    </w:p>
    <w:p>
      <w:pPr>
        <w:spacing w:line="360" w:lineRule="auto"/>
        <w:ind w:firstLine="480" w:firstLineChars="200"/>
        <w:rPr>
          <w:rFonts w:ascii="仿宋" w:hAnsi="仿宋" w:eastAsia="仿宋" w:cs="仿宋_GB2312"/>
          <w:b/>
          <w:color w:val="auto"/>
          <w:sz w:val="24"/>
          <w:highlight w:val="none"/>
        </w:rPr>
      </w:pPr>
      <w:r>
        <w:rPr>
          <w:rFonts w:hint="eastAsia" w:ascii="仿宋" w:hAnsi="仿宋" w:eastAsia="仿宋" w:cs="仿宋_GB2312"/>
          <w:color w:val="auto"/>
          <w:kern w:val="0"/>
          <w:sz w:val="24"/>
          <w:highlight w:val="none"/>
          <w:lang w:val="zh-CN"/>
        </w:rPr>
        <w:t>12.1响应文件分为资格文件、商务技术文件、报价文件三部分。各投标人在编制响应文件时请按照招标文件第六部分规定的格式进行，混乱的编排导致响应文件被误读或评标委员会查找不到有效文件是投标人的风险。</w:t>
      </w:r>
      <w:r>
        <w:rPr>
          <w:rFonts w:hint="eastAsia" w:ascii="仿宋" w:hAnsi="仿宋" w:eastAsia="仿宋"/>
          <w:b/>
          <w:color w:val="auto"/>
          <w:sz w:val="24"/>
          <w:highlight w:val="none"/>
        </w:rPr>
        <w:t>▲</w:t>
      </w:r>
      <w:r>
        <w:rPr>
          <w:rFonts w:hint="eastAsia" w:ascii="仿宋" w:hAnsi="仿宋" w:eastAsia="仿宋" w:cs="仿宋_GB2312"/>
          <w:b/>
          <w:color w:val="auto"/>
          <w:sz w:val="24"/>
          <w:highlight w:val="none"/>
          <w:lang w:eastAsia="zh-CN"/>
        </w:rPr>
        <w:t>响应文件</w:t>
      </w:r>
      <w:r>
        <w:rPr>
          <w:rFonts w:hint="eastAsia" w:ascii="仿宋" w:hAnsi="仿宋" w:eastAsia="仿宋" w:cs="仿宋_GB2312"/>
          <w:b/>
          <w:color w:val="auto"/>
          <w:sz w:val="24"/>
          <w:highlight w:val="none"/>
        </w:rPr>
        <w:t>未按规定的格式编制的，投标无效。</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12.2投标人进行电子投标应安装客户端软件</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“政采云电子交易客户端”，并按照招标文件和电子交易平台的要求编制并加密响应文件。投标人未按规定加密的响应文件，电子交易平台将拒收并提示。</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bookmarkEnd w:id="9"/>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13.</w:t>
      </w:r>
      <w:r>
        <w:rPr>
          <w:rFonts w:hint="eastAsia" w:ascii="仿宋" w:hAnsi="仿宋" w:eastAsia="仿宋"/>
          <w:b/>
          <w:color w:val="auto"/>
          <w:sz w:val="24"/>
          <w:highlight w:val="none"/>
          <w:lang w:eastAsia="zh-CN"/>
        </w:rPr>
        <w:t>响应文件</w:t>
      </w:r>
      <w:r>
        <w:rPr>
          <w:rFonts w:hint="eastAsia" w:ascii="仿宋" w:hAnsi="仿宋" w:eastAsia="仿宋"/>
          <w:b/>
          <w:color w:val="auto"/>
          <w:sz w:val="24"/>
          <w:highlight w:val="none"/>
        </w:rPr>
        <w:t>的签署、盖章</w:t>
      </w:r>
    </w:p>
    <w:p>
      <w:pPr>
        <w:pStyle w:val="28"/>
        <w:snapToGrid w:val="0"/>
        <w:spacing w:before="0"/>
        <w:ind w:firstLine="480"/>
        <w:rPr>
          <w:rFonts w:ascii="仿宋" w:hAnsi="仿宋" w:eastAsia="仿宋" w:cs="仿宋_GB2312"/>
          <w:b/>
          <w:color w:val="auto"/>
          <w:highlight w:val="none"/>
        </w:rPr>
      </w:pPr>
      <w:r>
        <w:rPr>
          <w:rFonts w:hint="eastAsia" w:ascii="仿宋" w:hAnsi="仿宋" w:eastAsia="仿宋" w:cs="仿宋_GB2312"/>
          <w:color w:val="auto"/>
          <w:szCs w:val="24"/>
          <w:highlight w:val="none"/>
        </w:rPr>
        <w:t>13.1</w:t>
      </w:r>
      <w:r>
        <w:rPr>
          <w:rFonts w:hint="eastAsia" w:ascii="仿宋" w:hAnsi="仿宋" w:eastAsia="仿宋" w:cs="仿宋_GB2312"/>
          <w:color w:val="auto"/>
          <w:szCs w:val="24"/>
          <w:highlight w:val="none"/>
          <w:lang w:eastAsia="zh-CN"/>
        </w:rPr>
        <w:t>响应文件</w:t>
      </w:r>
      <w:r>
        <w:rPr>
          <w:rFonts w:hint="eastAsia" w:ascii="仿宋" w:hAnsi="仿宋" w:eastAsia="仿宋" w:cs="仿宋_GB2312"/>
          <w:color w:val="auto"/>
          <w:szCs w:val="24"/>
          <w:highlight w:val="none"/>
        </w:rPr>
        <w:t>按照</w:t>
      </w:r>
      <w:r>
        <w:rPr>
          <w:rFonts w:hint="eastAsia" w:ascii="仿宋" w:hAnsi="仿宋" w:eastAsia="仿宋" w:cs="仿宋_GB2312"/>
          <w:color w:val="auto"/>
          <w:szCs w:val="24"/>
          <w:highlight w:val="none"/>
          <w:lang w:eastAsia="zh-CN"/>
        </w:rPr>
        <w:t>磋商</w:t>
      </w:r>
      <w:r>
        <w:rPr>
          <w:rFonts w:hint="eastAsia" w:ascii="仿宋" w:hAnsi="仿宋" w:eastAsia="仿宋" w:cs="仿宋_GB2312"/>
          <w:color w:val="auto"/>
          <w:szCs w:val="24"/>
          <w:highlight w:val="none"/>
        </w:rPr>
        <w:t>文件第六部分格式要</w:t>
      </w:r>
      <w:r>
        <w:rPr>
          <w:rFonts w:hint="eastAsia" w:ascii="仿宋" w:hAnsi="仿宋" w:eastAsia="仿宋" w:cs="仿宋_GB2312"/>
          <w:color w:val="auto"/>
          <w:highlight w:val="none"/>
        </w:rPr>
        <w:t>求进行签署、盖章。</w:t>
      </w:r>
      <w:r>
        <w:rPr>
          <w:rFonts w:hint="eastAsia" w:ascii="仿宋" w:hAnsi="仿宋" w:eastAsia="仿宋"/>
          <w:b/>
          <w:color w:val="auto"/>
          <w:highlight w:val="none"/>
        </w:rPr>
        <w:t>▲</w:t>
      </w:r>
      <w:r>
        <w:rPr>
          <w:rFonts w:hint="eastAsia" w:ascii="仿宋" w:hAnsi="仿宋" w:eastAsia="仿宋" w:cs="仿宋_GB2312"/>
          <w:b/>
          <w:color w:val="auto"/>
          <w:highlight w:val="none"/>
        </w:rPr>
        <w:t>投标人的</w:t>
      </w:r>
      <w:r>
        <w:rPr>
          <w:rFonts w:hint="eastAsia" w:ascii="仿宋" w:hAnsi="仿宋" w:eastAsia="仿宋" w:cs="仿宋_GB2312"/>
          <w:b/>
          <w:color w:val="auto"/>
          <w:highlight w:val="none"/>
          <w:lang w:eastAsia="zh-CN"/>
        </w:rPr>
        <w:t>响应文件</w:t>
      </w:r>
      <w:r>
        <w:rPr>
          <w:rFonts w:hint="eastAsia" w:ascii="仿宋" w:hAnsi="仿宋" w:eastAsia="仿宋" w:cs="仿宋_GB2312"/>
          <w:b/>
          <w:color w:val="auto"/>
          <w:highlight w:val="none"/>
        </w:rPr>
        <w:t>未按照</w:t>
      </w:r>
      <w:r>
        <w:rPr>
          <w:rFonts w:hint="eastAsia" w:ascii="仿宋" w:hAnsi="仿宋" w:eastAsia="仿宋" w:cs="仿宋_GB2312"/>
          <w:b/>
          <w:color w:val="auto"/>
          <w:highlight w:val="none"/>
          <w:lang w:eastAsia="zh-CN"/>
        </w:rPr>
        <w:t>磋商</w:t>
      </w:r>
      <w:r>
        <w:rPr>
          <w:rFonts w:hint="eastAsia" w:ascii="仿宋" w:hAnsi="仿宋" w:eastAsia="仿宋" w:cs="仿宋_GB2312"/>
          <w:b/>
          <w:color w:val="auto"/>
          <w:highlight w:val="none"/>
        </w:rPr>
        <w:t>文件要求签署、盖章的，其投标无效</w:t>
      </w:r>
      <w:r>
        <w:rPr>
          <w:rFonts w:hint="eastAsia" w:ascii="仿宋" w:hAnsi="仿宋" w:eastAsia="仿宋" w:cs="仿宋_GB2312"/>
          <w:color w:val="auto"/>
          <w:szCs w:val="24"/>
          <w:highlight w:val="none"/>
        </w:rPr>
        <w:t>。</w:t>
      </w:r>
    </w:p>
    <w:p>
      <w:pPr>
        <w:pStyle w:val="28"/>
        <w:snapToGrid w:val="0"/>
        <w:spacing w:before="0"/>
        <w:ind w:firstLine="480"/>
        <w:rPr>
          <w:rFonts w:ascii="仿宋" w:hAnsi="仿宋" w:eastAsia="仿宋" w:cs="仿宋_GB2312"/>
          <w:color w:val="auto"/>
          <w:szCs w:val="24"/>
          <w:highlight w:val="none"/>
        </w:rPr>
      </w:pPr>
      <w:r>
        <w:rPr>
          <w:rFonts w:hint="eastAsia" w:ascii="仿宋" w:hAnsi="仿宋" w:eastAsia="仿宋" w:cs="仿宋_GB2312"/>
          <w:bCs/>
          <w:color w:val="auto"/>
          <w:highlight w:val="none"/>
        </w:rPr>
        <w:t>13.2</w:t>
      </w:r>
      <w:r>
        <w:rPr>
          <w:rFonts w:hint="eastAsia" w:ascii="仿宋" w:hAnsi="仿宋" w:eastAsia="仿宋" w:cs="仿宋_GB2312"/>
          <w:color w:val="auto"/>
          <w:highlight w:val="none"/>
        </w:rPr>
        <w:t>为确保网上操作合法、有效和安全，投标人应当在投标截止时间前完成在“政府采购云平台”的身份认证，确保在电子投标过程中能够对相关数据电文进行加密和使用电子签名。</w:t>
      </w:r>
    </w:p>
    <w:p>
      <w:pPr>
        <w:pStyle w:val="28"/>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 xml:space="preserve">14. </w:t>
      </w:r>
      <w:r>
        <w:rPr>
          <w:rFonts w:hint="eastAsia" w:ascii="仿宋" w:hAnsi="仿宋" w:eastAsia="仿宋" w:cs="仿宋_GB2312"/>
          <w:b/>
          <w:color w:val="auto"/>
          <w:szCs w:val="24"/>
          <w:highlight w:val="none"/>
          <w:lang w:eastAsia="zh-CN"/>
        </w:rPr>
        <w:t>响应文件</w:t>
      </w:r>
      <w:r>
        <w:rPr>
          <w:rFonts w:hint="eastAsia" w:ascii="仿宋" w:hAnsi="仿宋" w:eastAsia="仿宋" w:cs="仿宋_GB2312"/>
          <w:b/>
          <w:color w:val="auto"/>
          <w:szCs w:val="24"/>
          <w:highlight w:val="none"/>
        </w:rPr>
        <w:t>的提交、补充、修改、撤回</w:t>
      </w:r>
    </w:p>
    <w:p>
      <w:pPr>
        <w:pStyle w:val="28"/>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14.1 供应商应当在投标截止时间前完成</w:t>
      </w:r>
      <w:r>
        <w:rPr>
          <w:rFonts w:hint="eastAsia" w:ascii="仿宋" w:hAnsi="仿宋" w:eastAsia="仿宋" w:cs="仿宋_GB2312"/>
          <w:color w:val="auto"/>
          <w:szCs w:val="24"/>
          <w:highlight w:val="none"/>
          <w:lang w:eastAsia="zh-CN"/>
        </w:rPr>
        <w:t>响应文件</w:t>
      </w:r>
      <w:r>
        <w:rPr>
          <w:rFonts w:hint="eastAsia" w:ascii="仿宋" w:hAnsi="仿宋" w:eastAsia="仿宋" w:cs="仿宋_GB2312"/>
          <w:color w:val="auto"/>
          <w:szCs w:val="24"/>
          <w:highlight w:val="none"/>
        </w:rPr>
        <w:t>的传输递交，并可以补充、修改或者撤回</w:t>
      </w:r>
      <w:r>
        <w:rPr>
          <w:rFonts w:hint="eastAsia" w:ascii="仿宋" w:hAnsi="仿宋" w:eastAsia="仿宋" w:cs="仿宋_GB2312"/>
          <w:color w:val="auto"/>
          <w:szCs w:val="24"/>
          <w:highlight w:val="none"/>
          <w:lang w:eastAsia="zh-CN"/>
        </w:rPr>
        <w:t>响应文件</w:t>
      </w:r>
      <w:r>
        <w:rPr>
          <w:rFonts w:hint="eastAsia" w:ascii="仿宋" w:hAnsi="仿宋" w:eastAsia="仿宋" w:cs="仿宋_GB2312"/>
          <w:color w:val="auto"/>
          <w:szCs w:val="24"/>
          <w:highlight w:val="none"/>
        </w:rPr>
        <w:t>。补充或者修改</w:t>
      </w:r>
      <w:r>
        <w:rPr>
          <w:rFonts w:hint="eastAsia" w:ascii="仿宋" w:hAnsi="仿宋" w:eastAsia="仿宋" w:cs="仿宋_GB2312"/>
          <w:color w:val="auto"/>
          <w:szCs w:val="24"/>
          <w:highlight w:val="none"/>
          <w:lang w:eastAsia="zh-CN"/>
        </w:rPr>
        <w:t>响应文件</w:t>
      </w:r>
      <w:r>
        <w:rPr>
          <w:rFonts w:hint="eastAsia" w:ascii="仿宋" w:hAnsi="仿宋" w:eastAsia="仿宋" w:cs="仿宋_GB2312"/>
          <w:color w:val="auto"/>
          <w:szCs w:val="24"/>
          <w:highlight w:val="none"/>
        </w:rPr>
        <w:t>的，应当先行撤回原文件，补充、修改后重新传输递交。投标截止时间前未完成传输的，视为撤回</w:t>
      </w:r>
      <w:r>
        <w:rPr>
          <w:rFonts w:hint="eastAsia" w:ascii="仿宋" w:hAnsi="仿宋" w:eastAsia="仿宋" w:cs="仿宋_GB2312"/>
          <w:color w:val="auto"/>
          <w:szCs w:val="24"/>
          <w:highlight w:val="none"/>
          <w:lang w:eastAsia="zh-CN"/>
        </w:rPr>
        <w:t>响应文件</w:t>
      </w:r>
      <w:r>
        <w:rPr>
          <w:rFonts w:hint="eastAsia" w:ascii="仿宋" w:hAnsi="仿宋" w:eastAsia="仿宋" w:cs="仿宋_GB2312"/>
          <w:color w:val="auto"/>
          <w:szCs w:val="24"/>
          <w:highlight w:val="none"/>
        </w:rPr>
        <w:t>。投标截止时间后递交的</w:t>
      </w:r>
      <w:r>
        <w:rPr>
          <w:rFonts w:hint="eastAsia" w:ascii="仿宋" w:hAnsi="仿宋" w:eastAsia="仿宋" w:cs="仿宋_GB2312"/>
          <w:color w:val="auto"/>
          <w:szCs w:val="24"/>
          <w:highlight w:val="none"/>
          <w:lang w:eastAsia="zh-CN"/>
        </w:rPr>
        <w:t>响应文件</w:t>
      </w:r>
      <w:r>
        <w:rPr>
          <w:rFonts w:hint="eastAsia" w:ascii="仿宋" w:hAnsi="仿宋" w:eastAsia="仿宋" w:cs="仿宋_GB2312"/>
          <w:color w:val="auto"/>
          <w:szCs w:val="24"/>
          <w:highlight w:val="none"/>
        </w:rPr>
        <w:t>，电子交易平台将拒收。</w:t>
      </w:r>
    </w:p>
    <w:p>
      <w:pPr>
        <w:pStyle w:val="28"/>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14.2电子交易平台收到</w:t>
      </w:r>
      <w:r>
        <w:rPr>
          <w:rFonts w:hint="eastAsia" w:ascii="仿宋" w:hAnsi="仿宋" w:eastAsia="仿宋" w:cs="仿宋_GB2312"/>
          <w:color w:val="auto"/>
          <w:szCs w:val="24"/>
          <w:highlight w:val="none"/>
          <w:lang w:eastAsia="zh-CN"/>
        </w:rPr>
        <w:t>响应文件</w:t>
      </w:r>
      <w:r>
        <w:rPr>
          <w:rFonts w:hint="eastAsia" w:ascii="仿宋" w:hAnsi="仿宋" w:eastAsia="仿宋" w:cs="仿宋_GB2312"/>
          <w:color w:val="auto"/>
          <w:szCs w:val="24"/>
          <w:highlight w:val="none"/>
        </w:rPr>
        <w:t>，将妥善保存并即时向供应商发出确认回执通知。在投标截止时间前，除供应商补充、修改或者撤回</w:t>
      </w:r>
      <w:r>
        <w:rPr>
          <w:rFonts w:hint="eastAsia" w:ascii="仿宋" w:hAnsi="仿宋" w:eastAsia="仿宋" w:cs="仿宋_GB2312"/>
          <w:color w:val="auto"/>
          <w:szCs w:val="24"/>
          <w:highlight w:val="none"/>
          <w:lang w:eastAsia="zh-CN"/>
        </w:rPr>
        <w:t>响应文件</w:t>
      </w:r>
      <w:r>
        <w:rPr>
          <w:rFonts w:hint="eastAsia" w:ascii="仿宋" w:hAnsi="仿宋" w:eastAsia="仿宋" w:cs="仿宋_GB2312"/>
          <w:color w:val="auto"/>
          <w:szCs w:val="24"/>
          <w:highlight w:val="none"/>
        </w:rPr>
        <w:t>外，任何单位和个人不得解密或提取</w:t>
      </w:r>
      <w:r>
        <w:rPr>
          <w:rFonts w:hint="eastAsia" w:ascii="仿宋" w:hAnsi="仿宋" w:eastAsia="仿宋" w:cs="仿宋_GB2312"/>
          <w:color w:val="auto"/>
          <w:szCs w:val="24"/>
          <w:highlight w:val="none"/>
          <w:lang w:eastAsia="zh-CN"/>
        </w:rPr>
        <w:t>响应文件</w:t>
      </w:r>
      <w:r>
        <w:rPr>
          <w:rFonts w:hint="eastAsia" w:ascii="仿宋" w:hAnsi="仿宋" w:eastAsia="仿宋" w:cs="仿宋_GB2312"/>
          <w:color w:val="auto"/>
          <w:szCs w:val="24"/>
          <w:highlight w:val="none"/>
        </w:rPr>
        <w:t>。</w:t>
      </w:r>
    </w:p>
    <w:p>
      <w:pPr>
        <w:pStyle w:val="28"/>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14.3采购机构可以视情况延长</w:t>
      </w:r>
      <w:r>
        <w:rPr>
          <w:rFonts w:hint="eastAsia" w:ascii="仿宋" w:hAnsi="仿宋" w:eastAsia="仿宋" w:cs="仿宋_GB2312"/>
          <w:color w:val="auto"/>
          <w:szCs w:val="24"/>
          <w:highlight w:val="none"/>
          <w:lang w:eastAsia="zh-CN"/>
        </w:rPr>
        <w:t>响应文件</w:t>
      </w:r>
      <w:r>
        <w:rPr>
          <w:rFonts w:hint="eastAsia" w:ascii="仿宋" w:hAnsi="仿宋" w:eastAsia="仿宋" w:cs="仿宋_GB2312"/>
          <w:color w:val="auto"/>
          <w:szCs w:val="24"/>
          <w:highlight w:val="none"/>
        </w:rPr>
        <w:t>提交的截止时间。在上述情况下，采购机构与投标人以前在投标截止期方面的全部权利、责任和义务，将适用于延长至新的投标截止期。</w:t>
      </w:r>
    </w:p>
    <w:p>
      <w:pPr>
        <w:pStyle w:val="10"/>
        <w:spacing w:line="360" w:lineRule="auto"/>
        <w:rPr>
          <w:rFonts w:hint="eastAsia" w:ascii="仿宋" w:hAnsi="仿宋" w:eastAsia="仿宋" w:cs="仿宋_GB2312"/>
          <w:b/>
          <w:color w:val="auto"/>
          <w:sz w:val="24"/>
          <w:szCs w:val="24"/>
          <w:highlight w:val="none"/>
          <w:lang w:eastAsia="zh-CN"/>
        </w:rPr>
      </w:pPr>
      <w:r>
        <w:rPr>
          <w:rFonts w:hint="eastAsia" w:ascii="仿宋" w:hAnsi="仿宋" w:eastAsia="仿宋" w:cs="仿宋_GB2312"/>
          <w:b/>
          <w:color w:val="auto"/>
          <w:sz w:val="24"/>
          <w:szCs w:val="24"/>
          <w:highlight w:val="none"/>
        </w:rPr>
        <w:t>15.备份</w:t>
      </w:r>
      <w:r>
        <w:rPr>
          <w:rFonts w:hint="eastAsia" w:ascii="仿宋" w:hAnsi="仿宋" w:eastAsia="仿宋" w:cs="仿宋_GB2312"/>
          <w:b/>
          <w:color w:val="auto"/>
          <w:sz w:val="24"/>
          <w:szCs w:val="24"/>
          <w:highlight w:val="none"/>
          <w:lang w:eastAsia="zh-CN"/>
        </w:rPr>
        <w:t>响应文件</w:t>
      </w:r>
    </w:p>
    <w:p>
      <w:pPr>
        <w:pStyle w:val="10"/>
        <w:spacing w:line="360" w:lineRule="auto"/>
        <w:ind w:firstLine="360" w:firstLineChars="150"/>
        <w:rPr>
          <w:rFonts w:hint="eastAsia" w:ascii="仿宋" w:hAnsi="仿宋" w:eastAsia="仿宋" w:cs="仿宋_GB2312"/>
          <w:b/>
          <w:color w:val="auto"/>
          <w:sz w:val="24"/>
          <w:szCs w:val="24"/>
          <w:highlight w:val="none"/>
          <w:lang w:eastAsia="zh-CN"/>
        </w:rPr>
      </w:pPr>
      <w:r>
        <w:rPr>
          <w:rFonts w:hint="eastAsia" w:ascii="仿宋" w:hAnsi="仿宋" w:eastAsia="仿宋" w:cs="仿宋_GB2312"/>
          <w:color w:val="auto"/>
          <w:sz w:val="24"/>
          <w:szCs w:val="24"/>
          <w:highlight w:val="none"/>
        </w:rPr>
        <w:t xml:space="preserve"> </w:t>
      </w:r>
      <w:r>
        <w:rPr>
          <w:rFonts w:hint="eastAsia" w:ascii="仿宋" w:hAnsi="仿宋" w:eastAsia="仿宋" w:cs="仿宋_GB2312"/>
          <w:color w:val="auto"/>
          <w:sz w:val="24"/>
          <w:szCs w:val="24"/>
          <w:highlight w:val="none"/>
          <w:lang w:eastAsia="zh-CN"/>
        </w:rPr>
        <w:t>不提供。</w:t>
      </w:r>
    </w:p>
    <w:bookmarkEnd w:id="4"/>
    <w:bookmarkEnd w:id="5"/>
    <w:p>
      <w:pPr>
        <w:pStyle w:val="28"/>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16.</w:t>
      </w:r>
      <w:r>
        <w:rPr>
          <w:rFonts w:hint="eastAsia" w:ascii="仿宋" w:hAnsi="仿宋" w:eastAsia="仿宋" w:cs="仿宋_GB2312"/>
          <w:b/>
          <w:color w:val="auto"/>
          <w:szCs w:val="24"/>
          <w:highlight w:val="none"/>
          <w:lang w:eastAsia="zh-CN"/>
        </w:rPr>
        <w:t>响应</w:t>
      </w:r>
      <w:r>
        <w:rPr>
          <w:rFonts w:hint="eastAsia" w:ascii="仿宋" w:hAnsi="仿宋" w:eastAsia="仿宋" w:cs="仿宋_GB2312"/>
          <w:b/>
          <w:color w:val="auto"/>
          <w:szCs w:val="24"/>
          <w:highlight w:val="none"/>
        </w:rPr>
        <w:t>文件的无效处理</w:t>
      </w:r>
    </w:p>
    <w:p>
      <w:pPr>
        <w:pStyle w:val="9"/>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w:t>
      </w:r>
      <w:r>
        <w:rPr>
          <w:rFonts w:hint="eastAsia" w:ascii="仿宋" w:hAnsi="仿宋" w:eastAsia="仿宋" w:cs="仿宋_GB2312"/>
          <w:color w:val="auto"/>
          <w:szCs w:val="21"/>
          <w:highlight w:val="none"/>
          <w:lang w:eastAsia="zh-CN"/>
        </w:rPr>
        <w:t>磋商</w:t>
      </w:r>
      <w:r>
        <w:rPr>
          <w:rFonts w:hint="eastAsia" w:ascii="仿宋" w:hAnsi="仿宋" w:eastAsia="仿宋" w:cs="仿宋_GB2312"/>
          <w:color w:val="auto"/>
          <w:szCs w:val="21"/>
          <w:highlight w:val="none"/>
        </w:rPr>
        <w:t>文件第四部分</w:t>
      </w:r>
      <w:r>
        <w:rPr>
          <w:rFonts w:hint="eastAsia" w:ascii="仿宋" w:hAnsi="仿宋" w:eastAsia="仿宋"/>
          <w:color w:val="auto"/>
          <w:highlight w:val="none"/>
        </w:rPr>
        <w:t>第13项规定</w:t>
      </w:r>
      <w:r>
        <w:rPr>
          <w:rFonts w:hint="eastAsia" w:ascii="仿宋" w:hAnsi="仿宋" w:eastAsia="仿宋" w:cs="仿宋_GB2312"/>
          <w:color w:val="auto"/>
          <w:szCs w:val="21"/>
          <w:highlight w:val="none"/>
        </w:rPr>
        <w:t>的情形之一的，投标无效：</w:t>
      </w:r>
    </w:p>
    <w:p>
      <w:pPr>
        <w:pStyle w:val="28"/>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17.投标有效期</w:t>
      </w:r>
    </w:p>
    <w:p>
      <w:pPr>
        <w:spacing w:line="360" w:lineRule="auto"/>
        <w:ind w:firstLine="480" w:firstLineChars="200"/>
        <w:rPr>
          <w:rFonts w:ascii="仿宋" w:hAnsi="仿宋" w:eastAsia="仿宋" w:cs="仿宋_GB2312"/>
          <w:b/>
          <w:color w:val="auto"/>
          <w:sz w:val="24"/>
          <w:szCs w:val="21"/>
          <w:highlight w:val="none"/>
        </w:rPr>
      </w:pPr>
      <w:r>
        <w:rPr>
          <w:rFonts w:hint="eastAsia" w:ascii="仿宋" w:hAnsi="仿宋" w:eastAsia="仿宋" w:cs="仿宋_GB2312"/>
          <w:color w:val="auto"/>
          <w:sz w:val="24"/>
          <w:szCs w:val="20"/>
          <w:highlight w:val="none"/>
        </w:rPr>
        <w:t>17.1投标有效期为从提交</w:t>
      </w:r>
      <w:r>
        <w:rPr>
          <w:rFonts w:hint="eastAsia" w:ascii="仿宋" w:hAnsi="仿宋" w:eastAsia="仿宋" w:cs="仿宋_GB2312"/>
          <w:color w:val="auto"/>
          <w:sz w:val="24"/>
          <w:szCs w:val="20"/>
          <w:highlight w:val="none"/>
          <w:lang w:eastAsia="zh-CN"/>
        </w:rPr>
        <w:t>响应文件</w:t>
      </w:r>
      <w:r>
        <w:rPr>
          <w:rFonts w:hint="eastAsia" w:ascii="仿宋" w:hAnsi="仿宋" w:eastAsia="仿宋" w:cs="仿宋_GB2312"/>
          <w:color w:val="auto"/>
          <w:sz w:val="24"/>
          <w:szCs w:val="20"/>
          <w:highlight w:val="none"/>
        </w:rPr>
        <w:t>的截止之日起90天。▲</w:t>
      </w:r>
      <w:r>
        <w:rPr>
          <w:rFonts w:hint="eastAsia" w:ascii="仿宋" w:hAnsi="仿宋" w:eastAsia="仿宋" w:cs="仿宋_GB2312"/>
          <w:b/>
          <w:color w:val="auto"/>
          <w:sz w:val="24"/>
          <w:szCs w:val="20"/>
          <w:highlight w:val="none"/>
        </w:rPr>
        <w:t>投标人的</w:t>
      </w:r>
      <w:r>
        <w:rPr>
          <w:rFonts w:hint="eastAsia" w:ascii="仿宋" w:hAnsi="仿宋" w:eastAsia="仿宋" w:cs="仿宋_GB2312"/>
          <w:b/>
          <w:color w:val="auto"/>
          <w:sz w:val="24"/>
          <w:szCs w:val="20"/>
          <w:highlight w:val="none"/>
          <w:lang w:eastAsia="zh-CN"/>
        </w:rPr>
        <w:t>响应文件</w:t>
      </w:r>
      <w:r>
        <w:rPr>
          <w:rFonts w:hint="eastAsia" w:ascii="仿宋" w:hAnsi="仿宋" w:eastAsia="仿宋" w:cs="仿宋_GB2312"/>
          <w:b/>
          <w:color w:val="auto"/>
          <w:sz w:val="24"/>
          <w:szCs w:val="20"/>
          <w:highlight w:val="none"/>
        </w:rPr>
        <w:t>中承</w:t>
      </w:r>
      <w:r>
        <w:rPr>
          <w:rFonts w:hint="eastAsia" w:ascii="仿宋" w:hAnsi="仿宋" w:eastAsia="仿宋" w:cs="仿宋_GB2312"/>
          <w:b/>
          <w:color w:val="auto"/>
          <w:sz w:val="24"/>
          <w:szCs w:val="21"/>
          <w:highlight w:val="none"/>
        </w:rPr>
        <w:t>诺的投标有效期少于</w:t>
      </w:r>
      <w:r>
        <w:rPr>
          <w:rFonts w:hint="eastAsia" w:ascii="仿宋" w:hAnsi="仿宋" w:eastAsia="仿宋" w:cs="仿宋_GB2312"/>
          <w:b/>
          <w:color w:val="auto"/>
          <w:sz w:val="24"/>
          <w:szCs w:val="21"/>
          <w:highlight w:val="none"/>
          <w:lang w:eastAsia="zh-CN"/>
        </w:rPr>
        <w:t>磋商</w:t>
      </w:r>
      <w:r>
        <w:rPr>
          <w:rFonts w:hint="eastAsia" w:ascii="仿宋" w:hAnsi="仿宋" w:eastAsia="仿宋" w:cs="仿宋_GB2312"/>
          <w:b/>
          <w:color w:val="auto"/>
          <w:sz w:val="24"/>
          <w:szCs w:val="21"/>
          <w:highlight w:val="none"/>
        </w:rPr>
        <w:t>文件中载明的投标有效期的，投标无效。</w:t>
      </w:r>
    </w:p>
    <w:p>
      <w:pPr>
        <w:pStyle w:val="28"/>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17.2</w:t>
      </w:r>
      <w:r>
        <w:rPr>
          <w:rFonts w:hint="eastAsia" w:ascii="仿宋" w:hAnsi="仿宋" w:eastAsia="仿宋" w:cs="仿宋_GB2312"/>
          <w:color w:val="auto"/>
          <w:highlight w:val="none"/>
          <w:lang w:eastAsia="zh-CN"/>
        </w:rPr>
        <w:t>响应文件</w:t>
      </w:r>
      <w:r>
        <w:rPr>
          <w:rFonts w:hint="eastAsia" w:ascii="仿宋" w:hAnsi="仿宋" w:eastAsia="仿宋" w:cs="仿宋_GB2312"/>
          <w:color w:val="auto"/>
          <w:highlight w:val="none"/>
        </w:rPr>
        <w:t>合格投递后，自投标截止日期起，在投标有效期内有效。</w:t>
      </w:r>
    </w:p>
    <w:p>
      <w:pPr>
        <w:pStyle w:val="27"/>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17.3在原定投标有效期满之前，如果出现特殊情况，采购机构可以以书面形式通知投标人延长投标有效期。投标人同意延长的，不得要求或被允许修改其</w:t>
      </w:r>
      <w:r>
        <w:rPr>
          <w:rFonts w:hint="eastAsia" w:ascii="仿宋" w:hAnsi="仿宋" w:eastAsia="仿宋" w:cs="仿宋_GB2312"/>
          <w:color w:val="auto"/>
          <w:highlight w:val="none"/>
          <w:lang w:eastAsia="zh-CN"/>
        </w:rPr>
        <w:t>响应文件</w:t>
      </w:r>
      <w:r>
        <w:rPr>
          <w:rFonts w:hint="eastAsia" w:ascii="仿宋" w:hAnsi="仿宋" w:eastAsia="仿宋" w:cs="仿宋_GB2312"/>
          <w:color w:val="auto"/>
          <w:highlight w:val="none"/>
        </w:rPr>
        <w:t>，投标人拒绝延长的，其投标无效。</w:t>
      </w:r>
    </w:p>
    <w:p>
      <w:pPr>
        <w:pStyle w:val="28"/>
        <w:spacing w:before="0"/>
        <w:ind w:firstLine="1928" w:firstLineChars="600"/>
        <w:rPr>
          <w:rFonts w:ascii="仿宋" w:hAnsi="仿宋" w:eastAsia="仿宋" w:cs="仿宋_GB2312"/>
          <w:b/>
          <w:color w:val="auto"/>
          <w:sz w:val="32"/>
          <w:highlight w:val="none"/>
        </w:rPr>
      </w:pPr>
    </w:p>
    <w:p>
      <w:pPr>
        <w:pStyle w:val="28"/>
        <w:spacing w:before="0"/>
        <w:ind w:firstLine="1928" w:firstLineChars="600"/>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四、开标、资格审查与信用信息查询</w:t>
      </w:r>
    </w:p>
    <w:p>
      <w:pPr>
        <w:pStyle w:val="30"/>
        <w:spacing w:before="0" w:line="360" w:lineRule="auto"/>
        <w:ind w:left="0" w:firstLine="0"/>
        <w:contextualSpacing/>
        <w:rPr>
          <w:rFonts w:ascii="仿宋_GB2312" w:eastAsia="仿宋_GB2312"/>
          <w:color w:val="auto"/>
          <w:sz w:val="24"/>
          <w:highlight w:val="none"/>
        </w:rPr>
      </w:pPr>
      <w:r>
        <w:rPr>
          <w:rFonts w:hint="eastAsia" w:ascii="仿宋" w:hAnsi="仿宋" w:eastAsia="仿宋" w:cs="仿宋_GB2312"/>
          <w:b/>
          <w:color w:val="auto"/>
          <w:sz w:val="24"/>
          <w:szCs w:val="24"/>
          <w:highlight w:val="none"/>
        </w:rPr>
        <w:t>18.开标</w:t>
      </w:r>
      <w:r>
        <w:rPr>
          <w:rFonts w:hint="eastAsia" w:ascii="仿宋_GB2312" w:eastAsia="仿宋_GB2312"/>
          <w:color w:val="auto"/>
          <w:sz w:val="24"/>
          <w:highlight w:val="none"/>
        </w:rPr>
        <w:t xml:space="preserve"> </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18.1采购机构按照</w:t>
      </w:r>
      <w:r>
        <w:rPr>
          <w:rFonts w:hint="eastAsia" w:ascii="仿宋" w:hAnsi="仿宋" w:eastAsia="仿宋" w:cs="仿宋_GB2312"/>
          <w:color w:val="auto"/>
          <w:sz w:val="24"/>
          <w:highlight w:val="none"/>
          <w:lang w:eastAsia="zh-CN"/>
        </w:rPr>
        <w:t>磋商</w:t>
      </w:r>
      <w:r>
        <w:rPr>
          <w:rFonts w:hint="eastAsia" w:ascii="仿宋" w:hAnsi="仿宋" w:eastAsia="仿宋" w:cs="仿宋_GB2312"/>
          <w:color w:val="auto"/>
          <w:sz w:val="24"/>
          <w:highlight w:val="none"/>
        </w:rPr>
        <w:t>文件规定的时间通过电子交易平台组织开标，所有投标人均应当准时在线参加</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投标人不足3家的，不得开标。</w:t>
      </w:r>
    </w:p>
    <w:p>
      <w:pPr>
        <w:pStyle w:val="30"/>
        <w:spacing w:before="0" w:line="360" w:lineRule="auto"/>
        <w:ind w:left="0" w:firstLine="480" w:firstLineChars="200"/>
        <w:contextualSpacing/>
        <w:rPr>
          <w:rFonts w:ascii="仿宋" w:hAnsi="仿宋" w:eastAsia="仿宋" w:cs="仿宋_GB2312"/>
          <w:color w:val="auto"/>
          <w:sz w:val="24"/>
          <w:szCs w:val="22"/>
          <w:highlight w:val="none"/>
        </w:rPr>
      </w:pPr>
      <w:r>
        <w:rPr>
          <w:rFonts w:hint="eastAsia" w:ascii="仿宋" w:hAnsi="仿宋" w:eastAsia="仿宋" w:cs="仿宋_GB2312"/>
          <w:color w:val="auto"/>
          <w:sz w:val="24"/>
          <w:highlight w:val="none"/>
        </w:rPr>
        <w:t>18.2开标时，电子交易平台按开标时间自动提取所有</w:t>
      </w:r>
      <w:r>
        <w:rPr>
          <w:rFonts w:hint="eastAsia" w:ascii="仿宋" w:hAnsi="仿宋" w:eastAsia="仿宋" w:cs="仿宋_GB2312"/>
          <w:color w:val="auto"/>
          <w:sz w:val="24"/>
          <w:highlight w:val="none"/>
          <w:lang w:eastAsia="zh-CN"/>
        </w:rPr>
        <w:t>响应文件</w:t>
      </w:r>
      <w:r>
        <w:rPr>
          <w:rFonts w:hint="eastAsia" w:ascii="仿宋" w:hAnsi="仿宋" w:eastAsia="仿宋" w:cs="仿宋_GB2312"/>
          <w:color w:val="auto"/>
          <w:sz w:val="24"/>
          <w:highlight w:val="none"/>
        </w:rPr>
        <w:t>。采购机构依托电子交</w:t>
      </w:r>
      <w:r>
        <w:rPr>
          <w:rFonts w:hint="eastAsia" w:ascii="仿宋" w:hAnsi="仿宋" w:eastAsia="仿宋" w:cs="仿宋_GB2312"/>
          <w:color w:val="auto"/>
          <w:sz w:val="24"/>
          <w:szCs w:val="22"/>
          <w:highlight w:val="none"/>
        </w:rPr>
        <w:t>易平台发起开始解密指令，投标人按照平台提示和</w:t>
      </w:r>
      <w:r>
        <w:rPr>
          <w:rFonts w:hint="eastAsia" w:ascii="仿宋" w:hAnsi="仿宋" w:eastAsia="仿宋" w:cs="仿宋_GB2312"/>
          <w:color w:val="auto"/>
          <w:sz w:val="24"/>
          <w:szCs w:val="22"/>
          <w:highlight w:val="none"/>
          <w:lang w:eastAsia="zh-CN"/>
        </w:rPr>
        <w:t>磋商</w:t>
      </w:r>
      <w:r>
        <w:rPr>
          <w:rFonts w:hint="eastAsia" w:ascii="仿宋" w:hAnsi="仿宋" w:eastAsia="仿宋" w:cs="仿宋_GB2312"/>
          <w:color w:val="auto"/>
          <w:sz w:val="24"/>
          <w:szCs w:val="22"/>
          <w:highlight w:val="none"/>
        </w:rPr>
        <w:t>文件的规定在半小时内完成在线解密</w:t>
      </w:r>
      <w:r>
        <w:rPr>
          <w:rFonts w:hint="eastAsia" w:ascii="仿宋" w:hAnsi="仿宋" w:eastAsia="仿宋" w:cs="仿宋_GB2312"/>
          <w:color w:val="auto"/>
          <w:sz w:val="24"/>
          <w:szCs w:val="22"/>
          <w:highlight w:val="none"/>
          <w:lang w:eastAsia="zh-CN"/>
        </w:rPr>
        <w:t>（投标人未在规定时间内解密的，视作解密失败，不再进入后续评审）</w:t>
      </w:r>
      <w:r>
        <w:rPr>
          <w:rFonts w:hint="eastAsia" w:ascii="仿宋" w:hAnsi="仿宋" w:eastAsia="仿宋" w:cs="仿宋_GB2312"/>
          <w:color w:val="auto"/>
          <w:sz w:val="24"/>
          <w:szCs w:val="22"/>
          <w:highlight w:val="none"/>
        </w:rPr>
        <w:t>。</w:t>
      </w:r>
    </w:p>
    <w:p>
      <w:pPr>
        <w:pStyle w:val="30"/>
        <w:spacing w:before="0" w:line="360" w:lineRule="auto"/>
        <w:ind w:left="0" w:firstLine="0"/>
        <w:contextualSpacing/>
        <w:rPr>
          <w:rFonts w:ascii="仿宋" w:hAnsi="仿宋" w:eastAsia="仿宋" w:cs="仿宋_GB2312"/>
          <w:b/>
          <w:bCs/>
          <w:color w:val="auto"/>
          <w:sz w:val="24"/>
          <w:szCs w:val="22"/>
          <w:highlight w:val="none"/>
        </w:rPr>
      </w:pPr>
      <w:r>
        <w:rPr>
          <w:rFonts w:hint="eastAsia" w:ascii="仿宋" w:hAnsi="仿宋" w:eastAsia="仿宋" w:cs="仿宋_GB2312"/>
          <w:b/>
          <w:bCs/>
          <w:color w:val="auto"/>
          <w:sz w:val="24"/>
          <w:szCs w:val="22"/>
          <w:highlight w:val="none"/>
        </w:rPr>
        <w:t>19、资格审查</w:t>
      </w:r>
    </w:p>
    <w:p>
      <w:pPr>
        <w:pStyle w:val="30"/>
        <w:spacing w:before="0" w:line="360" w:lineRule="auto"/>
        <w:ind w:left="0" w:firstLine="480" w:firstLineChars="200"/>
        <w:contextualSpacing/>
        <w:rPr>
          <w:rFonts w:ascii="仿宋" w:hAnsi="仿宋" w:eastAsia="仿宋" w:cs="仿宋_GB2312"/>
          <w:color w:val="auto"/>
          <w:sz w:val="24"/>
          <w:szCs w:val="22"/>
          <w:highlight w:val="none"/>
        </w:rPr>
      </w:pPr>
      <w:r>
        <w:rPr>
          <w:rFonts w:hint="eastAsia" w:ascii="仿宋" w:hAnsi="仿宋" w:eastAsia="仿宋" w:cs="仿宋_GB2312"/>
          <w:color w:val="auto"/>
          <w:sz w:val="24"/>
          <w:szCs w:val="22"/>
          <w:highlight w:val="none"/>
        </w:rPr>
        <w:t>19.1开标后，采购人或采购机构将依法对投标人的资格进行审查。</w:t>
      </w:r>
    </w:p>
    <w:p>
      <w:pPr>
        <w:pStyle w:val="3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szCs w:val="22"/>
          <w:highlight w:val="none"/>
        </w:rPr>
        <w:t>19.2采购人或采购</w:t>
      </w:r>
      <w:r>
        <w:rPr>
          <w:rFonts w:hint="eastAsia" w:ascii="仿宋" w:hAnsi="仿宋" w:eastAsia="仿宋" w:cs="仿宋_GB2312"/>
          <w:color w:val="auto"/>
          <w:sz w:val="24"/>
          <w:highlight w:val="none"/>
        </w:rPr>
        <w:t>机构依据法律法规和</w:t>
      </w:r>
      <w:r>
        <w:rPr>
          <w:rFonts w:hint="eastAsia" w:ascii="仿宋" w:hAnsi="仿宋" w:eastAsia="仿宋" w:cs="仿宋_GB2312"/>
          <w:color w:val="auto"/>
          <w:sz w:val="24"/>
          <w:highlight w:val="none"/>
          <w:lang w:eastAsia="zh-CN"/>
        </w:rPr>
        <w:t>磋商</w:t>
      </w:r>
      <w:r>
        <w:rPr>
          <w:rFonts w:hint="eastAsia" w:ascii="仿宋" w:hAnsi="仿宋" w:eastAsia="仿宋" w:cs="仿宋_GB2312"/>
          <w:color w:val="auto"/>
          <w:sz w:val="24"/>
          <w:highlight w:val="none"/>
        </w:rPr>
        <w:t>文件的规定，对投标人的基本资格条件、特定资格条件进行审查。</w:t>
      </w:r>
    </w:p>
    <w:p>
      <w:pPr>
        <w:pStyle w:val="28"/>
        <w:spacing w:before="0"/>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19.3投标人未按照</w:t>
      </w:r>
      <w:r>
        <w:rPr>
          <w:rFonts w:hint="eastAsia" w:ascii="仿宋" w:hAnsi="仿宋" w:eastAsia="仿宋" w:cs="Arial"/>
          <w:color w:val="auto"/>
          <w:kern w:val="0"/>
          <w:szCs w:val="24"/>
          <w:highlight w:val="none"/>
          <w:lang w:eastAsia="zh-CN"/>
        </w:rPr>
        <w:t>磋商</w:t>
      </w:r>
      <w:r>
        <w:rPr>
          <w:rFonts w:hint="eastAsia" w:ascii="仿宋" w:hAnsi="仿宋" w:eastAsia="仿宋" w:cs="Arial"/>
          <w:color w:val="auto"/>
          <w:kern w:val="0"/>
          <w:szCs w:val="24"/>
          <w:highlight w:val="none"/>
        </w:rPr>
        <w:t>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w:t>
      </w:r>
      <w:r>
        <w:rPr>
          <w:rFonts w:hint="eastAsia" w:ascii="仿宋" w:hAnsi="仿宋" w:eastAsia="仿宋" w:cs="仿宋_GB2312"/>
          <w:color w:val="auto"/>
          <w:highlight w:val="none"/>
          <w:lang w:eastAsia="zh-CN"/>
        </w:rPr>
        <w:t>磋商</w:t>
      </w:r>
      <w:r>
        <w:rPr>
          <w:rFonts w:hint="eastAsia" w:ascii="仿宋" w:hAnsi="仿宋" w:eastAsia="仿宋" w:cs="仿宋_GB2312"/>
          <w:color w:val="auto"/>
          <w:highlight w:val="none"/>
        </w:rPr>
        <w:t>文件中规定的资格要求，其投标无效。</w:t>
      </w:r>
    </w:p>
    <w:p>
      <w:pPr>
        <w:pStyle w:val="28"/>
        <w:spacing w:before="0"/>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19.</w:t>
      </w:r>
      <w:r>
        <w:rPr>
          <w:rFonts w:hint="eastAsia" w:ascii="仿宋" w:hAnsi="仿宋" w:eastAsia="仿宋" w:cs="仿宋_GB2312"/>
          <w:color w:val="auto"/>
          <w:highlight w:val="none"/>
        </w:rPr>
        <w:t>4对未通过资格审查的投标人，采购人或采购机构告知其未通过的原因。</w:t>
      </w:r>
    </w:p>
    <w:p>
      <w:pPr>
        <w:pStyle w:val="28"/>
        <w:spacing w:before="0"/>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19.</w:t>
      </w:r>
      <w:r>
        <w:rPr>
          <w:rFonts w:hint="eastAsia" w:ascii="仿宋" w:hAnsi="仿宋" w:eastAsia="仿宋" w:cs="仿宋_GB2312"/>
          <w:color w:val="auto"/>
          <w:highlight w:val="none"/>
        </w:rPr>
        <w:t>5合格投标人不足3家的，不再评标。</w:t>
      </w:r>
    </w:p>
    <w:p>
      <w:pPr>
        <w:pStyle w:val="28"/>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20、信用信息查询</w:t>
      </w:r>
    </w:p>
    <w:p>
      <w:pPr>
        <w:pStyle w:val="28"/>
        <w:spacing w:before="0"/>
        <w:ind w:firstLine="495"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w:t>
      </w:r>
      <w:r>
        <w:rPr>
          <w:rFonts w:hint="eastAsia" w:ascii="仿宋" w:hAnsi="仿宋" w:eastAsia="仿宋" w:cs="Arial"/>
          <w:color w:val="auto"/>
          <w:kern w:val="0"/>
          <w:szCs w:val="24"/>
          <w:highlight w:val="none"/>
        </w:rPr>
        <w:t>.1信用信息查询渠道及截止时间：采购机构将通过“信用中国”网站(www.creditchina.gov.cn)、中国政府采购网(www.ccgp.gov.cn)渠道查询投标人投标截止时间当天的信用记录。</w:t>
      </w:r>
    </w:p>
    <w:p>
      <w:pPr>
        <w:pStyle w:val="28"/>
        <w:spacing w:before="0"/>
        <w:ind w:firstLine="495"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w:t>
      </w:r>
      <w:r>
        <w:rPr>
          <w:rFonts w:hint="eastAsia" w:ascii="仿宋" w:hAnsi="仿宋" w:eastAsia="仿宋" w:cs="Arial"/>
          <w:color w:val="auto"/>
          <w:kern w:val="0"/>
          <w:szCs w:val="24"/>
          <w:highlight w:val="none"/>
        </w:rPr>
        <w:t>.2信用信息查询记录和证据留存的具体方式：现场查询的投标人的信用记录、查询结果将与采购文件一起存档。</w:t>
      </w:r>
    </w:p>
    <w:p>
      <w:pPr>
        <w:pStyle w:val="28"/>
        <w:spacing w:before="0"/>
        <w:ind w:firstLine="495"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w:t>
      </w:r>
      <w:r>
        <w:rPr>
          <w:rFonts w:hint="eastAsia" w:ascii="仿宋" w:hAnsi="仿宋" w:eastAsia="仿宋" w:cs="Arial"/>
          <w:color w:val="auto"/>
          <w:kern w:val="0"/>
          <w:szCs w:val="24"/>
          <w:highlight w:val="none"/>
        </w:rPr>
        <w:t>.3信用信息的使用规则：经查询列入失信被执行人名单、重大税收违法案件当事人名单、政府采购严重违法失信行为记录名单的投标人将被拒绝参与政府采购活动。</w:t>
      </w:r>
    </w:p>
    <w:p>
      <w:pPr>
        <w:pStyle w:val="28"/>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20</w:t>
      </w:r>
      <w:r>
        <w:rPr>
          <w:rFonts w:hint="eastAsia" w:ascii="仿宋" w:hAnsi="仿宋" w:eastAsia="仿宋" w:cs="Arial"/>
          <w:color w:val="auto"/>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highlight w:val="none"/>
        </w:rPr>
        <w:t>。</w:t>
      </w:r>
    </w:p>
    <w:p>
      <w:pPr>
        <w:pStyle w:val="28"/>
        <w:spacing w:before="0"/>
        <w:ind w:firstLine="0" w:firstLineChars="0"/>
        <w:rPr>
          <w:rFonts w:ascii="仿宋" w:hAnsi="仿宋" w:eastAsia="仿宋" w:cs="Arial"/>
          <w:color w:val="auto"/>
          <w:kern w:val="0"/>
          <w:szCs w:val="24"/>
          <w:highlight w:val="none"/>
        </w:rPr>
      </w:pPr>
    </w:p>
    <w:p>
      <w:pPr>
        <w:snapToGrid w:val="0"/>
        <w:spacing w:line="360" w:lineRule="auto"/>
        <w:jc w:val="center"/>
        <w:outlineLvl w:val="0"/>
        <w:rPr>
          <w:rFonts w:ascii="仿宋" w:hAnsi="仿宋" w:eastAsia="仿宋" w:cs="仿宋_GB2312"/>
          <w:b/>
          <w:color w:val="auto"/>
          <w:sz w:val="36"/>
          <w:szCs w:val="36"/>
          <w:highlight w:val="none"/>
        </w:rPr>
      </w:pPr>
      <w:bookmarkStart w:id="10" w:name="_Toc91899902"/>
      <w:r>
        <w:rPr>
          <w:rFonts w:hint="eastAsia" w:ascii="仿宋" w:hAnsi="仿宋" w:eastAsia="仿宋" w:cs="仿宋_GB2312"/>
          <w:b/>
          <w:color w:val="auto"/>
          <w:sz w:val="36"/>
          <w:szCs w:val="36"/>
          <w:highlight w:val="none"/>
        </w:rPr>
        <w:t>五、评标</w:t>
      </w:r>
      <w:bookmarkEnd w:id="10"/>
    </w:p>
    <w:p>
      <w:pPr>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21.</w:t>
      </w:r>
      <w:r>
        <w:rPr>
          <w:rFonts w:hint="eastAsia" w:ascii="仿宋" w:hAnsi="仿宋" w:eastAsia="仿宋" w:cs="仿宋_GB2312"/>
          <w:color w:val="auto"/>
          <w:sz w:val="24"/>
          <w:highlight w:val="none"/>
        </w:rPr>
        <w:t>评标委员会将根据</w:t>
      </w:r>
      <w:r>
        <w:rPr>
          <w:rFonts w:hint="eastAsia" w:ascii="仿宋" w:hAnsi="仿宋" w:eastAsia="仿宋" w:cs="仿宋_GB2312"/>
          <w:color w:val="auto"/>
          <w:sz w:val="24"/>
          <w:highlight w:val="none"/>
          <w:lang w:eastAsia="zh-CN"/>
        </w:rPr>
        <w:t>磋商</w:t>
      </w:r>
      <w:r>
        <w:rPr>
          <w:rFonts w:hint="eastAsia" w:ascii="仿宋" w:hAnsi="仿宋" w:eastAsia="仿宋" w:cs="仿宋_GB2312"/>
          <w:color w:val="auto"/>
          <w:sz w:val="24"/>
          <w:highlight w:val="none"/>
        </w:rPr>
        <w:t>文件和有关规定，履行评标工作职责，并按照评标方法及评分标准，全面衡量各投标人对</w:t>
      </w:r>
      <w:r>
        <w:rPr>
          <w:rFonts w:hint="eastAsia" w:ascii="仿宋" w:hAnsi="仿宋" w:eastAsia="仿宋" w:cs="仿宋_GB2312"/>
          <w:color w:val="auto"/>
          <w:sz w:val="24"/>
          <w:highlight w:val="none"/>
          <w:lang w:eastAsia="zh-CN"/>
        </w:rPr>
        <w:t>磋商</w:t>
      </w:r>
      <w:r>
        <w:rPr>
          <w:rFonts w:hint="eastAsia" w:ascii="仿宋" w:hAnsi="仿宋" w:eastAsia="仿宋" w:cs="仿宋_GB2312"/>
          <w:color w:val="auto"/>
          <w:sz w:val="24"/>
          <w:highlight w:val="none"/>
        </w:rPr>
        <w:t>文件的响应情况。对实质上响应</w:t>
      </w:r>
      <w:r>
        <w:rPr>
          <w:rFonts w:hint="eastAsia" w:ascii="仿宋" w:hAnsi="仿宋" w:eastAsia="仿宋" w:cs="仿宋_GB2312"/>
          <w:color w:val="auto"/>
          <w:sz w:val="24"/>
          <w:highlight w:val="none"/>
          <w:lang w:eastAsia="zh-CN"/>
        </w:rPr>
        <w:t>磋商</w:t>
      </w:r>
      <w:r>
        <w:rPr>
          <w:rFonts w:hint="eastAsia" w:ascii="仿宋" w:hAnsi="仿宋" w:eastAsia="仿宋" w:cs="仿宋_GB2312"/>
          <w:color w:val="auto"/>
          <w:sz w:val="24"/>
          <w:highlight w:val="none"/>
        </w:rPr>
        <w:t>文件的投标人，按照评审因素的量化指标排出推荐中标的投标人的先后顺序，并按顺序提出授标建议。</w:t>
      </w:r>
      <w:r>
        <w:rPr>
          <w:rFonts w:hint="eastAsia" w:ascii="仿宋" w:hAnsi="仿宋" w:eastAsia="仿宋" w:cs="仿宋_GB2312"/>
          <w:b/>
          <w:color w:val="auto"/>
          <w:sz w:val="24"/>
          <w:highlight w:val="none"/>
        </w:rPr>
        <w:t>详见</w:t>
      </w:r>
      <w:r>
        <w:rPr>
          <w:rFonts w:hint="eastAsia" w:ascii="仿宋" w:hAnsi="仿宋" w:eastAsia="仿宋" w:cs="仿宋_GB2312"/>
          <w:b/>
          <w:color w:val="auto"/>
          <w:sz w:val="24"/>
          <w:highlight w:val="none"/>
          <w:lang w:eastAsia="zh-CN"/>
        </w:rPr>
        <w:t>磋商</w:t>
      </w:r>
      <w:r>
        <w:rPr>
          <w:rFonts w:hint="eastAsia" w:ascii="仿宋" w:hAnsi="仿宋" w:eastAsia="仿宋" w:cs="仿宋_GB2312"/>
          <w:b/>
          <w:color w:val="auto"/>
          <w:sz w:val="24"/>
          <w:highlight w:val="none"/>
        </w:rPr>
        <w:t>文件第四部分“评标方法及评分标准”</w:t>
      </w:r>
    </w:p>
    <w:p>
      <w:pPr>
        <w:pStyle w:val="27"/>
        <w:rPr>
          <w:rFonts w:ascii="仿宋" w:hAnsi="仿宋" w:eastAsia="仿宋" w:cs="仿宋_GB2312"/>
          <w:b/>
          <w:color w:val="auto"/>
          <w:highlight w:val="none"/>
        </w:rPr>
      </w:pPr>
    </w:p>
    <w:p>
      <w:pPr>
        <w:pStyle w:val="27"/>
        <w:rPr>
          <w:rFonts w:ascii="仿宋" w:hAnsi="仿宋" w:eastAsia="仿宋" w:cs="仿宋_GB2312"/>
          <w:b/>
          <w:color w:val="auto"/>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六、定 标</w:t>
      </w:r>
    </w:p>
    <w:p>
      <w:pPr>
        <w:pStyle w:val="9"/>
        <w:spacing w:line="360" w:lineRule="auto"/>
        <w:ind w:left="479" w:hanging="479" w:hangingChars="199"/>
        <w:rPr>
          <w:rFonts w:ascii="仿宋" w:hAnsi="仿宋" w:eastAsia="仿宋" w:cs="仿宋_GB2312"/>
          <w:b/>
          <w:color w:val="auto"/>
          <w:highlight w:val="none"/>
        </w:rPr>
      </w:pPr>
      <w:r>
        <w:rPr>
          <w:rFonts w:hint="eastAsia" w:ascii="仿宋" w:hAnsi="仿宋" w:eastAsia="仿宋" w:cs="仿宋_GB2312"/>
          <w:b/>
          <w:color w:val="auto"/>
          <w:highlight w:val="none"/>
        </w:rPr>
        <w:t>22.确定中标供应商</w:t>
      </w:r>
    </w:p>
    <w:p>
      <w:pPr>
        <w:pStyle w:val="28"/>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28"/>
        <w:snapToGrid w:val="0"/>
        <w:spacing w:before="0"/>
        <w:ind w:firstLine="0" w:firstLineChars="0"/>
        <w:jc w:val="left"/>
        <w:rPr>
          <w:rFonts w:ascii="仿宋" w:hAnsi="仿宋" w:eastAsia="仿宋" w:cs="仿宋_GB2312"/>
          <w:color w:val="auto"/>
          <w:szCs w:val="24"/>
          <w:highlight w:val="none"/>
        </w:rPr>
      </w:pPr>
      <w:r>
        <w:rPr>
          <w:rFonts w:hint="eastAsia" w:ascii="仿宋" w:hAnsi="仿宋" w:eastAsia="仿宋" w:cs="仿宋_GB2312"/>
          <w:b/>
          <w:bCs/>
          <w:color w:val="auto"/>
          <w:szCs w:val="24"/>
          <w:highlight w:val="none"/>
        </w:rPr>
        <w:t>23.中标通知与中标结果公告</w:t>
      </w:r>
    </w:p>
    <w:p>
      <w:pPr>
        <w:pStyle w:val="28"/>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23.2</w:t>
      </w:r>
      <w:r>
        <w:rPr>
          <w:rFonts w:ascii="仿宋" w:hAnsi="仿宋" w:eastAsia="仿宋" w:cs="仿宋_GB2312"/>
          <w:color w:val="auto"/>
          <w:sz w:val="24"/>
          <w:highlight w:val="none"/>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23.3</w:t>
      </w:r>
      <w:r>
        <w:rPr>
          <w:rFonts w:ascii="仿宋" w:hAnsi="仿宋" w:eastAsia="仿宋" w:cs="仿宋_GB2312"/>
          <w:color w:val="auto"/>
          <w:sz w:val="24"/>
          <w:highlight w:val="none"/>
        </w:rPr>
        <w:t>公告期限为1个工作日。</w:t>
      </w:r>
    </w:p>
    <w:p>
      <w:pPr>
        <w:pStyle w:val="27"/>
        <w:rPr>
          <w:rFonts w:ascii="仿宋" w:hAnsi="仿宋" w:eastAsia="仿宋" w:cs="仿宋_GB2312"/>
          <w:color w:val="auto"/>
          <w:highlight w:val="none"/>
        </w:rPr>
      </w:pP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七、合同授予</w:t>
      </w:r>
    </w:p>
    <w:p>
      <w:pPr>
        <w:pStyle w:val="9"/>
        <w:spacing w:line="360" w:lineRule="auto"/>
        <w:ind w:left="479" w:hanging="479" w:hangingChars="199"/>
        <w:rPr>
          <w:rFonts w:ascii="仿宋" w:hAnsi="仿宋" w:eastAsia="仿宋" w:cs="仿宋_GB2312"/>
          <w:b/>
          <w:color w:val="auto"/>
          <w:highlight w:val="none"/>
        </w:rPr>
      </w:pPr>
      <w:r>
        <w:rPr>
          <w:rFonts w:hint="eastAsia" w:ascii="仿宋" w:hAnsi="仿宋" w:eastAsia="仿宋" w:cs="仿宋_GB2312"/>
          <w:b/>
          <w:color w:val="auto"/>
          <w:highlight w:val="none"/>
        </w:rPr>
        <w:t>24.</w:t>
      </w:r>
      <w:r>
        <w:rPr>
          <w:rFonts w:hint="eastAsia" w:ascii="仿宋" w:hAnsi="仿宋" w:eastAsia="仿宋" w:cs="仿宋_GB2312"/>
          <w:color w:val="auto"/>
          <w:highlight w:val="none"/>
        </w:rPr>
        <w:t>合同主要条款详见第五部分拟签订的合同文本。</w:t>
      </w:r>
    </w:p>
    <w:p>
      <w:pPr>
        <w:pStyle w:val="9"/>
        <w:spacing w:line="360" w:lineRule="auto"/>
        <w:ind w:left="479" w:hanging="479" w:hangingChars="199"/>
        <w:rPr>
          <w:rFonts w:ascii="仿宋" w:hAnsi="仿宋" w:eastAsia="仿宋" w:cs="仿宋_GB2312"/>
          <w:b/>
          <w:color w:val="auto"/>
          <w:highlight w:val="none"/>
        </w:rPr>
      </w:pPr>
      <w:r>
        <w:rPr>
          <w:rFonts w:hint="eastAsia" w:ascii="仿宋" w:hAnsi="仿宋" w:eastAsia="仿宋" w:cs="仿宋_GB2312"/>
          <w:b/>
          <w:color w:val="auto"/>
          <w:highlight w:val="none"/>
        </w:rPr>
        <w:t>25.合同的签订</w:t>
      </w:r>
    </w:p>
    <w:p>
      <w:pPr>
        <w:widowControl/>
        <w:spacing w:line="360" w:lineRule="auto"/>
        <w:ind w:firstLine="480"/>
        <w:jc w:val="left"/>
        <w:rPr>
          <w:rFonts w:ascii="仿宋" w:hAnsi="仿宋" w:eastAsia="仿宋" w:cs="Arial"/>
          <w:color w:val="auto"/>
          <w:kern w:val="0"/>
          <w:sz w:val="24"/>
          <w:highlight w:val="none"/>
        </w:rPr>
      </w:pPr>
      <w:r>
        <w:rPr>
          <w:rFonts w:hint="eastAsia" w:ascii="仿宋" w:hAnsi="仿宋" w:eastAsia="仿宋" w:cs="仿宋_GB2312"/>
          <w:color w:val="auto"/>
          <w:sz w:val="24"/>
          <w:highlight w:val="none"/>
        </w:rPr>
        <w:t>25.1</w:t>
      </w:r>
      <w:r>
        <w:rPr>
          <w:rFonts w:hint="eastAsia" w:ascii="仿宋" w:hAnsi="仿宋" w:eastAsia="仿宋" w:cs="Arial"/>
          <w:color w:val="auto"/>
          <w:kern w:val="0"/>
          <w:sz w:val="24"/>
          <w:highlight w:val="none"/>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28"/>
        <w:snapToGrid w:val="0"/>
        <w:spacing w:before="0"/>
        <w:ind w:firstLine="480"/>
        <w:rPr>
          <w:rFonts w:ascii="仿宋" w:hAnsi="仿宋" w:eastAsia="仿宋"/>
          <w:color w:val="auto"/>
          <w:kern w:val="0"/>
          <w:highlight w:val="none"/>
        </w:rPr>
      </w:pPr>
      <w:r>
        <w:rPr>
          <w:rFonts w:hint="eastAsia" w:ascii="仿宋" w:hAnsi="仿宋" w:eastAsia="仿宋" w:cs="仿宋_GB2312"/>
          <w:color w:val="auto"/>
          <w:kern w:val="0"/>
          <w:highlight w:val="none"/>
          <w:lang w:val="zh-CN"/>
        </w:rPr>
        <w:t>25.2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28"/>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25.3如签订合同并生效后，供应商无故拒绝或延期，除按照合同条款处理外，列入不良行为记录一次，并给予通报。</w:t>
      </w:r>
    </w:p>
    <w:p>
      <w:pPr>
        <w:pStyle w:val="28"/>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9"/>
        <w:spacing w:line="360" w:lineRule="auto"/>
        <w:ind w:left="479" w:hanging="479" w:hangingChars="199"/>
        <w:rPr>
          <w:rFonts w:ascii="仿宋" w:hAnsi="仿宋" w:eastAsia="仿宋" w:cs="仿宋_GB2312"/>
          <w:b/>
          <w:color w:val="auto"/>
          <w:highlight w:val="none"/>
        </w:rPr>
      </w:pPr>
      <w:r>
        <w:rPr>
          <w:rFonts w:hint="eastAsia" w:ascii="仿宋" w:hAnsi="仿宋" w:eastAsia="仿宋" w:cs="仿宋_GB2312"/>
          <w:b/>
          <w:color w:val="auto"/>
          <w:highlight w:val="none"/>
        </w:rPr>
        <w:t>26.履约保证金</w:t>
      </w:r>
    </w:p>
    <w:p>
      <w:pPr>
        <w:tabs>
          <w:tab w:val="left" w:pos="0"/>
        </w:tabs>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采购人不得拒收履约保函，项目验收结束后应及时退还。</w:t>
      </w:r>
    </w:p>
    <w:p>
      <w:pPr>
        <w:tabs>
          <w:tab w:val="left" w:pos="0"/>
        </w:tabs>
        <w:spacing w:line="360" w:lineRule="auto"/>
        <w:ind w:firstLine="480"/>
        <w:rPr>
          <w:rFonts w:hint="eastAsia" w:ascii="仿宋" w:hAnsi="仿宋" w:eastAsia="仿宋" w:cs="Helvetica"/>
          <w:b w:val="0"/>
          <w:bCs/>
          <w:color w:val="auto"/>
          <w:kern w:val="0"/>
          <w:sz w:val="24"/>
          <w:highlight w:val="none"/>
        </w:rPr>
      </w:pPr>
      <w:r>
        <w:rPr>
          <w:rFonts w:hint="eastAsia" w:ascii="仿宋" w:hAnsi="仿宋" w:eastAsia="仿宋" w:cs="Helvetica"/>
          <w:color w:val="auto"/>
          <w:kern w:val="0"/>
          <w:sz w:val="24"/>
          <w:highlight w:val="none"/>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2.5%。</w:t>
      </w:r>
    </w:p>
    <w:p>
      <w:pPr>
        <w:pStyle w:val="27"/>
        <w:rPr>
          <w:rFonts w:ascii="仿宋" w:hAnsi="仿宋" w:eastAsia="仿宋" w:cs="仿宋_GB2312"/>
          <w:color w:val="auto"/>
          <w:highlight w:val="none"/>
        </w:rPr>
      </w:pPr>
    </w:p>
    <w:p>
      <w:pPr>
        <w:snapToGrid w:val="0"/>
        <w:spacing w:line="360" w:lineRule="auto"/>
        <w:ind w:firstLine="3357" w:firstLineChars="1045"/>
        <w:rPr>
          <w:rFonts w:ascii="仿宋" w:hAnsi="仿宋" w:eastAsia="仿宋"/>
          <w:b/>
          <w:color w:val="auto"/>
          <w:sz w:val="24"/>
          <w:highlight w:val="none"/>
        </w:rPr>
      </w:pPr>
      <w:r>
        <w:rPr>
          <w:rFonts w:hint="eastAsia" w:ascii="仿宋" w:hAnsi="仿宋" w:eastAsia="仿宋" w:cs="仿宋_GB2312"/>
          <w:b/>
          <w:color w:val="auto"/>
          <w:sz w:val="32"/>
          <w:highlight w:val="none"/>
        </w:rPr>
        <w:t>八、</w:t>
      </w:r>
      <w:r>
        <w:rPr>
          <w:rFonts w:ascii="仿宋" w:hAnsi="仿宋" w:eastAsia="仿宋" w:cs="仿宋_GB2312"/>
          <w:b/>
          <w:color w:val="auto"/>
          <w:sz w:val="32"/>
          <w:highlight w:val="none"/>
        </w:rPr>
        <w:t>电子</w:t>
      </w:r>
      <w:r>
        <w:rPr>
          <w:rFonts w:hint="eastAsia" w:ascii="仿宋" w:hAnsi="仿宋" w:eastAsia="仿宋" w:cs="仿宋_GB2312"/>
          <w:b/>
          <w:color w:val="auto"/>
          <w:sz w:val="32"/>
          <w:highlight w:val="none"/>
        </w:rPr>
        <w:t>交易活动的中止</w:t>
      </w:r>
    </w:p>
    <w:p>
      <w:pPr>
        <w:pStyle w:val="28"/>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bCs/>
          <w:color w:val="auto"/>
          <w:highlight w:val="none"/>
        </w:rPr>
        <w:t>2</w:t>
      </w:r>
      <w:r>
        <w:rPr>
          <w:rFonts w:hint="eastAsia" w:ascii="仿宋" w:hAnsi="仿宋" w:eastAsia="仿宋" w:cs="仿宋_GB2312"/>
          <w:b/>
          <w:bCs/>
          <w:color w:val="auto"/>
          <w:szCs w:val="24"/>
          <w:highlight w:val="none"/>
        </w:rPr>
        <w:t>7.</w:t>
      </w:r>
      <w:r>
        <w:rPr>
          <w:rFonts w:hint="eastAsia" w:ascii="仿宋" w:hAnsi="仿宋" w:eastAsia="仿宋" w:cs="仿宋_GB2312"/>
          <w:b/>
          <w:color w:val="auto"/>
          <w:szCs w:val="24"/>
          <w:highlight w:val="none"/>
        </w:rPr>
        <w:t>电子交易活动的中止</w:t>
      </w:r>
    </w:p>
    <w:p>
      <w:pPr>
        <w:pStyle w:val="28"/>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采购过程中出现以下情形，</w:t>
      </w:r>
      <w:r>
        <w:rPr>
          <w:rFonts w:ascii="仿宋" w:hAnsi="仿宋" w:eastAsia="仿宋" w:cs="仿宋_GB2312"/>
          <w:color w:val="auto"/>
          <w:highlight w:val="none"/>
        </w:rPr>
        <w:t>导致</w:t>
      </w:r>
      <w:r>
        <w:rPr>
          <w:rFonts w:hint="eastAsia" w:ascii="仿宋" w:hAnsi="仿宋" w:eastAsia="仿宋" w:cs="仿宋_GB2312"/>
          <w:color w:val="auto"/>
          <w:highlight w:val="none"/>
        </w:rPr>
        <w:t>电子交易平台</w:t>
      </w:r>
      <w:r>
        <w:rPr>
          <w:rFonts w:ascii="仿宋" w:hAnsi="仿宋" w:eastAsia="仿宋" w:cs="仿宋_GB2312"/>
          <w:color w:val="auto"/>
          <w:highlight w:val="none"/>
        </w:rPr>
        <w:t>无法正常运行，或者无法保证电子</w:t>
      </w:r>
      <w:r>
        <w:rPr>
          <w:rFonts w:hint="eastAsia" w:ascii="仿宋" w:hAnsi="仿宋" w:eastAsia="仿宋" w:cs="仿宋_GB2312"/>
          <w:color w:val="auto"/>
          <w:highlight w:val="none"/>
        </w:rPr>
        <w:t>交易</w:t>
      </w:r>
      <w:r>
        <w:rPr>
          <w:rFonts w:ascii="仿宋" w:hAnsi="仿宋" w:eastAsia="仿宋" w:cs="仿宋_GB2312"/>
          <w:color w:val="auto"/>
          <w:highlight w:val="none"/>
        </w:rPr>
        <w:t>的公平、公正和安全时，</w:t>
      </w:r>
      <w:r>
        <w:rPr>
          <w:rFonts w:hint="eastAsia" w:ascii="仿宋" w:hAnsi="仿宋" w:eastAsia="仿宋" w:cs="仿宋_GB2312"/>
          <w:color w:val="auto"/>
          <w:highlight w:val="none"/>
        </w:rPr>
        <w:t>采购机构可</w:t>
      </w:r>
      <w:r>
        <w:rPr>
          <w:rFonts w:ascii="仿宋" w:hAnsi="仿宋" w:eastAsia="仿宋" w:cs="仿宋_GB2312"/>
          <w:color w:val="auto"/>
          <w:highlight w:val="none"/>
        </w:rPr>
        <w:t>中止电子</w:t>
      </w:r>
      <w:r>
        <w:rPr>
          <w:rFonts w:hint="eastAsia" w:ascii="仿宋" w:hAnsi="仿宋" w:eastAsia="仿宋" w:cs="仿宋_GB2312"/>
          <w:color w:val="auto"/>
          <w:highlight w:val="none"/>
        </w:rPr>
        <w:t>交易活动</w:t>
      </w:r>
      <w:r>
        <w:rPr>
          <w:rFonts w:ascii="仿宋" w:hAnsi="仿宋" w:eastAsia="仿宋" w:cs="仿宋_GB2312"/>
          <w:color w:val="auto"/>
          <w:highlight w:val="none"/>
        </w:rPr>
        <w:t>：</w:t>
      </w:r>
    </w:p>
    <w:p>
      <w:pPr>
        <w:pStyle w:val="28"/>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27.1电子交易</w:t>
      </w:r>
      <w:r>
        <w:rPr>
          <w:rFonts w:ascii="仿宋" w:hAnsi="仿宋" w:eastAsia="仿宋" w:cs="仿宋_GB2312"/>
          <w:color w:val="auto"/>
          <w:highlight w:val="none"/>
        </w:rPr>
        <w:t>平台发生故障而无法</w:t>
      </w:r>
      <w:r>
        <w:rPr>
          <w:rFonts w:hint="eastAsia" w:ascii="仿宋" w:hAnsi="仿宋" w:eastAsia="仿宋" w:cs="仿宋_GB2312"/>
          <w:color w:val="auto"/>
          <w:highlight w:val="none"/>
        </w:rPr>
        <w:t>登录</w:t>
      </w:r>
      <w:r>
        <w:rPr>
          <w:rFonts w:ascii="仿宋" w:hAnsi="仿宋" w:eastAsia="仿宋" w:cs="仿宋_GB2312"/>
          <w:color w:val="auto"/>
          <w:highlight w:val="none"/>
        </w:rPr>
        <w:t xml:space="preserve">访问的； </w:t>
      </w:r>
    </w:p>
    <w:p>
      <w:pPr>
        <w:pStyle w:val="28"/>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27.2电子交易</w:t>
      </w:r>
      <w:r>
        <w:rPr>
          <w:rFonts w:ascii="仿宋" w:hAnsi="仿宋" w:eastAsia="仿宋" w:cs="仿宋_GB2312"/>
          <w:color w:val="auto"/>
          <w:highlight w:val="none"/>
        </w:rPr>
        <w:t>平台应用或数据库出现错误，不能进行正常操作</w:t>
      </w:r>
      <w:r>
        <w:rPr>
          <w:rFonts w:hint="eastAsia" w:ascii="仿宋" w:hAnsi="仿宋" w:eastAsia="仿宋" w:cs="仿宋_GB2312"/>
          <w:color w:val="auto"/>
          <w:highlight w:val="none"/>
        </w:rPr>
        <w:t>的</w:t>
      </w:r>
      <w:r>
        <w:rPr>
          <w:rFonts w:ascii="仿宋" w:hAnsi="仿宋" w:eastAsia="仿宋" w:cs="仿宋_GB2312"/>
          <w:color w:val="auto"/>
          <w:highlight w:val="none"/>
        </w:rPr>
        <w:t>；</w:t>
      </w:r>
    </w:p>
    <w:p>
      <w:pPr>
        <w:pStyle w:val="28"/>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27.3电子交易</w:t>
      </w:r>
      <w:r>
        <w:rPr>
          <w:rFonts w:ascii="仿宋" w:hAnsi="仿宋" w:eastAsia="仿宋" w:cs="仿宋_GB2312"/>
          <w:color w:val="auto"/>
          <w:highlight w:val="none"/>
        </w:rPr>
        <w:t>平台发现</w:t>
      </w:r>
      <w:r>
        <w:rPr>
          <w:rFonts w:hint="eastAsia" w:ascii="仿宋" w:hAnsi="仿宋" w:eastAsia="仿宋" w:cs="仿宋_GB2312"/>
          <w:color w:val="auto"/>
          <w:highlight w:val="none"/>
        </w:rPr>
        <w:t>严重</w:t>
      </w:r>
      <w:r>
        <w:rPr>
          <w:rFonts w:ascii="仿宋" w:hAnsi="仿宋" w:eastAsia="仿宋" w:cs="仿宋_GB2312"/>
          <w:color w:val="auto"/>
          <w:highlight w:val="none"/>
        </w:rPr>
        <w:t>安全漏洞，有潜在泄密危险的</w:t>
      </w:r>
      <w:r>
        <w:rPr>
          <w:rFonts w:hint="eastAsia" w:ascii="仿宋" w:hAnsi="仿宋" w:eastAsia="仿宋" w:cs="仿宋_GB2312"/>
          <w:color w:val="auto"/>
          <w:highlight w:val="none"/>
        </w:rPr>
        <w:t>；</w:t>
      </w:r>
    </w:p>
    <w:p>
      <w:pPr>
        <w:pStyle w:val="28"/>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27.4</w:t>
      </w:r>
      <w:r>
        <w:rPr>
          <w:rFonts w:ascii="仿宋" w:hAnsi="仿宋" w:eastAsia="仿宋" w:cs="仿宋_GB2312"/>
          <w:color w:val="auto"/>
          <w:highlight w:val="none"/>
        </w:rPr>
        <w:t>病毒发作</w:t>
      </w:r>
      <w:r>
        <w:rPr>
          <w:rFonts w:hint="eastAsia" w:ascii="仿宋" w:hAnsi="仿宋" w:eastAsia="仿宋" w:cs="仿宋_GB2312"/>
          <w:color w:val="auto"/>
          <w:highlight w:val="none"/>
        </w:rPr>
        <w:t>导致不能进行</w:t>
      </w:r>
      <w:r>
        <w:rPr>
          <w:rFonts w:ascii="仿宋" w:hAnsi="仿宋" w:eastAsia="仿宋" w:cs="仿宋_GB2312"/>
          <w:color w:val="auto"/>
          <w:highlight w:val="none"/>
        </w:rPr>
        <w:t xml:space="preserve">正常操作的； </w:t>
      </w:r>
    </w:p>
    <w:p>
      <w:pPr>
        <w:pStyle w:val="28"/>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27.5其他</w:t>
      </w:r>
      <w:r>
        <w:rPr>
          <w:rFonts w:ascii="仿宋" w:hAnsi="仿宋" w:eastAsia="仿宋" w:cs="仿宋_GB2312"/>
          <w:color w:val="auto"/>
          <w:highlight w:val="none"/>
        </w:rPr>
        <w:t>无法保证</w:t>
      </w:r>
      <w:r>
        <w:rPr>
          <w:rFonts w:hint="eastAsia" w:ascii="仿宋" w:hAnsi="仿宋" w:eastAsia="仿宋" w:cs="仿宋_GB2312"/>
          <w:color w:val="auto"/>
          <w:highlight w:val="none"/>
        </w:rPr>
        <w:t>电子交易</w:t>
      </w:r>
      <w:r>
        <w:rPr>
          <w:rFonts w:ascii="仿宋" w:hAnsi="仿宋" w:eastAsia="仿宋" w:cs="仿宋_GB2312"/>
          <w:color w:val="auto"/>
          <w:highlight w:val="none"/>
        </w:rPr>
        <w:t>的公平、公正和安全的情况。</w:t>
      </w:r>
    </w:p>
    <w:p>
      <w:pPr>
        <w:pStyle w:val="28"/>
        <w:snapToGrid w:val="0"/>
        <w:spacing w:before="0"/>
        <w:ind w:firstLine="0" w:firstLineChars="0"/>
        <w:rPr>
          <w:rFonts w:ascii="仿宋" w:hAnsi="仿宋" w:eastAsia="仿宋" w:cs="仿宋_GB2312"/>
          <w:b/>
          <w:bCs/>
          <w:color w:val="auto"/>
          <w:highlight w:val="none"/>
        </w:rPr>
      </w:pPr>
      <w:r>
        <w:rPr>
          <w:rFonts w:hint="eastAsia" w:ascii="仿宋" w:hAnsi="仿宋" w:eastAsia="仿宋" w:cs="仿宋_GB2312"/>
          <w:b/>
          <w:bCs/>
          <w:color w:val="auto"/>
          <w:highlight w:val="none"/>
        </w:rPr>
        <w:t>28.</w:t>
      </w:r>
      <w:r>
        <w:rPr>
          <w:rFonts w:ascii="仿宋" w:hAnsi="仿宋" w:eastAsia="仿宋" w:cs="仿宋_GB2312"/>
          <w:b/>
          <w:bCs/>
          <w:color w:val="auto"/>
          <w:highlight w:val="none"/>
        </w:rPr>
        <w:t>出现</w:t>
      </w:r>
      <w:r>
        <w:rPr>
          <w:rFonts w:hint="eastAsia" w:ascii="仿宋" w:hAnsi="仿宋" w:eastAsia="仿宋" w:cs="仿宋_GB2312"/>
          <w:b/>
          <w:bCs/>
          <w:color w:val="auto"/>
          <w:highlight w:val="none"/>
        </w:rPr>
        <w:t>以上情形</w:t>
      </w:r>
      <w:r>
        <w:rPr>
          <w:rFonts w:ascii="仿宋" w:hAnsi="仿宋" w:eastAsia="仿宋" w:cs="仿宋_GB2312"/>
          <w:b/>
          <w:bCs/>
          <w:color w:val="auto"/>
          <w:highlight w:val="none"/>
        </w:rPr>
        <w:t>，</w:t>
      </w:r>
      <w:r>
        <w:rPr>
          <w:rFonts w:hint="eastAsia" w:ascii="仿宋" w:hAnsi="仿宋" w:eastAsia="仿宋" w:cs="仿宋_GB2312"/>
          <w:b/>
          <w:bCs/>
          <w:color w:val="auto"/>
          <w:highlight w:val="none"/>
        </w:rPr>
        <w:t>不影响采购公平、公正性的，采购组织机构可以</w:t>
      </w:r>
      <w:r>
        <w:rPr>
          <w:rFonts w:ascii="仿宋" w:hAnsi="仿宋" w:eastAsia="仿宋" w:cs="仿宋_GB2312"/>
          <w:b/>
          <w:bCs/>
          <w:color w:val="auto"/>
          <w:highlight w:val="none"/>
        </w:rPr>
        <w:t>待上述情形消除后继续</w:t>
      </w:r>
      <w:r>
        <w:rPr>
          <w:rFonts w:hint="eastAsia" w:ascii="仿宋" w:hAnsi="仿宋" w:eastAsia="仿宋" w:cs="仿宋_GB2312"/>
          <w:b/>
          <w:bCs/>
          <w:color w:val="auto"/>
          <w:highlight w:val="none"/>
        </w:rPr>
        <w:t>组织电子交易</w:t>
      </w:r>
      <w:r>
        <w:rPr>
          <w:rFonts w:ascii="仿宋" w:hAnsi="仿宋" w:eastAsia="仿宋" w:cs="仿宋_GB2312"/>
          <w:b/>
          <w:bCs/>
          <w:color w:val="auto"/>
          <w:highlight w:val="none"/>
        </w:rPr>
        <w:t>活动</w:t>
      </w:r>
      <w:r>
        <w:rPr>
          <w:rFonts w:hint="eastAsia" w:ascii="仿宋" w:hAnsi="仿宋" w:eastAsia="仿宋" w:cs="仿宋_GB2312"/>
          <w:b/>
          <w:bCs/>
          <w:color w:val="auto"/>
          <w:highlight w:val="none"/>
        </w:rPr>
        <w:t>，也可以决定某些环节以纸质形式进行；影响或可能影响</w:t>
      </w:r>
      <w:r>
        <w:rPr>
          <w:rFonts w:ascii="仿宋" w:hAnsi="仿宋" w:eastAsia="仿宋" w:cs="仿宋_GB2312"/>
          <w:b/>
          <w:bCs/>
          <w:color w:val="auto"/>
          <w:highlight w:val="none"/>
        </w:rPr>
        <w:t>采购公平、公正</w:t>
      </w:r>
      <w:r>
        <w:rPr>
          <w:rFonts w:hint="eastAsia" w:ascii="仿宋" w:hAnsi="仿宋" w:eastAsia="仿宋" w:cs="仿宋_GB2312"/>
          <w:b/>
          <w:bCs/>
          <w:color w:val="auto"/>
          <w:highlight w:val="none"/>
        </w:rPr>
        <w:t>性</w:t>
      </w:r>
      <w:r>
        <w:rPr>
          <w:rFonts w:ascii="仿宋" w:hAnsi="仿宋" w:eastAsia="仿宋" w:cs="仿宋_GB2312"/>
          <w:b/>
          <w:bCs/>
          <w:color w:val="auto"/>
          <w:highlight w:val="none"/>
        </w:rPr>
        <w:t>的，</w:t>
      </w:r>
      <w:r>
        <w:rPr>
          <w:rFonts w:hint="eastAsia" w:ascii="仿宋" w:hAnsi="仿宋" w:eastAsia="仿宋" w:cs="仿宋_GB2312"/>
          <w:b/>
          <w:bCs/>
          <w:color w:val="auto"/>
          <w:highlight w:val="none"/>
        </w:rPr>
        <w:t>应当重新采购</w:t>
      </w:r>
      <w:r>
        <w:rPr>
          <w:rFonts w:ascii="仿宋" w:hAnsi="仿宋" w:eastAsia="仿宋" w:cs="仿宋_GB2312"/>
          <w:b/>
          <w:bCs/>
          <w:color w:val="auto"/>
          <w:highlight w:val="none"/>
        </w:rPr>
        <w:t>。</w:t>
      </w:r>
    </w:p>
    <w:p>
      <w:pPr>
        <w:pStyle w:val="27"/>
        <w:rPr>
          <w:rFonts w:ascii="仿宋" w:hAnsi="仿宋" w:eastAsia="仿宋" w:cs="仿宋_GB2312"/>
          <w:color w:val="auto"/>
          <w:highlight w:val="none"/>
        </w:rPr>
      </w:pP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九、验收</w:t>
      </w:r>
    </w:p>
    <w:p>
      <w:pPr>
        <w:pStyle w:val="9"/>
        <w:spacing w:line="360" w:lineRule="auto"/>
        <w:ind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29.验收</w:t>
      </w:r>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pPr>
        <w:pStyle w:val="27"/>
        <w:rPr>
          <w:rFonts w:ascii="仿宋" w:hAnsi="仿宋" w:eastAsia="仿宋" w:cs="Helvetica"/>
          <w:color w:val="auto"/>
          <w:highlight w:val="none"/>
        </w:rPr>
      </w:pPr>
    </w:p>
    <w:p>
      <w:pPr>
        <w:pStyle w:val="27"/>
        <w:rPr>
          <w:rFonts w:ascii="仿宋" w:hAnsi="仿宋" w:eastAsia="仿宋" w:cs="Helvetica"/>
          <w:color w:val="auto"/>
          <w:highlight w:val="none"/>
        </w:rPr>
      </w:pPr>
    </w:p>
    <w:p>
      <w:pPr>
        <w:pStyle w:val="27"/>
        <w:rPr>
          <w:rFonts w:ascii="仿宋" w:hAnsi="仿宋" w:eastAsia="仿宋" w:cs="Helvetica"/>
          <w:color w:val="auto"/>
          <w:highlight w:val="none"/>
        </w:rPr>
      </w:pPr>
    </w:p>
    <w:p>
      <w:pPr>
        <w:pStyle w:val="27"/>
        <w:rPr>
          <w:rFonts w:ascii="仿宋" w:hAnsi="仿宋" w:eastAsia="仿宋" w:cs="Helvetica"/>
          <w:color w:val="auto"/>
          <w:highlight w:val="none"/>
        </w:rPr>
      </w:pPr>
    </w:p>
    <w:p>
      <w:pPr>
        <w:pStyle w:val="27"/>
        <w:rPr>
          <w:rFonts w:ascii="仿宋" w:hAnsi="仿宋" w:eastAsia="仿宋" w:cs="Helvetica"/>
          <w:color w:val="auto"/>
          <w:highlight w:val="none"/>
        </w:rPr>
      </w:pPr>
    </w:p>
    <w:p>
      <w:pPr>
        <w:pStyle w:val="27"/>
        <w:rPr>
          <w:rFonts w:ascii="仿宋" w:hAnsi="仿宋" w:eastAsia="仿宋" w:cs="Helvetica"/>
          <w:color w:val="auto"/>
          <w:highlight w:val="none"/>
        </w:rPr>
      </w:pPr>
    </w:p>
    <w:p>
      <w:pPr>
        <w:pStyle w:val="27"/>
        <w:rPr>
          <w:rFonts w:ascii="仿宋" w:hAnsi="仿宋" w:eastAsia="仿宋" w:cs="Helvetica"/>
          <w:color w:val="auto"/>
          <w:highlight w:val="none"/>
        </w:rPr>
      </w:pPr>
    </w:p>
    <w:p>
      <w:pPr>
        <w:pStyle w:val="27"/>
        <w:rPr>
          <w:rFonts w:ascii="仿宋" w:hAnsi="仿宋" w:eastAsia="仿宋" w:cs="Helvetica"/>
          <w:color w:val="auto"/>
          <w:highlight w:val="none"/>
        </w:rPr>
      </w:pPr>
    </w:p>
    <w:p>
      <w:pPr>
        <w:pStyle w:val="27"/>
        <w:rPr>
          <w:rFonts w:ascii="仿宋" w:hAnsi="仿宋" w:eastAsia="仿宋" w:cs="Helvetica"/>
          <w:color w:val="auto"/>
          <w:highlight w:val="none"/>
        </w:rPr>
      </w:pPr>
    </w:p>
    <w:p>
      <w:pPr>
        <w:pStyle w:val="27"/>
        <w:rPr>
          <w:rFonts w:ascii="仿宋" w:hAnsi="仿宋" w:eastAsia="仿宋" w:cs="Helvetica"/>
          <w:color w:val="auto"/>
          <w:highlight w:val="none"/>
        </w:rPr>
      </w:pPr>
    </w:p>
    <w:p>
      <w:pPr>
        <w:pStyle w:val="27"/>
        <w:rPr>
          <w:rFonts w:ascii="仿宋" w:hAnsi="仿宋" w:eastAsia="仿宋" w:cs="Helvetica"/>
          <w:color w:val="auto"/>
          <w:highlight w:val="none"/>
        </w:rPr>
      </w:pPr>
    </w:p>
    <w:p>
      <w:pPr>
        <w:pStyle w:val="27"/>
        <w:rPr>
          <w:rFonts w:ascii="仿宋" w:hAnsi="仿宋" w:eastAsia="仿宋" w:cs="Helvetica"/>
          <w:color w:val="auto"/>
          <w:highlight w:val="none"/>
        </w:rPr>
      </w:pPr>
    </w:p>
    <w:p>
      <w:pPr>
        <w:pStyle w:val="27"/>
        <w:numPr>
          <w:ilvl w:val="0"/>
          <w:numId w:val="4"/>
        </w:numPr>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  采购需求</w:t>
      </w:r>
    </w:p>
    <w:p>
      <w:pPr>
        <w:pStyle w:val="7"/>
        <w:numPr>
          <w:ilvl w:val="0"/>
          <w:numId w:val="0"/>
        </w:numPr>
        <w:spacing w:before="0" w:after="0" w:line="560" w:lineRule="exact"/>
        <w:ind w:left="627" w:hanging="537" w:hangingChars="223"/>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一、采购一览表</w:t>
      </w:r>
    </w:p>
    <w:p>
      <w:pPr>
        <w:spacing w:line="400" w:lineRule="exact"/>
        <w:rPr>
          <w:rFonts w:ascii="仿宋_GB2312" w:hAnsi="Times New Roman" w:eastAsia="仿宋_GB2312"/>
          <w:b/>
          <w:bCs/>
          <w:color w:val="auto"/>
          <w:sz w:val="24"/>
          <w:szCs w:val="24"/>
          <w:highlight w:val="none"/>
          <w:u w:val="single"/>
        </w:rPr>
      </w:pPr>
      <w:bookmarkStart w:id="11" w:name="_二期网络工程项目改造需求"/>
      <w:bookmarkEnd w:id="11"/>
      <w:r>
        <w:rPr>
          <w:rFonts w:hint="eastAsia" w:ascii="仿宋_GB2312" w:hAnsi="Times New Roman" w:eastAsia="仿宋_GB2312"/>
          <w:b/>
          <w:bCs/>
          <w:color w:val="auto"/>
          <w:sz w:val="24"/>
          <w:szCs w:val="24"/>
          <w:highlight w:val="none"/>
        </w:rPr>
        <w:t>标项：1</w:t>
      </w:r>
    </w:p>
    <w:tbl>
      <w:tblPr>
        <w:tblStyle w:val="18"/>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7"/>
        <w:gridCol w:w="4454"/>
        <w:gridCol w:w="1770"/>
        <w:gridCol w:w="765"/>
        <w:gridCol w:w="765"/>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jc w:val="center"/>
        </w:trPr>
        <w:tc>
          <w:tcPr>
            <w:tcW w:w="717" w:type="dxa"/>
            <w:tcMar>
              <w:top w:w="15" w:type="dxa"/>
              <w:left w:w="15" w:type="dxa"/>
              <w:bottom w:w="0" w:type="dxa"/>
              <w:right w:w="15" w:type="dxa"/>
            </w:tcMar>
            <w:vAlign w:val="center"/>
          </w:tcPr>
          <w:p>
            <w:pPr>
              <w:jc w:val="center"/>
              <w:rPr>
                <w:rFonts w:ascii="仿宋_GB2312" w:hAnsi="Times New Roman" w:eastAsia="仿宋_GB2312"/>
                <w:b/>
                <w:bCs/>
                <w:color w:val="auto"/>
                <w:sz w:val="24"/>
                <w:szCs w:val="24"/>
                <w:highlight w:val="none"/>
              </w:rPr>
            </w:pPr>
            <w:r>
              <w:rPr>
                <w:rFonts w:hint="eastAsia" w:ascii="仿宋_GB2312" w:hAnsi="Times New Roman" w:eastAsia="仿宋_GB2312"/>
                <w:b/>
                <w:bCs/>
                <w:color w:val="auto"/>
                <w:sz w:val="24"/>
                <w:szCs w:val="24"/>
                <w:highlight w:val="none"/>
              </w:rPr>
              <w:t>序号</w:t>
            </w:r>
          </w:p>
        </w:tc>
        <w:tc>
          <w:tcPr>
            <w:tcW w:w="4454" w:type="dxa"/>
            <w:tcMar>
              <w:top w:w="15" w:type="dxa"/>
              <w:left w:w="15" w:type="dxa"/>
              <w:bottom w:w="0" w:type="dxa"/>
              <w:right w:w="15" w:type="dxa"/>
            </w:tcMar>
            <w:vAlign w:val="center"/>
          </w:tcPr>
          <w:p>
            <w:pPr>
              <w:jc w:val="center"/>
              <w:rPr>
                <w:rFonts w:ascii="仿宋_GB2312" w:hAnsi="Times New Roman" w:eastAsia="仿宋_GB2312"/>
                <w:b/>
                <w:bCs/>
                <w:color w:val="auto"/>
                <w:sz w:val="24"/>
                <w:szCs w:val="24"/>
                <w:highlight w:val="none"/>
              </w:rPr>
            </w:pPr>
            <w:r>
              <w:rPr>
                <w:rFonts w:hint="eastAsia" w:ascii="仿宋_GB2312" w:hAnsi="Times New Roman" w:eastAsia="仿宋_GB2312"/>
                <w:b/>
                <w:bCs/>
                <w:color w:val="auto"/>
                <w:sz w:val="24"/>
                <w:szCs w:val="24"/>
                <w:highlight w:val="none"/>
              </w:rPr>
              <w:t>名称</w:t>
            </w:r>
          </w:p>
        </w:tc>
        <w:tc>
          <w:tcPr>
            <w:tcW w:w="1770" w:type="dxa"/>
            <w:tcMar>
              <w:top w:w="15" w:type="dxa"/>
              <w:left w:w="15" w:type="dxa"/>
              <w:bottom w:w="0" w:type="dxa"/>
              <w:right w:w="15" w:type="dxa"/>
            </w:tcMar>
            <w:vAlign w:val="center"/>
          </w:tcPr>
          <w:p>
            <w:pPr>
              <w:jc w:val="center"/>
              <w:rPr>
                <w:rFonts w:ascii="仿宋_GB2312" w:hAnsi="Times New Roman" w:eastAsia="仿宋_GB2312"/>
                <w:b/>
                <w:bCs/>
                <w:color w:val="auto"/>
                <w:sz w:val="24"/>
                <w:szCs w:val="24"/>
                <w:highlight w:val="none"/>
              </w:rPr>
            </w:pPr>
            <w:r>
              <w:rPr>
                <w:rFonts w:hint="eastAsia" w:ascii="仿宋_GB2312" w:hAnsi="Times New Roman" w:eastAsia="仿宋_GB2312"/>
                <w:b/>
                <w:bCs/>
                <w:color w:val="auto"/>
                <w:sz w:val="24"/>
                <w:szCs w:val="24"/>
                <w:highlight w:val="none"/>
              </w:rPr>
              <w:t>规格型号与参数</w:t>
            </w:r>
          </w:p>
        </w:tc>
        <w:tc>
          <w:tcPr>
            <w:tcW w:w="765" w:type="dxa"/>
            <w:tcMar>
              <w:top w:w="15" w:type="dxa"/>
              <w:left w:w="15" w:type="dxa"/>
              <w:bottom w:w="0" w:type="dxa"/>
              <w:right w:w="15" w:type="dxa"/>
            </w:tcMar>
            <w:vAlign w:val="center"/>
          </w:tcPr>
          <w:p>
            <w:pPr>
              <w:jc w:val="center"/>
              <w:rPr>
                <w:rFonts w:ascii="仿宋_GB2312" w:hAnsi="Times New Roman" w:eastAsia="仿宋_GB2312"/>
                <w:b/>
                <w:bCs/>
                <w:color w:val="auto"/>
                <w:sz w:val="24"/>
                <w:szCs w:val="24"/>
                <w:highlight w:val="none"/>
              </w:rPr>
            </w:pPr>
            <w:r>
              <w:rPr>
                <w:rFonts w:hint="eastAsia" w:ascii="仿宋_GB2312" w:hAnsi="Times New Roman" w:eastAsia="仿宋_GB2312"/>
                <w:b/>
                <w:bCs/>
                <w:color w:val="auto"/>
                <w:sz w:val="24"/>
                <w:szCs w:val="24"/>
                <w:highlight w:val="none"/>
              </w:rPr>
              <w:t>单位</w:t>
            </w:r>
          </w:p>
        </w:tc>
        <w:tc>
          <w:tcPr>
            <w:tcW w:w="765" w:type="dxa"/>
            <w:tcMar>
              <w:top w:w="15" w:type="dxa"/>
              <w:left w:w="15" w:type="dxa"/>
              <w:bottom w:w="0" w:type="dxa"/>
              <w:right w:w="15" w:type="dxa"/>
            </w:tcMar>
            <w:vAlign w:val="center"/>
          </w:tcPr>
          <w:p>
            <w:pPr>
              <w:jc w:val="center"/>
              <w:rPr>
                <w:rFonts w:ascii="仿宋_GB2312" w:hAnsi="Times New Roman" w:eastAsia="仿宋_GB2312"/>
                <w:b/>
                <w:bCs/>
                <w:color w:val="auto"/>
                <w:sz w:val="24"/>
                <w:szCs w:val="24"/>
                <w:highlight w:val="none"/>
              </w:rPr>
            </w:pPr>
            <w:r>
              <w:rPr>
                <w:rFonts w:hint="eastAsia" w:ascii="仿宋_GB2312" w:hAnsi="Times New Roman" w:eastAsia="仿宋_GB2312"/>
                <w:b/>
                <w:bCs/>
                <w:color w:val="auto"/>
                <w:sz w:val="24"/>
                <w:szCs w:val="24"/>
                <w:highlight w:val="none"/>
              </w:rPr>
              <w:t>数量</w:t>
            </w:r>
          </w:p>
        </w:tc>
        <w:tc>
          <w:tcPr>
            <w:tcW w:w="766" w:type="dxa"/>
            <w:vAlign w:val="center"/>
          </w:tcPr>
          <w:p>
            <w:pPr>
              <w:jc w:val="center"/>
              <w:rPr>
                <w:rFonts w:ascii="仿宋_GB2312" w:hAnsi="Times New Roman" w:eastAsia="仿宋_GB2312"/>
                <w:b/>
                <w:bCs/>
                <w:color w:val="auto"/>
                <w:sz w:val="24"/>
                <w:szCs w:val="24"/>
                <w:highlight w:val="none"/>
              </w:rPr>
            </w:pPr>
            <w:r>
              <w:rPr>
                <w:rFonts w:hint="eastAsia" w:ascii="仿宋_GB2312" w:hAnsi="Times New Roman" w:eastAsia="仿宋_GB2312"/>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6" w:hRule="atLeast"/>
          <w:jc w:val="center"/>
        </w:trPr>
        <w:tc>
          <w:tcPr>
            <w:tcW w:w="717" w:type="dxa"/>
            <w:tcMar>
              <w:top w:w="15" w:type="dxa"/>
              <w:left w:w="15" w:type="dxa"/>
              <w:bottom w:w="0" w:type="dxa"/>
              <w:right w:w="15" w:type="dxa"/>
            </w:tcMar>
            <w:vAlign w:val="center"/>
          </w:tcPr>
          <w:p>
            <w:pPr>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1</w:t>
            </w:r>
          </w:p>
        </w:tc>
        <w:tc>
          <w:tcPr>
            <w:tcW w:w="4454" w:type="dxa"/>
            <w:vAlign w:val="center"/>
          </w:tcPr>
          <w:p>
            <w:pPr>
              <w:jc w:val="center"/>
              <w:rPr>
                <w:rFonts w:ascii="仿宋_GB2312" w:hAnsi="Times New Roman" w:eastAsia="仿宋_GB2312"/>
                <w:color w:val="auto"/>
                <w:sz w:val="24"/>
                <w:szCs w:val="24"/>
                <w:highlight w:val="none"/>
              </w:rPr>
            </w:pPr>
            <w:r>
              <w:rPr>
                <w:rFonts w:hint="eastAsia" w:ascii="仿宋_GB2312" w:eastAsia="仿宋_GB2312"/>
                <w:color w:val="auto"/>
                <w:sz w:val="24"/>
                <w:szCs w:val="24"/>
                <w:highlight w:val="none"/>
                <w:lang w:val="en-US" w:eastAsia="zh-CN"/>
              </w:rPr>
              <w:t>县级以上及“千吨万人”饮用水源地规范化建设项目</w:t>
            </w:r>
          </w:p>
        </w:tc>
        <w:tc>
          <w:tcPr>
            <w:tcW w:w="1770" w:type="dxa"/>
            <w:vAlign w:val="center"/>
          </w:tcPr>
          <w:p>
            <w:pPr>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详见采购需求</w:t>
            </w:r>
          </w:p>
        </w:tc>
        <w:tc>
          <w:tcPr>
            <w:tcW w:w="765" w:type="dxa"/>
            <w:vAlign w:val="center"/>
          </w:tcPr>
          <w:p>
            <w:pPr>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项</w:t>
            </w:r>
          </w:p>
        </w:tc>
        <w:tc>
          <w:tcPr>
            <w:tcW w:w="765" w:type="dxa"/>
            <w:vAlign w:val="center"/>
          </w:tcPr>
          <w:p>
            <w:pPr>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1</w:t>
            </w:r>
          </w:p>
        </w:tc>
        <w:tc>
          <w:tcPr>
            <w:tcW w:w="766" w:type="dxa"/>
            <w:vAlign w:val="center"/>
          </w:tcPr>
          <w:p>
            <w:pPr>
              <w:jc w:val="center"/>
              <w:rPr>
                <w:rFonts w:ascii="仿宋_GB2312" w:hAnsi="Times New Roman" w:eastAsia="仿宋_GB2312"/>
                <w:color w:val="auto"/>
                <w:sz w:val="24"/>
                <w:szCs w:val="24"/>
                <w:highlight w:val="none"/>
              </w:rPr>
            </w:pPr>
          </w:p>
        </w:tc>
      </w:tr>
    </w:tbl>
    <w:p>
      <w:pPr>
        <w:pStyle w:val="7"/>
        <w:numPr>
          <w:ilvl w:val="0"/>
          <w:numId w:val="0"/>
        </w:numPr>
        <w:spacing w:before="0" w:after="0" w:line="560" w:lineRule="exact"/>
        <w:ind w:left="627" w:hanging="537" w:hangingChars="223"/>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二、采购要求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kern w:val="0"/>
          <w:sz w:val="24"/>
          <w:szCs w:val="24"/>
          <w:highlight w:val="none"/>
        </w:rPr>
      </w:pPr>
      <w:r>
        <w:rPr>
          <w:rFonts w:hint="eastAsia" w:ascii="仿宋_GB2312" w:hAnsi="Times New Roman" w:eastAsia="仿宋_GB2312"/>
          <w:color w:val="auto"/>
          <w:kern w:val="0"/>
          <w:sz w:val="24"/>
          <w:szCs w:val="24"/>
          <w:highlight w:val="none"/>
        </w:rPr>
        <w:t>（一）</w:t>
      </w:r>
      <w:r>
        <w:rPr>
          <w:rFonts w:hint="eastAsia" w:ascii="仿宋_GB2312" w:eastAsia="仿宋_GB2312"/>
          <w:color w:val="auto"/>
          <w:sz w:val="24"/>
          <w:szCs w:val="24"/>
          <w:highlight w:val="none"/>
          <w:shd w:val="clear" w:color="auto" w:fill="FFFFFF"/>
        </w:rPr>
        <w:t>县级以上饮用水源地勘界定标</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kern w:val="0"/>
          <w:sz w:val="24"/>
          <w:szCs w:val="24"/>
          <w:highlight w:val="none"/>
        </w:rPr>
      </w:pPr>
      <w:r>
        <w:rPr>
          <w:rFonts w:hint="eastAsia" w:ascii="仿宋_GB2312" w:hAnsi="Times New Roman" w:eastAsia="仿宋_GB2312"/>
          <w:color w:val="auto"/>
          <w:kern w:val="0"/>
          <w:sz w:val="24"/>
          <w:szCs w:val="24"/>
          <w:highlight w:val="none"/>
        </w:rPr>
        <w:t>1．总体要求。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kern w:val="0"/>
          <w:sz w:val="24"/>
          <w:szCs w:val="24"/>
          <w:highlight w:val="none"/>
        </w:rPr>
      </w:pPr>
      <w:r>
        <w:rPr>
          <w:rFonts w:hint="eastAsia" w:ascii="仿宋_GB2312" w:hAnsi="Times New Roman" w:eastAsia="仿宋_GB2312"/>
          <w:color w:val="auto"/>
          <w:kern w:val="0"/>
          <w:sz w:val="24"/>
          <w:szCs w:val="24"/>
          <w:highlight w:val="none"/>
        </w:rPr>
        <w:t>为进一步提高饮用水水源地保护力度，加强县级以上集中式用水水源保护区勘界定标工作，按照浙江省生态环境厅、杭州市生态环境局印发《浙江省生态环境厅关于加强县级以上集中式饮用水水源保护区勘界定标工作的通知》（浙环函〔2021〕262号）、《杭州市生态环境局关于加强全市县级以上集中式饮用水水源保护区勘界定标工作的通知》（杭环便函〔2021〕558号）等文件要求，开展县级以上集中式饮用水水源地勘界定标工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eastAsia="仿宋_GB2312"/>
          <w:color w:val="auto"/>
          <w:sz w:val="24"/>
          <w:szCs w:val="24"/>
          <w:highlight w:val="none"/>
          <w:shd w:val="clear" w:color="auto" w:fill="FFFFFF"/>
        </w:rPr>
      </w:pPr>
      <w:r>
        <w:rPr>
          <w:rFonts w:hint="eastAsia" w:ascii="仿宋_GB2312" w:eastAsia="仿宋_GB2312"/>
          <w:color w:val="auto"/>
          <w:sz w:val="24"/>
          <w:szCs w:val="24"/>
          <w:highlight w:val="none"/>
          <w:shd w:val="clear" w:color="auto" w:fill="FFFFFF"/>
        </w:rPr>
        <w:t>2.主要任务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kern w:val="0"/>
          <w:sz w:val="24"/>
          <w:szCs w:val="24"/>
          <w:highlight w:val="none"/>
        </w:rPr>
      </w:pPr>
      <w:r>
        <w:rPr>
          <w:rFonts w:hint="eastAsia" w:ascii="仿宋_GB2312" w:hAnsi="Times New Roman" w:eastAsia="仿宋_GB2312"/>
          <w:color w:val="auto"/>
          <w:kern w:val="0"/>
          <w:sz w:val="24"/>
          <w:szCs w:val="24"/>
          <w:highlight w:val="none"/>
        </w:rPr>
        <w:t>（1）根据相关法律法规和规范性文件等要求，勘测界定临安区县级以上集中式饮用水水源保护区边界走向，明确保护区边界拐点坐标，核实完善矢量数据，确保矢量图精准落地，完成饮用水水源保护区矢量数据精准化报告。</w:t>
      </w:r>
      <w:r>
        <w:rPr>
          <w:rFonts w:ascii="仿宋_GB2312" w:hAnsi="Times New Roman" w:eastAsia="仿宋_GB2312"/>
          <w:color w:val="auto"/>
          <w:kern w:val="0"/>
          <w:sz w:val="24"/>
          <w:szCs w:val="24"/>
          <w:highlight w:val="none"/>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kern w:val="0"/>
          <w:sz w:val="24"/>
          <w:szCs w:val="24"/>
          <w:highlight w:val="none"/>
        </w:rPr>
      </w:pPr>
      <w:r>
        <w:rPr>
          <w:rFonts w:hint="eastAsia" w:ascii="仿宋_GB2312" w:hAnsi="Times New Roman" w:eastAsia="仿宋_GB2312"/>
          <w:color w:val="auto"/>
          <w:kern w:val="0"/>
          <w:sz w:val="24"/>
          <w:szCs w:val="24"/>
          <w:highlight w:val="none"/>
        </w:rPr>
        <w:t>（2）按照《饮用水水源保护区勘界定标技术指导要点》（以下简称《要点》）和前期勘界工作成果，编制临安区县级以上集中式饮用水水源保护区勘界定标报告，并按照省、市规范要求，</w:t>
      </w:r>
      <w:r>
        <w:rPr>
          <w:rFonts w:ascii="仿宋_GB2312" w:hAnsi="Times New Roman" w:eastAsia="仿宋_GB2312"/>
          <w:color w:val="auto"/>
          <w:kern w:val="0"/>
          <w:sz w:val="24"/>
          <w:szCs w:val="24"/>
          <w:highlight w:val="none"/>
        </w:rPr>
        <w:t>完成勘界定标报告并通过</w:t>
      </w:r>
      <w:r>
        <w:rPr>
          <w:rFonts w:hint="eastAsia" w:ascii="仿宋_GB2312" w:hAnsi="Times New Roman" w:eastAsia="仿宋_GB2312"/>
          <w:color w:val="auto"/>
          <w:kern w:val="0"/>
          <w:sz w:val="24"/>
          <w:szCs w:val="24"/>
          <w:highlight w:val="none"/>
        </w:rPr>
        <w:t>省、市技术</w:t>
      </w:r>
      <w:r>
        <w:rPr>
          <w:rFonts w:ascii="仿宋_GB2312" w:hAnsi="Times New Roman" w:eastAsia="仿宋_GB2312"/>
          <w:color w:val="auto"/>
          <w:kern w:val="0"/>
          <w:sz w:val="24"/>
          <w:szCs w:val="24"/>
          <w:highlight w:val="none"/>
        </w:rPr>
        <w:t>审核</w:t>
      </w:r>
      <w:r>
        <w:rPr>
          <w:rFonts w:hint="eastAsia" w:ascii="仿宋_GB2312" w:hAnsi="Times New Roman" w:eastAsia="仿宋_GB2312"/>
          <w:color w:val="auto"/>
          <w:kern w:val="0"/>
          <w:sz w:val="24"/>
          <w:szCs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kern w:val="0"/>
          <w:sz w:val="24"/>
          <w:szCs w:val="24"/>
          <w:highlight w:val="none"/>
        </w:rPr>
      </w:pPr>
      <w:r>
        <w:rPr>
          <w:rFonts w:hint="eastAsia" w:ascii="仿宋_GB2312" w:hAnsi="Times New Roman" w:eastAsia="仿宋_GB2312"/>
          <w:color w:val="auto"/>
          <w:kern w:val="0"/>
          <w:sz w:val="24"/>
          <w:szCs w:val="24"/>
          <w:highlight w:val="none"/>
        </w:rPr>
        <w:t>（3）结合已绘制的精准矢量数据和勘界报告，根据《集中式饮用水水源地规范化建设环境保护技术要求》（HJ773-2015）、《饮用水水源保护区标志技术要求》（HJ/T 433-2008）等文件，开展饮用水水源保护区定标立标工作，进一步完善县级以上饮用水水源保护区界标、交通警示牌、宣传牌等设施建设。</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eastAsia="仿宋_GB2312"/>
          <w:color w:val="auto"/>
          <w:sz w:val="24"/>
          <w:szCs w:val="24"/>
          <w:highlight w:val="none"/>
          <w:shd w:val="clear" w:color="auto" w:fill="FFFFFF"/>
        </w:rPr>
      </w:pPr>
      <w:r>
        <w:rPr>
          <w:rFonts w:hint="eastAsia" w:ascii="仿宋_GB2312" w:eastAsia="仿宋_GB2312"/>
          <w:color w:val="auto"/>
          <w:sz w:val="24"/>
          <w:szCs w:val="24"/>
          <w:highlight w:val="none"/>
          <w:shd w:val="clear" w:color="auto" w:fill="FFFFFF"/>
        </w:rPr>
        <w:t xml:space="preserve">3.进度要求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kern w:val="0"/>
          <w:sz w:val="24"/>
          <w:szCs w:val="24"/>
          <w:highlight w:val="none"/>
        </w:rPr>
      </w:pPr>
      <w:r>
        <w:rPr>
          <w:rFonts w:hint="eastAsia" w:ascii="仿宋_GB2312" w:hAnsi="Times New Roman" w:eastAsia="仿宋_GB2312"/>
          <w:color w:val="auto"/>
          <w:kern w:val="0"/>
          <w:sz w:val="24"/>
          <w:szCs w:val="24"/>
          <w:highlight w:val="none"/>
        </w:rPr>
        <w:t>（1）2022年</w:t>
      </w:r>
      <w:r>
        <w:rPr>
          <w:rFonts w:hint="eastAsia" w:ascii="仿宋_GB2312" w:eastAsia="仿宋_GB2312"/>
          <w:color w:val="auto"/>
          <w:kern w:val="0"/>
          <w:sz w:val="24"/>
          <w:szCs w:val="24"/>
          <w:highlight w:val="none"/>
          <w:lang w:val="en-US" w:eastAsia="zh-CN"/>
        </w:rPr>
        <w:t>5</w:t>
      </w:r>
      <w:r>
        <w:rPr>
          <w:rFonts w:hint="eastAsia" w:ascii="仿宋_GB2312" w:hAnsi="Times New Roman" w:eastAsia="仿宋_GB2312"/>
          <w:color w:val="auto"/>
          <w:kern w:val="0"/>
          <w:sz w:val="24"/>
          <w:szCs w:val="24"/>
          <w:highlight w:val="none"/>
        </w:rPr>
        <w:t>月</w:t>
      </w:r>
      <w:r>
        <w:rPr>
          <w:rFonts w:hint="eastAsia" w:ascii="仿宋_GB2312" w:eastAsia="仿宋_GB2312"/>
          <w:color w:val="auto"/>
          <w:kern w:val="0"/>
          <w:sz w:val="24"/>
          <w:szCs w:val="24"/>
          <w:highlight w:val="none"/>
          <w:lang w:val="en-US" w:eastAsia="zh-CN"/>
        </w:rPr>
        <w:t>20</w:t>
      </w:r>
      <w:r>
        <w:rPr>
          <w:rFonts w:hint="eastAsia" w:ascii="仿宋_GB2312" w:hAnsi="Times New Roman" w:eastAsia="仿宋_GB2312"/>
          <w:color w:val="auto"/>
          <w:kern w:val="0"/>
          <w:sz w:val="24"/>
          <w:szCs w:val="24"/>
          <w:highlight w:val="none"/>
        </w:rPr>
        <w:t>前完成水源保护区矢量数据精准化工作；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kern w:val="0"/>
          <w:sz w:val="24"/>
          <w:szCs w:val="24"/>
          <w:highlight w:val="none"/>
        </w:rPr>
      </w:pPr>
      <w:r>
        <w:rPr>
          <w:rFonts w:hint="eastAsia" w:ascii="仿宋_GB2312" w:hAnsi="Times New Roman" w:eastAsia="仿宋_GB2312"/>
          <w:color w:val="auto"/>
          <w:kern w:val="0"/>
          <w:sz w:val="24"/>
          <w:szCs w:val="24"/>
          <w:highlight w:val="none"/>
        </w:rPr>
        <w:t>（2）2022年</w:t>
      </w:r>
      <w:r>
        <w:rPr>
          <w:rFonts w:hint="eastAsia" w:ascii="仿宋_GB2312" w:eastAsia="仿宋_GB2312"/>
          <w:color w:val="auto"/>
          <w:kern w:val="0"/>
          <w:sz w:val="24"/>
          <w:szCs w:val="24"/>
          <w:highlight w:val="none"/>
          <w:lang w:val="en-US" w:eastAsia="zh-CN"/>
        </w:rPr>
        <w:t>6</w:t>
      </w:r>
      <w:r>
        <w:rPr>
          <w:rFonts w:hint="eastAsia" w:ascii="仿宋_GB2312" w:hAnsi="Times New Roman" w:eastAsia="仿宋_GB2312"/>
          <w:color w:val="auto"/>
          <w:kern w:val="0"/>
          <w:sz w:val="24"/>
          <w:szCs w:val="24"/>
          <w:highlight w:val="none"/>
        </w:rPr>
        <w:t>月</w:t>
      </w:r>
      <w:r>
        <w:rPr>
          <w:rFonts w:hint="eastAsia" w:ascii="仿宋_GB2312" w:eastAsia="仿宋_GB2312"/>
          <w:color w:val="auto"/>
          <w:kern w:val="0"/>
          <w:sz w:val="24"/>
          <w:szCs w:val="24"/>
          <w:highlight w:val="none"/>
          <w:lang w:val="en-US" w:eastAsia="zh-CN"/>
        </w:rPr>
        <w:t>5</w:t>
      </w:r>
      <w:r>
        <w:rPr>
          <w:rFonts w:hint="eastAsia" w:ascii="仿宋_GB2312" w:hAnsi="Times New Roman" w:eastAsia="仿宋_GB2312"/>
          <w:color w:val="auto"/>
          <w:kern w:val="0"/>
          <w:sz w:val="24"/>
          <w:szCs w:val="24"/>
          <w:highlight w:val="none"/>
        </w:rPr>
        <w:t>前形成《临安区县级以上集中式饮用水水源保护区勘界定标报告》；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（3）2022年6月底前，完成饮用水水源保护区界标、交通警示牌、宣传牌设置，完成饮用水水源保护区</w:t>
      </w:r>
      <w:r>
        <w:rPr>
          <w:rFonts w:hint="eastAsia" w:ascii="仿宋_GB2312" w:hAnsi="Times New Roman" w:eastAsia="仿宋_GB2312"/>
          <w:color w:val="auto"/>
          <w:kern w:val="0"/>
          <w:sz w:val="24"/>
          <w:szCs w:val="24"/>
          <w:highlight w:val="none"/>
        </w:rPr>
        <w:t>立标</w:t>
      </w:r>
      <w:r>
        <w:rPr>
          <w:rFonts w:hint="eastAsia" w:ascii="仿宋_GB2312" w:hAnsi="Times New Roman" w:eastAsia="仿宋_GB2312"/>
          <w:color w:val="auto"/>
          <w:sz w:val="24"/>
          <w:szCs w:val="24"/>
          <w:highlight w:val="none"/>
        </w:rPr>
        <w:t>定标工作及档案资料整理。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kern w:val="0"/>
          <w:sz w:val="24"/>
          <w:szCs w:val="24"/>
          <w:highlight w:val="none"/>
        </w:rPr>
      </w:pPr>
      <w:r>
        <w:rPr>
          <w:rFonts w:hint="eastAsia" w:ascii="仿宋_GB2312" w:hAnsi="Times New Roman" w:eastAsia="仿宋_GB2312"/>
          <w:color w:val="auto"/>
          <w:kern w:val="0"/>
          <w:sz w:val="24"/>
          <w:szCs w:val="24"/>
          <w:highlight w:val="none"/>
        </w:rPr>
        <w:t>勘界定标总体进度安排</w:t>
      </w:r>
      <w:r>
        <w:rPr>
          <w:rFonts w:hint="eastAsia" w:ascii="仿宋_GB2312" w:hAnsi="Times New Roman" w:eastAsia="仿宋_GB2312"/>
          <w:color w:val="auto"/>
          <w:sz w:val="24"/>
          <w:szCs w:val="24"/>
          <w:highlight w:val="none"/>
        </w:rPr>
        <w:t>与</w:t>
      </w:r>
      <w:r>
        <w:rPr>
          <w:rFonts w:hint="eastAsia" w:ascii="仿宋_GB2312" w:hAnsi="Times New Roman" w:eastAsia="仿宋_GB2312"/>
          <w:color w:val="auto"/>
          <w:kern w:val="0"/>
          <w:sz w:val="24"/>
          <w:szCs w:val="24"/>
          <w:highlight w:val="none"/>
        </w:rPr>
        <w:t>省、市要求时间节点保持同步。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kern w:val="0"/>
          <w:sz w:val="24"/>
          <w:szCs w:val="24"/>
          <w:highlight w:val="none"/>
        </w:rPr>
      </w:pPr>
      <w:r>
        <w:rPr>
          <w:rFonts w:hint="eastAsia" w:ascii="仿宋_GB2312" w:hAnsi="Times New Roman" w:eastAsia="仿宋_GB2312"/>
          <w:color w:val="auto"/>
          <w:kern w:val="0"/>
          <w:sz w:val="24"/>
          <w:szCs w:val="24"/>
          <w:highlight w:val="none"/>
        </w:rPr>
        <w:t>4.提交成果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（1）</w:t>
      </w:r>
      <w:r>
        <w:rPr>
          <w:rFonts w:ascii="仿宋_GB2312" w:hAnsi="Times New Roman" w:eastAsia="仿宋_GB2312"/>
          <w:color w:val="auto"/>
          <w:sz w:val="24"/>
          <w:szCs w:val="24"/>
          <w:highlight w:val="none"/>
        </w:rPr>
        <w:t>《</w:t>
      </w:r>
      <w:r>
        <w:rPr>
          <w:rFonts w:hint="eastAsia" w:ascii="仿宋_GB2312" w:hAnsi="Times New Roman" w:eastAsia="仿宋_GB2312"/>
          <w:color w:val="auto"/>
          <w:sz w:val="24"/>
          <w:szCs w:val="24"/>
          <w:highlight w:val="none"/>
        </w:rPr>
        <w:t>临安</w:t>
      </w:r>
      <w:r>
        <w:rPr>
          <w:rFonts w:ascii="仿宋_GB2312" w:hAnsi="Times New Roman" w:eastAsia="仿宋_GB2312"/>
          <w:color w:val="auto"/>
          <w:sz w:val="24"/>
          <w:szCs w:val="24"/>
          <w:highlight w:val="none"/>
        </w:rPr>
        <w:t>区县级以上集中式饮用水水源保护区勘界定标报告》；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sz w:val="24"/>
          <w:szCs w:val="24"/>
          <w:highlight w:val="none"/>
        </w:rPr>
      </w:pPr>
      <w:r>
        <w:rPr>
          <w:rFonts w:ascii="仿宋_GB2312" w:hAnsi="Times New Roman" w:eastAsia="仿宋_GB2312"/>
          <w:color w:val="auto"/>
          <w:sz w:val="24"/>
          <w:szCs w:val="24"/>
          <w:highlight w:val="none"/>
        </w:rPr>
        <w:t>（</w:t>
      </w:r>
      <w:r>
        <w:rPr>
          <w:rFonts w:hint="eastAsia" w:ascii="仿宋_GB2312" w:hAnsi="Times New Roman" w:eastAsia="仿宋_GB2312"/>
          <w:color w:val="auto"/>
          <w:sz w:val="24"/>
          <w:szCs w:val="24"/>
          <w:highlight w:val="none"/>
        </w:rPr>
        <w:t>2</w:t>
      </w:r>
      <w:r>
        <w:rPr>
          <w:rFonts w:ascii="仿宋_GB2312" w:hAnsi="Times New Roman" w:eastAsia="仿宋_GB2312"/>
          <w:color w:val="auto"/>
          <w:sz w:val="24"/>
          <w:szCs w:val="24"/>
          <w:highlight w:val="none"/>
        </w:rPr>
        <w:t>）</w:t>
      </w:r>
      <w:r>
        <w:rPr>
          <w:rFonts w:hint="eastAsia" w:ascii="仿宋_GB2312" w:hAnsi="Times New Roman" w:eastAsia="仿宋_GB2312"/>
          <w:color w:val="auto"/>
          <w:sz w:val="24"/>
          <w:szCs w:val="24"/>
          <w:highlight w:val="none"/>
        </w:rPr>
        <w:t>临安</w:t>
      </w:r>
      <w:r>
        <w:rPr>
          <w:rFonts w:ascii="仿宋_GB2312" w:hAnsi="Times New Roman" w:eastAsia="仿宋_GB2312"/>
          <w:color w:val="auto"/>
          <w:sz w:val="24"/>
          <w:szCs w:val="24"/>
          <w:highlight w:val="none"/>
        </w:rPr>
        <w:t>区县级以上集中式饮用水水源保护区勘界定标相关矢量数据及图册；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sz w:val="24"/>
          <w:szCs w:val="24"/>
          <w:highlight w:val="none"/>
        </w:rPr>
      </w:pPr>
      <w:r>
        <w:rPr>
          <w:rFonts w:ascii="仿宋_GB2312" w:hAnsi="Times New Roman" w:eastAsia="仿宋_GB2312"/>
          <w:color w:val="auto"/>
          <w:sz w:val="24"/>
          <w:szCs w:val="24"/>
          <w:highlight w:val="none"/>
        </w:rPr>
        <w:t>（</w:t>
      </w:r>
      <w:r>
        <w:rPr>
          <w:rFonts w:hint="eastAsia" w:ascii="仿宋_GB2312" w:hAnsi="Times New Roman" w:eastAsia="仿宋_GB2312"/>
          <w:color w:val="auto"/>
          <w:sz w:val="24"/>
          <w:szCs w:val="24"/>
          <w:highlight w:val="none"/>
        </w:rPr>
        <w:t>3</w:t>
      </w:r>
      <w:r>
        <w:rPr>
          <w:rFonts w:ascii="仿宋_GB2312" w:hAnsi="Times New Roman" w:eastAsia="仿宋_GB2312"/>
          <w:color w:val="auto"/>
          <w:sz w:val="24"/>
          <w:szCs w:val="24"/>
          <w:highlight w:val="none"/>
        </w:rPr>
        <w:t>）</w:t>
      </w:r>
      <w:r>
        <w:rPr>
          <w:rFonts w:hint="eastAsia" w:ascii="仿宋_GB2312" w:hAnsi="Times New Roman" w:eastAsia="仿宋_GB2312"/>
          <w:color w:val="auto"/>
          <w:sz w:val="24"/>
          <w:szCs w:val="24"/>
          <w:highlight w:val="none"/>
        </w:rPr>
        <w:t>临安</w:t>
      </w:r>
      <w:r>
        <w:rPr>
          <w:rFonts w:ascii="仿宋_GB2312" w:hAnsi="Times New Roman" w:eastAsia="仿宋_GB2312"/>
          <w:color w:val="auto"/>
          <w:sz w:val="24"/>
          <w:szCs w:val="24"/>
          <w:highlight w:val="none"/>
        </w:rPr>
        <w:t>区县级以上集中式饮用水水源保护区</w:t>
      </w:r>
      <w:r>
        <w:rPr>
          <w:rFonts w:hint="eastAsia" w:ascii="仿宋_GB2312" w:hAnsi="Times New Roman" w:eastAsia="仿宋_GB2312"/>
          <w:color w:val="auto"/>
          <w:sz w:val="24"/>
          <w:szCs w:val="24"/>
          <w:highlight w:val="none"/>
        </w:rPr>
        <w:t>界标、交通警示牌、宣传牌等标志标识完工验收材料</w:t>
      </w:r>
      <w:r>
        <w:rPr>
          <w:rFonts w:ascii="仿宋_GB2312" w:hAnsi="Times New Roman" w:eastAsia="仿宋_GB2312"/>
          <w:color w:val="auto"/>
          <w:sz w:val="24"/>
          <w:szCs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kern w:val="0"/>
          <w:sz w:val="24"/>
          <w:szCs w:val="24"/>
          <w:highlight w:val="none"/>
        </w:rPr>
      </w:pPr>
      <w:r>
        <w:rPr>
          <w:rFonts w:hint="eastAsia" w:ascii="仿宋_GB2312" w:eastAsia="仿宋_GB2312"/>
          <w:color w:val="auto"/>
          <w:sz w:val="24"/>
          <w:szCs w:val="24"/>
          <w:highlight w:val="none"/>
          <w:shd w:val="clear" w:color="auto" w:fill="FFFFFF"/>
        </w:rPr>
        <w:t>（二）</w:t>
      </w:r>
      <w:r>
        <w:rPr>
          <w:rFonts w:ascii="仿宋_GB2312" w:hAnsi="Times New Roman" w:eastAsia="仿宋_GB2312"/>
          <w:color w:val="auto"/>
          <w:kern w:val="0"/>
          <w:sz w:val="24"/>
          <w:szCs w:val="24"/>
          <w:highlight w:val="none"/>
        </w:rPr>
        <w:t>地表水省控断面所在水体走航排查分析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kern w:val="0"/>
          <w:sz w:val="24"/>
          <w:szCs w:val="24"/>
          <w:highlight w:val="none"/>
        </w:rPr>
      </w:pPr>
      <w:r>
        <w:rPr>
          <w:rFonts w:hint="eastAsia" w:ascii="仿宋_GB2312" w:hAnsi="Times New Roman" w:eastAsia="仿宋_GB2312"/>
          <w:color w:val="auto"/>
          <w:kern w:val="0"/>
          <w:sz w:val="24"/>
          <w:szCs w:val="24"/>
          <w:highlight w:val="none"/>
        </w:rPr>
        <w:t>1．总体要求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利用无人船等设备对省控断面所在水体开展走航分析，弄清问题、成因、对策，落实“四个在哪里”，编制调查分析报告，并制定“一点一策”治理方案。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_GB2312" w:eastAsia="仿宋_GB2312" w:cs="仿宋_GB2312"/>
          <w:color w:val="auto"/>
          <w:sz w:val="24"/>
          <w:szCs w:val="24"/>
          <w:highlight w:val="none"/>
        </w:rPr>
      </w:pPr>
      <w:r>
        <w:rPr>
          <w:rFonts w:hint="eastAsia" w:ascii="仿宋" w:hAnsi="仿宋" w:eastAsia="仿宋"/>
          <w:color w:val="auto"/>
          <w:sz w:val="24"/>
          <w:szCs w:val="24"/>
          <w:highlight w:val="none"/>
        </w:rPr>
        <w:t>2.</w:t>
      </w:r>
      <w:r>
        <w:rPr>
          <w:rFonts w:hint="eastAsia" w:ascii="仿宋_GB2312" w:hAnsi="仿宋_GB2312" w:eastAsia="仿宋_GB2312" w:cs="仿宋_GB2312"/>
          <w:color w:val="auto"/>
          <w:sz w:val="24"/>
          <w:szCs w:val="24"/>
          <w:highlight w:val="none"/>
        </w:rPr>
        <w:t>项目采用的采样无人船相关技术要求</w:t>
      </w:r>
    </w:p>
    <w:p>
      <w:pPr>
        <w:keepNext w:val="0"/>
        <w:keepLines w:val="0"/>
        <w:pageBreakBefore w:val="0"/>
        <w:widowControl w:val="0"/>
        <w:numPr>
          <w:ilvl w:val="0"/>
          <w:numId w:val="5"/>
        </w:numPr>
        <w:kinsoku/>
        <w:wordWrap/>
        <w:overflowPunct/>
        <w:topLinePunct w:val="0"/>
        <w:autoSpaceDE/>
        <w:autoSpaceDN/>
        <w:bidi w:val="0"/>
        <w:snapToGrid w:val="0"/>
        <w:spacing w:line="360" w:lineRule="auto"/>
        <w:ind w:left="0" w:firstLine="567"/>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根据河道现状和调查要求，可实现超密间距的采样，采样间距小于1m。</w:t>
      </w:r>
    </w:p>
    <w:p>
      <w:pPr>
        <w:keepNext w:val="0"/>
        <w:keepLines w:val="0"/>
        <w:pageBreakBefore w:val="0"/>
        <w:widowControl w:val="0"/>
        <w:numPr>
          <w:ilvl w:val="0"/>
          <w:numId w:val="5"/>
        </w:numPr>
        <w:kinsoku/>
        <w:wordWrap/>
        <w:overflowPunct/>
        <w:topLinePunct w:val="0"/>
        <w:autoSpaceDE/>
        <w:autoSpaceDN/>
        <w:bidi w:val="0"/>
        <w:snapToGrid w:val="0"/>
        <w:spacing w:line="360" w:lineRule="auto"/>
        <w:ind w:left="0" w:firstLine="567"/>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采样快速高效。一次巡航可采样20个及以上，最高航速可达5m/s，减少水体流动对水质的干扰。</w:t>
      </w:r>
    </w:p>
    <w:p>
      <w:pPr>
        <w:keepNext w:val="0"/>
        <w:keepLines w:val="0"/>
        <w:pageBreakBefore w:val="0"/>
        <w:widowControl w:val="0"/>
        <w:numPr>
          <w:ilvl w:val="0"/>
          <w:numId w:val="5"/>
        </w:numPr>
        <w:kinsoku/>
        <w:wordWrap/>
        <w:overflowPunct/>
        <w:topLinePunct w:val="0"/>
        <w:autoSpaceDE/>
        <w:autoSpaceDN/>
        <w:bidi w:val="0"/>
        <w:snapToGrid w:val="0"/>
        <w:spacing w:line="360" w:lineRule="auto"/>
        <w:ind w:left="0" w:firstLine="567"/>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采集的水样可重复检测。无人船采集水样后可返回出发点，后期可对数据明细偏离的水样，进行复检复核，确保水质数据的准确性。</w:t>
      </w:r>
    </w:p>
    <w:p>
      <w:pPr>
        <w:keepNext w:val="0"/>
        <w:keepLines w:val="0"/>
        <w:pageBreakBefore w:val="0"/>
        <w:widowControl w:val="0"/>
        <w:numPr>
          <w:ilvl w:val="0"/>
          <w:numId w:val="5"/>
        </w:numPr>
        <w:kinsoku/>
        <w:wordWrap/>
        <w:overflowPunct/>
        <w:topLinePunct w:val="0"/>
        <w:autoSpaceDE/>
        <w:autoSpaceDN/>
        <w:bidi w:val="0"/>
        <w:snapToGrid w:val="0"/>
        <w:spacing w:line="360" w:lineRule="auto"/>
        <w:ind w:left="0" w:firstLine="567"/>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高精度定位。采样同步记录位置信息，采用高精度定位技术，精度达到0.01m。</w:t>
      </w:r>
    </w:p>
    <w:p>
      <w:pPr>
        <w:keepNext w:val="0"/>
        <w:keepLines w:val="0"/>
        <w:pageBreakBefore w:val="0"/>
        <w:widowControl w:val="0"/>
        <w:numPr>
          <w:ilvl w:val="0"/>
          <w:numId w:val="5"/>
        </w:numPr>
        <w:kinsoku/>
        <w:wordWrap/>
        <w:overflowPunct/>
        <w:topLinePunct w:val="0"/>
        <w:autoSpaceDE/>
        <w:autoSpaceDN/>
        <w:bidi w:val="0"/>
        <w:snapToGrid w:val="0"/>
        <w:spacing w:line="360" w:lineRule="auto"/>
        <w:ind w:left="0" w:firstLine="567"/>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水深测量。可采用水下声纳记录水深信息，最大探测深度1</w:t>
      </w:r>
      <w:r>
        <w:rPr>
          <w:rFonts w:ascii="仿宋_GB2312" w:hAnsi="仿宋_GB2312" w:eastAsia="仿宋_GB2312" w:cs="仿宋_GB2312"/>
          <w:color w:val="auto"/>
          <w:sz w:val="24"/>
          <w:szCs w:val="24"/>
          <w:highlight w:val="none"/>
        </w:rPr>
        <w:t>00</w:t>
      </w:r>
      <w:r>
        <w:rPr>
          <w:rFonts w:hint="eastAsia" w:ascii="仿宋_GB2312" w:hAnsi="仿宋_GB2312" w:eastAsia="仿宋_GB2312" w:cs="仿宋_GB2312"/>
          <w:color w:val="auto"/>
          <w:sz w:val="24"/>
          <w:szCs w:val="24"/>
          <w:highlight w:val="none"/>
        </w:rPr>
        <w:t>米，误差不大于1</w:t>
      </w:r>
      <w:r>
        <w:rPr>
          <w:rFonts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t>。</w:t>
      </w:r>
    </w:p>
    <w:p>
      <w:pPr>
        <w:keepNext w:val="0"/>
        <w:keepLines w:val="0"/>
        <w:pageBreakBefore w:val="0"/>
        <w:widowControl w:val="0"/>
        <w:numPr>
          <w:ilvl w:val="0"/>
          <w:numId w:val="5"/>
        </w:numPr>
        <w:kinsoku/>
        <w:wordWrap/>
        <w:overflowPunct/>
        <w:topLinePunct w:val="0"/>
        <w:autoSpaceDE/>
        <w:autoSpaceDN/>
        <w:bidi w:val="0"/>
        <w:snapToGrid w:val="0"/>
        <w:spacing w:line="360" w:lineRule="auto"/>
        <w:ind w:left="0" w:firstLine="567"/>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可实现水底实时视频观测。配备水下高清摄像头（IP68防护等级、分辨率不低于1200W）和视频传输存储功能。</w:t>
      </w:r>
    </w:p>
    <w:p>
      <w:pPr>
        <w:keepNext w:val="0"/>
        <w:keepLines w:val="0"/>
        <w:pageBreakBefore w:val="0"/>
        <w:widowControl w:val="0"/>
        <w:numPr>
          <w:ilvl w:val="0"/>
          <w:numId w:val="5"/>
        </w:numPr>
        <w:kinsoku/>
        <w:wordWrap/>
        <w:overflowPunct/>
        <w:topLinePunct w:val="0"/>
        <w:autoSpaceDE/>
        <w:autoSpaceDN/>
        <w:bidi w:val="0"/>
        <w:snapToGrid w:val="0"/>
        <w:spacing w:line="360" w:lineRule="auto"/>
        <w:ind w:left="0" w:firstLine="567"/>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便携性。无人船总重量小于100kg。</w:t>
      </w:r>
    </w:p>
    <w:p>
      <w:pPr>
        <w:keepNext w:val="0"/>
        <w:keepLines w:val="0"/>
        <w:pageBreakBefore w:val="0"/>
        <w:widowControl w:val="0"/>
        <w:numPr>
          <w:ilvl w:val="0"/>
          <w:numId w:val="5"/>
        </w:numPr>
        <w:kinsoku/>
        <w:wordWrap/>
        <w:overflowPunct/>
        <w:topLinePunct w:val="0"/>
        <w:autoSpaceDE/>
        <w:autoSpaceDN/>
        <w:bidi w:val="0"/>
        <w:snapToGrid w:val="0"/>
        <w:spacing w:line="360" w:lineRule="auto"/>
        <w:ind w:left="0" w:firstLine="567"/>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使用环境条件。无人船可在河流流速小于3m</w:t>
      </w:r>
      <w:r>
        <w:rPr>
          <w:rFonts w:ascii="仿宋_GB2312" w:hAnsi="仿宋_GB2312" w:eastAsia="仿宋_GB2312" w:cs="仿宋_GB2312"/>
          <w:color w:val="auto"/>
          <w:sz w:val="24"/>
          <w:szCs w:val="24"/>
          <w:highlight w:val="none"/>
        </w:rPr>
        <w:t>/s</w:t>
      </w:r>
      <w:r>
        <w:rPr>
          <w:rFonts w:hint="eastAsia" w:ascii="仿宋_GB2312" w:hAnsi="仿宋_GB2312" w:eastAsia="仿宋_GB2312" w:cs="仿宋_GB2312"/>
          <w:color w:val="auto"/>
          <w:sz w:val="24"/>
          <w:szCs w:val="24"/>
          <w:highlight w:val="none"/>
        </w:rPr>
        <w:t>，五级以下风速的环境中使用。</w:t>
      </w:r>
    </w:p>
    <w:p>
      <w:pPr>
        <w:keepNext w:val="0"/>
        <w:keepLines w:val="0"/>
        <w:pageBreakBefore w:val="0"/>
        <w:widowControl w:val="0"/>
        <w:numPr>
          <w:ilvl w:val="0"/>
          <w:numId w:val="5"/>
        </w:numPr>
        <w:kinsoku/>
        <w:wordWrap/>
        <w:overflowPunct/>
        <w:topLinePunct w:val="0"/>
        <w:autoSpaceDE/>
        <w:autoSpaceDN/>
        <w:bidi w:val="0"/>
        <w:snapToGrid w:val="0"/>
        <w:spacing w:line="360" w:lineRule="auto"/>
        <w:ind w:left="0" w:firstLine="567"/>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自动循迹导航功能。在电子地图上指定采样点位，无人船可自动航行到每个采样点，自动完成采样，并同步记录水下视频和水深信息。采样完成后，自动返回出发点。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eastAsia="仿宋_GB2312"/>
          <w:color w:val="auto"/>
          <w:sz w:val="24"/>
          <w:szCs w:val="24"/>
          <w:highlight w:val="none"/>
          <w:shd w:val="clear" w:color="auto" w:fill="FFFFFF"/>
        </w:rPr>
      </w:pPr>
      <w:r>
        <w:rPr>
          <w:rFonts w:hint="eastAsia" w:ascii="仿宋_GB2312" w:eastAsia="仿宋_GB2312"/>
          <w:color w:val="auto"/>
          <w:sz w:val="24"/>
          <w:szCs w:val="24"/>
          <w:highlight w:val="none"/>
          <w:shd w:val="clear" w:color="auto" w:fill="FFFFFF"/>
        </w:rPr>
        <w:t xml:space="preserve">3.进度要求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ascii="仿宋_GB2312" w:hAnsi="仿宋_GB2312" w:eastAsia="仿宋_GB2312" w:cs="仿宋_GB2312"/>
          <w:color w:val="auto"/>
          <w:sz w:val="24"/>
          <w:szCs w:val="24"/>
          <w:highlight w:val="none"/>
        </w:rPr>
        <w:t>2022年</w:t>
      </w:r>
      <w:r>
        <w:rPr>
          <w:rFonts w:hint="eastAsia" w:ascii="仿宋_GB2312" w:hAnsi="仿宋_GB2312" w:eastAsia="仿宋_GB2312" w:cs="仿宋_GB2312"/>
          <w:color w:val="auto"/>
          <w:sz w:val="24"/>
          <w:szCs w:val="24"/>
          <w:highlight w:val="none"/>
          <w:lang w:val="en-US" w:eastAsia="zh-CN"/>
        </w:rPr>
        <w:t>5</w:t>
      </w:r>
      <w:r>
        <w:rPr>
          <w:rFonts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20日</w:t>
      </w:r>
      <w:r>
        <w:rPr>
          <w:rFonts w:ascii="仿宋_GB2312" w:hAnsi="仿宋_GB2312" w:eastAsia="仿宋_GB2312" w:cs="仿宋_GB2312"/>
          <w:color w:val="auto"/>
          <w:sz w:val="24"/>
          <w:szCs w:val="24"/>
          <w:highlight w:val="none"/>
        </w:rPr>
        <w:t xml:space="preserve">前，完成现场走航；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ascii="仿宋_GB2312" w:hAnsi="仿宋_GB2312" w:eastAsia="仿宋_GB2312" w:cs="仿宋_GB2312"/>
          <w:color w:val="auto"/>
          <w:sz w:val="24"/>
          <w:szCs w:val="24"/>
          <w:highlight w:val="none"/>
        </w:rPr>
        <w:t>2022年</w:t>
      </w:r>
      <w:r>
        <w:rPr>
          <w:rFonts w:hint="eastAsia" w:ascii="仿宋_GB2312" w:hAnsi="仿宋_GB2312" w:eastAsia="仿宋_GB2312" w:cs="仿宋_GB2312"/>
          <w:color w:val="auto"/>
          <w:sz w:val="24"/>
          <w:szCs w:val="24"/>
          <w:highlight w:val="none"/>
          <w:lang w:val="en-US" w:eastAsia="zh-CN"/>
        </w:rPr>
        <w:t>6</w:t>
      </w:r>
      <w:r>
        <w:rPr>
          <w:rFonts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10日前</w:t>
      </w:r>
      <w:r>
        <w:rPr>
          <w:rFonts w:ascii="仿宋_GB2312" w:hAnsi="仿宋_GB2312" w:eastAsia="仿宋_GB2312" w:cs="仿宋_GB2312"/>
          <w:color w:val="auto"/>
          <w:sz w:val="24"/>
          <w:szCs w:val="24"/>
          <w:highlight w:val="none"/>
        </w:rPr>
        <w:t>，提交走航排查分析排查报告和“一点一策”治理方案初稿，进行专家论证；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ascii="仿宋_GB2312" w:hAnsi="仿宋_GB2312" w:eastAsia="仿宋_GB2312" w:cs="仿宋_GB2312"/>
          <w:color w:val="auto"/>
          <w:sz w:val="24"/>
          <w:szCs w:val="24"/>
          <w:highlight w:val="none"/>
        </w:rPr>
        <w:t>2022年6月</w:t>
      </w:r>
      <w:r>
        <w:rPr>
          <w:rFonts w:hint="eastAsia" w:ascii="仿宋_GB2312" w:hAnsi="仿宋_GB2312" w:eastAsia="仿宋_GB2312" w:cs="仿宋_GB2312"/>
          <w:color w:val="auto"/>
          <w:sz w:val="24"/>
          <w:szCs w:val="24"/>
          <w:highlight w:val="none"/>
        </w:rPr>
        <w:t>底</w:t>
      </w:r>
      <w:r>
        <w:rPr>
          <w:rFonts w:ascii="仿宋_GB2312" w:hAnsi="仿宋_GB2312" w:eastAsia="仿宋_GB2312" w:cs="仿宋_GB2312"/>
          <w:color w:val="auto"/>
          <w:sz w:val="24"/>
          <w:szCs w:val="24"/>
          <w:highlight w:val="none"/>
        </w:rPr>
        <w:t>，提交成果最终稿。</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kern w:val="0"/>
          <w:sz w:val="24"/>
          <w:szCs w:val="24"/>
          <w:highlight w:val="none"/>
        </w:rPr>
      </w:pPr>
      <w:r>
        <w:rPr>
          <w:rFonts w:hint="eastAsia" w:ascii="仿宋_GB2312" w:hAnsi="Times New Roman" w:eastAsia="仿宋_GB2312"/>
          <w:color w:val="auto"/>
          <w:kern w:val="0"/>
          <w:sz w:val="24"/>
          <w:szCs w:val="24"/>
          <w:highlight w:val="none"/>
        </w:rPr>
        <w:t>4.提交成果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kern w:val="0"/>
          <w:sz w:val="24"/>
          <w:szCs w:val="24"/>
          <w:highlight w:val="none"/>
        </w:rPr>
      </w:pPr>
      <w:r>
        <w:rPr>
          <w:rFonts w:hint="eastAsia" w:ascii="仿宋_GB2312" w:hAnsi="Times New Roman" w:eastAsia="仿宋_GB2312"/>
          <w:color w:val="auto"/>
          <w:kern w:val="0"/>
          <w:sz w:val="24"/>
          <w:szCs w:val="24"/>
          <w:highlight w:val="none"/>
        </w:rPr>
        <w:t>（</w:t>
      </w:r>
      <w:r>
        <w:rPr>
          <w:rFonts w:ascii="仿宋_GB2312" w:hAnsi="Times New Roman" w:eastAsia="仿宋_GB2312"/>
          <w:color w:val="auto"/>
          <w:kern w:val="0"/>
          <w:sz w:val="24"/>
          <w:szCs w:val="24"/>
          <w:highlight w:val="none"/>
        </w:rPr>
        <w:t>1）《省控断面所在水体走航排查分析报告》、《省控断面所在水体“一点一策”治理方案》文本/电子版；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Times New Roman" w:eastAsia="仿宋_GB2312"/>
          <w:color w:val="auto"/>
          <w:kern w:val="0"/>
          <w:sz w:val="24"/>
          <w:szCs w:val="24"/>
          <w:highlight w:val="none"/>
        </w:rPr>
      </w:pPr>
      <w:r>
        <w:rPr>
          <w:rFonts w:hint="eastAsia" w:ascii="仿宋_GB2312" w:hAnsi="Times New Roman" w:eastAsia="仿宋_GB2312"/>
          <w:color w:val="auto"/>
          <w:kern w:val="0"/>
          <w:sz w:val="24"/>
          <w:szCs w:val="24"/>
          <w:highlight w:val="none"/>
        </w:rPr>
        <w:t>（</w:t>
      </w:r>
      <w:r>
        <w:rPr>
          <w:rFonts w:ascii="仿宋_GB2312" w:hAnsi="Times New Roman" w:eastAsia="仿宋_GB2312"/>
          <w:color w:val="auto"/>
          <w:kern w:val="0"/>
          <w:sz w:val="24"/>
          <w:szCs w:val="24"/>
          <w:highlight w:val="none"/>
        </w:rPr>
        <w:t>2）相关数据、图件集成文本/电子版（数据格式符合甲方指定要求）。</w:t>
      </w:r>
    </w:p>
    <w:p>
      <w:pPr>
        <w:pStyle w:val="49"/>
        <w:keepNext w:val="0"/>
        <w:keepLines w:val="0"/>
        <w:pageBreakBefore w:val="0"/>
        <w:widowControl w:val="0"/>
        <w:numPr>
          <w:ilvl w:val="0"/>
          <w:numId w:val="0"/>
        </w:numPr>
        <w:kinsoku/>
        <w:wordWrap/>
        <w:overflowPunct/>
        <w:topLinePunct w:val="0"/>
        <w:autoSpaceDE/>
        <w:autoSpaceDN/>
        <w:bidi w:val="0"/>
        <w:adjustRightInd/>
        <w:spacing w:before="120" w:after="120" w:line="360" w:lineRule="auto"/>
        <w:contextualSpacing/>
        <w:jc w:val="left"/>
        <w:textAlignment w:val="auto"/>
        <w:outlineLvl w:val="0"/>
        <w:rPr>
          <w:rFonts w:hint="eastAsia" w:ascii="仿宋_GB2312" w:hAnsi="Times New Roman" w:eastAsia="仿宋_GB2312" w:cs="Times New Roman"/>
          <w:b/>
          <w:bCs/>
          <w:color w:val="auto"/>
          <w:kern w:val="2"/>
          <w:sz w:val="24"/>
          <w:szCs w:val="24"/>
          <w:highlight w:val="none"/>
          <w:lang w:val="en-US" w:eastAsia="zh-Hans" w:bidi="ar-SA"/>
        </w:rPr>
      </w:pPr>
      <w:r>
        <w:rPr>
          <w:rFonts w:hint="eastAsia" w:ascii="仿宋_GB2312" w:hAnsi="Times New Roman" w:eastAsia="仿宋_GB2312" w:cs="Times New Roman"/>
          <w:b/>
          <w:bCs/>
          <w:color w:val="auto"/>
          <w:kern w:val="2"/>
          <w:sz w:val="24"/>
          <w:szCs w:val="24"/>
          <w:highlight w:val="none"/>
          <w:lang w:val="en-US" w:eastAsia="zh-CN" w:bidi="ar-SA"/>
        </w:rPr>
        <w:t>三、</w:t>
      </w:r>
      <w:r>
        <w:rPr>
          <w:rFonts w:hint="eastAsia" w:ascii="仿宋_GB2312" w:hAnsi="Times New Roman" w:eastAsia="仿宋_GB2312" w:cs="Times New Roman"/>
          <w:b/>
          <w:bCs/>
          <w:color w:val="auto"/>
          <w:kern w:val="2"/>
          <w:sz w:val="24"/>
          <w:szCs w:val="24"/>
          <w:highlight w:val="none"/>
          <w:lang w:val="en-US" w:eastAsia="zh-Hans" w:bidi="ar-SA"/>
        </w:rPr>
        <w:t>验收方式</w:t>
      </w:r>
    </w:p>
    <w:p>
      <w:pPr>
        <w:pStyle w:val="49"/>
        <w:keepNext w:val="0"/>
        <w:keepLines w:val="0"/>
        <w:pageBreakBefore w:val="0"/>
        <w:widowControl w:val="0"/>
        <w:numPr>
          <w:ilvl w:val="0"/>
          <w:numId w:val="0"/>
        </w:numPr>
        <w:kinsoku/>
        <w:wordWrap/>
        <w:overflowPunct/>
        <w:topLinePunct w:val="0"/>
        <w:autoSpaceDE/>
        <w:autoSpaceDN/>
        <w:bidi w:val="0"/>
        <w:adjustRightInd/>
        <w:spacing w:before="120" w:after="120" w:line="360" w:lineRule="auto"/>
        <w:ind w:leftChars="0" w:firstLine="240" w:firstLineChars="100"/>
        <w:contextualSpacing/>
        <w:jc w:val="left"/>
        <w:textAlignment w:val="auto"/>
        <w:outlineLvl w:val="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省里质量评估为良好以上或者通过为准（如需专家评审由中标单位组织并承担相关费用）。</w:t>
      </w:r>
    </w:p>
    <w:p>
      <w:pPr>
        <w:pStyle w:val="49"/>
        <w:keepNext w:val="0"/>
        <w:keepLines w:val="0"/>
        <w:pageBreakBefore w:val="0"/>
        <w:widowControl w:val="0"/>
        <w:numPr>
          <w:ilvl w:val="0"/>
          <w:numId w:val="0"/>
        </w:numPr>
        <w:kinsoku/>
        <w:wordWrap/>
        <w:overflowPunct/>
        <w:topLinePunct w:val="0"/>
        <w:autoSpaceDE/>
        <w:autoSpaceDN/>
        <w:bidi w:val="0"/>
        <w:adjustRightInd/>
        <w:spacing w:before="120" w:after="120" w:line="360" w:lineRule="auto"/>
        <w:contextualSpacing/>
        <w:jc w:val="left"/>
        <w:textAlignment w:val="auto"/>
        <w:outlineLvl w:val="0"/>
        <w:rPr>
          <w:rFonts w:hint="eastAsia" w:ascii="仿宋_GB2312" w:hAnsi="Times New Roman" w:eastAsia="仿宋_GB2312" w:cs="Times New Roman"/>
          <w:b/>
          <w:bCs/>
          <w:color w:val="auto"/>
          <w:kern w:val="2"/>
          <w:sz w:val="24"/>
          <w:szCs w:val="24"/>
          <w:highlight w:val="none"/>
          <w:lang w:val="en-US" w:eastAsia="zh-CN" w:bidi="ar-SA"/>
        </w:rPr>
      </w:pPr>
      <w:r>
        <w:rPr>
          <w:rFonts w:hint="eastAsia" w:ascii="仿宋_GB2312" w:hAnsi="Times New Roman" w:eastAsia="仿宋_GB2312" w:cs="Times New Roman"/>
          <w:b/>
          <w:bCs/>
          <w:color w:val="auto"/>
          <w:kern w:val="2"/>
          <w:sz w:val="24"/>
          <w:szCs w:val="24"/>
          <w:highlight w:val="none"/>
          <w:lang w:val="en-US" w:eastAsia="zh-CN" w:bidi="ar-SA"/>
        </w:rPr>
        <w:t>四、合同履约期</w:t>
      </w:r>
    </w:p>
    <w:p>
      <w:pPr>
        <w:pStyle w:val="50"/>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0" w:firstLineChars="200"/>
        <w:contextualSpacing/>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合同签订至2022年12月31日止。</w:t>
      </w:r>
    </w:p>
    <w:p>
      <w:pPr>
        <w:pStyle w:val="49"/>
        <w:keepNext w:val="0"/>
        <w:keepLines w:val="0"/>
        <w:pageBreakBefore w:val="0"/>
        <w:widowControl w:val="0"/>
        <w:numPr>
          <w:ilvl w:val="0"/>
          <w:numId w:val="0"/>
        </w:numPr>
        <w:kinsoku/>
        <w:wordWrap/>
        <w:overflowPunct/>
        <w:topLinePunct w:val="0"/>
        <w:autoSpaceDE/>
        <w:autoSpaceDN/>
        <w:bidi w:val="0"/>
        <w:adjustRightInd/>
        <w:spacing w:before="120" w:after="120" w:line="360" w:lineRule="auto"/>
        <w:contextualSpacing/>
        <w:jc w:val="left"/>
        <w:textAlignment w:val="auto"/>
        <w:outlineLvl w:val="0"/>
        <w:rPr>
          <w:rFonts w:hint="eastAsia" w:ascii="仿宋_GB2312" w:hAnsi="Times New Roman" w:eastAsia="仿宋_GB2312" w:cs="Times New Roman"/>
          <w:b/>
          <w:bCs/>
          <w:color w:val="auto"/>
          <w:kern w:val="2"/>
          <w:sz w:val="24"/>
          <w:szCs w:val="24"/>
          <w:highlight w:val="none"/>
          <w:lang w:val="en-US" w:eastAsia="zh-CN" w:bidi="ar-SA"/>
        </w:rPr>
      </w:pPr>
      <w:r>
        <w:rPr>
          <w:rFonts w:hint="eastAsia" w:ascii="仿宋_GB2312" w:hAnsi="Times New Roman" w:eastAsia="仿宋_GB2312" w:cs="Times New Roman"/>
          <w:b/>
          <w:bCs/>
          <w:color w:val="auto"/>
          <w:kern w:val="2"/>
          <w:sz w:val="24"/>
          <w:szCs w:val="24"/>
          <w:highlight w:val="none"/>
          <w:lang w:val="en-US" w:eastAsia="zh-CN" w:bidi="ar-SA"/>
        </w:rPr>
        <w:t>五、费用支付方式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1.合同签定后10日内，支付首期经费：合同总金额的50%；</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2.完成成果并通过专家论证后10日内，支付第二笔经费：合同总金额的30%；</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3.省里质量评估结果为良好以上的后10日内，支付剩余经费：合同总金额的20%。</w:t>
      </w:r>
    </w:p>
    <w:p>
      <w:pPr>
        <w:pStyle w:val="49"/>
        <w:keepNext w:val="0"/>
        <w:keepLines w:val="0"/>
        <w:pageBreakBefore w:val="0"/>
        <w:widowControl w:val="0"/>
        <w:numPr>
          <w:ilvl w:val="0"/>
          <w:numId w:val="0"/>
        </w:numPr>
        <w:kinsoku/>
        <w:wordWrap/>
        <w:overflowPunct/>
        <w:topLinePunct w:val="0"/>
        <w:autoSpaceDE/>
        <w:autoSpaceDN/>
        <w:bidi w:val="0"/>
        <w:adjustRightInd/>
        <w:spacing w:before="120" w:after="120" w:line="360" w:lineRule="auto"/>
        <w:contextualSpacing/>
        <w:jc w:val="left"/>
        <w:textAlignment w:val="auto"/>
        <w:outlineLvl w:val="0"/>
        <w:rPr>
          <w:rFonts w:hint="default" w:ascii="仿宋_GB2312" w:hAnsi="Times New Roman" w:eastAsia="仿宋_GB2312" w:cs="Times New Roman"/>
          <w:b/>
          <w:bCs/>
          <w:color w:val="auto"/>
          <w:kern w:val="2"/>
          <w:sz w:val="24"/>
          <w:szCs w:val="24"/>
          <w:highlight w:val="none"/>
          <w:lang w:val="en-US" w:eastAsia="zh-CN" w:bidi="ar-SA"/>
        </w:rPr>
      </w:pPr>
      <w:r>
        <w:rPr>
          <w:rFonts w:hint="eastAsia" w:ascii="仿宋_GB2312" w:hAnsi="Times New Roman" w:eastAsia="仿宋_GB2312" w:cs="Times New Roman"/>
          <w:b/>
          <w:bCs/>
          <w:color w:val="auto"/>
          <w:kern w:val="2"/>
          <w:sz w:val="24"/>
          <w:szCs w:val="24"/>
          <w:highlight w:val="none"/>
          <w:lang w:val="en-US" w:eastAsia="zh-CN" w:bidi="ar-SA"/>
        </w:rPr>
        <w:t>六、合同签订</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1.成交供应商须在中标后三十天内和采购人签订合同。</w:t>
      </w:r>
    </w:p>
    <w:p>
      <w:pPr>
        <w:pStyle w:val="49"/>
        <w:keepNext w:val="0"/>
        <w:keepLines w:val="0"/>
        <w:pageBreakBefore w:val="0"/>
        <w:widowControl w:val="0"/>
        <w:numPr>
          <w:ilvl w:val="0"/>
          <w:numId w:val="0"/>
        </w:numPr>
        <w:kinsoku/>
        <w:wordWrap/>
        <w:overflowPunct/>
        <w:topLinePunct w:val="0"/>
        <w:autoSpaceDE/>
        <w:autoSpaceDN/>
        <w:bidi w:val="0"/>
        <w:adjustRightInd/>
        <w:spacing w:before="120" w:after="120" w:line="360" w:lineRule="auto"/>
        <w:ind w:leftChars="0" w:firstLine="480" w:firstLineChars="200"/>
        <w:contextualSpacing/>
        <w:jc w:val="left"/>
        <w:textAlignment w:val="auto"/>
        <w:outlineLvl w:val="0"/>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2.如成交供应商拒绝承担中标的项目，或提出采购人不能接受的条件，致使合同无法签订，采购人将对其失信行为上报至同级政府采购监督管理部门对其依法处理。</w:t>
      </w:r>
    </w:p>
    <w:p>
      <w:pPr>
        <w:adjustRightInd/>
        <w:spacing w:line="360" w:lineRule="auto"/>
        <w:jc w:val="center"/>
        <w:rPr>
          <w:rFonts w:hint="eastAsia" w:ascii="仿宋" w:hAnsi="仿宋" w:eastAsia="仿宋" w:cs="仿宋_GB2312"/>
          <w:b/>
          <w:color w:val="auto"/>
          <w:sz w:val="36"/>
          <w:szCs w:val="36"/>
          <w:highlight w:val="none"/>
        </w:rPr>
      </w:pPr>
    </w:p>
    <w:p>
      <w:pPr>
        <w:adjustRightInd/>
        <w:spacing w:line="360" w:lineRule="auto"/>
        <w:jc w:val="center"/>
        <w:rPr>
          <w:rFonts w:hint="eastAsia" w:ascii="仿宋" w:hAnsi="仿宋" w:eastAsia="仿宋" w:cs="仿宋_GB2312"/>
          <w:b/>
          <w:color w:val="auto"/>
          <w:sz w:val="36"/>
          <w:szCs w:val="36"/>
          <w:highlight w:val="none"/>
        </w:rPr>
      </w:pPr>
    </w:p>
    <w:p>
      <w:pPr>
        <w:pStyle w:val="16"/>
        <w:rPr>
          <w:rFonts w:hint="eastAsia" w:ascii="仿宋" w:hAnsi="仿宋" w:eastAsia="仿宋" w:cs="仿宋_GB2312"/>
          <w:b/>
          <w:color w:val="auto"/>
          <w:sz w:val="36"/>
          <w:szCs w:val="36"/>
          <w:highlight w:val="none"/>
        </w:rPr>
      </w:pPr>
    </w:p>
    <w:p>
      <w:pPr>
        <w:rPr>
          <w:rFonts w:hint="eastAsia"/>
          <w:color w:val="auto"/>
          <w:highlight w:val="none"/>
        </w:rPr>
      </w:pPr>
    </w:p>
    <w:p>
      <w:pPr>
        <w:adjustRightInd/>
        <w:spacing w:line="360" w:lineRule="auto"/>
        <w:jc w:val="center"/>
        <w:rPr>
          <w:rFonts w:hint="eastAsia" w:ascii="仿宋" w:hAnsi="仿宋" w:eastAsia="仿宋" w:cs="仿宋_GB2312"/>
          <w:b/>
          <w:color w:val="auto"/>
          <w:sz w:val="36"/>
          <w:szCs w:val="36"/>
          <w:highlight w:val="none"/>
        </w:rPr>
      </w:pPr>
    </w:p>
    <w:p>
      <w:pPr>
        <w:adjustRightInd/>
        <w:spacing w:line="360" w:lineRule="auto"/>
        <w:jc w:val="center"/>
        <w:rPr>
          <w:rFonts w:hint="eastAsia" w:ascii="仿宋" w:hAnsi="仿宋" w:eastAsia="仿宋" w:cs="仿宋_GB2312"/>
          <w:b/>
          <w:color w:val="auto"/>
          <w:sz w:val="36"/>
          <w:szCs w:val="36"/>
          <w:highlight w:val="none"/>
        </w:rPr>
      </w:pPr>
    </w:p>
    <w:p>
      <w:pPr>
        <w:adjustRightInd/>
        <w:spacing w:line="360" w:lineRule="auto"/>
        <w:jc w:val="center"/>
        <w:rPr>
          <w:rFonts w:hint="eastAsia" w:ascii="仿宋" w:hAnsi="仿宋" w:eastAsia="仿宋" w:cs="仿宋_GB2312"/>
          <w:b/>
          <w:color w:val="auto"/>
          <w:sz w:val="36"/>
          <w:szCs w:val="36"/>
          <w:highlight w:val="none"/>
        </w:rPr>
      </w:pPr>
    </w:p>
    <w:p>
      <w:pPr>
        <w:adjustRightInd/>
        <w:spacing w:line="360" w:lineRule="auto"/>
        <w:jc w:val="both"/>
        <w:rPr>
          <w:rFonts w:hint="eastAsia" w:ascii="仿宋" w:hAnsi="仿宋" w:eastAsia="仿宋" w:cs="仿宋_GB2312"/>
          <w:b/>
          <w:color w:val="auto"/>
          <w:sz w:val="36"/>
          <w:szCs w:val="36"/>
          <w:highlight w:val="none"/>
        </w:rPr>
      </w:pPr>
    </w:p>
    <w:p>
      <w:pPr>
        <w:adjustRightInd/>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第四部分   </w:t>
      </w:r>
      <w:bookmarkStart w:id="12" w:name="_Toc184310289"/>
      <w:bookmarkEnd w:id="12"/>
      <w:bookmarkStart w:id="13" w:name="_Toc184314432"/>
      <w:bookmarkEnd w:id="13"/>
      <w:bookmarkStart w:id="14" w:name="_Toc184312106"/>
      <w:bookmarkEnd w:id="14"/>
      <w:bookmarkStart w:id="15" w:name="_Toc184314435"/>
      <w:bookmarkEnd w:id="15"/>
      <w:bookmarkStart w:id="16" w:name="_Toc184308051"/>
      <w:bookmarkEnd w:id="16"/>
      <w:bookmarkStart w:id="17" w:name="_Toc184308081"/>
      <w:bookmarkEnd w:id="17"/>
      <w:bookmarkStart w:id="18" w:name="_Toc184308065"/>
      <w:bookmarkEnd w:id="18"/>
      <w:bookmarkStart w:id="19" w:name="_Toc184310307"/>
      <w:bookmarkEnd w:id="19"/>
      <w:bookmarkStart w:id="20" w:name="_Toc184312096"/>
      <w:bookmarkEnd w:id="20"/>
      <w:bookmarkStart w:id="21" w:name="_Toc184314436"/>
      <w:bookmarkEnd w:id="21"/>
      <w:bookmarkStart w:id="22" w:name="_Toc184310297"/>
      <w:bookmarkEnd w:id="22"/>
      <w:bookmarkStart w:id="23" w:name="_Toc184314460"/>
      <w:bookmarkEnd w:id="23"/>
      <w:bookmarkStart w:id="24" w:name="_Toc184310323"/>
      <w:bookmarkEnd w:id="24"/>
      <w:bookmarkStart w:id="25" w:name="_Toc184308092"/>
      <w:bookmarkEnd w:id="25"/>
      <w:bookmarkStart w:id="26" w:name="_Toc184314480"/>
      <w:bookmarkEnd w:id="26"/>
      <w:bookmarkStart w:id="27" w:name="_Toc184310317"/>
      <w:bookmarkEnd w:id="27"/>
      <w:bookmarkStart w:id="28" w:name="_Toc184314464"/>
      <w:bookmarkEnd w:id="28"/>
      <w:bookmarkStart w:id="29" w:name="_Toc184308091"/>
      <w:bookmarkEnd w:id="29"/>
      <w:bookmarkStart w:id="30" w:name="_Toc184310275"/>
      <w:bookmarkEnd w:id="30"/>
      <w:bookmarkStart w:id="31" w:name="_Toc184313249"/>
      <w:bookmarkEnd w:id="31"/>
      <w:bookmarkStart w:id="32" w:name="_Toc184314465"/>
      <w:bookmarkEnd w:id="32"/>
      <w:bookmarkStart w:id="33" w:name="_Toc184312113"/>
      <w:bookmarkEnd w:id="33"/>
      <w:bookmarkStart w:id="34" w:name="_Toc184313302"/>
      <w:bookmarkEnd w:id="34"/>
      <w:bookmarkStart w:id="35" w:name="_Toc184310309"/>
      <w:bookmarkEnd w:id="35"/>
      <w:bookmarkStart w:id="36" w:name="_Toc184313242"/>
      <w:bookmarkEnd w:id="36"/>
      <w:bookmarkStart w:id="37" w:name="_Toc184308068"/>
      <w:bookmarkEnd w:id="37"/>
      <w:bookmarkStart w:id="38" w:name="_Toc184312108"/>
      <w:bookmarkEnd w:id="38"/>
      <w:bookmarkStart w:id="39" w:name="_Toc184308082"/>
      <w:bookmarkEnd w:id="39"/>
      <w:bookmarkStart w:id="40" w:name="_Toc184313272"/>
      <w:bookmarkEnd w:id="40"/>
      <w:bookmarkStart w:id="41" w:name="_Toc184312104"/>
      <w:bookmarkEnd w:id="41"/>
      <w:bookmarkStart w:id="42" w:name="_Toc184313264"/>
      <w:bookmarkEnd w:id="42"/>
      <w:bookmarkStart w:id="43" w:name="_Toc184308069"/>
      <w:bookmarkEnd w:id="43"/>
      <w:bookmarkStart w:id="44" w:name="_Toc184308048"/>
      <w:bookmarkEnd w:id="44"/>
      <w:bookmarkStart w:id="45" w:name="_Toc184312137"/>
      <w:bookmarkEnd w:id="45"/>
      <w:bookmarkStart w:id="46" w:name="_Toc184308071"/>
      <w:bookmarkEnd w:id="46"/>
      <w:bookmarkStart w:id="47" w:name="_Toc184314479"/>
      <w:bookmarkEnd w:id="47"/>
      <w:bookmarkStart w:id="48" w:name="_Toc184313268"/>
      <w:bookmarkEnd w:id="48"/>
      <w:bookmarkStart w:id="49" w:name="_Toc184310302"/>
      <w:bookmarkEnd w:id="49"/>
      <w:bookmarkStart w:id="50" w:name="_Toc184313244"/>
      <w:bookmarkEnd w:id="50"/>
      <w:bookmarkStart w:id="51" w:name="_Toc184313270"/>
      <w:bookmarkEnd w:id="51"/>
      <w:bookmarkStart w:id="52" w:name="_Toc184312128"/>
      <w:bookmarkEnd w:id="52"/>
      <w:bookmarkStart w:id="53" w:name="_Toc184308090"/>
      <w:bookmarkEnd w:id="53"/>
      <w:bookmarkStart w:id="54" w:name="_Toc184313280"/>
      <w:bookmarkEnd w:id="54"/>
      <w:bookmarkStart w:id="55" w:name="_Toc184310278"/>
      <w:bookmarkEnd w:id="55"/>
      <w:bookmarkStart w:id="56" w:name="_Toc184314439"/>
      <w:bookmarkEnd w:id="56"/>
      <w:bookmarkStart w:id="57" w:name="_Toc184308058"/>
      <w:bookmarkEnd w:id="57"/>
      <w:bookmarkStart w:id="58" w:name="_Toc184308087"/>
      <w:bookmarkEnd w:id="58"/>
      <w:bookmarkStart w:id="59" w:name="_Toc184312080"/>
      <w:bookmarkEnd w:id="59"/>
      <w:bookmarkStart w:id="60" w:name="_Toc184308105"/>
      <w:bookmarkEnd w:id="60"/>
      <w:bookmarkStart w:id="61" w:name="_Toc184308097"/>
      <w:bookmarkEnd w:id="61"/>
      <w:bookmarkStart w:id="62" w:name="_Toc184308040"/>
      <w:bookmarkEnd w:id="62"/>
      <w:bookmarkStart w:id="63" w:name="_Toc184308067"/>
      <w:bookmarkEnd w:id="63"/>
      <w:bookmarkStart w:id="64" w:name="_Toc184310320"/>
      <w:bookmarkEnd w:id="64"/>
      <w:bookmarkStart w:id="65" w:name="_Toc184314467"/>
      <w:bookmarkEnd w:id="65"/>
      <w:bookmarkStart w:id="66" w:name="_Toc184312086"/>
      <w:bookmarkEnd w:id="66"/>
      <w:bookmarkStart w:id="67" w:name="_Toc184313292"/>
      <w:bookmarkEnd w:id="67"/>
      <w:bookmarkStart w:id="68" w:name="_Toc184308042"/>
      <w:bookmarkEnd w:id="68"/>
      <w:bookmarkStart w:id="69" w:name="_Toc184310316"/>
      <w:bookmarkEnd w:id="69"/>
      <w:bookmarkStart w:id="70" w:name="_Toc184314463"/>
      <w:bookmarkEnd w:id="70"/>
      <w:bookmarkStart w:id="71" w:name="_Toc184313291"/>
      <w:bookmarkEnd w:id="71"/>
      <w:bookmarkStart w:id="72" w:name="_Toc184308072"/>
      <w:bookmarkEnd w:id="72"/>
      <w:bookmarkStart w:id="73" w:name="_Toc184308047"/>
      <w:bookmarkEnd w:id="73"/>
      <w:bookmarkStart w:id="74" w:name="_Toc184313240"/>
      <w:bookmarkEnd w:id="74"/>
      <w:bookmarkStart w:id="75" w:name="_Toc184310300"/>
      <w:bookmarkEnd w:id="75"/>
      <w:bookmarkStart w:id="76" w:name="_Toc184310329"/>
      <w:bookmarkEnd w:id="76"/>
      <w:bookmarkStart w:id="77" w:name="_Toc184314482"/>
      <w:bookmarkEnd w:id="77"/>
      <w:bookmarkStart w:id="78" w:name="_Toc184308044"/>
      <w:bookmarkEnd w:id="78"/>
      <w:bookmarkStart w:id="79" w:name="_Toc184314459"/>
      <w:bookmarkEnd w:id="79"/>
      <w:bookmarkStart w:id="80" w:name="_Toc184312088"/>
      <w:bookmarkEnd w:id="80"/>
      <w:bookmarkStart w:id="81" w:name="_Toc184310281"/>
      <w:bookmarkEnd w:id="81"/>
      <w:bookmarkStart w:id="82" w:name="_Toc184314443"/>
      <w:bookmarkEnd w:id="82"/>
      <w:bookmarkStart w:id="83" w:name="_Toc184310333"/>
      <w:bookmarkEnd w:id="83"/>
      <w:bookmarkStart w:id="84" w:name="_Toc184308057"/>
      <w:bookmarkEnd w:id="84"/>
      <w:bookmarkStart w:id="85" w:name="_Toc184313245"/>
      <w:bookmarkEnd w:id="85"/>
      <w:bookmarkStart w:id="86" w:name="_Toc184310277"/>
      <w:bookmarkEnd w:id="86"/>
      <w:bookmarkStart w:id="87" w:name="_Toc184308041"/>
      <w:bookmarkEnd w:id="87"/>
      <w:bookmarkStart w:id="88" w:name="_Toc184308054"/>
      <w:bookmarkEnd w:id="88"/>
      <w:bookmarkStart w:id="89" w:name="_Toc184313275"/>
      <w:bookmarkEnd w:id="89"/>
      <w:bookmarkStart w:id="90" w:name="_Toc184313247"/>
      <w:bookmarkEnd w:id="90"/>
      <w:bookmarkStart w:id="91" w:name="_Toc184314450"/>
      <w:bookmarkEnd w:id="91"/>
      <w:bookmarkStart w:id="92" w:name="_Toc184312127"/>
      <w:bookmarkEnd w:id="92"/>
      <w:bookmarkStart w:id="93" w:name="_Toc184310294"/>
      <w:bookmarkEnd w:id="93"/>
      <w:bookmarkStart w:id="94" w:name="_Toc184312070"/>
      <w:bookmarkEnd w:id="94"/>
      <w:bookmarkStart w:id="95" w:name="_Toc184314421"/>
      <w:bookmarkEnd w:id="95"/>
      <w:bookmarkStart w:id="96" w:name="_Toc184314444"/>
      <w:bookmarkEnd w:id="96"/>
      <w:bookmarkStart w:id="97" w:name="_Toc184314427"/>
      <w:bookmarkEnd w:id="97"/>
      <w:bookmarkStart w:id="98" w:name="_Toc184308055"/>
      <w:bookmarkEnd w:id="98"/>
      <w:bookmarkStart w:id="99" w:name="_Toc184314448"/>
      <w:bookmarkEnd w:id="99"/>
      <w:bookmarkStart w:id="100" w:name="_Toc184314417"/>
      <w:bookmarkEnd w:id="100"/>
      <w:bookmarkStart w:id="101" w:name="_Toc184310312"/>
      <w:bookmarkEnd w:id="101"/>
      <w:bookmarkStart w:id="102" w:name="_Toc184310336"/>
      <w:bookmarkEnd w:id="102"/>
      <w:bookmarkStart w:id="103" w:name="_Toc184313278"/>
      <w:bookmarkEnd w:id="103"/>
      <w:bookmarkStart w:id="104" w:name="_Toc184308046"/>
      <w:bookmarkEnd w:id="104"/>
      <w:bookmarkStart w:id="105" w:name="_Toc184310318"/>
      <w:bookmarkEnd w:id="105"/>
      <w:bookmarkStart w:id="106" w:name="_Toc184310287"/>
      <w:bookmarkEnd w:id="106"/>
      <w:bookmarkStart w:id="107" w:name="_Toc184308073"/>
      <w:bookmarkEnd w:id="107"/>
      <w:bookmarkStart w:id="108" w:name="_Toc184310285"/>
      <w:bookmarkEnd w:id="108"/>
      <w:bookmarkStart w:id="109" w:name="_Toc184310339"/>
      <w:bookmarkEnd w:id="109"/>
      <w:bookmarkStart w:id="110" w:name="_Toc184313286"/>
      <w:bookmarkEnd w:id="110"/>
      <w:bookmarkStart w:id="111" w:name="_Toc184310335"/>
      <w:bookmarkEnd w:id="111"/>
      <w:bookmarkStart w:id="112" w:name="_Toc184312107"/>
      <w:bookmarkEnd w:id="112"/>
      <w:bookmarkStart w:id="113" w:name="_Toc184308076"/>
      <w:bookmarkEnd w:id="113"/>
      <w:bookmarkStart w:id="114" w:name="_Toc184310272"/>
      <w:bookmarkEnd w:id="114"/>
      <w:bookmarkStart w:id="115" w:name="_Toc184308036"/>
      <w:bookmarkEnd w:id="115"/>
      <w:bookmarkStart w:id="116" w:name="_Toc184312119"/>
      <w:bookmarkEnd w:id="116"/>
      <w:bookmarkStart w:id="117" w:name="_Toc184313282"/>
      <w:bookmarkEnd w:id="117"/>
      <w:bookmarkStart w:id="118" w:name="_Toc184313296"/>
      <w:bookmarkEnd w:id="118"/>
      <w:bookmarkStart w:id="119" w:name="_Toc184312103"/>
      <w:bookmarkEnd w:id="119"/>
      <w:bookmarkStart w:id="120" w:name="_Toc184313299"/>
      <w:bookmarkEnd w:id="120"/>
      <w:bookmarkStart w:id="121" w:name="_Toc184308094"/>
      <w:bookmarkEnd w:id="121"/>
      <w:bookmarkStart w:id="122" w:name="_Toc184308085"/>
      <w:bookmarkEnd w:id="122"/>
      <w:bookmarkStart w:id="123" w:name="_Toc184310299"/>
      <w:bookmarkEnd w:id="123"/>
      <w:bookmarkStart w:id="124" w:name="_Toc184314469"/>
      <w:bookmarkEnd w:id="124"/>
      <w:bookmarkStart w:id="125" w:name="_Toc184308052"/>
      <w:bookmarkEnd w:id="125"/>
      <w:bookmarkStart w:id="126" w:name="_Toc184308078"/>
      <w:bookmarkEnd w:id="126"/>
      <w:bookmarkStart w:id="127" w:name="_Toc184314451"/>
      <w:bookmarkEnd w:id="127"/>
      <w:bookmarkStart w:id="128" w:name="_Toc184313298"/>
      <w:bookmarkEnd w:id="128"/>
      <w:bookmarkStart w:id="129" w:name="_Toc184313252"/>
      <w:bookmarkEnd w:id="129"/>
      <w:bookmarkStart w:id="130" w:name="_Toc184310341"/>
      <w:bookmarkEnd w:id="130"/>
      <w:bookmarkStart w:id="131" w:name="_Toc184314416"/>
      <w:bookmarkEnd w:id="131"/>
      <w:bookmarkStart w:id="132" w:name="_Toc184314458"/>
      <w:bookmarkEnd w:id="132"/>
      <w:bookmarkStart w:id="133" w:name="_Toc184308083"/>
      <w:bookmarkEnd w:id="133"/>
      <w:bookmarkStart w:id="134" w:name="_Toc184308098"/>
      <w:bookmarkEnd w:id="134"/>
      <w:bookmarkStart w:id="135" w:name="_Toc184310325"/>
      <w:bookmarkEnd w:id="135"/>
      <w:bookmarkStart w:id="136" w:name="_Toc184313297"/>
      <w:bookmarkEnd w:id="136"/>
      <w:bookmarkStart w:id="137" w:name="_Toc184314413"/>
      <w:bookmarkEnd w:id="137"/>
      <w:bookmarkStart w:id="138" w:name="_Toc184312069"/>
      <w:bookmarkEnd w:id="138"/>
      <w:bookmarkStart w:id="139" w:name="_Toc184313306"/>
      <w:bookmarkEnd w:id="139"/>
      <w:bookmarkStart w:id="140" w:name="_Toc184313288"/>
      <w:bookmarkEnd w:id="140"/>
      <w:bookmarkStart w:id="141" w:name="_Toc184308095"/>
      <w:bookmarkEnd w:id="141"/>
      <w:bookmarkStart w:id="142" w:name="_Toc184314412"/>
      <w:bookmarkEnd w:id="142"/>
      <w:bookmarkStart w:id="143" w:name="_Toc184308075"/>
      <w:bookmarkEnd w:id="143"/>
      <w:bookmarkStart w:id="144" w:name="_Toc184308059"/>
      <w:bookmarkEnd w:id="144"/>
      <w:bookmarkStart w:id="145" w:name="_Toc184308060"/>
      <w:bookmarkEnd w:id="145"/>
      <w:bookmarkStart w:id="146" w:name="_Toc184312082"/>
      <w:bookmarkEnd w:id="146"/>
      <w:bookmarkStart w:id="147" w:name="_Toc184312120"/>
      <w:bookmarkEnd w:id="147"/>
      <w:bookmarkStart w:id="148" w:name="_Toc184314478"/>
      <w:bookmarkEnd w:id="148"/>
      <w:bookmarkStart w:id="149" w:name="_Toc184313254"/>
      <w:bookmarkEnd w:id="149"/>
      <w:bookmarkStart w:id="150" w:name="_Toc184314473"/>
      <w:bookmarkEnd w:id="150"/>
      <w:bookmarkStart w:id="151" w:name="_Toc184312084"/>
      <w:bookmarkEnd w:id="151"/>
      <w:bookmarkStart w:id="152" w:name="_Toc184312067"/>
      <w:bookmarkEnd w:id="152"/>
      <w:bookmarkStart w:id="153" w:name="_Toc184312112"/>
      <w:bookmarkEnd w:id="153"/>
      <w:bookmarkStart w:id="154" w:name="_Toc184310288"/>
      <w:bookmarkEnd w:id="154"/>
      <w:bookmarkStart w:id="155" w:name="_Toc184310337"/>
      <w:bookmarkEnd w:id="155"/>
      <w:bookmarkStart w:id="156" w:name="_Toc184310322"/>
      <w:bookmarkEnd w:id="156"/>
      <w:bookmarkStart w:id="157" w:name="_Toc184308053"/>
      <w:bookmarkEnd w:id="157"/>
      <w:bookmarkStart w:id="158" w:name="_Toc184308049"/>
      <w:bookmarkEnd w:id="158"/>
      <w:bookmarkStart w:id="159" w:name="_Toc184313265"/>
      <w:bookmarkEnd w:id="159"/>
      <w:bookmarkStart w:id="160" w:name="_Toc184314424"/>
      <w:bookmarkEnd w:id="160"/>
      <w:bookmarkStart w:id="161" w:name="_Toc184308088"/>
      <w:bookmarkEnd w:id="161"/>
      <w:bookmarkStart w:id="162" w:name="_Toc184313256"/>
      <w:bookmarkEnd w:id="162"/>
      <w:bookmarkStart w:id="163" w:name="_Toc184310311"/>
      <w:bookmarkEnd w:id="163"/>
      <w:bookmarkStart w:id="164" w:name="_Toc184314423"/>
      <w:bookmarkEnd w:id="164"/>
      <w:bookmarkStart w:id="165" w:name="_Toc184310286"/>
      <w:bookmarkEnd w:id="165"/>
      <w:bookmarkStart w:id="166" w:name="_Toc184312105"/>
      <w:bookmarkEnd w:id="166"/>
      <w:bookmarkStart w:id="167" w:name="_Toc184314457"/>
      <w:bookmarkEnd w:id="167"/>
      <w:bookmarkStart w:id="168" w:name="_Toc184313271"/>
      <w:bookmarkEnd w:id="168"/>
      <w:bookmarkStart w:id="169" w:name="_Toc184308107"/>
      <w:bookmarkEnd w:id="169"/>
      <w:bookmarkStart w:id="170" w:name="_Toc184313250"/>
      <w:bookmarkEnd w:id="170"/>
      <w:bookmarkStart w:id="171" w:name="_Toc184313239"/>
      <w:bookmarkEnd w:id="171"/>
      <w:bookmarkStart w:id="172" w:name="_Toc184312126"/>
      <w:bookmarkEnd w:id="172"/>
      <w:bookmarkStart w:id="173" w:name="_Toc184314422"/>
      <w:bookmarkEnd w:id="173"/>
      <w:bookmarkStart w:id="174" w:name="_Toc184313309"/>
      <w:bookmarkEnd w:id="174"/>
      <w:bookmarkStart w:id="175" w:name="_Toc184310283"/>
      <w:bookmarkEnd w:id="175"/>
      <w:bookmarkStart w:id="176" w:name="_Toc184310276"/>
      <w:bookmarkEnd w:id="176"/>
      <w:bookmarkStart w:id="177" w:name="_Toc184312139"/>
      <w:bookmarkEnd w:id="177"/>
      <w:bookmarkStart w:id="178" w:name="_Toc184310327"/>
      <w:bookmarkEnd w:id="178"/>
      <w:bookmarkStart w:id="179" w:name="_Toc184308084"/>
      <w:bookmarkEnd w:id="179"/>
      <w:bookmarkStart w:id="180" w:name="_Toc184314449"/>
      <w:bookmarkEnd w:id="180"/>
      <w:bookmarkStart w:id="181" w:name="_Toc184314462"/>
      <w:bookmarkEnd w:id="181"/>
      <w:bookmarkStart w:id="182" w:name="_Toc184314420"/>
      <w:bookmarkEnd w:id="182"/>
      <w:bookmarkStart w:id="183" w:name="_Toc184310310"/>
      <w:bookmarkEnd w:id="183"/>
      <w:bookmarkStart w:id="184" w:name="_Toc184312079"/>
      <w:bookmarkEnd w:id="184"/>
      <w:bookmarkStart w:id="185" w:name="_Toc184310303"/>
      <w:bookmarkEnd w:id="185"/>
      <w:bookmarkStart w:id="186" w:name="_Toc184312099"/>
      <w:bookmarkEnd w:id="186"/>
      <w:bookmarkStart w:id="187" w:name="_Toc184314410"/>
      <w:bookmarkEnd w:id="187"/>
      <w:bookmarkStart w:id="188" w:name="_Toc184308077"/>
      <w:bookmarkEnd w:id="188"/>
      <w:bookmarkStart w:id="189" w:name="_Toc184314411"/>
      <w:bookmarkEnd w:id="189"/>
      <w:bookmarkStart w:id="190" w:name="_Toc184308100"/>
      <w:bookmarkEnd w:id="190"/>
      <w:bookmarkStart w:id="191" w:name="_Toc184314437"/>
      <w:bookmarkEnd w:id="191"/>
      <w:bookmarkStart w:id="192" w:name="_Toc184313269"/>
      <w:bookmarkEnd w:id="192"/>
      <w:bookmarkStart w:id="193" w:name="_Toc184314445"/>
      <w:bookmarkEnd w:id="193"/>
      <w:bookmarkStart w:id="194" w:name="_Toc184308066"/>
      <w:bookmarkEnd w:id="194"/>
      <w:bookmarkStart w:id="195" w:name="_Toc184312109"/>
      <w:bookmarkEnd w:id="195"/>
      <w:bookmarkStart w:id="196" w:name="_Toc184312071"/>
      <w:bookmarkEnd w:id="196"/>
      <w:bookmarkStart w:id="197" w:name="_Toc184310338"/>
      <w:bookmarkEnd w:id="197"/>
      <w:bookmarkStart w:id="198" w:name="_Toc184313289"/>
      <w:bookmarkEnd w:id="198"/>
      <w:bookmarkStart w:id="199" w:name="_Toc184312125"/>
      <w:bookmarkEnd w:id="199"/>
      <w:bookmarkStart w:id="200" w:name="_Toc184308108"/>
      <w:bookmarkEnd w:id="200"/>
      <w:bookmarkStart w:id="201" w:name="_Toc184313310"/>
      <w:bookmarkEnd w:id="201"/>
      <w:bookmarkStart w:id="202" w:name="_Toc184314456"/>
      <w:bookmarkEnd w:id="202"/>
      <w:bookmarkStart w:id="203" w:name="_Toc184314441"/>
      <w:bookmarkEnd w:id="203"/>
      <w:bookmarkStart w:id="204" w:name="_Toc184313276"/>
      <w:bookmarkEnd w:id="204"/>
      <w:bookmarkStart w:id="205" w:name="_Toc184313241"/>
      <w:bookmarkEnd w:id="205"/>
      <w:bookmarkStart w:id="206" w:name="_Toc184312134"/>
      <w:bookmarkEnd w:id="206"/>
      <w:bookmarkStart w:id="207" w:name="_Toc184312122"/>
      <w:bookmarkEnd w:id="207"/>
      <w:bookmarkStart w:id="208" w:name="_Toc184308101"/>
      <w:bookmarkEnd w:id="208"/>
      <w:bookmarkStart w:id="209" w:name="_Toc184308086"/>
      <w:bookmarkEnd w:id="209"/>
      <w:bookmarkStart w:id="210" w:name="_Toc184312076"/>
      <w:bookmarkEnd w:id="210"/>
      <w:bookmarkStart w:id="211" w:name="_Toc184310282"/>
      <w:bookmarkEnd w:id="211"/>
      <w:bookmarkStart w:id="212" w:name="_Toc184313301"/>
      <w:bookmarkEnd w:id="212"/>
      <w:bookmarkStart w:id="213" w:name="_Toc184314431"/>
      <w:bookmarkEnd w:id="213"/>
      <w:bookmarkStart w:id="214" w:name="_Toc184308038"/>
      <w:bookmarkEnd w:id="214"/>
      <w:bookmarkStart w:id="215" w:name="_Toc184314426"/>
      <w:bookmarkEnd w:id="215"/>
      <w:bookmarkStart w:id="216" w:name="_Toc184314474"/>
      <w:bookmarkEnd w:id="216"/>
      <w:bookmarkStart w:id="217" w:name="_Toc184312116"/>
      <w:bookmarkEnd w:id="217"/>
      <w:bookmarkStart w:id="218" w:name="_Toc184313262"/>
      <w:bookmarkEnd w:id="218"/>
      <w:bookmarkStart w:id="219" w:name="_Toc184314425"/>
      <w:bookmarkEnd w:id="219"/>
      <w:bookmarkStart w:id="220" w:name="_Toc184313277"/>
      <w:bookmarkEnd w:id="220"/>
      <w:bookmarkStart w:id="221" w:name="_Toc184313261"/>
      <w:bookmarkEnd w:id="221"/>
      <w:bookmarkStart w:id="222" w:name="_Toc184310344"/>
      <w:bookmarkEnd w:id="222"/>
      <w:bookmarkStart w:id="223" w:name="_Toc184312115"/>
      <w:bookmarkEnd w:id="223"/>
      <w:bookmarkStart w:id="224" w:name="_Toc184310284"/>
      <w:bookmarkEnd w:id="224"/>
      <w:bookmarkStart w:id="225" w:name="_Toc184313293"/>
      <w:bookmarkEnd w:id="225"/>
      <w:bookmarkStart w:id="226" w:name="_Toc184314481"/>
      <w:bookmarkEnd w:id="226"/>
      <w:bookmarkStart w:id="227" w:name="_Toc184314470"/>
      <w:bookmarkEnd w:id="227"/>
      <w:bookmarkStart w:id="228" w:name="_Toc184310273"/>
      <w:bookmarkEnd w:id="228"/>
      <w:bookmarkStart w:id="229" w:name="_Toc184308045"/>
      <w:bookmarkEnd w:id="229"/>
      <w:bookmarkStart w:id="230" w:name="_Toc184314418"/>
      <w:bookmarkEnd w:id="230"/>
      <w:bookmarkStart w:id="231" w:name="_Toc184314452"/>
      <w:bookmarkEnd w:id="231"/>
      <w:bookmarkStart w:id="232" w:name="_Toc184312131"/>
      <w:bookmarkEnd w:id="232"/>
      <w:bookmarkStart w:id="233" w:name="_Toc184310295"/>
      <w:bookmarkEnd w:id="233"/>
      <w:bookmarkStart w:id="234" w:name="_Toc184314453"/>
      <w:bookmarkEnd w:id="234"/>
      <w:bookmarkStart w:id="235" w:name="_Toc184313295"/>
      <w:bookmarkEnd w:id="235"/>
      <w:bookmarkStart w:id="236" w:name="_Toc184313257"/>
      <w:bookmarkEnd w:id="236"/>
      <w:bookmarkStart w:id="237" w:name="_Toc184310274"/>
      <w:bookmarkEnd w:id="237"/>
      <w:bookmarkStart w:id="238" w:name="_Toc184310308"/>
      <w:bookmarkEnd w:id="238"/>
      <w:bookmarkStart w:id="239" w:name="_Toc184310342"/>
      <w:bookmarkEnd w:id="239"/>
      <w:bookmarkStart w:id="240" w:name="_Toc184310301"/>
      <w:bookmarkEnd w:id="240"/>
      <w:bookmarkStart w:id="241" w:name="_Toc184312097"/>
      <w:bookmarkEnd w:id="241"/>
      <w:bookmarkStart w:id="242" w:name="_Toc184314419"/>
      <w:bookmarkEnd w:id="242"/>
      <w:bookmarkStart w:id="243" w:name="_Toc184312083"/>
      <w:bookmarkEnd w:id="243"/>
      <w:bookmarkStart w:id="244" w:name="_Toc184312068"/>
      <w:bookmarkEnd w:id="244"/>
      <w:bookmarkStart w:id="245" w:name="_Toc184314447"/>
      <w:bookmarkEnd w:id="245"/>
      <w:bookmarkStart w:id="246" w:name="_Toc184312123"/>
      <w:bookmarkEnd w:id="246"/>
      <w:bookmarkStart w:id="247" w:name="_Toc184314438"/>
      <w:bookmarkEnd w:id="247"/>
      <w:bookmarkStart w:id="248" w:name="_Toc184310343"/>
      <w:bookmarkEnd w:id="248"/>
      <w:bookmarkStart w:id="249" w:name="_Toc184312102"/>
      <w:bookmarkEnd w:id="249"/>
      <w:bookmarkStart w:id="250" w:name="_Toc184312081"/>
      <w:bookmarkEnd w:id="250"/>
      <w:bookmarkStart w:id="251" w:name="_Toc184308063"/>
      <w:bookmarkEnd w:id="251"/>
      <w:bookmarkStart w:id="252" w:name="_Toc184312098"/>
      <w:bookmarkEnd w:id="252"/>
      <w:bookmarkStart w:id="253" w:name="_Toc184308074"/>
      <w:bookmarkEnd w:id="253"/>
      <w:bookmarkStart w:id="254" w:name="_Toc184313281"/>
      <w:bookmarkEnd w:id="254"/>
      <w:bookmarkStart w:id="255" w:name="_Toc184313283"/>
      <w:bookmarkEnd w:id="255"/>
      <w:bookmarkStart w:id="256" w:name="_Toc184310328"/>
      <w:bookmarkEnd w:id="256"/>
      <w:bookmarkStart w:id="257" w:name="_Toc184313279"/>
      <w:bookmarkEnd w:id="257"/>
      <w:bookmarkStart w:id="258" w:name="_Toc184314442"/>
      <w:bookmarkEnd w:id="258"/>
      <w:bookmarkStart w:id="259" w:name="_Toc184312078"/>
      <w:bookmarkEnd w:id="259"/>
      <w:bookmarkStart w:id="260" w:name="_Toc184314477"/>
      <w:bookmarkEnd w:id="260"/>
      <w:bookmarkStart w:id="261" w:name="_Toc184312111"/>
      <w:bookmarkEnd w:id="261"/>
      <w:bookmarkStart w:id="262" w:name="_Toc184310334"/>
      <w:bookmarkEnd w:id="262"/>
      <w:bookmarkStart w:id="263" w:name="_Toc184308104"/>
      <w:bookmarkEnd w:id="263"/>
      <w:bookmarkStart w:id="264" w:name="_Toc184314433"/>
      <w:bookmarkEnd w:id="264"/>
      <w:bookmarkStart w:id="265" w:name="_Toc184312085"/>
      <w:bookmarkEnd w:id="265"/>
      <w:bookmarkStart w:id="266" w:name="_Toc184310305"/>
      <w:bookmarkEnd w:id="266"/>
      <w:bookmarkStart w:id="267" w:name="_Toc184313300"/>
      <w:bookmarkEnd w:id="267"/>
      <w:bookmarkStart w:id="268" w:name="_Toc184312121"/>
      <w:bookmarkEnd w:id="268"/>
      <w:bookmarkStart w:id="269" w:name="_Toc184310324"/>
      <w:bookmarkEnd w:id="269"/>
      <w:bookmarkStart w:id="270" w:name="_Toc184310326"/>
      <w:bookmarkEnd w:id="270"/>
      <w:bookmarkStart w:id="271" w:name="_Toc184312118"/>
      <w:bookmarkEnd w:id="271"/>
      <w:bookmarkStart w:id="272" w:name="_Toc184312101"/>
      <w:bookmarkEnd w:id="272"/>
      <w:bookmarkStart w:id="273" w:name="_Toc184308102"/>
      <w:bookmarkEnd w:id="273"/>
      <w:bookmarkStart w:id="274" w:name="_Toc184314476"/>
      <w:bookmarkEnd w:id="274"/>
      <w:bookmarkStart w:id="275" w:name="_Toc184312114"/>
      <w:bookmarkEnd w:id="275"/>
      <w:bookmarkStart w:id="276" w:name="_Toc184313274"/>
      <w:bookmarkEnd w:id="276"/>
      <w:bookmarkStart w:id="277" w:name="_Toc184313304"/>
      <w:bookmarkEnd w:id="277"/>
      <w:bookmarkStart w:id="278" w:name="_Toc184310291"/>
      <w:bookmarkEnd w:id="278"/>
      <w:bookmarkStart w:id="279" w:name="_Toc184313284"/>
      <w:bookmarkEnd w:id="279"/>
      <w:bookmarkStart w:id="280" w:name="_Toc184310296"/>
      <w:bookmarkEnd w:id="280"/>
      <w:bookmarkStart w:id="281" w:name="_Toc184313303"/>
      <w:bookmarkEnd w:id="281"/>
      <w:bookmarkStart w:id="282" w:name="_Toc184312133"/>
      <w:bookmarkEnd w:id="282"/>
      <w:bookmarkStart w:id="283" w:name="_Toc184310332"/>
      <w:bookmarkEnd w:id="283"/>
      <w:bookmarkStart w:id="284" w:name="_Toc184308080"/>
      <w:bookmarkEnd w:id="284"/>
      <w:bookmarkStart w:id="285" w:name="_Toc184312110"/>
      <w:bookmarkEnd w:id="285"/>
      <w:bookmarkStart w:id="286" w:name="_Toc184313255"/>
      <w:bookmarkEnd w:id="286"/>
      <w:bookmarkStart w:id="287" w:name="_Toc184310340"/>
      <w:bookmarkEnd w:id="287"/>
      <w:bookmarkStart w:id="288" w:name="_Toc184313305"/>
      <w:bookmarkEnd w:id="288"/>
      <w:bookmarkStart w:id="289" w:name="_Toc184313260"/>
      <w:bookmarkEnd w:id="289"/>
      <w:bookmarkStart w:id="290" w:name="_Toc184312077"/>
      <w:bookmarkEnd w:id="290"/>
      <w:bookmarkStart w:id="291" w:name="_Toc184314468"/>
      <w:bookmarkEnd w:id="291"/>
      <w:bookmarkStart w:id="292" w:name="_Toc184310280"/>
      <w:bookmarkEnd w:id="292"/>
      <w:bookmarkStart w:id="293" w:name="_Toc184312129"/>
      <w:bookmarkEnd w:id="293"/>
      <w:bookmarkStart w:id="294" w:name="_Toc184314472"/>
      <w:bookmarkEnd w:id="294"/>
      <w:bookmarkStart w:id="295" w:name="_Toc184312094"/>
      <w:bookmarkEnd w:id="295"/>
      <w:bookmarkStart w:id="296" w:name="_Toc184314430"/>
      <w:bookmarkEnd w:id="296"/>
      <w:bookmarkStart w:id="297" w:name="_Toc184312072"/>
      <w:bookmarkEnd w:id="297"/>
      <w:bookmarkStart w:id="298" w:name="_Toc184313258"/>
      <w:bookmarkEnd w:id="298"/>
      <w:bookmarkStart w:id="299" w:name="_Toc184310293"/>
      <w:bookmarkEnd w:id="299"/>
      <w:bookmarkStart w:id="300" w:name="_Toc184308056"/>
      <w:bookmarkEnd w:id="300"/>
      <w:bookmarkStart w:id="301" w:name="_Toc184313263"/>
      <w:bookmarkEnd w:id="301"/>
      <w:bookmarkStart w:id="302" w:name="_Toc184312124"/>
      <w:bookmarkEnd w:id="302"/>
      <w:bookmarkStart w:id="303" w:name="_Toc184308037"/>
      <w:bookmarkEnd w:id="303"/>
      <w:bookmarkStart w:id="304" w:name="_Toc184313259"/>
      <w:bookmarkEnd w:id="304"/>
      <w:bookmarkStart w:id="305" w:name="_Toc184312135"/>
      <w:bookmarkEnd w:id="305"/>
      <w:bookmarkStart w:id="306" w:name="_Toc184308099"/>
      <w:bookmarkEnd w:id="306"/>
      <w:bookmarkStart w:id="307" w:name="_Toc184313246"/>
      <w:bookmarkEnd w:id="307"/>
      <w:bookmarkStart w:id="308" w:name="_Toc184314414"/>
      <w:bookmarkEnd w:id="308"/>
      <w:bookmarkStart w:id="309" w:name="_Toc184310330"/>
      <w:bookmarkEnd w:id="309"/>
      <w:bookmarkStart w:id="310" w:name="_Toc184313285"/>
      <w:bookmarkEnd w:id="310"/>
      <w:bookmarkStart w:id="311" w:name="_Toc184312087"/>
      <w:bookmarkEnd w:id="311"/>
      <w:bookmarkStart w:id="312" w:name="_Toc184312090"/>
      <w:bookmarkEnd w:id="312"/>
      <w:bookmarkStart w:id="313" w:name="_Toc184308050"/>
      <w:bookmarkEnd w:id="313"/>
      <w:bookmarkStart w:id="314" w:name="_Toc184308103"/>
      <w:bookmarkEnd w:id="314"/>
      <w:bookmarkStart w:id="315" w:name="_Toc184312130"/>
      <w:bookmarkEnd w:id="315"/>
      <w:bookmarkStart w:id="316" w:name="_Toc184312100"/>
      <w:bookmarkEnd w:id="316"/>
      <w:bookmarkStart w:id="317" w:name="_Toc184310313"/>
      <w:bookmarkEnd w:id="317"/>
      <w:bookmarkStart w:id="318" w:name="_Toc184308070"/>
      <w:bookmarkEnd w:id="318"/>
      <w:bookmarkStart w:id="319" w:name="_Toc184312136"/>
      <w:bookmarkEnd w:id="319"/>
      <w:bookmarkStart w:id="320" w:name="_Toc184312095"/>
      <w:bookmarkEnd w:id="320"/>
      <w:bookmarkStart w:id="321" w:name="_Toc184314434"/>
      <w:bookmarkEnd w:id="321"/>
      <w:bookmarkStart w:id="322" w:name="_Toc184308061"/>
      <w:bookmarkEnd w:id="322"/>
      <w:bookmarkStart w:id="323" w:name="_Toc184312073"/>
      <w:bookmarkEnd w:id="323"/>
      <w:bookmarkStart w:id="324" w:name="_Toc184308096"/>
      <w:bookmarkEnd w:id="324"/>
      <w:bookmarkStart w:id="325" w:name="_Toc184314428"/>
      <w:bookmarkEnd w:id="325"/>
      <w:bookmarkStart w:id="326" w:name="_Toc184310331"/>
      <w:bookmarkEnd w:id="326"/>
      <w:bookmarkStart w:id="327" w:name="_Toc184314440"/>
      <w:bookmarkEnd w:id="327"/>
      <w:bookmarkStart w:id="328" w:name="_Toc184310319"/>
      <w:bookmarkEnd w:id="328"/>
      <w:bookmarkStart w:id="329" w:name="_Toc184312093"/>
      <w:bookmarkEnd w:id="329"/>
      <w:bookmarkStart w:id="330" w:name="_Toc184313248"/>
      <w:bookmarkEnd w:id="330"/>
      <w:bookmarkStart w:id="331" w:name="_Toc184314461"/>
      <w:bookmarkEnd w:id="331"/>
      <w:bookmarkStart w:id="332" w:name="_Toc184313308"/>
      <w:bookmarkEnd w:id="332"/>
      <w:bookmarkStart w:id="333" w:name="_Toc184308079"/>
      <w:bookmarkEnd w:id="333"/>
      <w:bookmarkStart w:id="334" w:name="_Toc184310306"/>
      <w:bookmarkEnd w:id="334"/>
      <w:bookmarkStart w:id="335" w:name="_Toc184312138"/>
      <w:bookmarkEnd w:id="335"/>
      <w:bookmarkStart w:id="336" w:name="_Toc184310315"/>
      <w:bookmarkEnd w:id="336"/>
      <w:bookmarkStart w:id="337" w:name="_Toc184310304"/>
      <w:bookmarkEnd w:id="337"/>
      <w:bookmarkStart w:id="338" w:name="_Toc184310290"/>
      <w:bookmarkEnd w:id="338"/>
      <w:bookmarkStart w:id="339" w:name="_Toc184313290"/>
      <w:bookmarkEnd w:id="339"/>
      <w:bookmarkStart w:id="340" w:name="_Toc184314471"/>
      <w:bookmarkEnd w:id="340"/>
      <w:bookmarkStart w:id="341" w:name="_Toc184313273"/>
      <w:bookmarkEnd w:id="341"/>
      <w:bookmarkStart w:id="342" w:name="_Toc184312092"/>
      <w:bookmarkEnd w:id="342"/>
      <w:bookmarkStart w:id="343" w:name="_Toc184312132"/>
      <w:bookmarkEnd w:id="343"/>
      <w:bookmarkStart w:id="344" w:name="_Toc184308039"/>
      <w:bookmarkEnd w:id="344"/>
      <w:bookmarkStart w:id="345" w:name="_Toc184313238"/>
      <w:bookmarkEnd w:id="345"/>
      <w:bookmarkStart w:id="346" w:name="_Toc184314429"/>
      <w:bookmarkEnd w:id="346"/>
      <w:bookmarkStart w:id="347" w:name="_Toc184314446"/>
      <w:bookmarkEnd w:id="347"/>
      <w:bookmarkStart w:id="348" w:name="_Toc184313243"/>
      <w:bookmarkEnd w:id="348"/>
      <w:bookmarkStart w:id="349" w:name="_Toc184310298"/>
      <w:bookmarkEnd w:id="349"/>
      <w:bookmarkStart w:id="350" w:name="_Toc184313287"/>
      <w:bookmarkEnd w:id="350"/>
      <w:bookmarkStart w:id="351" w:name="_Toc184313266"/>
      <w:bookmarkEnd w:id="351"/>
      <w:bookmarkStart w:id="352" w:name="_Toc184313267"/>
      <w:bookmarkEnd w:id="352"/>
      <w:bookmarkStart w:id="353" w:name="_Toc184310292"/>
      <w:bookmarkEnd w:id="353"/>
      <w:bookmarkStart w:id="354" w:name="_Toc184312074"/>
      <w:bookmarkEnd w:id="354"/>
      <w:bookmarkStart w:id="355" w:name="_Toc184314466"/>
      <w:bookmarkEnd w:id="355"/>
      <w:bookmarkStart w:id="356" w:name="_Toc184308106"/>
      <w:bookmarkEnd w:id="356"/>
      <w:bookmarkStart w:id="357" w:name="_Toc184308043"/>
      <w:bookmarkEnd w:id="357"/>
      <w:bookmarkStart w:id="358" w:name="_Toc184308062"/>
      <w:bookmarkEnd w:id="358"/>
      <w:bookmarkStart w:id="359" w:name="_Toc184308064"/>
      <w:bookmarkEnd w:id="359"/>
      <w:bookmarkStart w:id="360" w:name="_Toc184310321"/>
      <w:bookmarkEnd w:id="360"/>
      <w:bookmarkStart w:id="361" w:name="_Toc184310279"/>
      <w:bookmarkEnd w:id="361"/>
      <w:bookmarkStart w:id="362" w:name="_Toc184314415"/>
      <w:bookmarkEnd w:id="362"/>
      <w:bookmarkStart w:id="363" w:name="_Toc184313307"/>
      <w:bookmarkEnd w:id="363"/>
      <w:bookmarkStart w:id="364" w:name="_Toc184308089"/>
      <w:bookmarkEnd w:id="364"/>
      <w:bookmarkStart w:id="365" w:name="_Toc184308093"/>
      <w:bookmarkEnd w:id="365"/>
      <w:bookmarkStart w:id="366" w:name="_Toc184312089"/>
      <w:bookmarkEnd w:id="366"/>
      <w:bookmarkStart w:id="367" w:name="_Toc184313251"/>
      <w:bookmarkEnd w:id="367"/>
      <w:bookmarkStart w:id="368" w:name="_Toc184313253"/>
      <w:bookmarkEnd w:id="368"/>
      <w:bookmarkStart w:id="369" w:name="_Toc184314455"/>
      <w:bookmarkEnd w:id="369"/>
      <w:bookmarkStart w:id="370" w:name="_Toc184312117"/>
      <w:bookmarkEnd w:id="370"/>
      <w:bookmarkStart w:id="371" w:name="_Toc184314475"/>
      <w:bookmarkEnd w:id="371"/>
      <w:bookmarkStart w:id="372" w:name="_Toc184312091"/>
      <w:bookmarkEnd w:id="372"/>
      <w:bookmarkStart w:id="373" w:name="_Toc184310314"/>
      <w:bookmarkEnd w:id="373"/>
      <w:bookmarkStart w:id="374" w:name="_Toc184312075"/>
      <w:bookmarkEnd w:id="374"/>
      <w:bookmarkStart w:id="375" w:name="_Toc184313294"/>
      <w:bookmarkEnd w:id="375"/>
      <w:bookmarkStart w:id="376" w:name="_Toc184314454"/>
      <w:bookmarkEnd w:id="376"/>
      <w:r>
        <w:rPr>
          <w:rFonts w:hint="eastAsia" w:ascii="仿宋" w:hAnsi="仿宋" w:eastAsia="仿宋" w:cs="仿宋_GB2312"/>
          <w:b/>
          <w:color w:val="auto"/>
          <w:sz w:val="36"/>
          <w:szCs w:val="36"/>
          <w:highlight w:val="none"/>
        </w:rPr>
        <w:t>评标方法及评分标准</w:t>
      </w:r>
    </w:p>
    <w:p>
      <w:pPr>
        <w:snapToGrid w:val="0"/>
        <w:spacing w:line="360" w:lineRule="auto"/>
        <w:jc w:val="center"/>
        <w:rPr>
          <w:rFonts w:ascii="仿宋" w:hAnsi="仿宋" w:eastAsia="仿宋" w:cs="仿宋_GB2312"/>
          <w:b/>
          <w:color w:val="auto"/>
          <w:sz w:val="32"/>
          <w:highlight w:val="none"/>
        </w:rPr>
      </w:pPr>
    </w:p>
    <w:p>
      <w:pPr>
        <w:snapToGrid w:val="0"/>
        <w:spacing w:line="360" w:lineRule="auto"/>
        <w:jc w:val="center"/>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pPr>
        <w:adjustRightInd/>
        <w:spacing w:line="360" w:lineRule="auto"/>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color w:val="auto"/>
          <w:kern w:val="0"/>
          <w:sz w:val="24"/>
          <w:highlight w:val="none"/>
        </w:rPr>
        <w:t>综合评分法，是指</w:t>
      </w:r>
      <w:r>
        <w:rPr>
          <w:rFonts w:hint="eastAsia" w:ascii="仿宋" w:hAnsi="仿宋" w:eastAsia="仿宋" w:cs="Arial"/>
          <w:color w:val="auto"/>
          <w:kern w:val="0"/>
          <w:sz w:val="24"/>
          <w:highlight w:val="none"/>
          <w:lang w:eastAsia="zh-CN"/>
        </w:rPr>
        <w:t>响应文件</w:t>
      </w:r>
      <w:r>
        <w:rPr>
          <w:rFonts w:hint="eastAsia" w:ascii="仿宋" w:hAnsi="仿宋" w:eastAsia="仿宋" w:cs="Arial"/>
          <w:color w:val="auto"/>
          <w:kern w:val="0"/>
          <w:sz w:val="24"/>
          <w:highlight w:val="none"/>
        </w:rPr>
        <w:t>满足</w:t>
      </w:r>
      <w:r>
        <w:rPr>
          <w:rFonts w:hint="eastAsia" w:ascii="仿宋" w:hAnsi="仿宋" w:eastAsia="仿宋" w:cs="Arial"/>
          <w:color w:val="auto"/>
          <w:kern w:val="0"/>
          <w:sz w:val="24"/>
          <w:highlight w:val="none"/>
          <w:lang w:eastAsia="zh-CN"/>
        </w:rPr>
        <w:t>磋商</w:t>
      </w:r>
      <w:r>
        <w:rPr>
          <w:rFonts w:hint="eastAsia" w:ascii="仿宋" w:hAnsi="仿宋" w:eastAsia="仿宋" w:cs="Arial"/>
          <w:color w:val="auto"/>
          <w:kern w:val="0"/>
          <w:sz w:val="24"/>
          <w:highlight w:val="none"/>
        </w:rPr>
        <w:t>文件全部实质性要求，且按照评审因素的量化指标评审得分最高的投标人为中标候选人的评标方法。</w:t>
      </w:r>
    </w:p>
    <w:p>
      <w:pPr>
        <w:snapToGrid w:val="0"/>
        <w:spacing w:line="360" w:lineRule="auto"/>
        <w:rPr>
          <w:rFonts w:ascii="仿宋" w:hAnsi="仿宋" w:eastAsia="仿宋"/>
          <w:b/>
          <w:color w:val="auto"/>
          <w:sz w:val="28"/>
          <w:szCs w:val="28"/>
          <w:highlight w:val="none"/>
        </w:rPr>
      </w:pPr>
    </w:p>
    <w:p>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二、评标委员会的组成</w:t>
      </w:r>
    </w:p>
    <w:p>
      <w:pPr>
        <w:snapToGrid w:val="0"/>
        <w:spacing w:line="360" w:lineRule="auto"/>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2.评标委员会的组成。</w:t>
      </w:r>
      <w:r>
        <w:rPr>
          <w:rFonts w:ascii="仿宋" w:hAnsi="仿宋" w:eastAsia="仿宋" w:cs="Arial"/>
          <w:color w:val="auto"/>
          <w:kern w:val="0"/>
          <w:sz w:val="24"/>
          <w:highlight w:val="none"/>
        </w:rPr>
        <w:t>评标委员会由采购人代表和评审专家组成，成员人数为5人以上单数，其中评审专家不少于成员总数的三分之二。</w:t>
      </w:r>
    </w:p>
    <w:p>
      <w:pPr>
        <w:pStyle w:val="28"/>
        <w:spacing w:before="0"/>
        <w:ind w:firstLine="0" w:firstLineChars="0"/>
        <w:rPr>
          <w:rFonts w:ascii="仿宋" w:hAnsi="仿宋" w:eastAsia="仿宋" w:cs="Arial"/>
          <w:color w:val="auto"/>
          <w:kern w:val="0"/>
          <w:highlight w:val="none"/>
        </w:rPr>
      </w:pPr>
      <w:r>
        <w:rPr>
          <w:rFonts w:hint="eastAsia" w:ascii="仿宋" w:hAnsi="仿宋" w:eastAsia="仿宋" w:cs="Arial"/>
          <w:b/>
          <w:color w:val="auto"/>
          <w:kern w:val="0"/>
          <w:highlight w:val="none"/>
        </w:rPr>
        <w:t>3.评</w:t>
      </w:r>
      <w:r>
        <w:rPr>
          <w:rFonts w:hint="eastAsia" w:ascii="仿宋" w:hAnsi="仿宋" w:eastAsia="仿宋" w:cs="Arial"/>
          <w:b/>
          <w:color w:val="auto"/>
          <w:kern w:val="0"/>
          <w:szCs w:val="24"/>
          <w:highlight w:val="none"/>
        </w:rPr>
        <w:t>标委员会的组成人员的回避。</w:t>
      </w:r>
      <w:r>
        <w:rPr>
          <w:rFonts w:hint="eastAsia" w:ascii="仿宋" w:hAnsi="仿宋" w:eastAsia="仿宋" w:cs="Arial"/>
          <w:color w:val="auto"/>
          <w:kern w:val="0"/>
          <w:highlight w:val="none"/>
        </w:rPr>
        <w:t>在政府采购活动中，评标委员会的组成人员与供应商有下列利害关系之一的，应当回避：</w:t>
      </w:r>
    </w:p>
    <w:p>
      <w:pPr>
        <w:pStyle w:val="28"/>
        <w:spacing w:before="0"/>
        <w:ind w:firstLine="0" w:firstLineChars="0"/>
        <w:rPr>
          <w:rFonts w:ascii="仿宋" w:hAnsi="仿宋" w:eastAsia="仿宋" w:cs="Arial"/>
          <w:color w:val="auto"/>
          <w:kern w:val="0"/>
          <w:highlight w:val="none"/>
        </w:rPr>
      </w:pPr>
      <w:r>
        <w:rPr>
          <w:rFonts w:hint="eastAsia" w:ascii="仿宋" w:hAnsi="仿宋" w:eastAsia="仿宋" w:cs="Arial"/>
          <w:color w:val="auto"/>
          <w:kern w:val="0"/>
          <w:highlight w:val="none"/>
        </w:rPr>
        <w:t>　　3.1参加采购活动前3年内与供应商存在劳动关系；</w:t>
      </w:r>
    </w:p>
    <w:p>
      <w:pPr>
        <w:pStyle w:val="28"/>
        <w:spacing w:before="0"/>
        <w:ind w:firstLine="0" w:firstLineChars="0"/>
        <w:rPr>
          <w:rFonts w:ascii="仿宋" w:hAnsi="仿宋" w:eastAsia="仿宋" w:cs="Arial"/>
          <w:color w:val="auto"/>
          <w:kern w:val="0"/>
          <w:highlight w:val="none"/>
        </w:rPr>
      </w:pPr>
      <w:r>
        <w:rPr>
          <w:rFonts w:hint="eastAsia" w:ascii="仿宋" w:hAnsi="仿宋" w:eastAsia="仿宋" w:cs="Arial"/>
          <w:color w:val="auto"/>
          <w:kern w:val="0"/>
          <w:highlight w:val="none"/>
        </w:rPr>
        <w:t>　　3.2参加采购活动前3年内担任供应商的董事、监事；</w:t>
      </w:r>
    </w:p>
    <w:p>
      <w:pPr>
        <w:pStyle w:val="28"/>
        <w:spacing w:before="0"/>
        <w:ind w:firstLine="0" w:firstLineChars="0"/>
        <w:rPr>
          <w:rFonts w:ascii="仿宋" w:hAnsi="仿宋" w:eastAsia="仿宋" w:cs="Arial"/>
          <w:color w:val="auto"/>
          <w:kern w:val="0"/>
          <w:highlight w:val="none"/>
        </w:rPr>
      </w:pPr>
      <w:r>
        <w:rPr>
          <w:rFonts w:hint="eastAsia" w:ascii="仿宋" w:hAnsi="仿宋" w:eastAsia="仿宋" w:cs="Arial"/>
          <w:color w:val="auto"/>
          <w:kern w:val="0"/>
          <w:highlight w:val="none"/>
        </w:rPr>
        <w:t>　　3.3参加采购活动前3年内是供应商的控股股东或者实际控制人；</w:t>
      </w:r>
    </w:p>
    <w:p>
      <w:pPr>
        <w:pStyle w:val="28"/>
        <w:spacing w:before="0"/>
        <w:ind w:firstLine="0" w:firstLineChars="0"/>
        <w:rPr>
          <w:rFonts w:ascii="仿宋" w:hAnsi="仿宋" w:eastAsia="仿宋" w:cs="Arial"/>
          <w:color w:val="auto"/>
          <w:kern w:val="0"/>
          <w:highlight w:val="none"/>
        </w:rPr>
      </w:pPr>
      <w:r>
        <w:rPr>
          <w:rFonts w:hint="eastAsia" w:ascii="仿宋" w:hAnsi="仿宋" w:eastAsia="仿宋" w:cs="Arial"/>
          <w:color w:val="auto"/>
          <w:kern w:val="0"/>
          <w:highlight w:val="none"/>
        </w:rPr>
        <w:t>　　3.4与供应商的法定代表人或者负责人有夫妻、直系血亲、三代以内旁系血亲或者近姻亲关系；</w:t>
      </w:r>
    </w:p>
    <w:p>
      <w:pPr>
        <w:pStyle w:val="28"/>
        <w:spacing w:before="0"/>
        <w:ind w:firstLine="0" w:firstLineChars="0"/>
        <w:rPr>
          <w:rFonts w:ascii="仿宋" w:hAnsi="仿宋" w:eastAsia="仿宋" w:cs="Arial"/>
          <w:color w:val="auto"/>
          <w:kern w:val="0"/>
          <w:highlight w:val="none"/>
        </w:rPr>
      </w:pPr>
      <w:r>
        <w:rPr>
          <w:rFonts w:hint="eastAsia" w:ascii="仿宋" w:hAnsi="仿宋" w:eastAsia="仿宋" w:cs="Arial"/>
          <w:color w:val="auto"/>
          <w:kern w:val="0"/>
          <w:highlight w:val="none"/>
        </w:rPr>
        <w:t>　  3.5与供应商有其他可能影响政府采购活动公平、公正进行的关系。</w:t>
      </w:r>
    </w:p>
    <w:p>
      <w:pPr>
        <w:snapToGrid w:val="0"/>
        <w:spacing w:line="360" w:lineRule="auto"/>
        <w:jc w:val="center"/>
        <w:rPr>
          <w:rFonts w:ascii="仿宋" w:hAnsi="仿宋" w:eastAsia="仿宋" w:cs="仿宋_GB2312"/>
          <w:b/>
          <w:color w:val="auto"/>
          <w:sz w:val="32"/>
          <w:highlight w:val="none"/>
        </w:rPr>
      </w:pPr>
    </w:p>
    <w:p>
      <w:pPr>
        <w:snapToGrid w:val="0"/>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highlight w:val="none"/>
        </w:rPr>
        <w:t>三、评标委员会的职责</w:t>
      </w:r>
    </w:p>
    <w:p>
      <w:pPr>
        <w:pStyle w:val="28"/>
        <w:spacing w:before="0"/>
        <w:ind w:firstLine="0" w:firstLineChars="0"/>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4.</w:t>
      </w:r>
      <w:r>
        <w:rPr>
          <w:rFonts w:ascii="仿宋" w:hAnsi="仿宋" w:eastAsia="仿宋" w:cs="Arial"/>
          <w:b/>
          <w:color w:val="auto"/>
          <w:kern w:val="0"/>
          <w:szCs w:val="24"/>
          <w:highlight w:val="none"/>
        </w:rPr>
        <w:t>评标委员会负责具体评标事务，并独立履行下列职责：</w:t>
      </w:r>
    </w:p>
    <w:p>
      <w:pPr>
        <w:pStyle w:val="28"/>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4.1</w:t>
      </w:r>
      <w:r>
        <w:rPr>
          <w:rFonts w:ascii="仿宋" w:hAnsi="仿宋" w:eastAsia="仿宋" w:cs="Arial"/>
          <w:color w:val="auto"/>
          <w:kern w:val="0"/>
          <w:highlight w:val="none"/>
        </w:rPr>
        <w:t>审查、评价</w:t>
      </w:r>
      <w:r>
        <w:rPr>
          <w:rFonts w:hint="eastAsia" w:ascii="仿宋" w:hAnsi="仿宋" w:eastAsia="仿宋" w:cs="Arial"/>
          <w:color w:val="auto"/>
          <w:kern w:val="0"/>
          <w:highlight w:val="none"/>
          <w:lang w:eastAsia="zh-CN"/>
        </w:rPr>
        <w:t>响应文件</w:t>
      </w:r>
      <w:r>
        <w:rPr>
          <w:rFonts w:ascii="仿宋" w:hAnsi="仿宋" w:eastAsia="仿宋" w:cs="Arial"/>
          <w:color w:val="auto"/>
          <w:kern w:val="0"/>
          <w:highlight w:val="none"/>
        </w:rPr>
        <w:t>是否符合</w:t>
      </w:r>
      <w:r>
        <w:rPr>
          <w:rFonts w:hint="eastAsia" w:ascii="仿宋" w:hAnsi="仿宋" w:eastAsia="仿宋" w:cs="Arial"/>
          <w:color w:val="auto"/>
          <w:kern w:val="0"/>
          <w:highlight w:val="none"/>
          <w:lang w:eastAsia="zh-CN"/>
        </w:rPr>
        <w:t>磋商</w:t>
      </w:r>
      <w:r>
        <w:rPr>
          <w:rFonts w:ascii="仿宋" w:hAnsi="仿宋" w:eastAsia="仿宋" w:cs="Arial"/>
          <w:color w:val="auto"/>
          <w:kern w:val="0"/>
          <w:highlight w:val="none"/>
        </w:rPr>
        <w:t>文件的商务、技术等实质性要求；</w:t>
      </w:r>
    </w:p>
    <w:p>
      <w:pPr>
        <w:pStyle w:val="28"/>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4.2</w:t>
      </w:r>
      <w:r>
        <w:rPr>
          <w:rFonts w:ascii="仿宋" w:hAnsi="仿宋" w:eastAsia="仿宋" w:cs="Arial"/>
          <w:color w:val="auto"/>
          <w:kern w:val="0"/>
          <w:highlight w:val="none"/>
        </w:rPr>
        <w:t>要求投标人对</w:t>
      </w:r>
      <w:r>
        <w:rPr>
          <w:rFonts w:hint="eastAsia" w:ascii="仿宋" w:hAnsi="仿宋" w:eastAsia="仿宋" w:cs="Arial"/>
          <w:color w:val="auto"/>
          <w:kern w:val="0"/>
          <w:highlight w:val="none"/>
          <w:lang w:eastAsia="zh-CN"/>
        </w:rPr>
        <w:t>响应文件</w:t>
      </w:r>
      <w:r>
        <w:rPr>
          <w:rFonts w:ascii="仿宋" w:hAnsi="仿宋" w:eastAsia="仿宋" w:cs="Arial"/>
          <w:color w:val="auto"/>
          <w:kern w:val="0"/>
          <w:highlight w:val="none"/>
        </w:rPr>
        <w:t>有关事项作出澄清或者说明；</w:t>
      </w:r>
    </w:p>
    <w:p>
      <w:pPr>
        <w:pStyle w:val="28"/>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4.3</w:t>
      </w:r>
      <w:r>
        <w:rPr>
          <w:rFonts w:ascii="仿宋" w:hAnsi="仿宋" w:eastAsia="仿宋" w:cs="Arial"/>
          <w:color w:val="auto"/>
          <w:kern w:val="0"/>
          <w:highlight w:val="none"/>
        </w:rPr>
        <w:t>对</w:t>
      </w:r>
      <w:r>
        <w:rPr>
          <w:rFonts w:hint="eastAsia" w:ascii="仿宋" w:hAnsi="仿宋" w:eastAsia="仿宋" w:cs="Arial"/>
          <w:color w:val="auto"/>
          <w:kern w:val="0"/>
          <w:highlight w:val="none"/>
          <w:lang w:eastAsia="zh-CN"/>
        </w:rPr>
        <w:t>响应文件</w:t>
      </w:r>
      <w:r>
        <w:rPr>
          <w:rFonts w:ascii="仿宋" w:hAnsi="仿宋" w:eastAsia="仿宋" w:cs="Arial"/>
          <w:color w:val="auto"/>
          <w:kern w:val="0"/>
          <w:highlight w:val="none"/>
        </w:rPr>
        <w:t>进行比较和评价；</w:t>
      </w:r>
    </w:p>
    <w:p>
      <w:pPr>
        <w:pStyle w:val="28"/>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4.4</w:t>
      </w:r>
      <w:r>
        <w:rPr>
          <w:rFonts w:ascii="仿宋" w:hAnsi="仿宋" w:eastAsia="仿宋" w:cs="Arial"/>
          <w:color w:val="auto"/>
          <w:kern w:val="0"/>
          <w:highlight w:val="none"/>
        </w:rPr>
        <w:t>确定中标候选人名单，以及根据采购人委托直接确定中标人；</w:t>
      </w:r>
    </w:p>
    <w:p>
      <w:pPr>
        <w:pStyle w:val="28"/>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4.5</w:t>
      </w:r>
      <w:r>
        <w:rPr>
          <w:rFonts w:ascii="仿宋" w:hAnsi="仿宋" w:eastAsia="仿宋" w:cs="Arial"/>
          <w:color w:val="auto"/>
          <w:kern w:val="0"/>
          <w:highlight w:val="none"/>
        </w:rPr>
        <w:t>向采购人、采购机构或者有关部门报告评标中发现的违法行为</w:t>
      </w:r>
      <w:r>
        <w:rPr>
          <w:rFonts w:hint="eastAsia" w:ascii="仿宋" w:hAnsi="仿宋" w:eastAsia="仿宋" w:cs="Arial"/>
          <w:color w:val="auto"/>
          <w:kern w:val="0"/>
          <w:highlight w:val="none"/>
        </w:rPr>
        <w:t>；</w:t>
      </w:r>
    </w:p>
    <w:p>
      <w:pPr>
        <w:pStyle w:val="28"/>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4.6法律、法规、规章、招标文件等规定的其它事项。</w:t>
      </w:r>
    </w:p>
    <w:p>
      <w:pPr>
        <w:pStyle w:val="28"/>
        <w:spacing w:before="0"/>
        <w:ind w:firstLine="0" w:firstLineChars="0"/>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5.</w:t>
      </w:r>
      <w:r>
        <w:rPr>
          <w:rFonts w:ascii="仿宋" w:hAnsi="仿宋" w:eastAsia="仿宋" w:cs="Arial"/>
          <w:b/>
          <w:color w:val="auto"/>
          <w:kern w:val="0"/>
          <w:szCs w:val="24"/>
          <w:highlight w:val="none"/>
        </w:rPr>
        <w:t>评标委员会及其成员不得有下列行为：</w:t>
      </w:r>
    </w:p>
    <w:p>
      <w:pPr>
        <w:pStyle w:val="28"/>
        <w:spacing w:before="0"/>
        <w:ind w:firstLine="0" w:firstLineChars="0"/>
        <w:rPr>
          <w:rFonts w:ascii="仿宋" w:hAnsi="仿宋" w:eastAsia="仿宋" w:cs="Arial"/>
          <w:color w:val="auto"/>
          <w:kern w:val="0"/>
          <w:highlight w:val="none"/>
        </w:rPr>
      </w:pPr>
      <w:r>
        <w:rPr>
          <w:rFonts w:ascii="仿宋" w:hAnsi="仿宋" w:eastAsia="仿宋" w:cs="Arial"/>
          <w:color w:val="auto"/>
          <w:kern w:val="0"/>
          <w:highlight w:val="none"/>
        </w:rPr>
        <w:t>　</w:t>
      </w:r>
      <w:r>
        <w:rPr>
          <w:rFonts w:hint="eastAsia" w:ascii="仿宋" w:hAnsi="仿宋" w:eastAsia="仿宋" w:cs="Arial"/>
          <w:color w:val="auto"/>
          <w:kern w:val="0"/>
          <w:highlight w:val="none"/>
        </w:rPr>
        <w:t xml:space="preserve">  5.1</w:t>
      </w:r>
      <w:r>
        <w:rPr>
          <w:rFonts w:ascii="仿宋" w:hAnsi="仿宋" w:eastAsia="仿宋" w:cs="Arial"/>
          <w:color w:val="auto"/>
          <w:kern w:val="0"/>
          <w:highlight w:val="none"/>
        </w:rPr>
        <w:t>确定参与评标至评标结束前私自接触投标人；</w:t>
      </w:r>
    </w:p>
    <w:p>
      <w:pPr>
        <w:pStyle w:val="28"/>
        <w:spacing w:before="0"/>
        <w:ind w:firstLine="481" w:firstLineChars="0"/>
        <w:rPr>
          <w:rFonts w:ascii="仿宋_GB2312" w:hAnsi="仿宋" w:eastAsia="仿宋_GB2312" w:cs="Arial"/>
          <w:color w:val="auto"/>
          <w:kern w:val="0"/>
          <w:highlight w:val="none"/>
        </w:rPr>
      </w:pPr>
      <w:r>
        <w:rPr>
          <w:rFonts w:hint="eastAsia" w:ascii="仿宋" w:hAnsi="仿宋" w:eastAsia="仿宋" w:cs="Arial"/>
          <w:color w:val="auto"/>
          <w:kern w:val="0"/>
          <w:highlight w:val="none"/>
        </w:rPr>
        <w:t>5.2</w:t>
      </w:r>
      <w:r>
        <w:rPr>
          <w:rFonts w:ascii="仿宋" w:hAnsi="仿宋" w:eastAsia="仿宋" w:cs="Arial"/>
          <w:color w:val="auto"/>
          <w:kern w:val="0"/>
          <w:highlight w:val="none"/>
        </w:rPr>
        <w:t>接受投标人提出的与</w:t>
      </w:r>
      <w:r>
        <w:rPr>
          <w:rFonts w:hint="eastAsia" w:ascii="仿宋" w:hAnsi="仿宋" w:eastAsia="仿宋" w:cs="Arial"/>
          <w:color w:val="auto"/>
          <w:kern w:val="0"/>
          <w:highlight w:val="none"/>
          <w:lang w:eastAsia="zh-CN"/>
        </w:rPr>
        <w:t>响应文件</w:t>
      </w:r>
      <w:r>
        <w:rPr>
          <w:rFonts w:ascii="仿宋" w:hAnsi="仿宋" w:eastAsia="仿宋" w:cs="Arial"/>
          <w:color w:val="auto"/>
          <w:kern w:val="0"/>
          <w:highlight w:val="none"/>
        </w:rPr>
        <w:t>不一致的澄清或者说明，</w:t>
      </w:r>
      <w:r>
        <w:rPr>
          <w:rFonts w:hint="eastAsia" w:ascii="仿宋_GB2312" w:hAnsi="仿宋" w:eastAsia="仿宋_GB2312" w:cs="Arial"/>
          <w:color w:val="auto"/>
          <w:kern w:val="0"/>
          <w:highlight w:val="none"/>
        </w:rPr>
        <w:t>《政府采购货物和服务招标投标管理办法》（财政部令第87号）第五十一条规定的情形除外；</w:t>
      </w:r>
    </w:p>
    <w:p>
      <w:pPr>
        <w:pStyle w:val="28"/>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5.3</w:t>
      </w:r>
      <w:r>
        <w:rPr>
          <w:rFonts w:ascii="仿宋" w:hAnsi="仿宋" w:eastAsia="仿宋" w:cs="Arial"/>
          <w:color w:val="auto"/>
          <w:kern w:val="0"/>
          <w:highlight w:val="none"/>
        </w:rPr>
        <w:t>违反评标纪律发表倾向性意见或者征询采购人的倾向性意见；</w:t>
      </w:r>
    </w:p>
    <w:p>
      <w:pPr>
        <w:pStyle w:val="28"/>
        <w:spacing w:before="0"/>
        <w:ind w:firstLine="0" w:firstLineChars="0"/>
        <w:rPr>
          <w:rFonts w:ascii="仿宋" w:hAnsi="仿宋" w:eastAsia="仿宋" w:cs="Arial"/>
          <w:color w:val="auto"/>
          <w:kern w:val="0"/>
          <w:highlight w:val="none"/>
        </w:rPr>
      </w:pPr>
      <w:r>
        <w:rPr>
          <w:rFonts w:ascii="仿宋" w:hAnsi="仿宋" w:eastAsia="仿宋" w:cs="Arial"/>
          <w:color w:val="auto"/>
          <w:kern w:val="0"/>
          <w:highlight w:val="none"/>
        </w:rPr>
        <w:t>　</w:t>
      </w:r>
      <w:r>
        <w:rPr>
          <w:rFonts w:hint="eastAsia" w:ascii="仿宋" w:hAnsi="仿宋" w:eastAsia="仿宋" w:cs="Arial"/>
          <w:color w:val="auto"/>
          <w:kern w:val="0"/>
          <w:highlight w:val="none"/>
        </w:rPr>
        <w:t xml:space="preserve">  5.4</w:t>
      </w:r>
      <w:r>
        <w:rPr>
          <w:rFonts w:ascii="仿宋" w:hAnsi="仿宋" w:eastAsia="仿宋" w:cs="Arial"/>
          <w:color w:val="auto"/>
          <w:kern w:val="0"/>
          <w:highlight w:val="none"/>
        </w:rPr>
        <w:t>对需要专业判断的主观评审因素协商评分；</w:t>
      </w:r>
    </w:p>
    <w:p>
      <w:pPr>
        <w:pStyle w:val="28"/>
        <w:spacing w:before="0"/>
        <w:ind w:firstLine="0" w:firstLineChars="0"/>
        <w:rPr>
          <w:rFonts w:ascii="仿宋" w:hAnsi="仿宋" w:eastAsia="仿宋" w:cs="Arial"/>
          <w:color w:val="auto"/>
          <w:kern w:val="0"/>
          <w:highlight w:val="none"/>
        </w:rPr>
      </w:pPr>
      <w:r>
        <w:rPr>
          <w:rFonts w:ascii="仿宋" w:hAnsi="仿宋" w:eastAsia="仿宋" w:cs="Arial"/>
          <w:color w:val="auto"/>
          <w:kern w:val="0"/>
          <w:highlight w:val="none"/>
        </w:rPr>
        <w:t>　</w:t>
      </w:r>
      <w:r>
        <w:rPr>
          <w:rFonts w:hint="eastAsia" w:ascii="仿宋" w:hAnsi="仿宋" w:eastAsia="仿宋" w:cs="Arial"/>
          <w:color w:val="auto"/>
          <w:kern w:val="0"/>
          <w:highlight w:val="none"/>
        </w:rPr>
        <w:t xml:space="preserve">  5.5</w:t>
      </w:r>
      <w:r>
        <w:rPr>
          <w:rFonts w:ascii="仿宋" w:hAnsi="仿宋" w:eastAsia="仿宋" w:cs="Arial"/>
          <w:color w:val="auto"/>
          <w:kern w:val="0"/>
          <w:highlight w:val="none"/>
        </w:rPr>
        <w:t>在评标过程中擅离职守，影响评标程序正常进行的；</w:t>
      </w:r>
    </w:p>
    <w:p>
      <w:pPr>
        <w:pStyle w:val="28"/>
        <w:spacing w:before="0"/>
        <w:ind w:firstLine="480"/>
        <w:rPr>
          <w:rFonts w:ascii="仿宋" w:hAnsi="仿宋" w:eastAsia="仿宋" w:cs="Arial"/>
          <w:color w:val="auto"/>
          <w:kern w:val="0"/>
          <w:highlight w:val="none"/>
        </w:rPr>
      </w:pPr>
      <w:r>
        <w:rPr>
          <w:rFonts w:hint="eastAsia" w:ascii="仿宋" w:hAnsi="仿宋" w:eastAsia="仿宋" w:cs="Arial"/>
          <w:color w:val="auto"/>
          <w:kern w:val="0"/>
          <w:highlight w:val="none"/>
        </w:rPr>
        <w:t>5.6</w:t>
      </w:r>
      <w:r>
        <w:rPr>
          <w:rFonts w:ascii="仿宋" w:hAnsi="仿宋" w:eastAsia="仿宋" w:cs="Arial"/>
          <w:color w:val="auto"/>
          <w:kern w:val="0"/>
          <w:highlight w:val="none"/>
        </w:rPr>
        <w:t>记录、复制或者带走任何评标资料；</w:t>
      </w:r>
    </w:p>
    <w:p>
      <w:pPr>
        <w:pStyle w:val="28"/>
        <w:spacing w:before="0"/>
        <w:ind w:firstLine="0" w:firstLineChars="0"/>
        <w:rPr>
          <w:rFonts w:ascii="仿宋" w:hAnsi="仿宋" w:eastAsia="仿宋" w:cs="Arial"/>
          <w:color w:val="auto"/>
          <w:kern w:val="0"/>
          <w:highlight w:val="none"/>
        </w:rPr>
      </w:pPr>
      <w:r>
        <w:rPr>
          <w:rFonts w:ascii="仿宋" w:hAnsi="仿宋" w:eastAsia="仿宋" w:cs="Arial"/>
          <w:color w:val="auto"/>
          <w:kern w:val="0"/>
          <w:highlight w:val="none"/>
        </w:rPr>
        <w:t>　</w:t>
      </w:r>
      <w:r>
        <w:rPr>
          <w:rFonts w:hint="eastAsia" w:ascii="仿宋" w:hAnsi="仿宋" w:eastAsia="仿宋" w:cs="Arial"/>
          <w:color w:val="auto"/>
          <w:kern w:val="0"/>
          <w:highlight w:val="none"/>
        </w:rPr>
        <w:t xml:space="preserve">  5.7</w:t>
      </w:r>
      <w:r>
        <w:rPr>
          <w:rFonts w:ascii="仿宋" w:hAnsi="仿宋" w:eastAsia="仿宋" w:cs="Arial"/>
          <w:color w:val="auto"/>
          <w:kern w:val="0"/>
          <w:highlight w:val="none"/>
        </w:rPr>
        <w:t>其他不遵守评标纪律的行为。</w:t>
      </w:r>
    </w:p>
    <w:p>
      <w:pPr>
        <w:pStyle w:val="28"/>
        <w:spacing w:before="0"/>
        <w:ind w:firstLine="0" w:firstLineChars="0"/>
        <w:rPr>
          <w:rFonts w:ascii="仿宋" w:hAnsi="仿宋" w:eastAsia="仿宋" w:cs="Arial"/>
          <w:color w:val="auto"/>
          <w:kern w:val="0"/>
          <w:highlight w:val="none"/>
        </w:rPr>
      </w:pPr>
      <w:r>
        <w:rPr>
          <w:rFonts w:ascii="仿宋" w:hAnsi="仿宋" w:eastAsia="仿宋" w:cs="Arial"/>
          <w:color w:val="auto"/>
          <w:kern w:val="0"/>
          <w:highlight w:val="none"/>
        </w:rPr>
        <w:t>　　评标委员会成员有</w:t>
      </w:r>
      <w:r>
        <w:rPr>
          <w:rFonts w:hint="eastAsia" w:ascii="仿宋" w:hAnsi="仿宋" w:eastAsia="仿宋" w:cs="Arial"/>
          <w:color w:val="auto"/>
          <w:kern w:val="0"/>
          <w:highlight w:val="none"/>
        </w:rPr>
        <w:t>5.1-5.7</w:t>
      </w:r>
      <w:r>
        <w:rPr>
          <w:rFonts w:ascii="仿宋" w:hAnsi="仿宋" w:eastAsia="仿宋" w:cs="Arial"/>
          <w:color w:val="auto"/>
          <w:kern w:val="0"/>
          <w:highlight w:val="none"/>
        </w:rPr>
        <w:t>行为之一的，其评审意见无效，并不得获取评审劳务报酬和报销异地评审差旅费。</w:t>
      </w:r>
    </w:p>
    <w:p>
      <w:pPr>
        <w:pStyle w:val="28"/>
        <w:spacing w:before="0"/>
        <w:ind w:firstLine="0" w:firstLineChars="0"/>
        <w:rPr>
          <w:rFonts w:ascii="仿宋" w:hAnsi="仿宋" w:eastAsia="仿宋" w:cs="Arial"/>
          <w:color w:val="auto"/>
          <w:kern w:val="0"/>
          <w:highlight w:val="none"/>
        </w:rPr>
      </w:pP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四、评审程序</w:t>
      </w:r>
    </w:p>
    <w:p>
      <w:pPr>
        <w:pStyle w:val="28"/>
        <w:spacing w:before="0"/>
        <w:ind w:firstLine="0" w:firstLineChars="0"/>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6.符合性审查。</w:t>
      </w:r>
      <w:r>
        <w:rPr>
          <w:rFonts w:ascii="仿宋" w:hAnsi="仿宋" w:eastAsia="仿宋" w:cs="Arial"/>
          <w:color w:val="auto"/>
          <w:kern w:val="0"/>
          <w:szCs w:val="24"/>
          <w:highlight w:val="none"/>
        </w:rPr>
        <w:t>评标委员会应当对符合资格的投标人的</w:t>
      </w:r>
      <w:r>
        <w:rPr>
          <w:rFonts w:hint="eastAsia" w:ascii="仿宋" w:hAnsi="仿宋" w:eastAsia="仿宋" w:cs="Arial"/>
          <w:color w:val="auto"/>
          <w:kern w:val="0"/>
          <w:szCs w:val="24"/>
          <w:highlight w:val="none"/>
          <w:lang w:eastAsia="zh-CN"/>
        </w:rPr>
        <w:t>响应文件</w:t>
      </w:r>
      <w:r>
        <w:rPr>
          <w:rFonts w:ascii="仿宋" w:hAnsi="仿宋" w:eastAsia="仿宋" w:cs="Arial"/>
          <w:color w:val="auto"/>
          <w:kern w:val="0"/>
          <w:szCs w:val="24"/>
          <w:highlight w:val="none"/>
        </w:rPr>
        <w:t>进行符合性审查，以确定其是否满足</w:t>
      </w:r>
      <w:r>
        <w:rPr>
          <w:rFonts w:hint="eastAsia" w:ascii="仿宋" w:hAnsi="仿宋" w:eastAsia="仿宋" w:cs="Arial"/>
          <w:color w:val="auto"/>
          <w:kern w:val="0"/>
          <w:szCs w:val="24"/>
          <w:highlight w:val="none"/>
          <w:lang w:eastAsia="zh-CN"/>
        </w:rPr>
        <w:t>磋商</w:t>
      </w:r>
      <w:r>
        <w:rPr>
          <w:rFonts w:ascii="仿宋" w:hAnsi="仿宋" w:eastAsia="仿宋" w:cs="Arial"/>
          <w:color w:val="auto"/>
          <w:kern w:val="0"/>
          <w:szCs w:val="24"/>
          <w:highlight w:val="none"/>
        </w:rPr>
        <w:t>文件的实质性要求</w:t>
      </w:r>
      <w:r>
        <w:rPr>
          <w:rFonts w:hint="eastAsia" w:ascii="仿宋" w:hAnsi="仿宋" w:eastAsia="仿宋" w:cs="Arial"/>
          <w:color w:val="auto"/>
          <w:kern w:val="0"/>
          <w:szCs w:val="24"/>
          <w:highlight w:val="none"/>
        </w:rPr>
        <w:t>。符合投标无效情形的，投标无效</w:t>
      </w:r>
      <w:r>
        <w:rPr>
          <w:rFonts w:ascii="仿宋" w:hAnsi="仿宋" w:eastAsia="仿宋" w:cs="Arial"/>
          <w:color w:val="auto"/>
          <w:kern w:val="0"/>
          <w:szCs w:val="24"/>
          <w:highlight w:val="none"/>
        </w:rPr>
        <w:t>。</w:t>
      </w:r>
    </w:p>
    <w:p>
      <w:pPr>
        <w:pStyle w:val="28"/>
        <w:spacing w:before="0"/>
        <w:ind w:firstLine="0" w:firstLineChars="0"/>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7.投标人澄清、说明或者补正。</w:t>
      </w:r>
      <w:r>
        <w:rPr>
          <w:rFonts w:ascii="仿宋" w:hAnsi="仿宋" w:eastAsia="仿宋" w:cs="Arial"/>
          <w:color w:val="auto"/>
          <w:kern w:val="0"/>
          <w:szCs w:val="24"/>
          <w:highlight w:val="none"/>
        </w:rPr>
        <w:t>对于</w:t>
      </w:r>
      <w:r>
        <w:rPr>
          <w:rFonts w:hint="eastAsia" w:ascii="仿宋" w:hAnsi="仿宋" w:eastAsia="仿宋" w:cs="Arial"/>
          <w:color w:val="auto"/>
          <w:kern w:val="0"/>
          <w:szCs w:val="24"/>
          <w:highlight w:val="none"/>
          <w:lang w:eastAsia="zh-CN"/>
        </w:rPr>
        <w:t>响应文件</w:t>
      </w:r>
      <w:r>
        <w:rPr>
          <w:rFonts w:ascii="仿宋" w:hAnsi="仿宋" w:eastAsia="仿宋" w:cs="Arial"/>
          <w:color w:val="auto"/>
          <w:kern w:val="0"/>
          <w:szCs w:val="24"/>
          <w:highlight w:val="none"/>
        </w:rPr>
        <w:t>中含义不明确、同类问题表述不一致或者有明显文字和计算错误的内容需要投标人作出必要的澄清、说明或者补正的，评</w:t>
      </w:r>
      <w:r>
        <w:rPr>
          <w:rFonts w:hint="eastAsia" w:ascii="仿宋" w:hAnsi="仿宋" w:eastAsia="仿宋" w:cs="Arial"/>
          <w:color w:val="auto"/>
          <w:kern w:val="0"/>
          <w:szCs w:val="24"/>
          <w:highlight w:val="none"/>
        </w:rPr>
        <w:t>标</w:t>
      </w:r>
      <w:r>
        <w:rPr>
          <w:rFonts w:ascii="仿宋" w:hAnsi="仿宋" w:eastAsia="仿宋" w:cs="Arial"/>
          <w:color w:val="auto"/>
          <w:kern w:val="0"/>
          <w:szCs w:val="24"/>
          <w:highlight w:val="none"/>
        </w:rPr>
        <w:t>委员会和投标人通过电子交易平台交换数据电文，</w:t>
      </w:r>
      <w:r>
        <w:rPr>
          <w:rFonts w:hint="eastAsia" w:ascii="仿宋" w:hAnsi="仿宋" w:eastAsia="仿宋" w:cs="Arial"/>
          <w:color w:val="auto"/>
          <w:kern w:val="0"/>
          <w:szCs w:val="24"/>
          <w:highlight w:val="none"/>
        </w:rPr>
        <w:t>投标人提交使用电子签名的</w:t>
      </w:r>
      <w:r>
        <w:rPr>
          <w:rFonts w:ascii="仿宋" w:hAnsi="仿宋" w:eastAsia="仿宋" w:cs="Arial"/>
          <w:color w:val="auto"/>
          <w:kern w:val="0"/>
          <w:szCs w:val="24"/>
          <w:highlight w:val="none"/>
        </w:rPr>
        <w:t>相关数据电文</w:t>
      </w:r>
      <w:r>
        <w:rPr>
          <w:rFonts w:hint="eastAsia" w:ascii="仿宋" w:hAnsi="仿宋" w:eastAsia="仿宋" w:cs="Arial"/>
          <w:color w:val="auto"/>
          <w:kern w:val="0"/>
          <w:szCs w:val="24"/>
          <w:highlight w:val="none"/>
        </w:rPr>
        <w:t>或通过平台上传加盖公章的扫描件</w:t>
      </w:r>
      <w:r>
        <w:rPr>
          <w:rFonts w:ascii="仿宋" w:hAnsi="仿宋" w:eastAsia="仿宋" w:cs="Arial"/>
          <w:color w:val="auto"/>
          <w:kern w:val="0"/>
          <w:szCs w:val="24"/>
          <w:highlight w:val="none"/>
        </w:rPr>
        <w:t>。给予投标人提交澄清、说明或补正的时间不得少于半小时，</w:t>
      </w:r>
      <w:r>
        <w:rPr>
          <w:rFonts w:hint="eastAsia" w:ascii="仿宋" w:hAnsi="仿宋" w:eastAsia="仿宋" w:cs="Arial"/>
          <w:color w:val="auto"/>
          <w:kern w:val="0"/>
          <w:szCs w:val="24"/>
          <w:highlight w:val="none"/>
        </w:rPr>
        <w:t>投标人</w:t>
      </w:r>
      <w:r>
        <w:rPr>
          <w:rFonts w:ascii="仿宋" w:hAnsi="仿宋" w:eastAsia="仿宋" w:cs="Arial"/>
          <w:color w:val="auto"/>
          <w:kern w:val="0"/>
          <w:szCs w:val="24"/>
          <w:highlight w:val="none"/>
        </w:rPr>
        <w:t>已经明确表示澄清说明或补正完毕的除外。投标人的澄清、说明或者补正不得超出</w:t>
      </w:r>
      <w:r>
        <w:rPr>
          <w:rFonts w:hint="eastAsia" w:ascii="仿宋" w:hAnsi="仿宋" w:eastAsia="仿宋" w:cs="Arial"/>
          <w:color w:val="auto"/>
          <w:kern w:val="0"/>
          <w:szCs w:val="24"/>
          <w:highlight w:val="none"/>
          <w:lang w:eastAsia="zh-CN"/>
        </w:rPr>
        <w:t>响应文件</w:t>
      </w:r>
      <w:r>
        <w:rPr>
          <w:rFonts w:ascii="仿宋" w:hAnsi="仿宋" w:eastAsia="仿宋" w:cs="Arial"/>
          <w:color w:val="auto"/>
          <w:kern w:val="0"/>
          <w:szCs w:val="24"/>
          <w:highlight w:val="none"/>
        </w:rPr>
        <w:t>的范围或者改变</w:t>
      </w:r>
      <w:r>
        <w:rPr>
          <w:rFonts w:hint="eastAsia" w:ascii="仿宋" w:hAnsi="仿宋" w:eastAsia="仿宋" w:cs="Arial"/>
          <w:color w:val="auto"/>
          <w:kern w:val="0"/>
          <w:szCs w:val="24"/>
          <w:highlight w:val="none"/>
          <w:lang w:eastAsia="zh-CN"/>
        </w:rPr>
        <w:t>响应文件</w:t>
      </w:r>
      <w:r>
        <w:rPr>
          <w:rFonts w:ascii="仿宋" w:hAnsi="仿宋" w:eastAsia="仿宋" w:cs="Arial"/>
          <w:color w:val="auto"/>
          <w:kern w:val="0"/>
          <w:szCs w:val="24"/>
          <w:highlight w:val="none"/>
        </w:rPr>
        <w:t>的实质性内容</w:t>
      </w:r>
      <w:r>
        <w:rPr>
          <w:rFonts w:hint="eastAsia" w:ascii="仿宋" w:hAnsi="仿宋" w:eastAsia="仿宋" w:cs="Arial"/>
          <w:color w:val="auto"/>
          <w:kern w:val="0"/>
          <w:szCs w:val="24"/>
          <w:highlight w:val="none"/>
        </w:rPr>
        <w:t>。</w:t>
      </w:r>
    </w:p>
    <w:p>
      <w:pPr>
        <w:pStyle w:val="28"/>
        <w:spacing w:before="0"/>
        <w:ind w:firstLine="0" w:firstLineChars="0"/>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8.</w:t>
      </w:r>
      <w:r>
        <w:rPr>
          <w:rFonts w:ascii="仿宋" w:hAnsi="仿宋" w:eastAsia="仿宋" w:cs="Arial"/>
          <w:b/>
          <w:color w:val="auto"/>
          <w:kern w:val="0"/>
          <w:szCs w:val="24"/>
          <w:highlight w:val="none"/>
        </w:rPr>
        <w:t>比较与评价</w:t>
      </w:r>
      <w:r>
        <w:rPr>
          <w:rFonts w:hint="eastAsia" w:ascii="仿宋" w:hAnsi="仿宋" w:eastAsia="仿宋" w:cs="Arial"/>
          <w:b/>
          <w:color w:val="auto"/>
          <w:kern w:val="0"/>
          <w:szCs w:val="24"/>
          <w:highlight w:val="none"/>
        </w:rPr>
        <w:t>。</w:t>
      </w:r>
      <w:r>
        <w:rPr>
          <w:rFonts w:hint="eastAsia" w:ascii="仿宋" w:hAnsi="仿宋" w:eastAsia="仿宋" w:cs="Arial"/>
          <w:color w:val="auto"/>
          <w:kern w:val="0"/>
          <w:szCs w:val="24"/>
          <w:highlight w:val="none"/>
        </w:rPr>
        <w:t>评</w:t>
      </w:r>
      <w:r>
        <w:rPr>
          <w:rFonts w:ascii="仿宋" w:hAnsi="仿宋" w:eastAsia="仿宋" w:cs="Arial"/>
          <w:color w:val="auto"/>
          <w:kern w:val="0"/>
          <w:szCs w:val="24"/>
          <w:highlight w:val="none"/>
        </w:rPr>
        <w:t>标委员会应当按照评标标准，对符合性审查合格的</w:t>
      </w:r>
      <w:r>
        <w:rPr>
          <w:rFonts w:hint="eastAsia" w:ascii="仿宋" w:hAnsi="仿宋" w:eastAsia="仿宋" w:cs="Arial"/>
          <w:color w:val="auto"/>
          <w:kern w:val="0"/>
          <w:szCs w:val="24"/>
          <w:highlight w:val="none"/>
          <w:lang w:eastAsia="zh-CN"/>
        </w:rPr>
        <w:t>响应文件</w:t>
      </w:r>
      <w:r>
        <w:rPr>
          <w:rFonts w:ascii="仿宋" w:hAnsi="仿宋" w:eastAsia="仿宋" w:cs="Arial"/>
          <w:color w:val="auto"/>
          <w:kern w:val="0"/>
          <w:szCs w:val="24"/>
          <w:highlight w:val="none"/>
        </w:rPr>
        <w:t>进行商务和技术评估，综合比较与评价。</w:t>
      </w:r>
    </w:p>
    <w:p>
      <w:pPr>
        <w:pStyle w:val="28"/>
        <w:spacing w:before="0"/>
        <w:ind w:firstLine="0" w:firstLineChars="0"/>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9.</w:t>
      </w:r>
      <w:r>
        <w:rPr>
          <w:rFonts w:ascii="仿宋" w:hAnsi="仿宋" w:eastAsia="仿宋" w:cs="Arial"/>
          <w:b/>
          <w:color w:val="auto"/>
          <w:kern w:val="0"/>
          <w:szCs w:val="24"/>
          <w:highlight w:val="none"/>
        </w:rPr>
        <w:t>汇总</w:t>
      </w:r>
      <w:r>
        <w:rPr>
          <w:rFonts w:hint="eastAsia" w:ascii="仿宋" w:hAnsi="仿宋" w:eastAsia="仿宋" w:cs="Arial"/>
          <w:b/>
          <w:color w:val="auto"/>
          <w:kern w:val="0"/>
          <w:szCs w:val="24"/>
          <w:highlight w:val="none"/>
        </w:rPr>
        <w:t>（商务技术得分情况）。</w:t>
      </w:r>
      <w:r>
        <w:rPr>
          <w:rFonts w:ascii="仿宋" w:hAnsi="仿宋" w:eastAsia="仿宋" w:cs="Arial"/>
          <w:color w:val="auto"/>
          <w:kern w:val="0"/>
          <w:szCs w:val="24"/>
          <w:highlight w:val="none"/>
        </w:rPr>
        <w:t>评标委员会各成员应当独立对每个投标人的</w:t>
      </w:r>
      <w:r>
        <w:rPr>
          <w:rFonts w:hint="eastAsia" w:ascii="仿宋" w:hAnsi="仿宋" w:eastAsia="仿宋" w:cs="Arial"/>
          <w:color w:val="auto"/>
          <w:kern w:val="0"/>
          <w:szCs w:val="24"/>
          <w:highlight w:val="none"/>
        </w:rPr>
        <w:t>商务和技术</w:t>
      </w:r>
      <w:r>
        <w:rPr>
          <w:rFonts w:ascii="仿宋" w:hAnsi="仿宋" w:eastAsia="仿宋" w:cs="Arial"/>
          <w:color w:val="auto"/>
          <w:kern w:val="0"/>
          <w:szCs w:val="24"/>
          <w:highlight w:val="none"/>
        </w:rPr>
        <w:t>文件进行评价，并汇总</w:t>
      </w:r>
      <w:r>
        <w:rPr>
          <w:rFonts w:hint="eastAsia" w:ascii="仿宋" w:hAnsi="仿宋" w:eastAsia="仿宋" w:cs="Arial"/>
          <w:color w:val="auto"/>
          <w:kern w:val="0"/>
          <w:szCs w:val="24"/>
          <w:highlight w:val="none"/>
        </w:rPr>
        <w:t>商务技术得分情况</w:t>
      </w:r>
      <w:r>
        <w:rPr>
          <w:rFonts w:ascii="仿宋" w:hAnsi="仿宋" w:eastAsia="仿宋" w:cs="Arial"/>
          <w:color w:val="auto"/>
          <w:kern w:val="0"/>
          <w:szCs w:val="24"/>
          <w:highlight w:val="none"/>
        </w:rPr>
        <w:t>。</w:t>
      </w:r>
    </w:p>
    <w:p>
      <w:pPr>
        <w:pStyle w:val="28"/>
        <w:spacing w:before="0"/>
        <w:ind w:firstLine="0" w:firstLineChars="0"/>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10.报价审核。</w:t>
      </w:r>
      <w:r>
        <w:rPr>
          <w:rFonts w:hint="eastAsia" w:ascii="仿宋" w:hAnsi="仿宋" w:eastAsia="仿宋" w:cs="Arial"/>
          <w:color w:val="auto"/>
          <w:kern w:val="0"/>
          <w:szCs w:val="24"/>
          <w:highlight w:val="none"/>
        </w:rPr>
        <w:t>对经商务和技术评审符合采购需求的投标人的报价的合理性、准确性等进行审查核实。</w:t>
      </w:r>
    </w:p>
    <w:p>
      <w:pPr>
        <w:pStyle w:val="28"/>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8"/>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10.2根据财政部发布的《政府采购促进中小企业发展管理办法》规定，对于非专门面向中小企业的项目，对小型和微型企业产品的价格给予一定的扣除，用扣除后的价格参与评审。</w:t>
      </w:r>
    </w:p>
    <w:p>
      <w:pPr>
        <w:pStyle w:val="28"/>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10.3投标价格的修正原则。</w:t>
      </w:r>
      <w:r>
        <w:rPr>
          <w:rFonts w:hint="eastAsia" w:ascii="仿宋" w:hAnsi="仿宋" w:eastAsia="仿宋" w:cs="Arial"/>
          <w:color w:val="auto"/>
          <w:kern w:val="0"/>
          <w:szCs w:val="24"/>
          <w:highlight w:val="none"/>
          <w:lang w:eastAsia="zh-CN"/>
        </w:rPr>
        <w:t>响应文件</w:t>
      </w:r>
      <w:r>
        <w:rPr>
          <w:rFonts w:hint="eastAsia" w:ascii="仿宋" w:hAnsi="仿宋" w:eastAsia="仿宋" w:cs="Arial"/>
          <w:color w:val="auto"/>
          <w:kern w:val="0"/>
          <w:szCs w:val="24"/>
          <w:highlight w:val="none"/>
        </w:rPr>
        <w:t>报价出现前后不一致的，按照下列规定修正：</w:t>
      </w:r>
    </w:p>
    <w:p>
      <w:pPr>
        <w:pStyle w:val="28"/>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10.3.1</w:t>
      </w:r>
      <w:r>
        <w:rPr>
          <w:rFonts w:hint="eastAsia" w:ascii="仿宋" w:hAnsi="仿宋" w:eastAsia="仿宋" w:cs="Arial"/>
          <w:color w:val="auto"/>
          <w:kern w:val="0"/>
          <w:szCs w:val="24"/>
          <w:highlight w:val="none"/>
          <w:lang w:eastAsia="zh-CN"/>
        </w:rPr>
        <w:t>响应文件</w:t>
      </w:r>
      <w:r>
        <w:rPr>
          <w:rFonts w:hint="eastAsia" w:ascii="仿宋" w:hAnsi="仿宋" w:eastAsia="仿宋" w:cs="Arial"/>
          <w:color w:val="auto"/>
          <w:kern w:val="0"/>
          <w:szCs w:val="24"/>
          <w:highlight w:val="none"/>
        </w:rPr>
        <w:t>中开标一览表(报价表)内容与</w:t>
      </w:r>
      <w:r>
        <w:rPr>
          <w:rFonts w:hint="eastAsia" w:ascii="仿宋" w:hAnsi="仿宋" w:eastAsia="仿宋" w:cs="Arial"/>
          <w:color w:val="auto"/>
          <w:kern w:val="0"/>
          <w:szCs w:val="24"/>
          <w:highlight w:val="none"/>
          <w:lang w:eastAsia="zh-CN"/>
        </w:rPr>
        <w:t>响应文件</w:t>
      </w:r>
      <w:r>
        <w:rPr>
          <w:rFonts w:hint="eastAsia" w:ascii="仿宋" w:hAnsi="仿宋" w:eastAsia="仿宋" w:cs="Arial"/>
          <w:color w:val="auto"/>
          <w:kern w:val="0"/>
          <w:szCs w:val="24"/>
          <w:highlight w:val="none"/>
        </w:rPr>
        <w:t>中相应内容不一致的，以开标一览表(报价表)为准;</w:t>
      </w:r>
    </w:p>
    <w:p>
      <w:pPr>
        <w:pStyle w:val="28"/>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10.3.2大写金额和小写金额不一致的，以大写金额为准;</w:t>
      </w:r>
    </w:p>
    <w:p>
      <w:pPr>
        <w:pStyle w:val="28"/>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10.3.3单价金额小数点或者百分比有明显错位的，以开标一览表的总价为准，并修改单价;</w:t>
      </w:r>
    </w:p>
    <w:p>
      <w:pPr>
        <w:pStyle w:val="28"/>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10.3.4总价金额与按单价汇总金额不一致的，以单价金额计算结果为准。</w:t>
      </w:r>
    </w:p>
    <w:p>
      <w:pPr>
        <w:pStyle w:val="28"/>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ascii="仿宋" w:hAnsi="仿宋" w:eastAsia="仿宋" w:cs="仿宋_GB2312"/>
          <w:b/>
          <w:bCs/>
          <w:color w:val="auto"/>
          <w:sz w:val="24"/>
          <w:highlight w:val="none"/>
        </w:rPr>
      </w:pPr>
      <w:r>
        <w:rPr>
          <w:rFonts w:hint="eastAsia" w:ascii="仿宋" w:hAnsi="仿宋" w:eastAsia="仿宋" w:cs="仿宋_GB2312"/>
          <w:bCs/>
          <w:color w:val="auto"/>
          <w:sz w:val="24"/>
          <w:highlight w:val="none"/>
        </w:rPr>
        <w:t>▲</w:t>
      </w:r>
      <w:r>
        <w:rPr>
          <w:rFonts w:hint="eastAsia" w:ascii="仿宋" w:hAnsi="仿宋" w:eastAsia="仿宋" w:cs="仿宋_GB2312"/>
          <w:b/>
          <w:bCs/>
          <w:color w:val="auto"/>
          <w:sz w:val="24"/>
          <w:highlight w:val="none"/>
        </w:rPr>
        <w:t>投标人对根据修正原则修正后的报价不确认的，投标无效。</w:t>
      </w:r>
    </w:p>
    <w:p>
      <w:pPr>
        <w:spacing w:line="360" w:lineRule="auto"/>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11.</w:t>
      </w:r>
      <w:r>
        <w:rPr>
          <w:rFonts w:ascii="仿宋" w:hAnsi="仿宋" w:eastAsia="仿宋" w:cs="Arial"/>
          <w:b/>
          <w:color w:val="auto"/>
          <w:kern w:val="0"/>
          <w:sz w:val="24"/>
          <w:highlight w:val="none"/>
        </w:rPr>
        <w:t>汇总</w:t>
      </w:r>
      <w:r>
        <w:rPr>
          <w:rFonts w:hint="eastAsia" w:ascii="仿宋" w:hAnsi="仿宋" w:eastAsia="仿宋" w:cs="Arial"/>
          <w:b/>
          <w:color w:val="auto"/>
          <w:kern w:val="0"/>
          <w:sz w:val="24"/>
          <w:highlight w:val="none"/>
        </w:rPr>
        <w:t>得分。</w:t>
      </w:r>
      <w:r>
        <w:rPr>
          <w:rFonts w:ascii="仿宋" w:hAnsi="仿宋" w:eastAsia="仿宋" w:cs="Arial"/>
          <w:color w:val="auto"/>
          <w:kern w:val="0"/>
          <w:sz w:val="24"/>
          <w:highlight w:val="none"/>
        </w:rPr>
        <w:t>评标委员会各成员应当独立对每个投标人的</w:t>
      </w:r>
      <w:r>
        <w:rPr>
          <w:rFonts w:hint="eastAsia" w:ascii="仿宋" w:hAnsi="仿宋" w:eastAsia="仿宋" w:cs="Arial"/>
          <w:color w:val="auto"/>
          <w:kern w:val="0"/>
          <w:sz w:val="24"/>
          <w:highlight w:val="none"/>
          <w:lang w:eastAsia="zh-CN"/>
        </w:rPr>
        <w:t>响应文件</w:t>
      </w:r>
      <w:r>
        <w:rPr>
          <w:rFonts w:ascii="仿宋" w:hAnsi="仿宋" w:eastAsia="仿宋" w:cs="Arial"/>
          <w:color w:val="auto"/>
          <w:kern w:val="0"/>
          <w:sz w:val="24"/>
          <w:highlight w:val="none"/>
        </w:rPr>
        <w:t>进行评价，并汇总每个投标人的得分。</w:t>
      </w:r>
    </w:p>
    <w:p>
      <w:pPr>
        <w:spacing w:line="360" w:lineRule="auto"/>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12.</w:t>
      </w:r>
      <w:r>
        <w:rPr>
          <w:rFonts w:ascii="仿宋" w:hAnsi="仿宋" w:eastAsia="仿宋" w:cs="Arial"/>
          <w:b/>
          <w:color w:val="auto"/>
          <w:kern w:val="0"/>
          <w:sz w:val="24"/>
          <w:highlight w:val="none"/>
        </w:rPr>
        <w:t>顺序排列</w:t>
      </w:r>
      <w:r>
        <w:rPr>
          <w:rFonts w:hint="eastAsia" w:ascii="仿宋" w:hAnsi="仿宋" w:eastAsia="仿宋" w:cs="Arial"/>
          <w:b/>
          <w:color w:val="auto"/>
          <w:kern w:val="0"/>
          <w:sz w:val="24"/>
          <w:highlight w:val="none"/>
        </w:rPr>
        <w:t>与中标候选推荐。</w:t>
      </w:r>
    </w:p>
    <w:p>
      <w:pPr>
        <w:spacing w:line="360" w:lineRule="auto"/>
        <w:ind w:firstLine="480" w:firstLineChars="200"/>
        <w:rPr>
          <w:rFonts w:hint="eastAsia" w:ascii="仿宋" w:hAnsi="仿宋" w:eastAsia="仿宋" w:cs="仿宋_GB2312"/>
          <w:color w:val="auto"/>
          <w:sz w:val="24"/>
          <w:szCs w:val="21"/>
          <w:highlight w:val="none"/>
          <w:lang w:val="en-US" w:eastAsia="zh-CN"/>
        </w:rPr>
      </w:pPr>
      <w:r>
        <w:rPr>
          <w:rFonts w:hint="eastAsia" w:ascii="仿宋" w:hAnsi="仿宋" w:eastAsia="仿宋" w:cs="仿宋_GB2312"/>
          <w:color w:val="auto"/>
          <w:sz w:val="24"/>
          <w:szCs w:val="21"/>
          <w:highlight w:val="none"/>
        </w:rPr>
        <w:t>12.1</w:t>
      </w:r>
      <w:r>
        <w:rPr>
          <w:rFonts w:ascii="仿宋" w:hAnsi="仿宋" w:eastAsia="仿宋" w:cs="仿宋_GB2312"/>
          <w:color w:val="auto"/>
          <w:sz w:val="24"/>
          <w:szCs w:val="21"/>
          <w:highlight w:val="none"/>
        </w:rPr>
        <w:t>评标结果按评审后得分由高到低顺序排列。得分相同的，按投标报价由低到高顺序排列。得分且投标报价相同的并列。得分最高的投标人为排名第一的中标候选人。</w:t>
      </w:r>
      <w:r>
        <w:rPr>
          <w:rFonts w:hint="eastAsia" w:ascii="仿宋" w:hAnsi="仿宋" w:eastAsia="仿宋" w:cs="仿宋_GB2312"/>
          <w:color w:val="auto"/>
          <w:sz w:val="24"/>
          <w:szCs w:val="21"/>
          <w:highlight w:val="none"/>
          <w:lang w:val="en-US" w:eastAsia="zh-CN"/>
        </w:rPr>
        <w:t xml:space="preserve">      </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12.2多家投标人</w:t>
      </w:r>
      <w:r>
        <w:rPr>
          <w:rFonts w:ascii="仿宋" w:hAnsi="仿宋" w:eastAsia="仿宋" w:cs="仿宋_GB2312"/>
          <w:color w:val="auto"/>
          <w:sz w:val="24"/>
          <w:szCs w:val="21"/>
          <w:highlight w:val="none"/>
        </w:rPr>
        <w:t>提供相同品牌产品</w:t>
      </w:r>
      <w:r>
        <w:rPr>
          <w:rFonts w:hint="eastAsia" w:ascii="仿宋" w:hAnsi="仿宋" w:eastAsia="仿宋" w:cs="仿宋_GB2312"/>
          <w:color w:val="auto"/>
          <w:sz w:val="24"/>
          <w:szCs w:val="21"/>
          <w:highlight w:val="none"/>
        </w:rPr>
        <w:t>（</w:t>
      </w:r>
      <w:r>
        <w:rPr>
          <w:rFonts w:ascii="仿宋" w:hAnsi="仿宋" w:eastAsia="仿宋" w:cs="仿宋_GB2312"/>
          <w:color w:val="auto"/>
          <w:sz w:val="24"/>
          <w:szCs w:val="21"/>
          <w:highlight w:val="none"/>
        </w:rPr>
        <w:t>单一产品采购项目</w:t>
      </w:r>
      <w:r>
        <w:rPr>
          <w:rFonts w:hint="eastAsia" w:ascii="仿宋" w:hAnsi="仿宋" w:eastAsia="仿宋" w:cs="仿宋_GB2312"/>
          <w:color w:val="auto"/>
          <w:sz w:val="24"/>
          <w:szCs w:val="21"/>
          <w:highlight w:val="none"/>
        </w:rPr>
        <w:t>中的该产品或者非</w:t>
      </w:r>
      <w:r>
        <w:rPr>
          <w:rFonts w:ascii="仿宋" w:hAnsi="仿宋" w:eastAsia="仿宋" w:cs="仿宋_GB2312"/>
          <w:color w:val="auto"/>
          <w:sz w:val="24"/>
          <w:szCs w:val="21"/>
          <w:highlight w:val="none"/>
        </w:rPr>
        <w:t>单一产品采购项目</w:t>
      </w:r>
      <w:r>
        <w:rPr>
          <w:rFonts w:hint="eastAsia" w:ascii="仿宋" w:hAnsi="仿宋" w:eastAsia="仿宋" w:cs="仿宋_GB2312"/>
          <w:color w:val="auto"/>
          <w:sz w:val="24"/>
          <w:szCs w:val="21"/>
          <w:highlight w:val="none"/>
        </w:rPr>
        <w:t>的核心产品）</w:t>
      </w:r>
      <w:r>
        <w:rPr>
          <w:rFonts w:ascii="仿宋" w:hAnsi="仿宋" w:eastAsia="仿宋" w:cs="仿宋_GB2312"/>
          <w:color w:val="auto"/>
          <w:sz w:val="24"/>
          <w:szCs w:val="21"/>
          <w:highlight w:val="none"/>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9"/>
        <w:spacing w:line="360" w:lineRule="auto"/>
        <w:ind w:left="559" w:hanging="559" w:hangingChars="199"/>
        <w:rPr>
          <w:rFonts w:ascii="仿宋" w:hAnsi="仿宋" w:eastAsia="仿宋" w:cs="仿宋_GB2312"/>
          <w:color w:val="auto"/>
          <w:szCs w:val="21"/>
          <w:highlight w:val="none"/>
        </w:rPr>
      </w:pPr>
      <w:r>
        <w:rPr>
          <w:rFonts w:hint="eastAsia" w:ascii="仿宋" w:hAnsi="仿宋" w:eastAsia="仿宋" w:cs="仿宋_GB2312"/>
          <w:b/>
          <w:color w:val="auto"/>
          <w:spacing w:val="20"/>
          <w:highlight w:val="none"/>
        </w:rPr>
        <w:t>13.投标无效。</w:t>
      </w:r>
      <w:r>
        <w:rPr>
          <w:rFonts w:hint="eastAsia" w:ascii="仿宋" w:hAnsi="仿宋" w:eastAsia="仿宋" w:cs="仿宋_GB2312"/>
          <w:b/>
          <w:color w:val="auto"/>
          <w:highlight w:val="none"/>
        </w:rPr>
        <w:t>▲</w:t>
      </w:r>
      <w:r>
        <w:rPr>
          <w:rFonts w:hint="eastAsia" w:ascii="仿宋" w:hAnsi="仿宋" w:eastAsia="仿宋" w:cs="仿宋_GB2312"/>
          <w:b/>
          <w:color w:val="auto"/>
          <w:szCs w:val="21"/>
          <w:highlight w:val="none"/>
        </w:rPr>
        <w:t>有下列情况之一的，投标无效：</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 xml:space="preserve">13.2为采购项目提供整体设计、规范编制或者项目管理、监理、检测等服务的供应商再参加该采购项目的其他采购活动的； </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13.3投标人不具备</w:t>
      </w:r>
      <w:r>
        <w:rPr>
          <w:rFonts w:hint="eastAsia" w:ascii="仿宋" w:hAnsi="仿宋" w:eastAsia="仿宋" w:cs="仿宋_GB2312"/>
          <w:color w:val="auto"/>
          <w:sz w:val="24"/>
          <w:szCs w:val="21"/>
          <w:highlight w:val="none"/>
          <w:lang w:eastAsia="zh-CN"/>
        </w:rPr>
        <w:t>磋商</w:t>
      </w:r>
      <w:r>
        <w:rPr>
          <w:rFonts w:hint="eastAsia" w:ascii="仿宋" w:hAnsi="仿宋" w:eastAsia="仿宋" w:cs="仿宋_GB2312"/>
          <w:color w:val="auto"/>
          <w:sz w:val="24"/>
          <w:szCs w:val="21"/>
          <w:highlight w:val="none"/>
        </w:rPr>
        <w:t>文件中规定的资格要求的（投标人未提供有效的资格证明文件的，视为投标人不具备</w:t>
      </w:r>
      <w:r>
        <w:rPr>
          <w:rFonts w:hint="eastAsia" w:ascii="仿宋" w:hAnsi="仿宋" w:eastAsia="仿宋" w:cs="仿宋_GB2312"/>
          <w:color w:val="auto"/>
          <w:sz w:val="24"/>
          <w:szCs w:val="21"/>
          <w:highlight w:val="none"/>
          <w:lang w:eastAsia="zh-CN"/>
        </w:rPr>
        <w:t>磋商</w:t>
      </w:r>
      <w:r>
        <w:rPr>
          <w:rFonts w:hint="eastAsia" w:ascii="仿宋" w:hAnsi="仿宋" w:eastAsia="仿宋" w:cs="仿宋_GB2312"/>
          <w:color w:val="auto"/>
          <w:sz w:val="24"/>
          <w:szCs w:val="21"/>
          <w:highlight w:val="none"/>
        </w:rPr>
        <w:t>文件中规定的资格要求）；</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13.4如以联合体形式参加政府采购活动的，联合体协议不符合</w:t>
      </w:r>
      <w:r>
        <w:rPr>
          <w:rFonts w:hint="eastAsia" w:ascii="仿宋" w:hAnsi="仿宋" w:eastAsia="仿宋" w:cs="仿宋_GB2312"/>
          <w:color w:val="auto"/>
          <w:sz w:val="24"/>
          <w:szCs w:val="21"/>
          <w:highlight w:val="none"/>
          <w:lang w:eastAsia="zh-CN"/>
        </w:rPr>
        <w:t>磋商</w:t>
      </w:r>
      <w:r>
        <w:rPr>
          <w:rFonts w:hint="eastAsia" w:ascii="仿宋" w:hAnsi="仿宋" w:eastAsia="仿宋" w:cs="仿宋_GB2312"/>
          <w:color w:val="auto"/>
          <w:sz w:val="24"/>
          <w:szCs w:val="21"/>
          <w:highlight w:val="none"/>
        </w:rPr>
        <w:t>文件规定的联合体协议要求的；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13.5</w:t>
      </w:r>
      <w:r>
        <w:rPr>
          <w:rFonts w:hint="eastAsia" w:ascii="仿宋" w:hAnsi="仿宋" w:eastAsia="仿宋" w:cs="仿宋_GB2312"/>
          <w:color w:val="auto"/>
          <w:sz w:val="24"/>
          <w:szCs w:val="21"/>
          <w:highlight w:val="none"/>
          <w:lang w:eastAsia="zh-CN"/>
        </w:rPr>
        <w:t>响应</w:t>
      </w:r>
      <w:r>
        <w:rPr>
          <w:rFonts w:hint="eastAsia" w:ascii="仿宋" w:hAnsi="仿宋" w:eastAsia="仿宋" w:cs="仿宋_GB2312"/>
          <w:color w:val="auto"/>
          <w:sz w:val="24"/>
          <w:szCs w:val="21"/>
          <w:highlight w:val="none"/>
        </w:rPr>
        <w:t>文件未按规定的格式编制的；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13.6</w:t>
      </w:r>
      <w:r>
        <w:rPr>
          <w:rFonts w:hint="eastAsia" w:ascii="仿宋" w:hAnsi="仿宋" w:eastAsia="仿宋" w:cs="仿宋_GB2312"/>
          <w:color w:val="auto"/>
          <w:sz w:val="24"/>
          <w:szCs w:val="21"/>
          <w:highlight w:val="none"/>
          <w:lang w:eastAsia="zh-CN"/>
        </w:rPr>
        <w:t>响应</w:t>
      </w:r>
      <w:r>
        <w:rPr>
          <w:rFonts w:hint="eastAsia" w:ascii="仿宋" w:hAnsi="仿宋" w:eastAsia="仿宋" w:cs="仿宋_GB2312"/>
          <w:color w:val="auto"/>
          <w:sz w:val="24"/>
          <w:szCs w:val="21"/>
          <w:highlight w:val="none"/>
        </w:rPr>
        <w:t>文件未按</w:t>
      </w:r>
      <w:r>
        <w:rPr>
          <w:rFonts w:hint="eastAsia" w:ascii="仿宋" w:hAnsi="仿宋" w:eastAsia="仿宋" w:cs="仿宋_GB2312"/>
          <w:color w:val="auto"/>
          <w:sz w:val="24"/>
          <w:szCs w:val="21"/>
          <w:highlight w:val="none"/>
          <w:lang w:eastAsia="zh-CN"/>
        </w:rPr>
        <w:t>磋商</w:t>
      </w:r>
      <w:r>
        <w:rPr>
          <w:rFonts w:hint="eastAsia" w:ascii="仿宋" w:hAnsi="仿宋" w:eastAsia="仿宋" w:cs="仿宋_GB2312"/>
          <w:color w:val="auto"/>
          <w:sz w:val="24"/>
          <w:szCs w:val="21"/>
          <w:highlight w:val="none"/>
        </w:rPr>
        <w:t>文件的澄清、修改的内容编制，又不符合实质性要求的；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13.7</w:t>
      </w:r>
      <w:r>
        <w:rPr>
          <w:rFonts w:hint="eastAsia" w:ascii="仿宋" w:hAnsi="仿宋" w:eastAsia="仿宋" w:cs="仿宋_GB2312"/>
          <w:color w:val="auto"/>
          <w:sz w:val="24"/>
          <w:szCs w:val="21"/>
          <w:highlight w:val="none"/>
          <w:lang w:eastAsia="zh-CN"/>
        </w:rPr>
        <w:t>响应文件</w:t>
      </w:r>
      <w:r>
        <w:rPr>
          <w:rFonts w:hint="eastAsia" w:ascii="仿宋" w:hAnsi="仿宋" w:eastAsia="仿宋" w:cs="仿宋_GB2312"/>
          <w:color w:val="auto"/>
          <w:sz w:val="24"/>
          <w:szCs w:val="21"/>
          <w:highlight w:val="none"/>
        </w:rPr>
        <w:t>组成漏项，内容不全或内容字迹模糊辨认不清的；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13.8</w:t>
      </w:r>
      <w:r>
        <w:rPr>
          <w:rFonts w:hint="eastAsia" w:ascii="仿宋" w:hAnsi="仿宋" w:eastAsia="仿宋" w:cs="仿宋_GB2312"/>
          <w:color w:val="auto"/>
          <w:sz w:val="24"/>
          <w:szCs w:val="21"/>
          <w:highlight w:val="none"/>
          <w:lang w:eastAsia="zh-CN"/>
        </w:rPr>
        <w:t>响应文件</w:t>
      </w:r>
      <w:r>
        <w:rPr>
          <w:rFonts w:hint="eastAsia" w:ascii="仿宋" w:hAnsi="仿宋" w:eastAsia="仿宋" w:cs="仿宋_GB2312"/>
          <w:color w:val="auto"/>
          <w:sz w:val="24"/>
          <w:szCs w:val="21"/>
          <w:highlight w:val="none"/>
        </w:rPr>
        <w:t>中法定代表人授权书所载内容与本项目内容有异的；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13.9</w:t>
      </w:r>
      <w:r>
        <w:rPr>
          <w:rFonts w:hint="eastAsia" w:ascii="仿宋" w:hAnsi="仿宋" w:eastAsia="仿宋" w:cs="仿宋_GB2312"/>
          <w:color w:val="auto"/>
          <w:sz w:val="24"/>
          <w:szCs w:val="21"/>
          <w:highlight w:val="none"/>
          <w:lang w:eastAsia="zh-CN"/>
        </w:rPr>
        <w:t>响应文件</w:t>
      </w:r>
      <w:r>
        <w:rPr>
          <w:rFonts w:hint="eastAsia" w:ascii="仿宋" w:hAnsi="仿宋" w:eastAsia="仿宋" w:cs="仿宋_GB2312"/>
          <w:color w:val="auto"/>
          <w:sz w:val="24"/>
          <w:szCs w:val="21"/>
          <w:highlight w:val="none"/>
        </w:rPr>
        <w:t>未按照</w:t>
      </w:r>
      <w:r>
        <w:rPr>
          <w:rFonts w:hint="eastAsia" w:ascii="仿宋" w:hAnsi="仿宋" w:eastAsia="仿宋" w:cs="仿宋_GB2312"/>
          <w:color w:val="auto"/>
          <w:sz w:val="24"/>
          <w:szCs w:val="21"/>
          <w:highlight w:val="none"/>
          <w:lang w:eastAsia="zh-CN"/>
        </w:rPr>
        <w:t>磋商</w:t>
      </w:r>
      <w:r>
        <w:rPr>
          <w:rFonts w:hint="eastAsia" w:ascii="仿宋" w:hAnsi="仿宋" w:eastAsia="仿宋" w:cs="仿宋_GB2312"/>
          <w:color w:val="auto"/>
          <w:sz w:val="24"/>
          <w:szCs w:val="21"/>
          <w:highlight w:val="none"/>
        </w:rPr>
        <w:t>文件要求签署、盖章的；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13.10采购人拟采购的产品属于政府强制采购的节能产品品目清单范围的，投标人未按</w:t>
      </w:r>
      <w:r>
        <w:rPr>
          <w:rFonts w:hint="eastAsia" w:ascii="仿宋" w:hAnsi="仿宋" w:eastAsia="仿宋" w:cs="仿宋_GB2312"/>
          <w:color w:val="auto"/>
          <w:sz w:val="24"/>
          <w:szCs w:val="21"/>
          <w:highlight w:val="none"/>
          <w:lang w:eastAsia="zh-CN"/>
        </w:rPr>
        <w:t>磋商</w:t>
      </w:r>
      <w:r>
        <w:rPr>
          <w:rFonts w:hint="eastAsia" w:ascii="仿宋" w:hAnsi="仿宋" w:eastAsia="仿宋" w:cs="仿宋_GB2312"/>
          <w:color w:val="auto"/>
          <w:sz w:val="24"/>
          <w:szCs w:val="21"/>
          <w:highlight w:val="none"/>
        </w:rPr>
        <w:t>文件要求提供国家确定的认证机构出具的、处于有效期之内的节能产品认证证书的；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13.11</w:t>
      </w:r>
      <w:r>
        <w:rPr>
          <w:rFonts w:hint="eastAsia" w:ascii="仿宋" w:hAnsi="仿宋" w:eastAsia="仿宋" w:cs="仿宋_GB2312"/>
          <w:color w:val="auto"/>
          <w:sz w:val="24"/>
          <w:szCs w:val="21"/>
          <w:highlight w:val="none"/>
          <w:lang w:eastAsia="zh-CN"/>
        </w:rPr>
        <w:t>响应</w:t>
      </w:r>
      <w:r>
        <w:rPr>
          <w:rFonts w:hint="eastAsia" w:ascii="仿宋" w:hAnsi="仿宋" w:eastAsia="仿宋" w:cs="仿宋_GB2312"/>
          <w:color w:val="auto"/>
          <w:sz w:val="24"/>
          <w:szCs w:val="21"/>
          <w:highlight w:val="none"/>
        </w:rPr>
        <w:t>文件含有采购人不能接受的附加条件的；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13.12</w:t>
      </w:r>
      <w:r>
        <w:rPr>
          <w:rFonts w:hint="eastAsia" w:ascii="仿宋" w:hAnsi="仿宋" w:eastAsia="仿宋" w:cs="仿宋_GB2312"/>
          <w:color w:val="auto"/>
          <w:sz w:val="24"/>
          <w:szCs w:val="21"/>
          <w:highlight w:val="none"/>
          <w:lang w:eastAsia="zh-CN"/>
        </w:rPr>
        <w:t>响应</w:t>
      </w:r>
      <w:r>
        <w:rPr>
          <w:rFonts w:hint="eastAsia" w:ascii="仿宋" w:hAnsi="仿宋" w:eastAsia="仿宋" w:cs="仿宋_GB2312"/>
          <w:color w:val="auto"/>
          <w:sz w:val="24"/>
          <w:szCs w:val="21"/>
          <w:highlight w:val="none"/>
        </w:rPr>
        <w:t>文件中承诺的投标有效期少于</w:t>
      </w:r>
      <w:r>
        <w:rPr>
          <w:rFonts w:hint="eastAsia" w:ascii="仿宋" w:hAnsi="仿宋" w:eastAsia="仿宋" w:cs="仿宋_GB2312"/>
          <w:color w:val="auto"/>
          <w:sz w:val="24"/>
          <w:szCs w:val="21"/>
          <w:highlight w:val="none"/>
          <w:lang w:eastAsia="zh-CN"/>
        </w:rPr>
        <w:t>磋商</w:t>
      </w:r>
      <w:r>
        <w:rPr>
          <w:rFonts w:hint="eastAsia" w:ascii="仿宋" w:hAnsi="仿宋" w:eastAsia="仿宋" w:cs="仿宋_GB2312"/>
          <w:color w:val="auto"/>
          <w:sz w:val="24"/>
          <w:szCs w:val="21"/>
          <w:highlight w:val="none"/>
        </w:rPr>
        <w:t>文件中载明的投标有效期的；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13.13投标人所投内容不符合采购需求中实质性要求的；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13.14</w:t>
      </w:r>
      <w:r>
        <w:rPr>
          <w:rFonts w:hint="eastAsia" w:ascii="仿宋" w:hAnsi="仿宋" w:eastAsia="仿宋" w:cs="仿宋_GB2312"/>
          <w:color w:val="auto"/>
          <w:sz w:val="24"/>
          <w:szCs w:val="21"/>
          <w:highlight w:val="none"/>
          <w:lang w:eastAsia="zh-CN"/>
        </w:rPr>
        <w:t>响应</w:t>
      </w:r>
      <w:r>
        <w:rPr>
          <w:rFonts w:hint="eastAsia" w:ascii="仿宋" w:hAnsi="仿宋" w:eastAsia="仿宋" w:cs="仿宋_GB2312"/>
          <w:color w:val="auto"/>
          <w:sz w:val="24"/>
          <w:szCs w:val="21"/>
          <w:highlight w:val="none"/>
        </w:rPr>
        <w:t>文件出现不是唯一的、有选择性投标报价的;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13.15投标报价高于本项目采购预算或者最高限价的;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13.16报价明显低于其他通过符合性审查投标人的报价，有可能影响产品质量或者不能诚信履约的，未能按要求提供书面说明或者提交相关证明材料，不能证明其报价合理性的;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13.17《投标（开标）一览表》重要信息填写不完整或字迹不能辨认或有漏项的；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13.18投标人对根据修正原则修正后的报价不确认的；</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13.19投标人提供虚假材料投标的（包括但不限于以下情节）；</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13.19.1使用伪造、变造的许可证件；</w:t>
      </w:r>
      <w:r>
        <w:rPr>
          <w:rFonts w:hint="eastAsia" w:ascii="仿宋" w:hAnsi="仿宋" w:eastAsia="仿宋" w:cs="仿宋_GB2312"/>
          <w:color w:val="auto"/>
          <w:sz w:val="24"/>
          <w:szCs w:val="21"/>
          <w:highlight w:val="none"/>
        </w:rPr>
        <w:br w:type="textWrapping"/>
      </w:r>
      <w:r>
        <w:rPr>
          <w:rFonts w:hint="eastAsia" w:ascii="仿宋" w:hAnsi="仿宋" w:eastAsia="仿宋" w:cs="仿宋_GB2312"/>
          <w:color w:val="auto"/>
          <w:sz w:val="24"/>
          <w:szCs w:val="21"/>
          <w:highlight w:val="none"/>
        </w:rPr>
        <w:t>     13.19.2提供虚假的财务状况或者业绩；</w:t>
      </w:r>
      <w:r>
        <w:rPr>
          <w:rFonts w:hint="eastAsia" w:ascii="仿宋" w:hAnsi="仿宋" w:eastAsia="仿宋" w:cs="仿宋_GB2312"/>
          <w:color w:val="auto"/>
          <w:sz w:val="24"/>
          <w:szCs w:val="21"/>
          <w:highlight w:val="none"/>
        </w:rPr>
        <w:br w:type="textWrapping"/>
      </w:r>
      <w:r>
        <w:rPr>
          <w:rFonts w:hint="eastAsia" w:ascii="仿宋" w:hAnsi="仿宋" w:eastAsia="仿宋" w:cs="仿宋_GB2312"/>
          <w:color w:val="auto"/>
          <w:sz w:val="24"/>
          <w:szCs w:val="21"/>
          <w:highlight w:val="none"/>
        </w:rPr>
        <w:t>     13.19.3提供虚假的项目负责人或者主要技术人员简历、劳动关系证明；</w:t>
      </w:r>
      <w:r>
        <w:rPr>
          <w:rFonts w:hint="eastAsia" w:ascii="仿宋" w:hAnsi="仿宋" w:eastAsia="仿宋" w:cs="仿宋_GB2312"/>
          <w:color w:val="auto"/>
          <w:sz w:val="24"/>
          <w:szCs w:val="21"/>
          <w:highlight w:val="none"/>
        </w:rPr>
        <w:br w:type="textWrapping"/>
      </w:r>
      <w:r>
        <w:rPr>
          <w:rFonts w:hint="eastAsia" w:ascii="仿宋" w:hAnsi="仿宋" w:eastAsia="仿宋" w:cs="仿宋_GB2312"/>
          <w:color w:val="auto"/>
          <w:sz w:val="24"/>
          <w:szCs w:val="21"/>
          <w:highlight w:val="none"/>
        </w:rPr>
        <w:t>     13.19.4提供虚假的信用状况；</w:t>
      </w:r>
    </w:p>
    <w:p>
      <w:pPr>
        <w:spacing w:line="360" w:lineRule="auto"/>
        <w:ind w:firstLine="480" w:firstLineChars="200"/>
        <w:rPr>
          <w:rFonts w:ascii="仿宋" w:hAnsi="仿宋" w:eastAsia="仿宋" w:cs="仿宋_GB2312"/>
          <w:color w:val="auto"/>
          <w:sz w:val="24"/>
          <w:szCs w:val="21"/>
          <w:highlight w:val="none"/>
        </w:rPr>
      </w:pPr>
      <w:r>
        <w:rPr>
          <w:rFonts w:ascii="仿宋" w:hAnsi="仿宋" w:eastAsia="仿宋" w:cs="仿宋_GB2312"/>
          <w:color w:val="auto"/>
          <w:sz w:val="24"/>
          <w:szCs w:val="21"/>
          <w:highlight w:val="none"/>
        </w:rPr>
        <w:t>13.</w:t>
      </w:r>
      <w:r>
        <w:rPr>
          <w:rFonts w:hint="eastAsia" w:ascii="仿宋" w:hAnsi="仿宋" w:eastAsia="仿宋" w:cs="仿宋_GB2312"/>
          <w:color w:val="auto"/>
          <w:sz w:val="24"/>
          <w:szCs w:val="21"/>
          <w:highlight w:val="none"/>
        </w:rPr>
        <w:t>19</w:t>
      </w:r>
      <w:r>
        <w:rPr>
          <w:rFonts w:ascii="仿宋" w:hAnsi="仿宋" w:eastAsia="仿宋" w:cs="仿宋_GB2312"/>
          <w:color w:val="auto"/>
          <w:sz w:val="24"/>
          <w:szCs w:val="21"/>
          <w:highlight w:val="none"/>
        </w:rPr>
        <w:t>.</w:t>
      </w:r>
      <w:r>
        <w:rPr>
          <w:rFonts w:hint="eastAsia" w:ascii="仿宋" w:hAnsi="仿宋" w:eastAsia="仿宋" w:cs="仿宋_GB2312"/>
          <w:color w:val="auto"/>
          <w:sz w:val="24"/>
          <w:szCs w:val="21"/>
          <w:highlight w:val="none"/>
        </w:rPr>
        <w:t>5其他弄虚作假的行为。</w:t>
      </w:r>
      <w:r>
        <w:rPr>
          <w:rFonts w:hint="eastAsia" w:ascii="仿宋" w:hAnsi="仿宋" w:eastAsia="仿宋" w:cs="仿宋_GB2312"/>
          <w:color w:val="auto"/>
          <w:sz w:val="24"/>
          <w:szCs w:val="21"/>
          <w:highlight w:val="none"/>
        </w:rPr>
        <w:br w:type="textWrapping"/>
      </w:r>
      <w:r>
        <w:rPr>
          <w:rFonts w:hint="eastAsia" w:ascii="仿宋" w:hAnsi="仿宋" w:eastAsia="仿宋" w:cs="仿宋_GB2312"/>
          <w:color w:val="auto"/>
          <w:sz w:val="24"/>
          <w:szCs w:val="21"/>
          <w:highlight w:val="none"/>
        </w:rPr>
        <w:t xml:space="preserve">    13.20投标人有恶意串通、妨碍其他投标人的竞争行为、损害采购人或者其他投标人的合法权益情形的；有下列情形之一的，属于或视为恶意串通，其投标无效：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13.20.1供应商直接或者间接从采购人或者采购机构处获得其他供应商的相关情况并修改其</w:t>
      </w:r>
      <w:r>
        <w:rPr>
          <w:rFonts w:hint="eastAsia" w:ascii="仿宋" w:hAnsi="仿宋" w:eastAsia="仿宋" w:cs="仿宋_GB2312"/>
          <w:color w:val="auto"/>
          <w:sz w:val="24"/>
          <w:szCs w:val="21"/>
          <w:highlight w:val="none"/>
          <w:lang w:eastAsia="zh-CN"/>
        </w:rPr>
        <w:t>响应文件</w:t>
      </w:r>
      <w:r>
        <w:rPr>
          <w:rFonts w:hint="eastAsia" w:ascii="仿宋" w:hAnsi="仿宋" w:eastAsia="仿宋" w:cs="仿宋_GB2312"/>
          <w:color w:val="auto"/>
          <w:sz w:val="24"/>
          <w:szCs w:val="21"/>
          <w:highlight w:val="none"/>
        </w:rPr>
        <w:t>或者响应文件；</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13.20.2供应商按照采购人或者采购机构的授意撤换、修改</w:t>
      </w:r>
      <w:r>
        <w:rPr>
          <w:rFonts w:hint="eastAsia" w:ascii="仿宋" w:hAnsi="仿宋" w:eastAsia="仿宋" w:cs="仿宋_GB2312"/>
          <w:color w:val="auto"/>
          <w:sz w:val="24"/>
          <w:szCs w:val="21"/>
          <w:highlight w:val="none"/>
          <w:lang w:eastAsia="zh-CN"/>
        </w:rPr>
        <w:t>响应文件</w:t>
      </w:r>
      <w:r>
        <w:rPr>
          <w:rFonts w:hint="eastAsia" w:ascii="仿宋" w:hAnsi="仿宋" w:eastAsia="仿宋" w:cs="仿宋_GB2312"/>
          <w:color w:val="auto"/>
          <w:sz w:val="24"/>
          <w:szCs w:val="21"/>
          <w:highlight w:val="none"/>
        </w:rPr>
        <w:t>或者响应文件；</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13.20.3供应商之间协商报价、技术方案等</w:t>
      </w:r>
      <w:r>
        <w:rPr>
          <w:rFonts w:hint="eastAsia" w:ascii="仿宋" w:hAnsi="仿宋" w:eastAsia="仿宋" w:cs="仿宋_GB2312"/>
          <w:color w:val="auto"/>
          <w:sz w:val="24"/>
          <w:szCs w:val="21"/>
          <w:highlight w:val="none"/>
          <w:lang w:eastAsia="zh-CN"/>
        </w:rPr>
        <w:t>响应文件</w:t>
      </w:r>
      <w:r>
        <w:rPr>
          <w:rFonts w:hint="eastAsia" w:ascii="仿宋" w:hAnsi="仿宋" w:eastAsia="仿宋" w:cs="仿宋_GB2312"/>
          <w:color w:val="auto"/>
          <w:sz w:val="24"/>
          <w:szCs w:val="21"/>
          <w:highlight w:val="none"/>
        </w:rPr>
        <w:t>或者响应文件的实质性内容；</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13.20.4属于同一集团、协会、商会等组织成员的供应商按照该组织要求协同参加政府采购活动；</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13.20.5供应商之间事先约定由某一特定供应商中标、成交；</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13.20.6供应商之间商定部分供应商放弃参加政府采购活动或者放弃中标、成交；</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13.20.7供应商与采购人或者采购机构之间、供应商相互之间，为谋求特定供应商中标、成交或者排斥其他供应商的其他串通行为。</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13.20.8不同投标人的</w:t>
      </w:r>
      <w:r>
        <w:rPr>
          <w:rFonts w:hint="eastAsia" w:ascii="仿宋" w:hAnsi="仿宋" w:eastAsia="仿宋" w:cs="仿宋_GB2312"/>
          <w:color w:val="auto"/>
          <w:sz w:val="24"/>
          <w:szCs w:val="21"/>
          <w:highlight w:val="none"/>
          <w:lang w:eastAsia="zh-CN"/>
        </w:rPr>
        <w:t>响应文件</w:t>
      </w:r>
      <w:r>
        <w:rPr>
          <w:rFonts w:hint="eastAsia" w:ascii="仿宋" w:hAnsi="仿宋" w:eastAsia="仿宋" w:cs="仿宋_GB2312"/>
          <w:color w:val="auto"/>
          <w:sz w:val="24"/>
          <w:szCs w:val="21"/>
          <w:highlight w:val="none"/>
        </w:rPr>
        <w:t>由同一单位或者个人编制；</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13.20.9不同投标人委托同一单位或者个人办理投标事宜；</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13.20.10不同投标人的</w:t>
      </w:r>
      <w:r>
        <w:rPr>
          <w:rFonts w:hint="eastAsia" w:ascii="仿宋" w:hAnsi="仿宋" w:eastAsia="仿宋" w:cs="仿宋_GB2312"/>
          <w:color w:val="auto"/>
          <w:sz w:val="24"/>
          <w:szCs w:val="21"/>
          <w:highlight w:val="none"/>
          <w:lang w:eastAsia="zh-CN"/>
        </w:rPr>
        <w:t>响应文件</w:t>
      </w:r>
      <w:r>
        <w:rPr>
          <w:rFonts w:hint="eastAsia" w:ascii="仿宋" w:hAnsi="仿宋" w:eastAsia="仿宋" w:cs="仿宋_GB2312"/>
          <w:color w:val="auto"/>
          <w:sz w:val="24"/>
          <w:szCs w:val="21"/>
          <w:highlight w:val="none"/>
        </w:rPr>
        <w:t>载明的项目管理成员或者联系人员为同一人；</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13.20.11不同投标人的</w:t>
      </w:r>
      <w:r>
        <w:rPr>
          <w:rFonts w:hint="eastAsia" w:ascii="仿宋" w:hAnsi="仿宋" w:eastAsia="仿宋" w:cs="仿宋_GB2312"/>
          <w:color w:val="auto"/>
          <w:sz w:val="24"/>
          <w:szCs w:val="21"/>
          <w:highlight w:val="none"/>
          <w:lang w:eastAsia="zh-CN"/>
        </w:rPr>
        <w:t>响应文件</w:t>
      </w:r>
      <w:r>
        <w:rPr>
          <w:rFonts w:hint="eastAsia" w:ascii="仿宋" w:hAnsi="仿宋" w:eastAsia="仿宋" w:cs="仿宋_GB2312"/>
          <w:color w:val="auto"/>
          <w:sz w:val="24"/>
          <w:szCs w:val="21"/>
          <w:highlight w:val="none"/>
        </w:rPr>
        <w:t>异常一致或者投标报价呈规律性差异；</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13.20.12不同投标人的</w:t>
      </w:r>
      <w:r>
        <w:rPr>
          <w:rFonts w:hint="eastAsia" w:ascii="仿宋" w:hAnsi="仿宋" w:eastAsia="仿宋" w:cs="仿宋_GB2312"/>
          <w:color w:val="auto"/>
          <w:sz w:val="24"/>
          <w:szCs w:val="21"/>
          <w:highlight w:val="none"/>
          <w:lang w:eastAsia="zh-CN"/>
        </w:rPr>
        <w:t>响应文件</w:t>
      </w:r>
      <w:r>
        <w:rPr>
          <w:rFonts w:hint="eastAsia" w:ascii="仿宋" w:hAnsi="仿宋" w:eastAsia="仿宋" w:cs="仿宋_GB2312"/>
          <w:color w:val="auto"/>
          <w:sz w:val="24"/>
          <w:szCs w:val="21"/>
          <w:highlight w:val="none"/>
        </w:rPr>
        <w:t>相互混装；</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s="仿宋_GB2312"/>
          <w:color w:val="auto"/>
          <w:sz w:val="24"/>
          <w:szCs w:val="21"/>
          <w:highlight w:val="none"/>
        </w:rPr>
        <w:t>13.21法律、法规、规章（适用本市的）及省级以上规范性文件（适用本市的）规定的其他无效情形。</w:t>
      </w:r>
    </w:p>
    <w:p>
      <w:pPr>
        <w:spacing w:line="360" w:lineRule="auto"/>
        <w:ind w:firstLine="240" w:firstLineChars="100"/>
        <w:rPr>
          <w:rFonts w:ascii="仿宋" w:hAnsi="仿宋" w:eastAsia="仿宋" w:cs="仿宋_GB2312"/>
          <w:color w:val="auto"/>
          <w:sz w:val="24"/>
          <w:szCs w:val="21"/>
          <w:highlight w:val="none"/>
        </w:rPr>
      </w:pP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五、评标报告。</w:t>
      </w:r>
      <w:r>
        <w:rPr>
          <w:rFonts w:ascii="仿宋" w:hAnsi="仿宋" w:eastAsia="仿宋" w:cs="仿宋_GB2312"/>
          <w:b/>
          <w:color w:val="auto"/>
          <w:sz w:val="32"/>
          <w:highlight w:val="none"/>
        </w:rPr>
        <w:t xml:space="preserve"> </w:t>
      </w:r>
    </w:p>
    <w:p>
      <w:pPr>
        <w:pStyle w:val="28"/>
        <w:spacing w:before="0"/>
        <w:ind w:firstLine="0" w:firstLineChars="0"/>
        <w:rPr>
          <w:rFonts w:ascii="仿宋" w:hAnsi="仿宋" w:eastAsia="仿宋" w:cs="仿宋_GB2312"/>
          <w:color w:val="auto"/>
          <w:szCs w:val="24"/>
          <w:highlight w:val="none"/>
        </w:rPr>
      </w:pPr>
      <w:r>
        <w:rPr>
          <w:rFonts w:hint="eastAsia" w:ascii="仿宋" w:hAnsi="仿宋" w:eastAsia="仿宋" w:cs="仿宋_GB2312"/>
          <w:b/>
          <w:color w:val="auto"/>
          <w:szCs w:val="24"/>
          <w:highlight w:val="none"/>
        </w:rPr>
        <w:t>14.</w:t>
      </w:r>
      <w:r>
        <w:rPr>
          <w:rFonts w:ascii="仿宋" w:hAnsi="仿宋" w:eastAsia="仿宋" w:cs="仿宋_GB2312"/>
          <w:b/>
          <w:color w:val="auto"/>
          <w:szCs w:val="24"/>
          <w:highlight w:val="none"/>
        </w:rPr>
        <w:t>评标报告</w:t>
      </w:r>
      <w:r>
        <w:rPr>
          <w:rFonts w:hint="eastAsia" w:ascii="仿宋" w:hAnsi="仿宋" w:eastAsia="仿宋" w:cs="仿宋_GB2312"/>
          <w:b/>
          <w:color w:val="auto"/>
          <w:szCs w:val="24"/>
          <w:highlight w:val="none"/>
        </w:rPr>
        <w:t>与推荐</w:t>
      </w:r>
      <w:r>
        <w:rPr>
          <w:rFonts w:ascii="仿宋" w:hAnsi="仿宋" w:eastAsia="仿宋" w:cs="仿宋_GB2312"/>
          <w:b/>
          <w:color w:val="auto"/>
          <w:szCs w:val="24"/>
          <w:highlight w:val="none"/>
        </w:rPr>
        <w:t>中标候选人</w:t>
      </w:r>
      <w:r>
        <w:rPr>
          <w:rFonts w:hint="eastAsia" w:ascii="仿宋" w:hAnsi="仿宋" w:eastAsia="仿宋" w:cs="仿宋_GB2312"/>
          <w:b/>
          <w:color w:val="auto"/>
          <w:szCs w:val="24"/>
          <w:highlight w:val="none"/>
        </w:rPr>
        <w:t>。</w:t>
      </w:r>
      <w:r>
        <w:rPr>
          <w:rFonts w:ascii="仿宋" w:hAnsi="仿宋" w:eastAsia="仿宋" w:cs="仿宋_GB2312"/>
          <w:color w:val="auto"/>
          <w:szCs w:val="24"/>
          <w:highlight w:val="none"/>
        </w:rPr>
        <w:t>评标委员会根据原始评标记录和评标结果编写评标报告</w:t>
      </w:r>
      <w:r>
        <w:rPr>
          <w:rFonts w:hint="eastAsia" w:ascii="仿宋" w:hAnsi="仿宋" w:eastAsia="仿宋" w:cs="仿宋_GB2312"/>
          <w:color w:val="auto"/>
          <w:szCs w:val="24"/>
          <w:highlight w:val="none"/>
        </w:rPr>
        <w:t>，并通过电子交易平台向采购人、采购机构提交。</w:t>
      </w:r>
    </w:p>
    <w:p>
      <w:pPr>
        <w:widowControl/>
        <w:adjustRightInd/>
        <w:spacing w:before="100" w:beforeAutospacing="1" w:after="100" w:afterAutospacing="1" w:line="360" w:lineRule="auto"/>
        <w:jc w:val="left"/>
        <w:rPr>
          <w:rFonts w:ascii="ˎ̥" w:hAnsi="ˎ̥" w:cs="宋体"/>
          <w:color w:val="auto"/>
          <w:kern w:val="0"/>
          <w:sz w:val="24"/>
          <w:highlight w:val="none"/>
        </w:rPr>
      </w:pPr>
      <w:r>
        <w:rPr>
          <w:rFonts w:hint="eastAsia" w:ascii="仿宋" w:hAnsi="仿宋" w:eastAsia="仿宋" w:cs="仿宋_GB2312"/>
          <w:b/>
          <w:color w:val="auto"/>
          <w:sz w:val="24"/>
          <w:highlight w:val="none"/>
        </w:rPr>
        <w:t>15.评标争议</w:t>
      </w:r>
      <w:r>
        <w:rPr>
          <w:rFonts w:ascii="仿宋" w:hAnsi="仿宋" w:eastAsia="仿宋" w:cs="仿宋_GB2312"/>
          <w:b/>
          <w:color w:val="auto"/>
          <w:sz w:val="24"/>
          <w:highlight w:val="none"/>
        </w:rPr>
        <w:t>事项</w:t>
      </w:r>
      <w:r>
        <w:rPr>
          <w:rFonts w:hint="eastAsia" w:ascii="仿宋" w:hAnsi="仿宋" w:eastAsia="仿宋" w:cs="仿宋_GB2312"/>
          <w:b/>
          <w:color w:val="auto"/>
          <w:sz w:val="24"/>
          <w:highlight w:val="none"/>
        </w:rPr>
        <w:t>处理。</w:t>
      </w:r>
      <w:r>
        <w:rPr>
          <w:rFonts w:ascii="仿宋" w:hAnsi="仿宋" w:eastAsia="仿宋"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六、 废标</w:t>
      </w:r>
    </w:p>
    <w:p>
      <w:pPr>
        <w:pStyle w:val="9"/>
        <w:snapToGrid w:val="0"/>
        <w:spacing w:line="360" w:lineRule="auto"/>
        <w:ind w:firstLine="0" w:firstLineChars="0"/>
        <w:rPr>
          <w:rFonts w:ascii="仿宋" w:hAnsi="仿宋" w:eastAsia="仿宋" w:cs="仿宋_GB2312"/>
          <w:color w:val="auto"/>
          <w:highlight w:val="none"/>
        </w:rPr>
      </w:pPr>
      <w:r>
        <w:rPr>
          <w:rFonts w:hint="eastAsia" w:ascii="仿宋" w:hAnsi="仿宋" w:eastAsia="仿宋" w:cs="仿宋_GB2312"/>
          <w:b/>
          <w:color w:val="auto"/>
          <w:highlight w:val="none"/>
        </w:rPr>
        <w:t>16.废标。</w:t>
      </w:r>
      <w:r>
        <w:rPr>
          <w:rFonts w:hint="eastAsia" w:ascii="仿宋" w:hAnsi="仿宋" w:eastAsia="仿宋" w:cs="仿宋_GB2312"/>
          <w:color w:val="auto"/>
          <w:highlight w:val="none"/>
        </w:rPr>
        <w:t>根据《中华人民共和国政府采购法》第三十六条之规定，在采购中，出现下列情形之一的，应予废标：</w:t>
      </w:r>
    </w:p>
    <w:p>
      <w:pPr>
        <w:pStyle w:val="9"/>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16.1符合专业条件的供应商或者对</w:t>
      </w:r>
      <w:r>
        <w:rPr>
          <w:rFonts w:hint="eastAsia" w:ascii="仿宋" w:hAnsi="仿宋" w:eastAsia="仿宋" w:cs="仿宋_GB2312"/>
          <w:color w:val="auto"/>
          <w:highlight w:val="none"/>
          <w:lang w:eastAsia="zh-CN"/>
        </w:rPr>
        <w:t>磋商</w:t>
      </w:r>
      <w:r>
        <w:rPr>
          <w:rFonts w:hint="eastAsia" w:ascii="仿宋" w:hAnsi="仿宋" w:eastAsia="仿宋" w:cs="仿宋_GB2312"/>
          <w:color w:val="auto"/>
          <w:highlight w:val="none"/>
        </w:rPr>
        <w:t>文件作实质响应的供应商不足3家的；</w:t>
      </w:r>
    </w:p>
    <w:p>
      <w:pPr>
        <w:pStyle w:val="9"/>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16.2出现影响采购公正的违法、违规行为的；</w:t>
      </w:r>
    </w:p>
    <w:p>
      <w:pPr>
        <w:pStyle w:val="9"/>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16.3投标人的报价均超过了采购预算，采购人不能支付的；</w:t>
      </w:r>
    </w:p>
    <w:p>
      <w:pPr>
        <w:pStyle w:val="9"/>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16.4因重大变故，采购任务取消的。</w:t>
      </w:r>
    </w:p>
    <w:p>
      <w:pPr>
        <w:pStyle w:val="9"/>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废标后，采购机构应当将废标理由通知所有投标人。</w:t>
      </w:r>
    </w:p>
    <w:p>
      <w:pPr>
        <w:pStyle w:val="9"/>
        <w:snapToGrid w:val="0"/>
        <w:spacing w:line="360" w:lineRule="auto"/>
        <w:rPr>
          <w:rFonts w:ascii="仿宋" w:hAnsi="仿宋" w:eastAsia="仿宋" w:cs="仿宋_GB2312"/>
          <w:color w:val="auto"/>
          <w:highlight w:val="none"/>
        </w:rPr>
      </w:pP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 重新组织采购</w:t>
      </w:r>
    </w:p>
    <w:p>
      <w:pPr>
        <w:pStyle w:val="9"/>
        <w:snapToGrid w:val="0"/>
        <w:spacing w:line="360" w:lineRule="auto"/>
        <w:ind w:firstLine="0" w:firstLineChars="0"/>
        <w:rPr>
          <w:rFonts w:ascii="仿宋" w:hAnsi="仿宋" w:eastAsia="仿宋" w:cs="仿宋_GB2312"/>
          <w:color w:val="auto"/>
          <w:highlight w:val="none"/>
        </w:rPr>
      </w:pPr>
      <w:r>
        <w:rPr>
          <w:rFonts w:hint="eastAsia" w:ascii="仿宋" w:hAnsi="仿宋" w:eastAsia="仿宋" w:cs="仿宋_GB2312"/>
          <w:b/>
          <w:color w:val="auto"/>
          <w:highlight w:val="none"/>
        </w:rPr>
        <w:t>17.修改</w:t>
      </w:r>
      <w:r>
        <w:rPr>
          <w:rFonts w:hint="eastAsia" w:ascii="仿宋" w:hAnsi="仿宋" w:eastAsia="仿宋" w:cs="仿宋_GB2312"/>
          <w:b/>
          <w:color w:val="auto"/>
          <w:highlight w:val="none"/>
          <w:lang w:eastAsia="zh-CN"/>
        </w:rPr>
        <w:t>磋商</w:t>
      </w:r>
      <w:r>
        <w:rPr>
          <w:rFonts w:hint="eastAsia" w:ascii="仿宋" w:hAnsi="仿宋" w:eastAsia="仿宋" w:cs="仿宋_GB2312"/>
          <w:b/>
          <w:color w:val="auto"/>
          <w:highlight w:val="none"/>
        </w:rPr>
        <w:t>文件，重新组织采购活动。</w:t>
      </w:r>
      <w:r>
        <w:rPr>
          <w:rFonts w:hint="eastAsia" w:ascii="仿宋" w:hAnsi="仿宋" w:eastAsia="仿宋" w:cs="仿宋_GB2312"/>
          <w:color w:val="auto"/>
          <w:highlight w:val="none"/>
        </w:rPr>
        <w:t>评标委员会发现</w:t>
      </w:r>
      <w:r>
        <w:rPr>
          <w:rFonts w:hint="eastAsia" w:ascii="仿宋" w:hAnsi="仿宋" w:eastAsia="仿宋" w:cs="仿宋_GB2312"/>
          <w:color w:val="auto"/>
          <w:highlight w:val="none"/>
          <w:lang w:eastAsia="zh-CN"/>
        </w:rPr>
        <w:t>磋商</w:t>
      </w:r>
      <w:r>
        <w:rPr>
          <w:rFonts w:hint="eastAsia" w:ascii="仿宋" w:hAnsi="仿宋" w:eastAsia="仿宋" w:cs="仿宋_GB2312"/>
          <w:color w:val="auto"/>
          <w:highlight w:val="none"/>
        </w:rPr>
        <w:t>文件存在歧义、重大缺陷导致评标工作无法进行，或者</w:t>
      </w:r>
      <w:r>
        <w:rPr>
          <w:rFonts w:hint="eastAsia" w:ascii="仿宋" w:hAnsi="仿宋" w:eastAsia="仿宋" w:cs="仿宋_GB2312"/>
          <w:color w:val="auto"/>
          <w:highlight w:val="none"/>
          <w:lang w:eastAsia="zh-CN"/>
        </w:rPr>
        <w:t>磋商</w:t>
      </w:r>
      <w:r>
        <w:rPr>
          <w:rFonts w:hint="eastAsia" w:ascii="仿宋" w:hAnsi="仿宋" w:eastAsia="仿宋" w:cs="仿宋_GB2312"/>
          <w:color w:val="auto"/>
          <w:highlight w:val="none"/>
        </w:rPr>
        <w:t>文件内容违反国家有关强制性规定的，将停止评标工作，并与采购人、采购机构沟通并作书面记录。采购人、采购机构确认后，将修改招标文件，重新组织采购活动。</w:t>
      </w:r>
    </w:p>
    <w:p>
      <w:pPr>
        <w:pStyle w:val="9"/>
        <w:snapToGrid w:val="0"/>
        <w:spacing w:line="360" w:lineRule="auto"/>
        <w:ind w:firstLine="0" w:firstLineChars="0"/>
        <w:rPr>
          <w:rFonts w:ascii="仿宋" w:hAnsi="仿宋" w:eastAsia="仿宋" w:cs="仿宋_GB2312"/>
          <w:color w:val="auto"/>
          <w:highlight w:val="none"/>
        </w:rPr>
      </w:pPr>
      <w:r>
        <w:rPr>
          <w:rFonts w:hint="eastAsia" w:ascii="仿宋_GB2312" w:hAnsi="Helvetica" w:eastAsia="仿宋_GB2312" w:cs="Helvetica"/>
          <w:b/>
          <w:color w:val="auto"/>
          <w:kern w:val="0"/>
          <w:highlight w:val="none"/>
        </w:rPr>
        <w:t>18.重新开展采购。</w:t>
      </w: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pPr>
        <w:pStyle w:val="9"/>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18.1未确定中标或者成交供应商的，终止本次政府采购活动，重新开展政府采购活动。</w:t>
      </w:r>
    </w:p>
    <w:p>
      <w:pPr>
        <w:pStyle w:val="9"/>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9"/>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18.3政府采购合同已签订但尚未履行的，撤销合同，从合格的中标或者成交候选人中另行确定中标或者成交供应商；没有合格的中标或者成交候选人的，重新开展政府采购活动。</w:t>
      </w:r>
    </w:p>
    <w:p>
      <w:pPr>
        <w:pStyle w:val="9"/>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18.4政府采购合同已经履行，给采购人、供应商造成损失的，由责任人承担赔偿责任。</w:t>
      </w:r>
    </w:p>
    <w:p>
      <w:pPr>
        <w:pStyle w:val="9"/>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18.5政府采购当事人有其他违反政府采购法或者本条例规定的行为，经改正后仍然影响或者可能影响中标、成交结果或者依法被认定为中标、成交无效的，依照18.1-18.4规定处理。</w:t>
      </w:r>
    </w:p>
    <w:p>
      <w:pPr>
        <w:pStyle w:val="9"/>
        <w:snapToGrid w:val="0"/>
        <w:spacing w:line="360" w:lineRule="auto"/>
        <w:rPr>
          <w:rFonts w:ascii="仿宋" w:hAnsi="仿宋" w:eastAsia="仿宋" w:cs="仿宋_GB2312"/>
          <w:color w:val="auto"/>
          <w:highlight w:val="none"/>
        </w:rPr>
      </w:pP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八、评审过程的保密与录像</w:t>
      </w:r>
    </w:p>
    <w:p>
      <w:pPr>
        <w:widowControl/>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19.保密。</w:t>
      </w:r>
      <w:r>
        <w:rPr>
          <w:rFonts w:ascii="仿宋" w:hAnsi="仿宋" w:eastAsia="仿宋" w:cs="仿宋_GB2312"/>
          <w:color w:val="auto"/>
          <w:sz w:val="24"/>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20.录音录像。</w:t>
      </w:r>
      <w:r>
        <w:rPr>
          <w:rFonts w:hint="eastAsia" w:ascii="仿宋" w:hAnsi="仿宋" w:eastAsia="仿宋" w:cs="仿宋_GB2312"/>
          <w:color w:val="auto"/>
          <w:sz w:val="24"/>
          <w:highlight w:val="none"/>
        </w:rPr>
        <w:t>采购机构对评审工作现场进行全过程录音录像。</w:t>
      </w:r>
    </w:p>
    <w:p>
      <w:pPr>
        <w:snapToGrid w:val="0"/>
        <w:spacing w:line="360" w:lineRule="auto"/>
        <w:ind w:left="120" w:leftChars="57" w:firstLine="482" w:firstLineChars="150"/>
        <w:jc w:val="center"/>
        <w:rPr>
          <w:rFonts w:ascii="仿宋" w:hAnsi="仿宋" w:eastAsia="仿宋" w:cs="仿宋_GB2312"/>
          <w:b/>
          <w:color w:val="auto"/>
          <w:sz w:val="32"/>
          <w:highlight w:val="none"/>
        </w:rPr>
      </w:pP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九、具体评标标准</w:t>
      </w:r>
    </w:p>
    <w:p>
      <w:pPr>
        <w:autoSpaceDE w:val="0"/>
        <w:autoSpaceDN w:val="0"/>
        <w:spacing w:line="360" w:lineRule="auto"/>
        <w:ind w:firstLine="482" w:firstLineChars="200"/>
        <w:rPr>
          <w:rFonts w:ascii="仿宋" w:hAnsi="仿宋" w:eastAsia="仿宋" w:cs="仿宋_GB2312"/>
          <w:color w:val="auto"/>
          <w:sz w:val="24"/>
          <w:highlight w:val="none"/>
        </w:rPr>
      </w:pPr>
      <w:r>
        <w:rPr>
          <w:rFonts w:hint="eastAsia" w:ascii="仿宋_GB2312" w:hAnsi="宋体" w:eastAsia="仿宋_GB2312"/>
          <w:b/>
          <w:color w:val="auto"/>
          <w:sz w:val="24"/>
          <w:highlight w:val="none"/>
        </w:rPr>
        <w:t>一、本项目采用综合评分法</w:t>
      </w:r>
      <w:r>
        <w:rPr>
          <w:rFonts w:hint="eastAsia" w:ascii="仿宋_GB2312" w:hAnsi="宋体" w:eastAsia="仿宋_GB2312"/>
          <w:color w:val="auto"/>
          <w:sz w:val="24"/>
          <w:highlight w:val="none"/>
        </w:rPr>
        <w:t>，评</w:t>
      </w:r>
      <w:r>
        <w:rPr>
          <w:rFonts w:hint="eastAsia" w:ascii="仿宋" w:hAnsi="仿宋" w:eastAsia="仿宋" w:cs="仿宋_GB2312"/>
          <w:color w:val="auto"/>
          <w:sz w:val="24"/>
          <w:highlight w:val="none"/>
        </w:rPr>
        <w:t>标委员会将对各投标人的投标报价、技术和服务方案、投标人提供的资质和业绩情况等方面进行综合评审，评标委员会各成员应当独立对每个有效投标人的</w:t>
      </w:r>
      <w:r>
        <w:rPr>
          <w:rFonts w:hint="eastAsia" w:ascii="仿宋" w:hAnsi="仿宋" w:eastAsia="仿宋" w:cs="仿宋_GB2312"/>
          <w:color w:val="auto"/>
          <w:sz w:val="24"/>
          <w:highlight w:val="none"/>
          <w:lang w:eastAsia="zh-CN"/>
        </w:rPr>
        <w:t>响应文件</w:t>
      </w:r>
      <w:r>
        <w:rPr>
          <w:rFonts w:hint="eastAsia" w:ascii="仿宋" w:hAnsi="仿宋" w:eastAsia="仿宋" w:cs="仿宋_GB2312"/>
          <w:color w:val="auto"/>
          <w:sz w:val="24"/>
          <w:highlight w:val="none"/>
        </w:rPr>
        <w:t xml:space="preserve">进行评价、打分。经统计，得出各投标人的最终评审分,按最终评审分由高到低顺序排列。得分相同的，按投标报价由低到高顺序排列。得分且投标报价相同的，按技术指标优劣顺序排列，并形成评标意见。 </w:t>
      </w:r>
    </w:p>
    <w:p>
      <w:pPr>
        <w:spacing w:line="360" w:lineRule="auto"/>
        <w:ind w:left="105" w:leftChars="50" w:firstLine="427" w:firstLineChars="178"/>
        <w:rPr>
          <w:rFonts w:ascii="仿宋" w:hAnsi="仿宋" w:eastAsia="仿宋" w:cs="仿宋"/>
          <w:b/>
          <w:color w:val="auto"/>
          <w:sz w:val="24"/>
          <w:highlight w:val="none"/>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技术和服务方案</w:t>
      </w:r>
      <w:r>
        <w:rPr>
          <w:rFonts w:hint="eastAsia" w:ascii="仿宋" w:hAnsi="仿宋" w:eastAsia="仿宋" w:cs="仿宋"/>
          <w:color w:val="auto"/>
          <w:sz w:val="24"/>
          <w:highlight w:val="none"/>
        </w:rPr>
        <w:t>得分的得分之和，</w:t>
      </w:r>
      <w:r>
        <w:rPr>
          <w:rFonts w:hint="eastAsia" w:ascii="仿宋" w:hAnsi="仿宋" w:eastAsia="仿宋" w:cs="仿宋"/>
          <w:b/>
          <w:color w:val="auto"/>
          <w:sz w:val="24"/>
          <w:highlight w:val="none"/>
        </w:rPr>
        <w:t>总和为</w:t>
      </w:r>
      <w:r>
        <w:rPr>
          <w:rFonts w:hint="eastAsia" w:ascii="仿宋" w:hAnsi="仿宋" w:eastAsia="仿宋" w:cs="仿宋"/>
          <w:b/>
          <w:color w:val="auto"/>
          <w:sz w:val="24"/>
          <w:highlight w:val="none"/>
          <w:lang w:val="en-US" w:eastAsia="zh-CN"/>
        </w:rPr>
        <w:t>100</w:t>
      </w:r>
      <w:r>
        <w:rPr>
          <w:rFonts w:hint="eastAsia" w:ascii="仿宋" w:hAnsi="仿宋" w:eastAsia="仿宋" w:cs="仿宋"/>
          <w:b/>
          <w:color w:val="auto"/>
          <w:sz w:val="24"/>
          <w:highlight w:val="none"/>
        </w:rPr>
        <w:t>分</w:t>
      </w:r>
      <w:r>
        <w:rPr>
          <w:rFonts w:hint="eastAsia" w:ascii="仿宋" w:hAnsi="仿宋" w:eastAsia="仿宋" w:cs="仿宋"/>
          <w:color w:val="auto"/>
          <w:sz w:val="24"/>
          <w:highlight w:val="none"/>
        </w:rPr>
        <w:t>，其中：</w:t>
      </w:r>
      <w:r>
        <w:rPr>
          <w:rFonts w:hint="eastAsia" w:ascii="仿宋" w:hAnsi="仿宋" w:eastAsia="仿宋" w:cs="仿宋"/>
          <w:b/>
          <w:color w:val="auto"/>
          <w:sz w:val="24"/>
          <w:szCs w:val="22"/>
          <w:highlight w:val="none"/>
        </w:rPr>
        <w:t>投标价格得分</w:t>
      </w:r>
      <w:r>
        <w:rPr>
          <w:rFonts w:hint="eastAsia" w:ascii="仿宋" w:hAnsi="仿宋" w:eastAsia="仿宋" w:cs="仿宋"/>
          <w:b/>
          <w:color w:val="auto"/>
          <w:sz w:val="24"/>
          <w:szCs w:val="22"/>
          <w:highlight w:val="none"/>
          <w:lang w:val="en-US" w:eastAsia="zh-CN"/>
        </w:rPr>
        <w:t>15</w:t>
      </w:r>
      <w:r>
        <w:rPr>
          <w:rFonts w:hint="eastAsia" w:ascii="仿宋" w:hAnsi="仿宋" w:eastAsia="仿宋" w:cs="仿宋"/>
          <w:b/>
          <w:color w:val="auto"/>
          <w:sz w:val="24"/>
          <w:szCs w:val="22"/>
          <w:highlight w:val="none"/>
        </w:rPr>
        <w:t>分，</w:t>
      </w:r>
      <w:r>
        <w:rPr>
          <w:rFonts w:hint="eastAsia" w:ascii="仿宋" w:hAnsi="仿宋" w:eastAsia="仿宋" w:cs="仿宋"/>
          <w:b/>
          <w:color w:val="auto"/>
          <w:sz w:val="24"/>
          <w:highlight w:val="none"/>
        </w:rPr>
        <w:t>投标人的资质和业绩、</w:t>
      </w:r>
      <w:r>
        <w:rPr>
          <w:rFonts w:hint="eastAsia" w:ascii="仿宋" w:hAnsi="仿宋" w:eastAsia="仿宋" w:cs="仿宋"/>
          <w:b/>
          <w:color w:val="auto"/>
          <w:sz w:val="24"/>
          <w:szCs w:val="22"/>
          <w:highlight w:val="none"/>
        </w:rPr>
        <w:t>技术和服务方案得分</w:t>
      </w:r>
      <w:r>
        <w:rPr>
          <w:rFonts w:hint="eastAsia" w:ascii="仿宋" w:hAnsi="仿宋" w:eastAsia="仿宋" w:cs="仿宋"/>
          <w:b/>
          <w:color w:val="auto"/>
          <w:sz w:val="24"/>
          <w:szCs w:val="22"/>
          <w:highlight w:val="none"/>
          <w:lang w:val="en-US" w:eastAsia="zh-CN"/>
        </w:rPr>
        <w:t>85</w:t>
      </w:r>
      <w:r>
        <w:rPr>
          <w:rFonts w:hint="eastAsia" w:ascii="仿宋" w:hAnsi="仿宋" w:eastAsia="仿宋" w:cs="仿宋"/>
          <w:b/>
          <w:color w:val="auto"/>
          <w:sz w:val="24"/>
          <w:szCs w:val="22"/>
          <w:highlight w:val="none"/>
        </w:rPr>
        <w:t>分。</w:t>
      </w:r>
    </w:p>
    <w:p>
      <w:pPr>
        <w:tabs>
          <w:tab w:val="left" w:pos="0"/>
        </w:tabs>
        <w:spacing w:line="360" w:lineRule="auto"/>
        <w:ind w:firstLine="542" w:firstLineChars="225"/>
        <w:rPr>
          <w:rFonts w:ascii="仿宋" w:hAnsi="仿宋" w:eastAsia="仿宋" w:cs="仿宋"/>
          <w:color w:val="auto"/>
          <w:sz w:val="24"/>
          <w:highlight w:val="none"/>
        </w:rPr>
      </w:pPr>
      <w:r>
        <w:rPr>
          <w:rFonts w:hint="eastAsia" w:ascii="仿宋" w:hAnsi="仿宋" w:eastAsia="仿宋" w:cs="仿宋"/>
          <w:b/>
          <w:color w:val="auto"/>
          <w:sz w:val="24"/>
          <w:highlight w:val="none"/>
        </w:rPr>
        <w:t>各投标人的技术和服务方案、投标人的业绩情况得分为：评标委员会各成员评分的算术平均值。各投标人的投标价格得分按投标价格评分</w:t>
      </w:r>
      <w:r>
        <w:rPr>
          <w:rFonts w:hint="eastAsia" w:ascii="仿宋" w:hAnsi="仿宋" w:eastAsia="仿宋" w:cs="仿宋"/>
          <w:b/>
          <w:color w:val="auto"/>
          <w:kern w:val="0"/>
          <w:sz w:val="24"/>
          <w:highlight w:val="none"/>
        </w:rPr>
        <w:t>公式由采购机构计算，</w:t>
      </w:r>
      <w:r>
        <w:rPr>
          <w:rFonts w:hint="eastAsia" w:ascii="仿宋" w:hAnsi="仿宋" w:eastAsia="仿宋" w:cs="仿宋"/>
          <w:b/>
          <w:color w:val="auto"/>
          <w:sz w:val="24"/>
          <w:highlight w:val="none"/>
        </w:rPr>
        <w:t>评标委员会审核。</w:t>
      </w:r>
      <w:r>
        <w:rPr>
          <w:rFonts w:hint="eastAsia" w:ascii="仿宋" w:hAnsi="仿宋" w:eastAsia="仿宋" w:cs="仿宋"/>
          <w:color w:val="auto"/>
          <w:sz w:val="24"/>
          <w:highlight w:val="none"/>
        </w:rPr>
        <w:t>根据上述评标原则，分值安排如下：</w:t>
      </w:r>
    </w:p>
    <w:p>
      <w:pPr>
        <w:tabs>
          <w:tab w:val="left" w:pos="6425"/>
        </w:tabs>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投标价格【A=</w:t>
      </w:r>
      <w:r>
        <w:rPr>
          <w:rFonts w:hint="eastAsia" w:ascii="仿宋" w:hAnsi="仿宋" w:eastAsia="仿宋" w:cs="仿宋"/>
          <w:b/>
          <w:color w:val="auto"/>
          <w:sz w:val="24"/>
          <w:highlight w:val="none"/>
          <w:lang w:val="en-US" w:eastAsia="zh-CN"/>
        </w:rPr>
        <w:t>15</w:t>
      </w:r>
      <w:r>
        <w:rPr>
          <w:rFonts w:hint="eastAsia" w:ascii="仿宋" w:hAnsi="仿宋" w:eastAsia="仿宋" w:cs="仿宋"/>
          <w:b/>
          <w:color w:val="auto"/>
          <w:sz w:val="24"/>
          <w:highlight w:val="none"/>
        </w:rPr>
        <w:t>分】：</w:t>
      </w:r>
      <w:r>
        <w:rPr>
          <w:rFonts w:hint="eastAsia" w:ascii="仿宋" w:hAnsi="仿宋" w:eastAsia="仿宋" w:cs="仿宋"/>
          <w:b/>
          <w:color w:val="auto"/>
          <w:sz w:val="24"/>
          <w:highlight w:val="none"/>
        </w:rPr>
        <w:tab/>
      </w:r>
    </w:p>
    <w:p>
      <w:pPr>
        <w:autoSpaceDE w:val="0"/>
        <w:autoSpaceDN w:val="0"/>
        <w:spacing w:line="360" w:lineRule="auto"/>
        <w:ind w:firstLine="482"/>
        <w:rPr>
          <w:rFonts w:ascii="仿宋" w:hAnsi="仿宋" w:eastAsia="仿宋" w:cs="仿宋"/>
          <w:color w:val="auto"/>
          <w:sz w:val="24"/>
          <w:highlight w:val="none"/>
          <w:lang w:val="zh-CN"/>
        </w:rPr>
      </w:pPr>
      <w:r>
        <w:rPr>
          <w:rFonts w:hint="eastAsia" w:ascii="仿宋" w:hAnsi="仿宋" w:eastAsia="仿宋" w:cs="仿宋"/>
          <w:color w:val="auto"/>
          <w:sz w:val="18"/>
          <w:szCs w:val="18"/>
          <w:highlight w:val="none"/>
        </w:rPr>
        <w:t xml:space="preserve">● </w:t>
      </w:r>
      <w:r>
        <w:rPr>
          <w:rFonts w:hint="eastAsia" w:ascii="仿宋" w:hAnsi="仿宋" w:eastAsia="仿宋" w:cs="仿宋"/>
          <w:b/>
          <w:color w:val="auto"/>
          <w:sz w:val="24"/>
          <w:highlight w:val="none"/>
        </w:rPr>
        <w:t>投标价格的合理性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分析总报价及各个分项报价是否合理，报价范围是否完整，有否重大错漏项</w:t>
      </w:r>
      <w:r>
        <w:rPr>
          <w:rFonts w:hint="eastAsia" w:ascii="仿宋" w:hAnsi="仿宋" w:eastAsia="仿宋" w:cs="仿宋"/>
          <w:color w:val="auto"/>
          <w:sz w:val="24"/>
          <w:highlight w:val="none"/>
        </w:rPr>
        <w:t>，评标委员会认为投标报价出现异常时，有权要求投标人在评标期间对投标报价的详细组成和投标设备的供应渠道等事项作出解释和澄清，并确认其投标报价是否有效</w:t>
      </w:r>
      <w:r>
        <w:rPr>
          <w:rFonts w:hint="eastAsia" w:ascii="仿宋" w:hAnsi="仿宋" w:eastAsia="仿宋" w:cs="仿宋"/>
          <w:color w:val="auto"/>
          <w:sz w:val="24"/>
          <w:highlight w:val="none"/>
          <w:lang w:val="zh-CN"/>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报价分计算方法：根据各投标人的有效投标报价，以满足磋商文件要求且有效投标价格的最低的投标报价为评标基准价，其价格分为</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zh-CN"/>
        </w:rPr>
        <w:t>。其他投标人的价格分统一按照下列公式计算：投标报价得分＝(评标基准价/有效投标报价)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价格权值</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100(精确到小数点后二位，由采购机构当场统一计算)。</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color w:val="auto"/>
          <w:sz w:val="24"/>
          <w:highlight w:val="none"/>
        </w:rPr>
        <w:t>投标人的资质和业绩、</w:t>
      </w:r>
      <w:r>
        <w:rPr>
          <w:rFonts w:hint="eastAsia" w:ascii="仿宋" w:hAnsi="仿宋" w:eastAsia="仿宋" w:cs="仿宋"/>
          <w:b/>
          <w:bCs/>
          <w:color w:val="auto"/>
          <w:sz w:val="24"/>
          <w:highlight w:val="none"/>
        </w:rPr>
        <w:t>技术和服务方案</w:t>
      </w: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B=</w:t>
      </w:r>
      <w:r>
        <w:rPr>
          <w:rFonts w:hint="eastAsia" w:ascii="仿宋" w:hAnsi="仿宋" w:eastAsia="仿宋" w:cs="仿宋"/>
          <w:b/>
          <w:bCs/>
          <w:color w:val="auto"/>
          <w:sz w:val="24"/>
          <w:highlight w:val="none"/>
          <w:lang w:val="en-US" w:eastAsia="zh-CN"/>
        </w:rPr>
        <w:t>85</w:t>
      </w:r>
      <w:r>
        <w:rPr>
          <w:rFonts w:hint="eastAsia" w:ascii="仿宋" w:hAnsi="仿宋" w:eastAsia="仿宋" w:cs="仿宋"/>
          <w:b/>
          <w:bCs/>
          <w:color w:val="auto"/>
          <w:sz w:val="24"/>
          <w:highlight w:val="none"/>
        </w:rPr>
        <w:t>分</w:t>
      </w: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w:t>
      </w:r>
    </w:p>
    <w:tbl>
      <w:tblPr>
        <w:tblStyle w:val="18"/>
        <w:tblW w:w="52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7666"/>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45" w:type="pct"/>
            <w:vAlign w:val="center"/>
          </w:tcPr>
          <w:p>
            <w:pPr>
              <w:pStyle w:val="10"/>
              <w:adjustRightInd w:val="0"/>
              <w:snapToGrid w:val="0"/>
              <w:jc w:val="center"/>
              <w:rPr>
                <w:rFonts w:ascii="仿宋_GB2312" w:hAnsi="Times New Roman" w:eastAsia="仿宋_GB2312" w:cs="Times New Roman"/>
                <w:b/>
                <w:color w:val="auto"/>
                <w:sz w:val="24"/>
                <w:szCs w:val="24"/>
                <w:highlight w:val="none"/>
              </w:rPr>
            </w:pPr>
            <w:r>
              <w:rPr>
                <w:rFonts w:hint="eastAsia" w:ascii="仿宋_GB2312" w:hAnsi="Times New Roman" w:eastAsia="仿宋_GB2312" w:cs="Times New Roman"/>
                <w:b/>
                <w:color w:val="auto"/>
                <w:sz w:val="24"/>
                <w:szCs w:val="24"/>
                <w:highlight w:val="none"/>
              </w:rPr>
              <w:t>评审内容</w:t>
            </w:r>
          </w:p>
        </w:tc>
        <w:tc>
          <w:tcPr>
            <w:tcW w:w="3925" w:type="pct"/>
            <w:vAlign w:val="center"/>
          </w:tcPr>
          <w:p>
            <w:pPr>
              <w:pStyle w:val="10"/>
              <w:adjustRightInd w:val="0"/>
              <w:snapToGrid w:val="0"/>
              <w:jc w:val="center"/>
              <w:rPr>
                <w:rFonts w:ascii="仿宋_GB2312" w:hAnsi="Times New Roman" w:eastAsia="仿宋_GB2312" w:cs="Times New Roman"/>
                <w:b/>
                <w:color w:val="auto"/>
                <w:sz w:val="24"/>
                <w:szCs w:val="24"/>
                <w:highlight w:val="none"/>
              </w:rPr>
            </w:pPr>
            <w:r>
              <w:rPr>
                <w:rFonts w:hint="eastAsia" w:ascii="仿宋_GB2312" w:hAnsi="Times New Roman" w:eastAsia="仿宋_GB2312" w:cs="Times New Roman"/>
                <w:b/>
                <w:color w:val="auto"/>
                <w:sz w:val="24"/>
                <w:szCs w:val="24"/>
                <w:highlight w:val="none"/>
              </w:rPr>
              <w:t>评分细则</w:t>
            </w:r>
          </w:p>
        </w:tc>
        <w:tc>
          <w:tcPr>
            <w:tcW w:w="429" w:type="pct"/>
            <w:vAlign w:val="center"/>
          </w:tcPr>
          <w:p>
            <w:pPr>
              <w:pStyle w:val="10"/>
              <w:adjustRightInd w:val="0"/>
              <w:snapToGrid w:val="0"/>
              <w:jc w:val="center"/>
              <w:rPr>
                <w:rFonts w:ascii="仿宋_GB2312" w:hAnsi="Times New Roman" w:eastAsia="仿宋_GB2312" w:cs="Times New Roman"/>
                <w:b/>
                <w:color w:val="auto"/>
                <w:sz w:val="24"/>
                <w:szCs w:val="24"/>
                <w:highlight w:val="none"/>
              </w:rPr>
            </w:pPr>
            <w:r>
              <w:rPr>
                <w:rFonts w:hint="eastAsia" w:ascii="仿宋_GB2312" w:hAnsi="Times New Roman" w:eastAsia="仿宋_GB2312" w:cs="Times New Roman"/>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5" w:type="pct"/>
            <w:vAlign w:val="center"/>
          </w:tcPr>
          <w:p>
            <w:pPr>
              <w:pStyle w:val="10"/>
              <w:adjustRightInd w:val="0"/>
              <w:snapToGrid w:val="0"/>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1、需求与理解</w:t>
            </w:r>
          </w:p>
        </w:tc>
        <w:tc>
          <w:tcPr>
            <w:tcW w:w="3925" w:type="pct"/>
            <w:vAlign w:val="center"/>
          </w:tcPr>
          <w:p>
            <w:pPr>
              <w:pStyle w:val="10"/>
              <w:adjustRightInd w:val="0"/>
              <w:snapToGrid w:val="0"/>
              <w:jc w:val="lef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供应商熟悉浙江省、杭州市、临安区相关文件精神及饮用水水源保护区勘界定标、</w:t>
            </w:r>
            <w:r>
              <w:rPr>
                <w:rFonts w:ascii="仿宋_GB2312" w:hAnsi="Times New Roman" w:eastAsia="仿宋_GB2312"/>
                <w:color w:val="auto"/>
                <w:kern w:val="0"/>
                <w:sz w:val="24"/>
                <w:szCs w:val="24"/>
                <w:highlight w:val="none"/>
              </w:rPr>
              <w:t>地表水省控断面所在水体走航排查分析</w:t>
            </w:r>
            <w:r>
              <w:rPr>
                <w:rFonts w:hint="eastAsia" w:ascii="仿宋_GB2312" w:hAnsi="Times New Roman" w:eastAsia="仿宋_GB2312" w:cs="Times New Roman"/>
                <w:color w:val="auto"/>
                <w:sz w:val="24"/>
                <w:szCs w:val="24"/>
                <w:highlight w:val="none"/>
              </w:rPr>
              <w:t>相关工作要求，针对本项目的总体要求和目的了解，分析针对性强、深入、全面、准确到位、阐述准确，内容有特色、有亮点、完整，专家根据内容进行打分0-</w:t>
            </w:r>
            <w:r>
              <w:rPr>
                <w:rFonts w:hint="eastAsia" w:ascii="仿宋_GB2312" w:hAnsi="Times New Roman" w:eastAsia="仿宋_GB2312" w:cs="Times New Roman"/>
                <w:color w:val="auto"/>
                <w:sz w:val="24"/>
                <w:szCs w:val="24"/>
                <w:highlight w:val="none"/>
                <w:lang w:val="en-US" w:eastAsia="zh-CN"/>
              </w:rPr>
              <w:t>8</w:t>
            </w:r>
            <w:r>
              <w:rPr>
                <w:rFonts w:hint="eastAsia" w:ascii="仿宋_GB2312" w:hAnsi="Times New Roman" w:eastAsia="仿宋_GB2312" w:cs="Times New Roman"/>
                <w:color w:val="auto"/>
                <w:sz w:val="24"/>
                <w:szCs w:val="24"/>
                <w:highlight w:val="none"/>
              </w:rPr>
              <w:t>分。</w:t>
            </w:r>
          </w:p>
        </w:tc>
        <w:tc>
          <w:tcPr>
            <w:tcW w:w="429" w:type="pct"/>
            <w:vAlign w:val="center"/>
          </w:tcPr>
          <w:p>
            <w:pPr>
              <w:pStyle w:val="10"/>
              <w:adjustRightInd w:val="0"/>
              <w:snapToGrid w:val="0"/>
              <w:jc w:val="center"/>
              <w:rPr>
                <w:rFonts w:ascii="仿宋_GB2312" w:hAnsi="Times New Roman" w:eastAsia="仿宋_GB2312" w:cs="Times New Roman"/>
                <w:bCs/>
                <w:color w:val="auto"/>
                <w:sz w:val="24"/>
                <w:szCs w:val="24"/>
                <w:highlight w:val="none"/>
              </w:rPr>
            </w:pPr>
            <w:r>
              <w:rPr>
                <w:rFonts w:hint="eastAsia" w:ascii="仿宋_GB2312" w:hAnsi="Times New Roman" w:eastAsia="仿宋_GB2312" w:cs="Times New Roman"/>
                <w:color w:val="auto"/>
                <w:sz w:val="24"/>
                <w:szCs w:val="24"/>
                <w:highlight w:val="none"/>
                <w:lang w:val="en-US" w:eastAsia="zh-CN"/>
              </w:rPr>
              <w:t>8</w:t>
            </w:r>
            <w:r>
              <w:rPr>
                <w:rFonts w:hint="eastAsia" w:ascii="仿宋_GB2312" w:hAnsi="Times New Roman" w:eastAsia="仿宋_GB2312" w:cs="Times New Roman"/>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5" w:type="pct"/>
            <w:vAlign w:val="center"/>
          </w:tcPr>
          <w:p>
            <w:pPr>
              <w:pStyle w:val="10"/>
              <w:adjustRightInd w:val="0"/>
              <w:snapToGrid w:val="0"/>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2、总体思路</w:t>
            </w:r>
          </w:p>
        </w:tc>
        <w:tc>
          <w:tcPr>
            <w:tcW w:w="3925" w:type="pct"/>
            <w:vAlign w:val="center"/>
          </w:tcPr>
          <w:p>
            <w:pPr>
              <w:pStyle w:val="10"/>
              <w:adjustRightInd w:val="0"/>
              <w:snapToGrid w:val="0"/>
              <w:jc w:val="left"/>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对临安区县级以上集中式饮用水水源保护区勘界定标和</w:t>
            </w:r>
            <w:r>
              <w:rPr>
                <w:rFonts w:ascii="仿宋_GB2312" w:hAnsi="Times New Roman" w:eastAsia="仿宋_GB2312"/>
                <w:color w:val="auto"/>
                <w:kern w:val="0"/>
                <w:sz w:val="24"/>
                <w:szCs w:val="24"/>
                <w:highlight w:val="none"/>
              </w:rPr>
              <w:t>地表水省控断面所在水体走航排查分析</w:t>
            </w:r>
            <w:r>
              <w:rPr>
                <w:rFonts w:hint="eastAsia" w:ascii="仿宋_GB2312" w:hAnsi="Times New Roman" w:eastAsia="仿宋_GB2312" w:cs="Times New Roman"/>
                <w:color w:val="auto"/>
                <w:sz w:val="24"/>
                <w:szCs w:val="24"/>
                <w:highlight w:val="none"/>
              </w:rPr>
              <w:t>工作总体方向明确，基本思路内容科学性、全面性、合理性，进行打分</w:t>
            </w:r>
            <w:r>
              <w:rPr>
                <w:rFonts w:hint="eastAsia" w:ascii="仿宋_GB2312" w:hAnsi="Times New Roman" w:eastAsia="仿宋_GB2312" w:cs="Times New Roman"/>
                <w:color w:val="auto"/>
                <w:sz w:val="24"/>
                <w:szCs w:val="24"/>
                <w:highlight w:val="none"/>
              </w:rPr>
              <w:t>0-</w:t>
            </w:r>
            <w:r>
              <w:rPr>
                <w:rFonts w:hint="eastAsia" w:ascii="仿宋_GB2312" w:hAnsi="Times New Roman" w:eastAsia="仿宋_GB2312" w:cs="Times New Roman"/>
                <w:color w:val="auto"/>
                <w:sz w:val="24"/>
                <w:szCs w:val="24"/>
                <w:highlight w:val="none"/>
                <w:lang w:val="en-US" w:eastAsia="zh-CN"/>
              </w:rPr>
              <w:t>8</w:t>
            </w:r>
            <w:r>
              <w:rPr>
                <w:rFonts w:hint="eastAsia" w:ascii="仿宋_GB2312" w:hAnsi="Times New Roman" w:eastAsia="仿宋_GB2312" w:cs="Times New Roman"/>
                <w:color w:val="auto"/>
                <w:sz w:val="24"/>
                <w:szCs w:val="24"/>
                <w:highlight w:val="none"/>
              </w:rPr>
              <w:t>分。</w:t>
            </w:r>
          </w:p>
        </w:tc>
        <w:tc>
          <w:tcPr>
            <w:tcW w:w="429" w:type="pct"/>
            <w:vAlign w:val="center"/>
          </w:tcPr>
          <w:p>
            <w:pPr>
              <w:pStyle w:val="10"/>
              <w:adjustRightInd w:val="0"/>
              <w:snapToGrid w:val="0"/>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lang w:val="en-US" w:eastAsia="zh-CN"/>
              </w:rPr>
              <w:t>8</w:t>
            </w:r>
            <w:r>
              <w:rPr>
                <w:rFonts w:hint="eastAsia" w:ascii="仿宋_GB2312" w:hAnsi="Times New Roman" w:eastAsia="仿宋_GB2312" w:cs="Times New Roman"/>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5" w:type="pct"/>
            <w:vAlign w:val="center"/>
          </w:tcPr>
          <w:p>
            <w:pPr>
              <w:pStyle w:val="10"/>
              <w:adjustRightInd w:val="0"/>
              <w:snapToGrid w:val="0"/>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3、服务方案</w:t>
            </w:r>
          </w:p>
        </w:tc>
        <w:tc>
          <w:tcPr>
            <w:tcW w:w="3925" w:type="pct"/>
            <w:vAlign w:val="center"/>
          </w:tcPr>
          <w:p>
            <w:pPr>
              <w:pStyle w:val="10"/>
              <w:adjustRightInd w:val="0"/>
              <w:snapToGrid w:val="0"/>
              <w:jc w:val="left"/>
              <w:rPr>
                <w:rFonts w:ascii="仿宋_GB2312" w:hAnsi="Times New Roman" w:eastAsia="仿宋_GB2312" w:cs="Times New Roman"/>
                <w:bCs/>
                <w:color w:val="auto"/>
                <w:sz w:val="24"/>
                <w:szCs w:val="24"/>
                <w:highlight w:val="none"/>
              </w:rPr>
            </w:pPr>
            <w:r>
              <w:rPr>
                <w:rFonts w:hint="eastAsia" w:ascii="仿宋_GB2312" w:hAnsi="Times New Roman" w:eastAsia="仿宋_GB2312" w:cs="Times New Roman"/>
                <w:bCs/>
                <w:color w:val="auto"/>
                <w:sz w:val="24"/>
                <w:szCs w:val="24"/>
                <w:highlight w:val="none"/>
              </w:rPr>
              <w:t>提供的工作</w:t>
            </w:r>
            <w:r>
              <w:rPr>
                <w:rFonts w:hint="eastAsia" w:ascii="仿宋_GB2312" w:hAnsi="Times New Roman" w:eastAsia="仿宋_GB2312" w:cs="Times New Roman"/>
                <w:bCs/>
                <w:color w:val="auto"/>
                <w:sz w:val="24"/>
                <w:szCs w:val="24"/>
                <w:highlight w:val="none"/>
                <w:lang w:eastAsia="zh-CN"/>
              </w:rPr>
              <w:t>服务方案</w:t>
            </w:r>
            <w:r>
              <w:rPr>
                <w:rFonts w:hint="eastAsia" w:ascii="仿宋_GB2312" w:hAnsi="Times New Roman" w:eastAsia="仿宋_GB2312" w:cs="Times New Roman"/>
                <w:bCs/>
                <w:color w:val="auto"/>
                <w:sz w:val="24"/>
                <w:szCs w:val="24"/>
                <w:highlight w:val="none"/>
              </w:rPr>
              <w:t>满足招标方的要求，内容齐全，由评审专家对以上内容进行打分0-</w:t>
            </w:r>
            <w:r>
              <w:rPr>
                <w:rFonts w:hint="eastAsia" w:ascii="仿宋_GB2312" w:hAnsi="Times New Roman" w:eastAsia="仿宋_GB2312" w:cs="Times New Roman"/>
                <w:bCs/>
                <w:color w:val="auto"/>
                <w:sz w:val="24"/>
                <w:szCs w:val="24"/>
                <w:highlight w:val="none"/>
                <w:lang w:val="en-US" w:eastAsia="zh-CN"/>
              </w:rPr>
              <w:t>8</w:t>
            </w:r>
            <w:r>
              <w:rPr>
                <w:rFonts w:hint="eastAsia" w:ascii="仿宋_GB2312" w:hAnsi="Times New Roman" w:eastAsia="仿宋_GB2312" w:cs="Times New Roman"/>
                <w:bCs/>
                <w:color w:val="auto"/>
                <w:sz w:val="24"/>
                <w:szCs w:val="24"/>
                <w:highlight w:val="none"/>
              </w:rPr>
              <w:t>分。</w:t>
            </w:r>
          </w:p>
        </w:tc>
        <w:tc>
          <w:tcPr>
            <w:tcW w:w="429" w:type="pct"/>
            <w:vAlign w:val="center"/>
          </w:tcPr>
          <w:p>
            <w:pPr>
              <w:pStyle w:val="10"/>
              <w:adjustRightInd w:val="0"/>
              <w:snapToGrid w:val="0"/>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lang w:val="en-US" w:eastAsia="zh-CN"/>
              </w:rPr>
              <w:t>8</w:t>
            </w:r>
            <w:r>
              <w:rPr>
                <w:rFonts w:hint="eastAsia" w:ascii="仿宋_GB2312" w:hAnsi="Times New Roman" w:eastAsia="仿宋_GB2312" w:cs="Times New Roman"/>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5" w:type="pct"/>
            <w:vAlign w:val="center"/>
          </w:tcPr>
          <w:p>
            <w:pPr>
              <w:pStyle w:val="10"/>
              <w:adjustRightInd w:val="0"/>
              <w:snapToGrid w:val="0"/>
              <w:jc w:val="center"/>
              <w:rPr>
                <w:rFonts w:ascii="仿宋_GB2312" w:hAnsi="Times New Roman" w:eastAsia="仿宋_GB2312" w:cs="Times New Roman"/>
                <w:bCs/>
                <w:color w:val="auto"/>
                <w:sz w:val="24"/>
                <w:szCs w:val="24"/>
                <w:highlight w:val="none"/>
              </w:rPr>
            </w:pPr>
            <w:r>
              <w:rPr>
                <w:rFonts w:hint="eastAsia" w:ascii="仿宋_GB2312" w:hAnsi="Times New Roman" w:eastAsia="仿宋_GB2312" w:cs="Times New Roman"/>
                <w:bCs/>
                <w:color w:val="auto"/>
                <w:sz w:val="24"/>
                <w:szCs w:val="24"/>
                <w:highlight w:val="none"/>
              </w:rPr>
              <w:t>4、方案可行性</w:t>
            </w:r>
          </w:p>
        </w:tc>
        <w:tc>
          <w:tcPr>
            <w:tcW w:w="3925" w:type="pct"/>
            <w:vAlign w:val="center"/>
          </w:tcPr>
          <w:p>
            <w:pPr>
              <w:pStyle w:val="10"/>
              <w:adjustRightInd w:val="0"/>
              <w:snapToGrid w:val="0"/>
              <w:jc w:val="left"/>
              <w:rPr>
                <w:rFonts w:ascii="仿宋_GB2312" w:hAnsi="Times New Roman" w:eastAsia="仿宋_GB2312" w:cs="Times New Roman"/>
                <w:bCs/>
                <w:color w:val="auto"/>
                <w:sz w:val="24"/>
                <w:szCs w:val="24"/>
                <w:highlight w:val="none"/>
              </w:rPr>
            </w:pPr>
            <w:r>
              <w:rPr>
                <w:rFonts w:hint="eastAsia" w:ascii="仿宋_GB2312" w:hAnsi="Times New Roman" w:eastAsia="仿宋_GB2312" w:cs="Times New Roman"/>
                <w:bCs/>
                <w:color w:val="auto"/>
                <w:sz w:val="24"/>
                <w:szCs w:val="24"/>
                <w:highlight w:val="none"/>
              </w:rPr>
              <w:t>服务方案可行性和质量保证，包括服务内容、操作程序合理性，操作规程、有完整</w:t>
            </w:r>
            <w:r>
              <w:rPr>
                <w:rFonts w:hint="eastAsia" w:ascii="仿宋_GB2312" w:hAnsi="Times New Roman" w:eastAsia="仿宋_GB2312" w:cs="Times New Roman"/>
                <w:color w:val="auto"/>
                <w:sz w:val="24"/>
                <w:szCs w:val="24"/>
                <w:highlight w:val="none"/>
              </w:rPr>
              <w:t>的信息反馈系统</w:t>
            </w:r>
            <w:r>
              <w:rPr>
                <w:rFonts w:hint="eastAsia" w:ascii="仿宋_GB2312" w:hAnsi="Times New Roman" w:eastAsia="仿宋_GB2312" w:cs="Times New Roman"/>
                <w:bCs/>
                <w:color w:val="auto"/>
                <w:sz w:val="24"/>
                <w:szCs w:val="24"/>
                <w:highlight w:val="none"/>
              </w:rPr>
              <w:t>，由评审专家对以上内容进行打分0-</w:t>
            </w:r>
            <w:r>
              <w:rPr>
                <w:rFonts w:hint="eastAsia" w:ascii="仿宋_GB2312" w:hAnsi="Times New Roman" w:eastAsia="仿宋_GB2312" w:cs="Times New Roman"/>
                <w:bCs/>
                <w:color w:val="auto"/>
                <w:sz w:val="24"/>
                <w:szCs w:val="24"/>
                <w:highlight w:val="none"/>
                <w:lang w:val="en-US" w:eastAsia="zh-CN"/>
              </w:rPr>
              <w:t>6</w:t>
            </w:r>
            <w:r>
              <w:rPr>
                <w:rFonts w:hint="eastAsia" w:ascii="仿宋_GB2312" w:hAnsi="Times New Roman" w:eastAsia="仿宋_GB2312" w:cs="Times New Roman"/>
                <w:bCs/>
                <w:color w:val="auto"/>
                <w:sz w:val="24"/>
                <w:szCs w:val="24"/>
                <w:highlight w:val="none"/>
              </w:rPr>
              <w:t>分。</w:t>
            </w:r>
          </w:p>
        </w:tc>
        <w:tc>
          <w:tcPr>
            <w:tcW w:w="429" w:type="pct"/>
            <w:vAlign w:val="center"/>
          </w:tcPr>
          <w:p>
            <w:pPr>
              <w:pStyle w:val="10"/>
              <w:adjustRightInd w:val="0"/>
              <w:snapToGrid w:val="0"/>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lang w:val="en-US" w:eastAsia="zh-CN"/>
              </w:rPr>
              <w:t>6</w:t>
            </w:r>
            <w:r>
              <w:rPr>
                <w:rFonts w:hint="eastAsia" w:ascii="仿宋_GB2312" w:hAnsi="Times New Roman" w:eastAsia="仿宋_GB2312" w:cs="Times New Roman"/>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5" w:type="pct"/>
            <w:vAlign w:val="center"/>
          </w:tcPr>
          <w:p>
            <w:pPr>
              <w:pStyle w:val="10"/>
              <w:adjustRightInd w:val="0"/>
              <w:snapToGrid w:val="0"/>
              <w:jc w:val="center"/>
              <w:rPr>
                <w:rFonts w:ascii="仿宋_GB2312" w:hAnsi="Times New Roman" w:eastAsia="仿宋_GB2312" w:cs="Times New Roman"/>
                <w:bCs/>
                <w:color w:val="auto"/>
                <w:sz w:val="24"/>
                <w:szCs w:val="24"/>
                <w:highlight w:val="none"/>
              </w:rPr>
            </w:pPr>
            <w:r>
              <w:rPr>
                <w:rFonts w:hint="eastAsia" w:ascii="仿宋_GB2312" w:hAnsi="Times New Roman" w:eastAsia="仿宋_GB2312" w:cs="Times New Roman"/>
                <w:bCs/>
                <w:color w:val="auto"/>
                <w:sz w:val="24"/>
                <w:szCs w:val="24"/>
                <w:highlight w:val="none"/>
              </w:rPr>
              <w:t>5、项目组织实施情况</w:t>
            </w:r>
          </w:p>
        </w:tc>
        <w:tc>
          <w:tcPr>
            <w:tcW w:w="3925" w:type="pct"/>
            <w:vAlign w:val="center"/>
          </w:tcPr>
          <w:p>
            <w:pPr>
              <w:pStyle w:val="10"/>
              <w:adjustRightInd w:val="0"/>
              <w:snapToGrid w:val="0"/>
              <w:jc w:val="left"/>
              <w:rPr>
                <w:rFonts w:ascii="仿宋_GB2312" w:hAnsi="Times New Roman" w:eastAsia="仿宋_GB2312" w:cs="Times New Roman"/>
                <w:bCs/>
                <w:color w:val="auto"/>
                <w:sz w:val="24"/>
                <w:szCs w:val="24"/>
                <w:highlight w:val="none"/>
              </w:rPr>
            </w:pPr>
            <w:r>
              <w:rPr>
                <w:rFonts w:hint="eastAsia" w:ascii="仿宋_GB2312" w:hAnsi="Times New Roman" w:eastAsia="仿宋_GB2312" w:cs="Times New Roman"/>
                <w:bCs/>
                <w:color w:val="auto"/>
                <w:sz w:val="24"/>
                <w:szCs w:val="24"/>
                <w:highlight w:val="none"/>
              </w:rPr>
              <w:t>组织实施方案、服务内容、</w:t>
            </w:r>
            <w:r>
              <w:rPr>
                <w:rFonts w:hint="eastAsia" w:ascii="仿宋_GB2312" w:hAnsi="Times New Roman" w:eastAsia="仿宋_GB2312" w:cs="Times New Roman"/>
                <w:color w:val="auto"/>
                <w:sz w:val="24"/>
                <w:szCs w:val="24"/>
                <w:highlight w:val="none"/>
              </w:rPr>
              <w:t>项目人员配备合理，职责设置、任务分工合理，</w:t>
            </w:r>
            <w:r>
              <w:rPr>
                <w:rFonts w:hint="eastAsia" w:ascii="仿宋_GB2312" w:hAnsi="Times New Roman" w:eastAsia="仿宋_GB2312" w:cs="Times New Roman"/>
                <w:bCs/>
                <w:color w:val="auto"/>
                <w:sz w:val="24"/>
                <w:szCs w:val="24"/>
                <w:highlight w:val="none"/>
              </w:rPr>
              <w:t>工作流程，配合管理和协调方法、服务方案的关键思路和要点，由评审专家对以上内容进行打分0-</w:t>
            </w:r>
            <w:r>
              <w:rPr>
                <w:rFonts w:hint="eastAsia" w:ascii="仿宋_GB2312" w:hAnsi="Times New Roman" w:eastAsia="仿宋_GB2312" w:cs="Times New Roman"/>
                <w:bCs/>
                <w:color w:val="auto"/>
                <w:sz w:val="24"/>
                <w:szCs w:val="24"/>
                <w:highlight w:val="none"/>
                <w:lang w:val="en-US" w:eastAsia="zh-CN"/>
              </w:rPr>
              <w:t>5</w:t>
            </w:r>
            <w:r>
              <w:rPr>
                <w:rFonts w:hint="eastAsia" w:ascii="仿宋_GB2312" w:hAnsi="Times New Roman" w:eastAsia="仿宋_GB2312" w:cs="Times New Roman"/>
                <w:bCs/>
                <w:color w:val="auto"/>
                <w:sz w:val="24"/>
                <w:szCs w:val="24"/>
                <w:highlight w:val="none"/>
              </w:rPr>
              <w:t>分。</w:t>
            </w:r>
          </w:p>
        </w:tc>
        <w:tc>
          <w:tcPr>
            <w:tcW w:w="429" w:type="pct"/>
            <w:vAlign w:val="center"/>
          </w:tcPr>
          <w:p>
            <w:pPr>
              <w:pStyle w:val="10"/>
              <w:adjustRightInd w:val="0"/>
              <w:snapToGrid w:val="0"/>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lang w:val="en-US" w:eastAsia="zh-CN"/>
              </w:rPr>
              <w:t>5</w:t>
            </w:r>
            <w:r>
              <w:rPr>
                <w:rFonts w:hint="eastAsia" w:ascii="仿宋_GB2312" w:hAnsi="Times New Roman" w:eastAsia="仿宋_GB2312" w:cs="Times New Roman"/>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5" w:type="pct"/>
            <w:vAlign w:val="center"/>
          </w:tcPr>
          <w:p>
            <w:pPr>
              <w:pStyle w:val="10"/>
              <w:adjustRightInd w:val="0"/>
              <w:snapToGrid w:val="0"/>
              <w:jc w:val="center"/>
              <w:rPr>
                <w:rFonts w:ascii="仿宋_GB2312" w:hAnsi="Times New Roman" w:eastAsia="仿宋_GB2312" w:cs="Times New Roman"/>
                <w:bCs/>
                <w:color w:val="auto"/>
                <w:sz w:val="24"/>
                <w:szCs w:val="24"/>
                <w:highlight w:val="none"/>
              </w:rPr>
            </w:pPr>
            <w:r>
              <w:rPr>
                <w:rFonts w:hint="eastAsia" w:ascii="仿宋_GB2312" w:hAnsi="Times New Roman" w:eastAsia="仿宋_GB2312" w:cs="Times New Roman"/>
                <w:bCs/>
                <w:color w:val="auto"/>
                <w:sz w:val="24"/>
                <w:szCs w:val="24"/>
                <w:highlight w:val="none"/>
              </w:rPr>
              <w:t>6、项目进度安排</w:t>
            </w:r>
          </w:p>
        </w:tc>
        <w:tc>
          <w:tcPr>
            <w:tcW w:w="3925" w:type="pct"/>
            <w:vAlign w:val="center"/>
          </w:tcPr>
          <w:p>
            <w:pPr>
              <w:pStyle w:val="10"/>
              <w:adjustRightInd w:val="0"/>
              <w:snapToGrid w:val="0"/>
              <w:jc w:val="left"/>
              <w:rPr>
                <w:rFonts w:ascii="仿宋_GB2312" w:hAnsi="Times New Roman" w:eastAsia="仿宋_GB2312" w:cs="Times New Roman"/>
                <w:bCs/>
                <w:color w:val="auto"/>
                <w:sz w:val="24"/>
                <w:szCs w:val="24"/>
                <w:highlight w:val="none"/>
              </w:rPr>
            </w:pPr>
            <w:r>
              <w:rPr>
                <w:rFonts w:hint="eastAsia" w:ascii="仿宋_GB2312" w:hAnsi="Times New Roman" w:eastAsia="仿宋_GB2312" w:cs="Times New Roman"/>
                <w:color w:val="auto"/>
                <w:kern w:val="0"/>
                <w:sz w:val="24"/>
                <w:szCs w:val="24"/>
                <w:highlight w:val="none"/>
              </w:rPr>
              <w:t>根据供应商的项目进度方案，针对进度安排与采购需求切合性，节点之间细化合理性，进度控制措施科学合理性，</w:t>
            </w:r>
            <w:r>
              <w:rPr>
                <w:rFonts w:hint="eastAsia" w:ascii="仿宋_GB2312" w:hAnsi="Times New Roman" w:eastAsia="仿宋_GB2312" w:cs="Times New Roman"/>
                <w:color w:val="auto"/>
                <w:sz w:val="24"/>
                <w:szCs w:val="24"/>
                <w:highlight w:val="none"/>
              </w:rPr>
              <w:t>专家根据内容进行打分0-2分。</w:t>
            </w:r>
          </w:p>
        </w:tc>
        <w:tc>
          <w:tcPr>
            <w:tcW w:w="429" w:type="pct"/>
            <w:vAlign w:val="center"/>
          </w:tcPr>
          <w:p>
            <w:pPr>
              <w:pStyle w:val="10"/>
              <w:adjustRightInd w:val="0"/>
              <w:snapToGrid w:val="0"/>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5" w:type="pct"/>
            <w:vAlign w:val="center"/>
          </w:tcPr>
          <w:p>
            <w:pPr>
              <w:pStyle w:val="10"/>
              <w:adjustRightInd w:val="0"/>
              <w:snapToGrid w:val="0"/>
              <w:jc w:val="center"/>
              <w:rPr>
                <w:rFonts w:ascii="仿宋_GB2312" w:hAnsi="Times New Roman" w:eastAsia="仿宋_GB2312" w:cs="Times New Roman"/>
                <w:bCs/>
                <w:color w:val="auto"/>
                <w:sz w:val="24"/>
                <w:szCs w:val="24"/>
                <w:highlight w:val="none"/>
              </w:rPr>
            </w:pPr>
            <w:r>
              <w:rPr>
                <w:rFonts w:hint="eastAsia" w:ascii="仿宋_GB2312" w:hAnsi="Times New Roman" w:eastAsia="仿宋_GB2312" w:cs="Times New Roman"/>
                <w:bCs/>
                <w:color w:val="auto"/>
                <w:sz w:val="24"/>
                <w:szCs w:val="24"/>
                <w:highlight w:val="none"/>
              </w:rPr>
              <w:t>7、服务质量保障措施</w:t>
            </w:r>
          </w:p>
        </w:tc>
        <w:tc>
          <w:tcPr>
            <w:tcW w:w="3925" w:type="pct"/>
            <w:vAlign w:val="center"/>
          </w:tcPr>
          <w:p>
            <w:pPr>
              <w:pStyle w:val="10"/>
              <w:adjustRightInd w:val="0"/>
              <w:snapToGrid w:val="0"/>
              <w:jc w:val="left"/>
              <w:rPr>
                <w:rFonts w:ascii="仿宋_GB2312" w:hAnsi="Times New Roman" w:eastAsia="仿宋_GB2312" w:cs="Times New Roman"/>
                <w:bCs/>
                <w:color w:val="auto"/>
                <w:sz w:val="24"/>
                <w:szCs w:val="24"/>
                <w:highlight w:val="none"/>
              </w:rPr>
            </w:pPr>
            <w:r>
              <w:rPr>
                <w:rFonts w:hint="eastAsia" w:ascii="仿宋_GB2312" w:hAnsi="Times New Roman" w:eastAsia="仿宋_GB2312" w:cs="Times New Roman"/>
                <w:bCs/>
                <w:color w:val="auto"/>
                <w:sz w:val="24"/>
                <w:szCs w:val="24"/>
                <w:highlight w:val="none"/>
              </w:rPr>
              <w:t>根据</w:t>
            </w:r>
            <w:r>
              <w:rPr>
                <w:rFonts w:hint="eastAsia" w:ascii="仿宋_GB2312" w:hAnsi="Times New Roman" w:eastAsia="仿宋_GB2312" w:cs="Times New Roman"/>
                <w:color w:val="auto"/>
                <w:kern w:val="0"/>
                <w:sz w:val="24"/>
                <w:szCs w:val="24"/>
                <w:highlight w:val="none"/>
              </w:rPr>
              <w:t>服务质量标准的承诺水平，管理制度的完整性，合理性，监督督查措施的有效性和</w:t>
            </w:r>
            <w:r>
              <w:rPr>
                <w:rFonts w:hint="eastAsia" w:ascii="仿宋_GB2312" w:hAnsi="Times New Roman" w:eastAsia="仿宋_GB2312" w:cs="Times New Roman"/>
                <w:bCs/>
                <w:color w:val="auto"/>
                <w:sz w:val="24"/>
                <w:szCs w:val="24"/>
                <w:highlight w:val="none"/>
              </w:rPr>
              <w:t>及时响应措施</w:t>
            </w:r>
            <w:r>
              <w:rPr>
                <w:rFonts w:hint="eastAsia" w:ascii="仿宋_GB2312" w:hAnsi="Times New Roman" w:eastAsia="仿宋_GB2312" w:cs="Times New Roman"/>
                <w:color w:val="auto"/>
                <w:kern w:val="0"/>
                <w:sz w:val="24"/>
                <w:szCs w:val="24"/>
                <w:highlight w:val="none"/>
              </w:rPr>
              <w:t>，</w:t>
            </w:r>
            <w:r>
              <w:rPr>
                <w:rFonts w:hint="eastAsia" w:ascii="仿宋_GB2312" w:hAnsi="Times New Roman" w:eastAsia="仿宋_GB2312" w:cs="Times New Roman"/>
                <w:bCs/>
                <w:color w:val="auto"/>
                <w:sz w:val="24"/>
                <w:szCs w:val="24"/>
                <w:highlight w:val="none"/>
              </w:rPr>
              <w:t>进行打分0-2分。</w:t>
            </w:r>
          </w:p>
        </w:tc>
        <w:tc>
          <w:tcPr>
            <w:tcW w:w="429" w:type="pct"/>
            <w:vAlign w:val="center"/>
          </w:tcPr>
          <w:p>
            <w:pPr>
              <w:pStyle w:val="10"/>
              <w:adjustRightInd w:val="0"/>
              <w:snapToGrid w:val="0"/>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5" w:type="pct"/>
            <w:vAlign w:val="center"/>
          </w:tcPr>
          <w:p>
            <w:pPr>
              <w:pStyle w:val="10"/>
              <w:adjustRightInd w:val="0"/>
              <w:snapToGrid w:val="0"/>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bCs/>
                <w:color w:val="auto"/>
                <w:spacing w:val="-4"/>
                <w:sz w:val="24"/>
                <w:szCs w:val="24"/>
                <w:highlight w:val="none"/>
              </w:rPr>
              <w:t>8、服务承诺</w:t>
            </w:r>
          </w:p>
        </w:tc>
        <w:tc>
          <w:tcPr>
            <w:tcW w:w="3925" w:type="pct"/>
            <w:vAlign w:val="center"/>
          </w:tcPr>
          <w:p>
            <w:pPr>
              <w:pStyle w:val="10"/>
              <w:adjustRightInd w:val="0"/>
              <w:snapToGrid w:val="0"/>
              <w:jc w:val="left"/>
              <w:rPr>
                <w:rFonts w:ascii="仿宋_GB2312" w:hAnsi="Times New Roman" w:eastAsia="仿宋_GB2312" w:cs="Times New Roman"/>
                <w:snapToGrid w:val="0"/>
                <w:color w:val="auto"/>
                <w:sz w:val="24"/>
                <w:szCs w:val="24"/>
                <w:highlight w:val="none"/>
              </w:rPr>
            </w:pPr>
            <w:r>
              <w:rPr>
                <w:rFonts w:hint="eastAsia" w:ascii="仿宋_GB2312" w:hAnsi="Times New Roman" w:eastAsia="仿宋_GB2312" w:cs="Times New Roman"/>
                <w:bCs/>
                <w:color w:val="auto"/>
                <w:spacing w:val="-4"/>
                <w:sz w:val="24"/>
                <w:szCs w:val="24"/>
                <w:highlight w:val="none"/>
              </w:rPr>
              <w:t>针对本项目服务承诺，科学合理地采取针对性的质量控制措施；对进度的跟踪及时到位，能够提供准确的进度控制建议。根据响应内容进行打分0-2分。</w:t>
            </w:r>
          </w:p>
        </w:tc>
        <w:tc>
          <w:tcPr>
            <w:tcW w:w="429" w:type="pct"/>
            <w:vAlign w:val="center"/>
          </w:tcPr>
          <w:p>
            <w:pPr>
              <w:pStyle w:val="10"/>
              <w:adjustRightInd w:val="0"/>
              <w:snapToGrid w:val="0"/>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5" w:type="pct"/>
            <w:vAlign w:val="center"/>
          </w:tcPr>
          <w:p>
            <w:pPr>
              <w:jc w:val="center"/>
              <w:rPr>
                <w:rFonts w:ascii="仿宋_GB2312" w:hAnsi="Times New Roman" w:eastAsia="仿宋_GB2312"/>
                <w:bCs/>
                <w:color w:val="auto"/>
                <w:sz w:val="24"/>
                <w:szCs w:val="24"/>
                <w:highlight w:val="none"/>
              </w:rPr>
            </w:pPr>
            <w:r>
              <w:rPr>
                <w:rFonts w:hint="eastAsia" w:ascii="仿宋_GB2312" w:eastAsia="仿宋_GB2312"/>
                <w:color w:val="auto"/>
                <w:sz w:val="24"/>
                <w:szCs w:val="24"/>
                <w:highlight w:val="none"/>
                <w:lang w:val="en-US" w:eastAsia="zh-CN"/>
              </w:rPr>
              <w:t>9</w:t>
            </w:r>
            <w:r>
              <w:rPr>
                <w:rFonts w:hint="eastAsia" w:ascii="仿宋_GB2312" w:hAnsi="Times New Roman" w:eastAsia="仿宋_GB2312"/>
                <w:color w:val="auto"/>
                <w:sz w:val="24"/>
                <w:szCs w:val="24"/>
                <w:highlight w:val="none"/>
              </w:rPr>
              <w:t>、重难点分析及解决措施</w:t>
            </w:r>
          </w:p>
        </w:tc>
        <w:tc>
          <w:tcPr>
            <w:tcW w:w="3925" w:type="pct"/>
            <w:vAlign w:val="center"/>
          </w:tcPr>
          <w:p>
            <w:pPr>
              <w:pStyle w:val="41"/>
              <w:jc w:val="left"/>
              <w:rPr>
                <w:rFonts w:ascii="仿宋_GB2312" w:hAnsi="Times New Roman" w:eastAsia="仿宋_GB2312" w:cs="Times New Roman"/>
                <w:bCs/>
                <w:color w:val="auto"/>
                <w:sz w:val="24"/>
                <w:highlight w:val="none"/>
              </w:rPr>
            </w:pPr>
            <w:r>
              <w:rPr>
                <w:rFonts w:hint="eastAsia" w:ascii="仿宋_GB2312" w:hAnsi="Times New Roman" w:eastAsia="仿宋_GB2312" w:cs="Times New Roman"/>
                <w:color w:val="auto"/>
                <w:sz w:val="24"/>
                <w:highlight w:val="none"/>
              </w:rPr>
              <w:t>对项目的技术关键点、难点进行分析，并提出具有切实可行的解决措施，根据内容综合打分0-</w:t>
            </w:r>
            <w:r>
              <w:rPr>
                <w:rFonts w:hint="eastAsia" w:ascii="仿宋_GB2312" w:hAnsi="Times New Roman" w:eastAsia="仿宋_GB2312" w:cs="Times New Roman"/>
                <w:color w:val="auto"/>
                <w:sz w:val="24"/>
                <w:highlight w:val="none"/>
                <w:lang w:val="en-US"/>
              </w:rPr>
              <w:t>2</w:t>
            </w:r>
            <w:r>
              <w:rPr>
                <w:rFonts w:hint="eastAsia" w:ascii="仿宋_GB2312" w:hAnsi="Times New Roman" w:eastAsia="仿宋_GB2312" w:cs="Times New Roman"/>
                <w:color w:val="auto"/>
                <w:sz w:val="24"/>
                <w:highlight w:val="none"/>
              </w:rPr>
              <w:t>分。</w:t>
            </w:r>
          </w:p>
        </w:tc>
        <w:tc>
          <w:tcPr>
            <w:tcW w:w="429" w:type="pct"/>
            <w:vAlign w:val="center"/>
          </w:tcPr>
          <w:p>
            <w:pPr>
              <w:pStyle w:val="41"/>
              <w:jc w:val="center"/>
              <w:rPr>
                <w:rFonts w:ascii="仿宋_GB2312" w:hAnsi="Times New Roman" w:eastAsia="仿宋_GB2312" w:cs="Times New Roman"/>
                <w:bCs/>
                <w:color w:val="auto"/>
                <w:sz w:val="24"/>
                <w:highlight w:val="none"/>
              </w:rPr>
            </w:pPr>
            <w:r>
              <w:rPr>
                <w:rFonts w:hint="eastAsia" w:ascii="仿宋_GB2312" w:hAnsi="Times New Roman" w:eastAsia="仿宋_GB2312" w:cs="Times New Roman"/>
                <w:color w:val="auto"/>
                <w:sz w:val="24"/>
                <w:highlight w:val="none"/>
                <w:lang w:val="en-US"/>
              </w:rPr>
              <w:t>2</w:t>
            </w:r>
            <w:r>
              <w:rPr>
                <w:rFonts w:hint="eastAsia" w:ascii="仿宋_GB2312" w:hAnsi="Times New Roman" w:eastAsia="仿宋_GB2312"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5" w:type="pct"/>
            <w:vAlign w:val="center"/>
          </w:tcPr>
          <w:p>
            <w:pPr>
              <w:widowControl/>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1</w:t>
            </w:r>
            <w:r>
              <w:rPr>
                <w:rFonts w:hint="eastAsia" w:ascii="仿宋_GB2312" w:eastAsia="仿宋_GB2312"/>
                <w:color w:val="auto"/>
                <w:sz w:val="24"/>
                <w:szCs w:val="24"/>
                <w:highlight w:val="none"/>
                <w:lang w:val="en-US" w:eastAsia="zh-CN"/>
              </w:rPr>
              <w:t>0</w:t>
            </w:r>
            <w:r>
              <w:rPr>
                <w:rFonts w:hint="eastAsia" w:ascii="仿宋_GB2312" w:hAnsi="Times New Roman" w:eastAsia="仿宋_GB2312"/>
                <w:color w:val="auto"/>
                <w:sz w:val="24"/>
                <w:szCs w:val="24"/>
                <w:highlight w:val="none"/>
              </w:rPr>
              <w:t>、标书编制质量</w:t>
            </w:r>
          </w:p>
        </w:tc>
        <w:tc>
          <w:tcPr>
            <w:tcW w:w="3925" w:type="pct"/>
            <w:vAlign w:val="center"/>
          </w:tcPr>
          <w:p>
            <w:pPr>
              <w:pStyle w:val="41"/>
              <w:jc w:val="left"/>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响应文件编制完整，格式规范、符合招标文件要求的，得2分，响应文件存在其他错漏的，每项（次）扣0.2分；响应文件有关内容前后矛盾、与</w:t>
            </w:r>
            <w:r>
              <w:rPr>
                <w:rFonts w:hint="eastAsia" w:ascii="仿宋_GB2312" w:hAnsi="Times New Roman" w:eastAsia="仿宋_GB2312" w:cs="Times New Roman"/>
                <w:color w:val="auto"/>
                <w:sz w:val="24"/>
                <w:highlight w:val="none"/>
                <w:lang w:val="en-US"/>
              </w:rPr>
              <w:t>招标</w:t>
            </w:r>
            <w:r>
              <w:rPr>
                <w:rFonts w:hint="eastAsia" w:ascii="仿宋_GB2312" w:hAnsi="Times New Roman" w:eastAsia="仿宋_GB2312" w:cs="Times New Roman"/>
                <w:color w:val="auto"/>
                <w:sz w:val="24"/>
                <w:highlight w:val="none"/>
              </w:rPr>
              <w:t>文件要求不一致等，评标委员会允许且需要通过询标等程序进行澄清的，该项不得分。</w:t>
            </w:r>
          </w:p>
        </w:tc>
        <w:tc>
          <w:tcPr>
            <w:tcW w:w="429" w:type="pct"/>
            <w:vAlign w:val="center"/>
          </w:tcPr>
          <w:p>
            <w:pPr>
              <w:pStyle w:val="41"/>
              <w:jc w:val="center"/>
              <w:rPr>
                <w:rFonts w:ascii="仿宋_GB2312" w:hAnsi="Times New Roman" w:eastAsia="仿宋_GB2312" w:cs="Times New Roman"/>
                <w:color w:val="auto"/>
                <w:sz w:val="24"/>
                <w:highlight w:val="none"/>
                <w:lang w:val="en-US"/>
              </w:rPr>
            </w:pPr>
            <w:r>
              <w:rPr>
                <w:rFonts w:hint="eastAsia" w:ascii="仿宋_GB2312" w:hAnsi="Times New Roman" w:eastAsia="仿宋_GB2312" w:cs="Times New Roman"/>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5" w:type="pct"/>
            <w:vAlign w:val="center"/>
          </w:tcPr>
          <w:p>
            <w:pPr>
              <w:pStyle w:val="10"/>
              <w:adjustRightInd w:val="0"/>
              <w:snapToGrid w:val="0"/>
              <w:jc w:val="center"/>
              <w:rPr>
                <w:rFonts w:ascii="仿宋_GB2312" w:hAnsi="Times New Roman" w:eastAsia="仿宋_GB2312" w:cs="Times New Roman"/>
                <w:bCs/>
                <w:color w:val="auto"/>
                <w:sz w:val="24"/>
                <w:szCs w:val="24"/>
                <w:highlight w:val="none"/>
              </w:rPr>
            </w:pPr>
            <w:r>
              <w:rPr>
                <w:rFonts w:hint="eastAsia" w:ascii="仿宋_GB2312" w:hAnsi="Times New Roman" w:eastAsia="仿宋_GB2312" w:cs="Times New Roman"/>
                <w:bCs/>
                <w:color w:val="auto"/>
                <w:sz w:val="24"/>
                <w:szCs w:val="24"/>
                <w:highlight w:val="none"/>
              </w:rPr>
              <w:t>1</w:t>
            </w:r>
            <w:r>
              <w:rPr>
                <w:rFonts w:hint="eastAsia" w:ascii="仿宋_GB2312" w:hAnsi="Times New Roman" w:eastAsia="仿宋_GB2312" w:cs="Times New Roman"/>
                <w:bCs/>
                <w:color w:val="auto"/>
                <w:sz w:val="24"/>
                <w:szCs w:val="24"/>
                <w:highlight w:val="none"/>
                <w:lang w:val="en-US" w:eastAsia="zh-CN"/>
              </w:rPr>
              <w:t>1</w:t>
            </w:r>
            <w:r>
              <w:rPr>
                <w:rFonts w:hint="eastAsia" w:ascii="仿宋_GB2312" w:hAnsi="Times New Roman" w:eastAsia="仿宋_GB2312" w:cs="Times New Roman"/>
                <w:bCs/>
                <w:color w:val="auto"/>
                <w:sz w:val="24"/>
                <w:szCs w:val="24"/>
                <w:highlight w:val="none"/>
              </w:rPr>
              <w:t>、拟派人员技术力量</w:t>
            </w:r>
          </w:p>
        </w:tc>
        <w:tc>
          <w:tcPr>
            <w:tcW w:w="3925" w:type="pct"/>
            <w:vAlign w:val="center"/>
          </w:tcPr>
          <w:p>
            <w:pPr>
              <w:widowControl/>
              <w:jc w:val="left"/>
              <w:rPr>
                <w:rFonts w:ascii="仿宋_GB2312" w:hAnsi="Times New Roman" w:eastAsia="仿宋_GB2312"/>
                <w:color w:val="auto"/>
                <w:sz w:val="24"/>
                <w:szCs w:val="24"/>
                <w:highlight w:val="none"/>
              </w:rPr>
            </w:pPr>
            <w:r>
              <w:rPr>
                <w:rFonts w:hint="eastAsia" w:ascii="仿宋_GB2312" w:hAnsi="宋体" w:eastAsia="仿宋_GB2312" w:cs="宋体"/>
                <w:color w:val="auto"/>
                <w:sz w:val="24"/>
                <w:szCs w:val="24"/>
                <w:highlight w:val="none"/>
              </w:rPr>
              <w:t>①</w:t>
            </w:r>
            <w:r>
              <w:rPr>
                <w:rFonts w:hint="eastAsia" w:ascii="仿宋_GB2312" w:hAnsi="Times New Roman" w:eastAsia="仿宋_GB2312"/>
                <w:color w:val="auto"/>
                <w:sz w:val="24"/>
                <w:szCs w:val="24"/>
                <w:highlight w:val="none"/>
              </w:rPr>
              <w:t>项目负责人具备</w:t>
            </w:r>
            <w:r>
              <w:rPr>
                <w:rFonts w:hint="eastAsia" w:ascii="仿宋_GB2312" w:eastAsia="仿宋_GB2312"/>
                <w:color w:val="auto"/>
                <w:sz w:val="24"/>
                <w:szCs w:val="24"/>
                <w:highlight w:val="none"/>
                <w:lang w:eastAsia="zh-CN"/>
              </w:rPr>
              <w:t>正</w:t>
            </w:r>
            <w:r>
              <w:rPr>
                <w:rFonts w:hint="eastAsia" w:ascii="仿宋_GB2312" w:hAnsi="Times New Roman" w:eastAsia="仿宋_GB2312"/>
                <w:color w:val="auto"/>
                <w:sz w:val="24"/>
                <w:szCs w:val="24"/>
                <w:highlight w:val="none"/>
              </w:rPr>
              <w:t>高级工程师职称</w:t>
            </w:r>
            <w:r>
              <w:rPr>
                <w:rFonts w:hint="eastAsia" w:ascii="仿宋_GB2312" w:hAnsi="Times New Roman" w:eastAsia="仿宋_GB2312"/>
                <w:color w:val="auto"/>
                <w:sz w:val="24"/>
                <w:szCs w:val="24"/>
                <w:highlight w:val="none"/>
              </w:rPr>
              <w:t>（环保类专业）且具备环境影响评价职业资格证书的得6分，</w:t>
            </w:r>
            <w:r>
              <w:rPr>
                <w:rFonts w:hint="eastAsia" w:ascii="仿宋_GB2312" w:eastAsia="仿宋_GB2312"/>
                <w:color w:val="auto"/>
                <w:sz w:val="24"/>
                <w:szCs w:val="24"/>
                <w:highlight w:val="none"/>
                <w:lang w:eastAsia="zh-CN"/>
              </w:rPr>
              <w:t>高级及以上</w:t>
            </w:r>
            <w:r>
              <w:rPr>
                <w:rFonts w:hint="eastAsia" w:ascii="仿宋_GB2312" w:hAnsi="Times New Roman" w:eastAsia="仿宋_GB2312"/>
                <w:color w:val="auto"/>
                <w:sz w:val="24"/>
                <w:szCs w:val="24"/>
                <w:highlight w:val="none"/>
              </w:rPr>
              <w:t>工程师职称（环保类专业）且具备环境影响评价职业资格证书的得3分，仅具备</w:t>
            </w:r>
            <w:r>
              <w:rPr>
                <w:rFonts w:hint="eastAsia" w:ascii="仿宋_GB2312" w:eastAsia="仿宋_GB2312"/>
                <w:color w:val="auto"/>
                <w:sz w:val="24"/>
                <w:szCs w:val="24"/>
                <w:highlight w:val="none"/>
                <w:lang w:eastAsia="zh-CN"/>
              </w:rPr>
              <w:t>正</w:t>
            </w:r>
            <w:r>
              <w:rPr>
                <w:rFonts w:hint="eastAsia" w:ascii="仿宋_GB2312" w:hAnsi="Times New Roman" w:eastAsia="仿宋_GB2312"/>
                <w:color w:val="auto"/>
                <w:sz w:val="24"/>
                <w:szCs w:val="24"/>
                <w:highlight w:val="none"/>
              </w:rPr>
              <w:t>高级工程师职称</w:t>
            </w:r>
            <w:r>
              <w:rPr>
                <w:rFonts w:hint="eastAsia" w:ascii="仿宋_GB2312" w:hAnsi="Times New Roman" w:eastAsia="仿宋_GB2312"/>
                <w:color w:val="auto"/>
                <w:sz w:val="24"/>
                <w:szCs w:val="24"/>
                <w:highlight w:val="none"/>
              </w:rPr>
              <w:t>的得3分，仅具备</w:t>
            </w:r>
            <w:r>
              <w:rPr>
                <w:rFonts w:hint="eastAsia" w:ascii="仿宋_GB2312" w:eastAsia="仿宋_GB2312"/>
                <w:color w:val="auto"/>
                <w:sz w:val="24"/>
                <w:szCs w:val="24"/>
                <w:highlight w:val="none"/>
                <w:lang w:eastAsia="zh-CN"/>
              </w:rPr>
              <w:t>高级及以上</w:t>
            </w:r>
            <w:r>
              <w:rPr>
                <w:rFonts w:hint="eastAsia" w:ascii="仿宋_GB2312" w:hAnsi="Times New Roman" w:eastAsia="仿宋_GB2312"/>
                <w:color w:val="auto"/>
                <w:sz w:val="24"/>
                <w:szCs w:val="24"/>
                <w:highlight w:val="none"/>
              </w:rPr>
              <w:t>工程师职称的得1分。</w:t>
            </w:r>
            <w:r>
              <w:rPr>
                <w:rFonts w:hint="eastAsia" w:ascii="仿宋_GB2312" w:hAnsi="宋体" w:eastAsia="仿宋_GB2312" w:cs="宋体"/>
                <w:color w:val="auto"/>
                <w:sz w:val="24"/>
                <w:szCs w:val="24"/>
                <w:highlight w:val="none"/>
              </w:rPr>
              <w:t>②</w:t>
            </w:r>
            <w:r>
              <w:rPr>
                <w:rFonts w:hint="eastAsia" w:ascii="仿宋_GB2312" w:hAnsi="Times New Roman" w:eastAsia="仿宋_GB2312"/>
                <w:color w:val="auto"/>
                <w:sz w:val="24"/>
                <w:szCs w:val="24"/>
                <w:highlight w:val="none"/>
              </w:rPr>
              <w:t>技术骨干（不含项目负责人）具备高级工程师职称，每1人得2分</w:t>
            </w:r>
            <w:r>
              <w:rPr>
                <w:rFonts w:hint="eastAsia" w:ascii="仿宋_GB2312" w:eastAsia="仿宋_GB2312"/>
                <w:color w:val="auto"/>
                <w:sz w:val="24"/>
                <w:szCs w:val="24"/>
                <w:highlight w:val="none"/>
                <w:lang w:eastAsia="zh-CN"/>
              </w:rPr>
              <w:t>，</w:t>
            </w:r>
            <w:r>
              <w:rPr>
                <w:rFonts w:hint="eastAsia" w:ascii="仿宋_GB2312" w:hAnsi="Times New Roman" w:eastAsia="仿宋_GB2312"/>
                <w:color w:val="auto"/>
                <w:sz w:val="24"/>
                <w:szCs w:val="24"/>
                <w:highlight w:val="none"/>
              </w:rPr>
              <w:t>最高得</w:t>
            </w:r>
            <w:r>
              <w:rPr>
                <w:rFonts w:hint="eastAsia" w:ascii="仿宋_GB2312" w:hAnsi="Times New Roman" w:eastAsia="仿宋_GB2312"/>
                <w:color w:val="auto"/>
                <w:sz w:val="24"/>
                <w:szCs w:val="24"/>
                <w:highlight w:val="none"/>
                <w:lang w:val="en-US" w:eastAsia="zh-CN"/>
              </w:rPr>
              <w:t>6</w:t>
            </w:r>
            <w:r>
              <w:rPr>
                <w:rFonts w:hint="eastAsia" w:ascii="仿宋_GB2312" w:hAnsi="Times New Roman" w:eastAsia="仿宋_GB2312"/>
                <w:color w:val="auto"/>
                <w:sz w:val="24"/>
                <w:szCs w:val="24"/>
                <w:highlight w:val="none"/>
              </w:rPr>
              <w:t>分。</w:t>
            </w:r>
          </w:p>
          <w:p>
            <w:pPr>
              <w:widowControl/>
              <w:jc w:val="left"/>
              <w:rPr>
                <w:rFonts w:ascii="仿宋_GB2312" w:hAnsi="Times New Roman" w:eastAsia="仿宋_GB2312"/>
                <w:color w:val="auto"/>
                <w:sz w:val="24"/>
                <w:szCs w:val="24"/>
                <w:highlight w:val="none"/>
              </w:rPr>
            </w:pPr>
            <w:r>
              <w:rPr>
                <w:rFonts w:hint="eastAsia" w:ascii="仿宋_GB2312" w:hAnsi="宋体" w:eastAsia="仿宋_GB2312" w:cs="宋体"/>
                <w:color w:val="auto"/>
                <w:sz w:val="24"/>
                <w:szCs w:val="24"/>
                <w:highlight w:val="none"/>
              </w:rPr>
              <w:t>③</w:t>
            </w:r>
            <w:r>
              <w:rPr>
                <w:rFonts w:hint="eastAsia" w:ascii="仿宋_GB2312" w:hAnsi="Times New Roman" w:eastAsia="仿宋_GB2312"/>
                <w:color w:val="auto"/>
                <w:sz w:val="24"/>
                <w:szCs w:val="24"/>
                <w:highlight w:val="none"/>
              </w:rPr>
              <w:t>根据拟投入项目组成人员配备的数量、职称、工作经验等证明材料进行打分。其中中级以上职称专业技术人员（需提供相关职称或资格证书）不少于4人，4人（含）以上，每增加一人加1分，本小项最高得3分；提供资格证书或职称证书及近一年社保参保证明材料和身份证复印件加盖公章，否则不得分。</w:t>
            </w:r>
          </w:p>
        </w:tc>
        <w:tc>
          <w:tcPr>
            <w:tcW w:w="429" w:type="pct"/>
            <w:vAlign w:val="center"/>
          </w:tcPr>
          <w:p>
            <w:pPr>
              <w:pStyle w:val="10"/>
              <w:adjustRightInd w:val="0"/>
              <w:snapToGrid w:val="0"/>
              <w:jc w:val="center"/>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bCs/>
                <w:color w:val="auto"/>
                <w:sz w:val="24"/>
                <w:szCs w:val="24"/>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5" w:type="pct"/>
            <w:vAlign w:val="center"/>
          </w:tcPr>
          <w:p>
            <w:pPr>
              <w:pStyle w:val="10"/>
              <w:adjustRightInd w:val="0"/>
              <w:snapToGrid w:val="0"/>
              <w:jc w:val="center"/>
              <w:rPr>
                <w:rFonts w:ascii="仿宋_GB2312" w:hAnsi="Times New Roman" w:eastAsia="仿宋_GB2312" w:cs="Times New Roman"/>
                <w:bCs/>
                <w:color w:val="auto"/>
                <w:sz w:val="24"/>
                <w:szCs w:val="24"/>
                <w:highlight w:val="none"/>
              </w:rPr>
            </w:pPr>
            <w:r>
              <w:rPr>
                <w:rFonts w:hint="eastAsia" w:ascii="仿宋_GB2312" w:hAnsi="Times New Roman" w:eastAsia="仿宋_GB2312" w:cs="Times New Roman"/>
                <w:bCs/>
                <w:color w:val="auto"/>
                <w:sz w:val="24"/>
                <w:szCs w:val="24"/>
                <w:highlight w:val="none"/>
              </w:rPr>
              <w:t>1</w:t>
            </w:r>
            <w:r>
              <w:rPr>
                <w:rFonts w:hint="eastAsia" w:ascii="仿宋_GB2312" w:hAnsi="Times New Roman" w:eastAsia="仿宋_GB2312" w:cs="Times New Roman"/>
                <w:bCs/>
                <w:color w:val="auto"/>
                <w:sz w:val="24"/>
                <w:szCs w:val="24"/>
                <w:highlight w:val="none"/>
                <w:lang w:val="en-US" w:eastAsia="zh-CN"/>
              </w:rPr>
              <w:t>2</w:t>
            </w:r>
            <w:r>
              <w:rPr>
                <w:rFonts w:hint="eastAsia" w:ascii="仿宋_GB2312" w:hAnsi="Times New Roman" w:eastAsia="仿宋_GB2312" w:cs="Times New Roman"/>
                <w:bCs/>
                <w:color w:val="auto"/>
                <w:sz w:val="24"/>
                <w:szCs w:val="24"/>
                <w:highlight w:val="none"/>
              </w:rPr>
              <w:t>、走航无人船技术要求</w:t>
            </w:r>
          </w:p>
        </w:tc>
        <w:tc>
          <w:tcPr>
            <w:tcW w:w="3925" w:type="pct"/>
            <w:vAlign w:val="center"/>
          </w:tcPr>
          <w:p>
            <w:pPr>
              <w:adjustRightInd w:val="0"/>
              <w:snapToGrid w:val="0"/>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投标人自有无人船且提供发票和合同证明的，得3分；租赁无人船且提供发票和合同证明的，得1分。</w:t>
            </w:r>
          </w:p>
          <w:p>
            <w:pPr>
              <w:adjustRightInd w:val="0"/>
              <w:snapToGrid w:val="0"/>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无人船制造商具备省级船舶行业协会颁发的船舶生产企业生产条件认可证书，并能提供产品合格证书的，得2分，否则不得分。</w:t>
            </w:r>
          </w:p>
          <w:p>
            <w:pPr>
              <w:adjustRightInd w:val="0"/>
              <w:snapToGrid w:val="0"/>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无人船相关技术参数和指标全部符合采购需求的，得4分；每项不符合扣0.5分，扣完为止。</w:t>
            </w:r>
          </w:p>
          <w:p>
            <w:pPr>
              <w:adjustRightInd w:val="0"/>
              <w:snapToGrid w:val="0"/>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投标人具有无人船实用新型或发明专利授权4个及以上的，得2分，否则不得分。</w:t>
            </w:r>
          </w:p>
          <w:p>
            <w:pPr>
              <w:adjustRightInd w:val="0"/>
              <w:snapToGrid w:val="0"/>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（提供相关证书等证明资料复印件加盖供应商公章）</w:t>
            </w:r>
          </w:p>
        </w:tc>
        <w:tc>
          <w:tcPr>
            <w:tcW w:w="429" w:type="pct"/>
            <w:vAlign w:val="center"/>
          </w:tcPr>
          <w:p>
            <w:pPr>
              <w:pStyle w:val="10"/>
              <w:adjustRightInd w:val="0"/>
              <w:snapToGrid w:val="0"/>
              <w:jc w:val="center"/>
              <w:rPr>
                <w:rFonts w:hint="eastAsia" w:ascii="仿宋_GB2312" w:hAnsi="Times New Roman" w:eastAsia="仿宋_GB2312" w:cs="Times New Roman"/>
                <w:bCs/>
                <w:color w:val="auto"/>
                <w:sz w:val="24"/>
                <w:szCs w:val="24"/>
                <w:highlight w:val="none"/>
                <w:lang w:eastAsia="zh-CN"/>
              </w:rPr>
            </w:pPr>
            <w:r>
              <w:rPr>
                <w:rFonts w:hint="eastAsia" w:ascii="仿宋_GB2312" w:hAnsi="Times New Roman" w:eastAsia="仿宋_GB2312" w:cs="Times New Roman"/>
                <w:bCs/>
                <w:color w:val="auto"/>
                <w:sz w:val="24"/>
                <w:szCs w:val="24"/>
                <w:highlight w:val="none"/>
              </w:rPr>
              <w:t>11</w:t>
            </w:r>
            <w:r>
              <w:rPr>
                <w:rFonts w:hint="eastAsia" w:ascii="仿宋_GB2312" w:hAnsi="Times New Roman" w:eastAsia="仿宋_GB2312" w:cs="Times New Roman"/>
                <w:bCs/>
                <w:color w:val="auto"/>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645" w:type="pct"/>
            <w:vAlign w:val="center"/>
          </w:tcPr>
          <w:p>
            <w:pPr>
              <w:pStyle w:val="10"/>
              <w:adjustRightInd w:val="0"/>
              <w:snapToGrid w:val="0"/>
              <w:jc w:val="center"/>
              <w:rPr>
                <w:rFonts w:ascii="仿宋_GB2312" w:hAnsi="Times New Roman" w:eastAsia="仿宋_GB2312" w:cs="Times New Roman"/>
                <w:bCs/>
                <w:color w:val="auto"/>
                <w:sz w:val="24"/>
                <w:szCs w:val="24"/>
                <w:highlight w:val="none"/>
              </w:rPr>
            </w:pPr>
            <w:r>
              <w:rPr>
                <w:rFonts w:hint="eastAsia" w:ascii="仿宋_GB2312" w:hAnsi="Times New Roman" w:eastAsia="仿宋_GB2312" w:cs="Times New Roman"/>
                <w:bCs/>
                <w:color w:val="auto"/>
                <w:sz w:val="24"/>
                <w:szCs w:val="24"/>
                <w:highlight w:val="none"/>
              </w:rPr>
              <w:t>1</w:t>
            </w:r>
            <w:r>
              <w:rPr>
                <w:rFonts w:hint="eastAsia" w:ascii="仿宋_GB2312" w:hAnsi="Times New Roman" w:eastAsia="仿宋_GB2312" w:cs="Times New Roman"/>
                <w:bCs/>
                <w:color w:val="auto"/>
                <w:sz w:val="24"/>
                <w:szCs w:val="24"/>
                <w:highlight w:val="none"/>
                <w:lang w:val="en-US" w:eastAsia="zh-CN"/>
              </w:rPr>
              <w:t>3</w:t>
            </w:r>
            <w:r>
              <w:rPr>
                <w:rFonts w:hint="eastAsia" w:ascii="仿宋_GB2312" w:hAnsi="Times New Roman" w:eastAsia="仿宋_GB2312" w:cs="Times New Roman"/>
                <w:bCs/>
                <w:color w:val="auto"/>
                <w:sz w:val="24"/>
                <w:szCs w:val="24"/>
                <w:highlight w:val="none"/>
              </w:rPr>
              <w:t>、</w:t>
            </w:r>
            <w:r>
              <w:rPr>
                <w:rFonts w:hint="eastAsia" w:ascii="仿宋_GB2312" w:hAnsi="Times New Roman" w:eastAsia="仿宋_GB2312" w:cs="Times New Roman"/>
                <w:bCs/>
                <w:color w:val="auto"/>
                <w:sz w:val="24"/>
                <w:szCs w:val="24"/>
                <w:highlight w:val="none"/>
                <w:lang w:eastAsia="zh-CN"/>
              </w:rPr>
              <w:t>投标人</w:t>
            </w:r>
            <w:r>
              <w:rPr>
                <w:rFonts w:hint="eastAsia" w:ascii="仿宋_GB2312" w:hAnsi="Times New Roman" w:eastAsia="仿宋_GB2312" w:cs="Times New Roman"/>
                <w:bCs/>
                <w:color w:val="auto"/>
                <w:sz w:val="24"/>
                <w:szCs w:val="24"/>
                <w:highlight w:val="none"/>
              </w:rPr>
              <w:t>获奖情况</w:t>
            </w:r>
          </w:p>
        </w:tc>
        <w:tc>
          <w:tcPr>
            <w:tcW w:w="3925" w:type="pct"/>
            <w:vAlign w:val="center"/>
          </w:tcPr>
          <w:p>
            <w:pPr>
              <w:widowControl/>
              <w:jc w:val="left"/>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投标人自2018年1月1日（以获奖时间为准）至今，每获得1个省级及以上部门在生态环境报告方面的表彰的得2分，每获得1个市级奖项的得1分；本项最高得4分。（提供奖项证明材料复印件并加盖公章，未提供不得分）。</w:t>
            </w:r>
          </w:p>
        </w:tc>
        <w:tc>
          <w:tcPr>
            <w:tcW w:w="429" w:type="pct"/>
            <w:vAlign w:val="center"/>
          </w:tcPr>
          <w:p>
            <w:pPr>
              <w:pStyle w:val="10"/>
              <w:adjustRightInd w:val="0"/>
              <w:snapToGrid w:val="0"/>
              <w:jc w:val="center"/>
              <w:rPr>
                <w:rFonts w:ascii="仿宋_GB2312" w:hAnsi="Times New Roman" w:eastAsia="仿宋_GB2312" w:cs="Times New Roman"/>
                <w:bCs/>
                <w:color w:val="auto"/>
                <w:sz w:val="24"/>
                <w:szCs w:val="24"/>
                <w:highlight w:val="none"/>
              </w:rPr>
            </w:pPr>
            <w:r>
              <w:rPr>
                <w:rFonts w:hint="eastAsia" w:ascii="仿宋_GB2312" w:hAnsi="Times New Roman" w:eastAsia="仿宋_GB2312" w:cs="Times New Roman"/>
                <w:bCs/>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5" w:type="pct"/>
            <w:vAlign w:val="center"/>
          </w:tcPr>
          <w:p>
            <w:pPr>
              <w:widowControl/>
              <w:jc w:val="center"/>
              <w:rPr>
                <w:rFonts w:hint="eastAsia" w:ascii="仿宋_GB2312" w:hAnsi="Times New Roman" w:eastAsia="仿宋_GB2312"/>
                <w:color w:val="auto"/>
                <w:sz w:val="24"/>
                <w:szCs w:val="24"/>
                <w:highlight w:val="none"/>
                <w:lang w:eastAsia="zh-CN"/>
              </w:rPr>
            </w:pPr>
            <w:r>
              <w:rPr>
                <w:rFonts w:hint="eastAsia" w:ascii="仿宋_GB2312" w:hAnsi="Times New Roman" w:eastAsia="仿宋_GB2312"/>
                <w:color w:val="auto"/>
                <w:sz w:val="24"/>
                <w:szCs w:val="24"/>
                <w:highlight w:val="none"/>
              </w:rPr>
              <w:t>1</w:t>
            </w:r>
            <w:r>
              <w:rPr>
                <w:rFonts w:hint="eastAsia" w:ascii="仿宋_GB2312" w:eastAsia="仿宋_GB2312"/>
                <w:color w:val="auto"/>
                <w:sz w:val="24"/>
                <w:szCs w:val="24"/>
                <w:highlight w:val="none"/>
                <w:lang w:val="en-US" w:eastAsia="zh-CN"/>
              </w:rPr>
              <w:t>4</w:t>
            </w:r>
            <w:r>
              <w:rPr>
                <w:rFonts w:hint="eastAsia" w:ascii="仿宋_GB2312" w:eastAsia="仿宋_GB2312"/>
                <w:color w:val="auto"/>
                <w:sz w:val="24"/>
                <w:szCs w:val="24"/>
                <w:highlight w:val="none"/>
                <w:lang w:eastAsia="zh-CN"/>
              </w:rPr>
              <w:t>、项目团队获奖</w:t>
            </w:r>
          </w:p>
        </w:tc>
        <w:tc>
          <w:tcPr>
            <w:tcW w:w="3925" w:type="pct"/>
            <w:vAlign w:val="center"/>
          </w:tcPr>
          <w:p>
            <w:pPr>
              <w:widowControl/>
              <w:jc w:val="left"/>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①</w:t>
            </w:r>
            <w:r>
              <w:rPr>
                <w:rFonts w:hint="eastAsia" w:ascii="仿宋_GB2312" w:hAnsi="Times New Roman" w:eastAsia="仿宋_GB2312"/>
                <w:color w:val="auto"/>
                <w:sz w:val="24"/>
                <w:szCs w:val="24"/>
                <w:highlight w:val="none"/>
                <w:lang w:eastAsia="zh-CN"/>
              </w:rPr>
              <w:t>项目负责人自2018年1月1日（以获奖时间为准）至今</w:t>
            </w:r>
            <w:r>
              <w:rPr>
                <w:rFonts w:hint="eastAsia" w:ascii="仿宋_GB2312" w:hAnsi="Times New Roman" w:eastAsia="仿宋_GB2312"/>
                <w:color w:val="auto"/>
                <w:sz w:val="24"/>
                <w:szCs w:val="24"/>
                <w:highlight w:val="none"/>
              </w:rPr>
              <w:t>获得过</w:t>
            </w:r>
            <w:r>
              <w:rPr>
                <w:rFonts w:hint="eastAsia" w:ascii="仿宋_GB2312" w:hAnsi="Times New Roman" w:eastAsia="仿宋_GB2312"/>
                <w:color w:val="auto"/>
                <w:sz w:val="24"/>
                <w:szCs w:val="24"/>
                <w:highlight w:val="none"/>
                <w:lang w:eastAsia="zh-CN"/>
              </w:rPr>
              <w:t>省部级及以上</w:t>
            </w:r>
            <w:r>
              <w:rPr>
                <w:rFonts w:hint="eastAsia" w:ascii="仿宋_GB2312" w:hAnsi="Times New Roman" w:eastAsia="仿宋_GB2312"/>
                <w:color w:val="auto"/>
                <w:sz w:val="24"/>
                <w:szCs w:val="24"/>
                <w:highlight w:val="none"/>
              </w:rPr>
              <w:t>生态环境保护类奖项的得2分，</w:t>
            </w:r>
            <w:r>
              <w:rPr>
                <w:rFonts w:hint="eastAsia" w:ascii="仿宋_GB2312" w:hAnsi="Times New Roman" w:eastAsia="仿宋_GB2312"/>
                <w:color w:val="auto"/>
                <w:sz w:val="24"/>
                <w:szCs w:val="24"/>
                <w:highlight w:val="none"/>
                <w:lang w:eastAsia="zh-CN"/>
              </w:rPr>
              <w:t>地市</w:t>
            </w:r>
            <w:r>
              <w:rPr>
                <w:rFonts w:hint="eastAsia" w:ascii="仿宋_GB2312" w:hAnsi="Times New Roman" w:eastAsia="仿宋_GB2312"/>
                <w:color w:val="auto"/>
                <w:sz w:val="24"/>
                <w:szCs w:val="24"/>
                <w:highlight w:val="none"/>
              </w:rPr>
              <w:t>级生态环境保护类奖项的得1分，其他不得分。</w:t>
            </w:r>
          </w:p>
          <w:p>
            <w:pPr>
              <w:widowControl/>
              <w:jc w:val="left"/>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②项目负责人主持或参与过</w:t>
            </w:r>
            <w:r>
              <w:rPr>
                <w:rFonts w:hint="eastAsia" w:ascii="仿宋_GB2312" w:eastAsia="仿宋_GB2312"/>
                <w:color w:val="auto"/>
                <w:sz w:val="24"/>
                <w:szCs w:val="24"/>
                <w:highlight w:val="none"/>
                <w:lang w:eastAsia="zh-CN"/>
              </w:rPr>
              <w:t>地</w:t>
            </w:r>
            <w:r>
              <w:rPr>
                <w:rFonts w:hint="eastAsia" w:ascii="仿宋_GB2312" w:hAnsi="Times New Roman" w:eastAsia="仿宋_GB2312"/>
                <w:color w:val="auto"/>
                <w:sz w:val="24"/>
                <w:szCs w:val="24"/>
                <w:highlight w:val="none"/>
              </w:rPr>
              <w:t>市级及以上环境类课题并获奖的，每个得2分，最高得6分。</w:t>
            </w:r>
          </w:p>
          <w:p>
            <w:pPr>
              <w:widowControl/>
              <w:jc w:val="left"/>
              <w:rPr>
                <w:rFonts w:hint="eastAsia" w:ascii="仿宋_GB2312" w:hAnsi="Times New Roman" w:eastAsia="仿宋_GB2312"/>
                <w:color w:val="auto"/>
                <w:sz w:val="24"/>
                <w:szCs w:val="24"/>
                <w:highlight w:val="none"/>
              </w:rPr>
            </w:pPr>
            <w:r>
              <w:rPr>
                <w:rFonts w:hint="default" w:ascii="仿宋_GB2312" w:hAnsi="Times New Roman" w:eastAsia="仿宋_GB2312"/>
                <w:color w:val="auto"/>
                <w:sz w:val="24"/>
                <w:szCs w:val="24"/>
                <w:highlight w:val="none"/>
              </w:rPr>
              <w:t>③</w:t>
            </w:r>
            <w:r>
              <w:rPr>
                <w:rFonts w:hint="eastAsia" w:ascii="仿宋_GB2312" w:hAnsi="Times New Roman" w:eastAsia="仿宋_GB2312"/>
                <w:color w:val="auto"/>
                <w:sz w:val="24"/>
                <w:szCs w:val="24"/>
                <w:highlight w:val="none"/>
              </w:rPr>
              <w:t>项目组成员（除项目负责人）自2018年1月1日（以获奖时间为准）至今获得过</w:t>
            </w:r>
            <w:r>
              <w:rPr>
                <w:rFonts w:hint="eastAsia" w:ascii="仿宋_GB2312" w:hAnsi="Times New Roman" w:eastAsia="仿宋_GB2312"/>
                <w:color w:val="auto"/>
                <w:sz w:val="24"/>
                <w:szCs w:val="24"/>
                <w:highlight w:val="none"/>
                <w:lang w:eastAsia="zh-CN"/>
              </w:rPr>
              <w:t>省部级及以上</w:t>
            </w:r>
            <w:r>
              <w:rPr>
                <w:rFonts w:hint="eastAsia" w:ascii="仿宋_GB2312" w:hAnsi="Times New Roman" w:eastAsia="仿宋_GB2312"/>
                <w:color w:val="auto"/>
                <w:sz w:val="24"/>
                <w:szCs w:val="24"/>
                <w:highlight w:val="none"/>
              </w:rPr>
              <w:t>生态环境保护类奖项的得</w:t>
            </w:r>
            <w:r>
              <w:rPr>
                <w:rFonts w:hint="eastAsia" w:ascii="仿宋_GB2312" w:hAnsi="Times New Roman" w:eastAsia="仿宋_GB2312"/>
                <w:color w:val="auto"/>
                <w:sz w:val="24"/>
                <w:szCs w:val="24"/>
                <w:highlight w:val="none"/>
                <w:lang w:val="en-US" w:eastAsia="zh-CN"/>
              </w:rPr>
              <w:t>1</w:t>
            </w:r>
            <w:r>
              <w:rPr>
                <w:rFonts w:hint="eastAsia" w:ascii="仿宋_GB2312" w:hAnsi="Times New Roman" w:eastAsia="仿宋_GB2312"/>
                <w:color w:val="auto"/>
                <w:sz w:val="24"/>
                <w:szCs w:val="24"/>
                <w:highlight w:val="none"/>
              </w:rPr>
              <w:t>分，</w:t>
            </w:r>
            <w:r>
              <w:rPr>
                <w:rFonts w:hint="eastAsia" w:ascii="仿宋_GB2312" w:hAnsi="Times New Roman" w:eastAsia="仿宋_GB2312"/>
                <w:color w:val="auto"/>
                <w:sz w:val="24"/>
                <w:szCs w:val="24"/>
                <w:highlight w:val="none"/>
                <w:lang w:eastAsia="zh-CN"/>
              </w:rPr>
              <w:t>地市</w:t>
            </w:r>
            <w:r>
              <w:rPr>
                <w:rFonts w:hint="eastAsia" w:ascii="仿宋_GB2312" w:hAnsi="Times New Roman" w:eastAsia="仿宋_GB2312"/>
                <w:color w:val="auto"/>
                <w:sz w:val="24"/>
                <w:szCs w:val="24"/>
                <w:highlight w:val="none"/>
              </w:rPr>
              <w:t>级生态环境保护类奖项的得</w:t>
            </w:r>
            <w:r>
              <w:rPr>
                <w:rFonts w:hint="eastAsia" w:ascii="仿宋_GB2312" w:hAnsi="Times New Roman" w:eastAsia="仿宋_GB2312"/>
                <w:color w:val="auto"/>
                <w:sz w:val="24"/>
                <w:szCs w:val="24"/>
                <w:highlight w:val="none"/>
                <w:lang w:val="en-US" w:eastAsia="zh-CN"/>
              </w:rPr>
              <w:t>0.5</w:t>
            </w:r>
            <w:r>
              <w:rPr>
                <w:rFonts w:hint="eastAsia" w:ascii="仿宋_GB2312" w:hAnsi="Times New Roman" w:eastAsia="仿宋_GB2312"/>
                <w:color w:val="auto"/>
                <w:sz w:val="24"/>
                <w:szCs w:val="24"/>
                <w:highlight w:val="none"/>
              </w:rPr>
              <w:t>分，其他不得分。</w:t>
            </w:r>
          </w:p>
          <w:p>
            <w:pPr>
              <w:widowControl/>
              <w:jc w:val="left"/>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（提供</w:t>
            </w:r>
            <w:r>
              <w:rPr>
                <w:rFonts w:hint="eastAsia" w:ascii="仿宋_GB2312" w:eastAsia="仿宋_GB2312"/>
                <w:color w:val="auto"/>
                <w:sz w:val="24"/>
                <w:szCs w:val="24"/>
                <w:highlight w:val="none"/>
                <w:lang w:eastAsia="zh-CN"/>
              </w:rPr>
              <w:t>相应</w:t>
            </w:r>
            <w:r>
              <w:rPr>
                <w:rFonts w:hint="eastAsia" w:ascii="仿宋_GB2312" w:hAnsi="Times New Roman" w:eastAsia="仿宋_GB2312"/>
                <w:color w:val="auto"/>
                <w:sz w:val="24"/>
                <w:szCs w:val="24"/>
                <w:highlight w:val="none"/>
              </w:rPr>
              <w:t>证明材料复印件并加盖公章，未提供不得分）</w:t>
            </w:r>
          </w:p>
        </w:tc>
        <w:tc>
          <w:tcPr>
            <w:tcW w:w="429" w:type="pct"/>
            <w:vAlign w:val="center"/>
          </w:tcPr>
          <w:p>
            <w:pPr>
              <w:pStyle w:val="10"/>
              <w:adjustRightInd w:val="0"/>
              <w:snapToGrid w:val="0"/>
              <w:jc w:val="center"/>
              <w:rPr>
                <w:rFonts w:ascii="仿宋_GB2312" w:hAnsi="Times New Roman" w:eastAsia="仿宋_GB2312" w:cs="Times New Roman"/>
                <w:bCs/>
                <w:color w:val="auto"/>
                <w:sz w:val="24"/>
                <w:szCs w:val="24"/>
                <w:highlight w:val="none"/>
              </w:rPr>
            </w:pPr>
            <w:r>
              <w:rPr>
                <w:rFonts w:hint="eastAsia" w:ascii="仿宋_GB2312" w:hAnsi="Times New Roman" w:eastAsia="仿宋_GB2312" w:cs="Times New Roman"/>
                <w:bCs/>
                <w:color w:val="auto"/>
                <w:sz w:val="24"/>
                <w:szCs w:val="24"/>
                <w:highlight w:val="none"/>
                <w:lang w:val="en-US" w:eastAsia="zh-CN"/>
              </w:rPr>
              <w:t>9</w:t>
            </w:r>
            <w:r>
              <w:rPr>
                <w:rFonts w:hint="eastAsia" w:ascii="仿宋_GB2312" w:hAnsi="Times New Roman" w:eastAsia="仿宋_GB2312" w:cs="Times New Roman"/>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5" w:type="pct"/>
            <w:vAlign w:val="center"/>
          </w:tcPr>
          <w:p>
            <w:pPr>
              <w:jc w:val="center"/>
              <w:rPr>
                <w:rFonts w:ascii="仿宋_GB2312" w:hAnsi="Times New Roman" w:eastAsia="仿宋_GB2312"/>
                <w:bCs/>
                <w:color w:val="auto"/>
                <w:sz w:val="24"/>
                <w:szCs w:val="24"/>
                <w:highlight w:val="none"/>
              </w:rPr>
            </w:pPr>
            <w:r>
              <w:rPr>
                <w:rFonts w:hint="eastAsia" w:ascii="仿宋_GB2312" w:hAnsi="Times New Roman" w:eastAsia="仿宋_GB2312"/>
                <w:color w:val="auto"/>
                <w:sz w:val="24"/>
                <w:szCs w:val="24"/>
                <w:highlight w:val="none"/>
              </w:rPr>
              <w:t>1</w:t>
            </w:r>
            <w:r>
              <w:rPr>
                <w:rFonts w:hint="eastAsia" w:ascii="仿宋_GB2312" w:eastAsia="仿宋_GB2312"/>
                <w:color w:val="auto"/>
                <w:sz w:val="24"/>
                <w:szCs w:val="24"/>
                <w:highlight w:val="none"/>
                <w:lang w:val="en-US" w:eastAsia="zh-CN"/>
              </w:rPr>
              <w:t>5</w:t>
            </w:r>
            <w:r>
              <w:rPr>
                <w:rFonts w:hint="eastAsia" w:ascii="仿宋_GB2312" w:hAnsi="Times New Roman" w:eastAsia="仿宋_GB2312"/>
                <w:color w:val="auto"/>
                <w:sz w:val="24"/>
                <w:szCs w:val="24"/>
                <w:highlight w:val="none"/>
              </w:rPr>
              <w:t>、业绩情况</w:t>
            </w:r>
          </w:p>
        </w:tc>
        <w:tc>
          <w:tcPr>
            <w:tcW w:w="3925" w:type="pct"/>
            <w:vAlign w:val="center"/>
          </w:tcPr>
          <w:p>
            <w:pPr>
              <w:jc w:val="left"/>
              <w:rPr>
                <w:rFonts w:ascii="仿宋_GB2312" w:hAnsi="Times New Roman" w:eastAsia="仿宋_GB2312"/>
                <w:bCs/>
                <w:color w:val="auto"/>
                <w:sz w:val="24"/>
                <w:szCs w:val="24"/>
                <w:highlight w:val="none"/>
              </w:rPr>
            </w:pPr>
            <w:bookmarkStart w:id="548" w:name="_GoBack"/>
            <w:r>
              <w:rPr>
                <w:rFonts w:hint="eastAsia" w:ascii="仿宋_GB2312" w:hAnsi="Times New Roman" w:eastAsia="仿宋_GB2312"/>
                <w:color w:val="auto"/>
                <w:sz w:val="24"/>
                <w:szCs w:val="24"/>
                <w:highlight w:val="none"/>
              </w:rPr>
              <w:t>供应商自</w:t>
            </w:r>
            <w:r>
              <w:rPr>
                <w:rFonts w:hint="eastAsia" w:ascii="仿宋_GB2312" w:hAnsi="Times New Roman" w:eastAsia="仿宋_GB2312"/>
                <w:color w:val="auto"/>
                <w:sz w:val="24"/>
                <w:szCs w:val="24"/>
                <w:highlight w:val="none"/>
              </w:rPr>
              <w:t>201</w:t>
            </w:r>
            <w:r>
              <w:rPr>
                <w:rFonts w:hint="eastAsia" w:ascii="仿宋_GB2312" w:eastAsia="仿宋_GB2312"/>
                <w:color w:val="auto"/>
                <w:sz w:val="24"/>
                <w:szCs w:val="24"/>
                <w:highlight w:val="none"/>
                <w:lang w:val="en-US" w:eastAsia="zh-CN"/>
              </w:rPr>
              <w:t>8</w:t>
            </w:r>
            <w:r>
              <w:rPr>
                <w:rFonts w:hint="eastAsia" w:ascii="仿宋_GB2312" w:hAnsi="Times New Roman" w:eastAsia="仿宋_GB2312"/>
                <w:color w:val="auto"/>
                <w:sz w:val="24"/>
                <w:szCs w:val="24"/>
                <w:highlight w:val="none"/>
              </w:rPr>
              <w:t>年1月1日以来</w:t>
            </w:r>
            <w:r>
              <w:rPr>
                <w:rFonts w:hint="eastAsia" w:ascii="仿宋_GB2312" w:hAnsi="Times New Roman" w:eastAsia="仿宋_GB2312"/>
                <w:color w:val="auto"/>
                <w:sz w:val="24"/>
                <w:szCs w:val="24"/>
                <w:highlight w:val="none"/>
              </w:rPr>
              <w:t>承担过饮用水水源保护区精准落位、饮用水水源保护区勘界定标、地表水市控以上断面设置项目业绩，每提供1类相关业绩证明得</w:t>
            </w:r>
            <w:r>
              <w:rPr>
                <w:rFonts w:hint="eastAsia" w:ascii="仿宋_GB2312" w:eastAsia="仿宋_GB2312"/>
                <w:color w:val="auto"/>
                <w:sz w:val="24"/>
                <w:szCs w:val="24"/>
                <w:highlight w:val="none"/>
                <w:lang w:val="en-US" w:eastAsia="zh-CN"/>
              </w:rPr>
              <w:t>0.5</w:t>
            </w:r>
            <w:r>
              <w:rPr>
                <w:rFonts w:hint="eastAsia" w:ascii="仿宋_GB2312" w:hAnsi="Times New Roman" w:eastAsia="仿宋_GB2312"/>
                <w:color w:val="auto"/>
                <w:sz w:val="24"/>
                <w:szCs w:val="24"/>
                <w:highlight w:val="none"/>
              </w:rPr>
              <w:t>分，最高得分为</w:t>
            </w:r>
            <w:r>
              <w:rPr>
                <w:rFonts w:hint="eastAsia" w:ascii="仿宋_GB2312" w:eastAsia="仿宋_GB2312"/>
                <w:color w:val="auto"/>
                <w:sz w:val="24"/>
                <w:szCs w:val="24"/>
                <w:highlight w:val="none"/>
                <w:lang w:val="en-US" w:eastAsia="zh-CN"/>
              </w:rPr>
              <w:t>1</w:t>
            </w:r>
            <w:r>
              <w:rPr>
                <w:rFonts w:hint="eastAsia" w:ascii="仿宋_GB2312" w:hAnsi="Times New Roman" w:eastAsia="仿宋_GB2312"/>
                <w:color w:val="auto"/>
                <w:sz w:val="24"/>
                <w:szCs w:val="24"/>
                <w:highlight w:val="none"/>
              </w:rPr>
              <w:t>分。（提供合同或中标通知书证明材料并加盖公章，相同类型的业绩重复不得分。）</w:t>
            </w:r>
            <w:bookmarkEnd w:id="548"/>
          </w:p>
        </w:tc>
        <w:tc>
          <w:tcPr>
            <w:tcW w:w="429" w:type="pct"/>
            <w:vAlign w:val="center"/>
          </w:tcPr>
          <w:p>
            <w:pPr>
              <w:jc w:val="center"/>
              <w:rPr>
                <w:rFonts w:ascii="仿宋_GB2312" w:hAnsi="Times New Roman" w:eastAsia="仿宋_GB2312"/>
                <w:color w:val="auto"/>
                <w:sz w:val="24"/>
                <w:szCs w:val="24"/>
                <w:highlight w:val="none"/>
              </w:rPr>
            </w:pPr>
            <w:r>
              <w:rPr>
                <w:rFonts w:hint="eastAsia" w:ascii="仿宋_GB2312" w:eastAsia="仿宋_GB2312"/>
                <w:color w:val="auto"/>
                <w:sz w:val="24"/>
                <w:szCs w:val="24"/>
                <w:highlight w:val="none"/>
                <w:lang w:val="en-US" w:eastAsia="zh-CN"/>
              </w:rPr>
              <w:t>1</w:t>
            </w:r>
            <w:r>
              <w:rPr>
                <w:rFonts w:hint="eastAsia" w:ascii="仿宋_GB2312" w:hAnsi="Times New Roman" w:eastAsia="仿宋_GB2312"/>
                <w:color w:val="auto"/>
                <w:sz w:val="24"/>
                <w:szCs w:val="24"/>
                <w:highlight w:val="none"/>
              </w:rPr>
              <w:t>分</w:t>
            </w:r>
          </w:p>
        </w:tc>
      </w:tr>
    </w:tbl>
    <w:p>
      <w:pPr>
        <w:widowControl/>
        <w:spacing w:line="360" w:lineRule="exact"/>
        <w:ind w:left="638" w:leftChars="3" w:right="-514" w:rightChars="-245" w:hanging="632" w:hangingChars="300"/>
        <w:rPr>
          <w:rFonts w:hint="eastAsia" w:ascii="仿宋" w:hAnsi="仿宋" w:eastAsia="仿宋" w:cs="仿宋_GB2312"/>
          <w:b/>
          <w:color w:val="auto"/>
          <w:sz w:val="36"/>
          <w:szCs w:val="36"/>
          <w:highlight w:val="none"/>
        </w:rPr>
      </w:pPr>
      <w:r>
        <w:rPr>
          <w:rFonts w:hint="eastAsia" w:ascii="仿宋" w:hAnsi="仿宋" w:eastAsia="仿宋" w:cs="仿宋"/>
          <w:b/>
          <w:color w:val="auto"/>
          <w:szCs w:val="21"/>
          <w:highlight w:val="none"/>
        </w:rPr>
        <w:t>备注：为方便专家评审，请各供应商将本表编入</w:t>
      </w:r>
      <w:r>
        <w:rPr>
          <w:rFonts w:hint="eastAsia" w:ascii="仿宋" w:hAnsi="仿宋" w:eastAsia="仿宋" w:cs="仿宋"/>
          <w:b/>
          <w:color w:val="auto"/>
          <w:szCs w:val="21"/>
          <w:highlight w:val="none"/>
          <w:lang w:eastAsia="zh-CN"/>
        </w:rPr>
        <w:t>响应文件</w:t>
      </w:r>
      <w:r>
        <w:rPr>
          <w:rFonts w:hint="eastAsia" w:ascii="仿宋" w:hAnsi="仿宋" w:eastAsia="仿宋" w:cs="仿宋"/>
          <w:b/>
          <w:color w:val="auto"/>
          <w:szCs w:val="21"/>
          <w:highlight w:val="none"/>
        </w:rPr>
        <w:t>，并置于</w:t>
      </w:r>
      <w:r>
        <w:rPr>
          <w:rFonts w:hint="eastAsia" w:ascii="仿宋" w:hAnsi="仿宋" w:eastAsia="仿宋" w:cs="仿宋"/>
          <w:b/>
          <w:color w:val="auto"/>
          <w:szCs w:val="21"/>
          <w:highlight w:val="none"/>
          <w:lang w:eastAsia="zh-CN"/>
        </w:rPr>
        <w:t>响应文件</w:t>
      </w:r>
      <w:r>
        <w:rPr>
          <w:rFonts w:hint="eastAsia" w:ascii="仿宋" w:hAnsi="仿宋" w:eastAsia="仿宋" w:cs="仿宋"/>
          <w:b/>
          <w:color w:val="auto"/>
          <w:szCs w:val="21"/>
          <w:highlight w:val="none"/>
        </w:rPr>
        <w:t>目录之前。</w:t>
      </w:r>
    </w:p>
    <w:p>
      <w:pPr>
        <w:pStyle w:val="8"/>
        <w:ind w:left="0" w:leftChars="0" w:firstLine="0" w:firstLineChars="0"/>
        <w:rPr>
          <w:rFonts w:hint="eastAsia" w:ascii="仿宋" w:hAnsi="仿宋" w:eastAsia="仿宋" w:cs="仿宋_GB2312"/>
          <w:b/>
          <w:color w:val="auto"/>
          <w:sz w:val="36"/>
          <w:szCs w:val="36"/>
          <w:highlight w:val="none"/>
        </w:rPr>
      </w:pPr>
    </w:p>
    <w:p>
      <w:pPr>
        <w:pStyle w:val="4"/>
        <w:rPr>
          <w:rFonts w:hint="eastAsia"/>
          <w:color w:val="auto"/>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hint="eastAsia" w:ascii="仿宋" w:hAnsi="仿宋" w:eastAsia="仿宋" w:cs="仿宋_GB2312"/>
          <w:b/>
          <w:color w:val="auto"/>
          <w:sz w:val="36"/>
          <w:szCs w:val="36"/>
          <w:highlight w:val="none"/>
        </w:rPr>
      </w:pPr>
    </w:p>
    <w:p>
      <w:pPr>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第五部分 拟签订的合同文本</w:t>
      </w:r>
    </w:p>
    <w:p>
      <w:pPr>
        <w:adjustRightInd w:val="0"/>
        <w:snapToGrid w:val="0"/>
        <w:spacing w:line="400" w:lineRule="exact"/>
        <w:jc w:val="center"/>
        <w:rPr>
          <w:rFonts w:hint="eastAsia" w:ascii="仿宋" w:hAnsi="仿宋" w:eastAsia="仿宋" w:cs="仿宋"/>
          <w:bCs/>
          <w:snapToGrid w:val="0"/>
          <w:color w:val="auto"/>
          <w:kern w:val="0"/>
          <w:sz w:val="24"/>
          <w:szCs w:val="24"/>
          <w:highlight w:val="none"/>
        </w:rPr>
      </w:pPr>
      <w:bookmarkStart w:id="377" w:name="_Toc331685783"/>
      <w:r>
        <w:rPr>
          <w:rFonts w:hint="eastAsia" w:ascii="仿宋" w:hAnsi="仿宋" w:eastAsia="仿宋" w:cs="仿宋"/>
          <w:bCs/>
          <w:snapToGrid w:val="0"/>
          <w:color w:val="auto"/>
          <w:kern w:val="0"/>
          <w:sz w:val="24"/>
          <w:szCs w:val="24"/>
          <w:highlight w:val="none"/>
        </w:rPr>
        <w:t>（具体条款由采购人与中标人进行协商细化，以最终合同为准）</w:t>
      </w:r>
    </w:p>
    <w:p>
      <w:pPr>
        <w:pStyle w:val="31"/>
        <w:ind w:firstLine="482"/>
        <w:jc w:val="center"/>
        <w:rPr>
          <w:rFonts w:hint="eastAsia" w:ascii="仿宋_GB2312" w:hAnsi="楷体" w:eastAsia="仿宋_GB2312" w:cs="Times New Roman"/>
          <w:b/>
          <w:color w:val="auto"/>
          <w:szCs w:val="24"/>
          <w:highlight w:val="none"/>
        </w:rPr>
      </w:pPr>
    </w:p>
    <w:bookmarkEnd w:id="377"/>
    <w:p>
      <w:pPr>
        <w:spacing w:line="360" w:lineRule="auto"/>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合同编号：</w:t>
      </w:r>
      <w:r>
        <w:rPr>
          <w:rFonts w:hint="eastAsia" w:ascii="仿宋_GB2312" w:hAnsi="楷体" w:eastAsia="仿宋_GB2312"/>
          <w:color w:val="auto"/>
          <w:sz w:val="24"/>
          <w:highlight w:val="none"/>
          <w:u w:val="single"/>
        </w:rPr>
        <w:t xml:space="preserve">           </w:t>
      </w:r>
    </w:p>
    <w:p>
      <w:pPr>
        <w:spacing w:line="360" w:lineRule="auto"/>
        <w:rPr>
          <w:rFonts w:ascii="仿宋_GB2312" w:hAnsi="楷体" w:eastAsia="仿宋_GB2312"/>
          <w:color w:val="auto"/>
          <w:sz w:val="24"/>
          <w:highlight w:val="none"/>
          <w:u w:val="single"/>
        </w:rPr>
      </w:pPr>
    </w:p>
    <w:p>
      <w:pPr>
        <w:pStyle w:val="31"/>
        <w:ind w:leftChars="0" w:firstLine="2826" w:firstLineChars="782"/>
        <w:jc w:val="left"/>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政府采购合同书</w:t>
      </w:r>
    </w:p>
    <w:p>
      <w:pPr>
        <w:pStyle w:val="31"/>
        <w:rPr>
          <w:rFonts w:ascii="仿宋_GB2312" w:hAnsi="楷体" w:eastAsia="仿宋_GB2312"/>
          <w:color w:val="auto"/>
          <w:szCs w:val="24"/>
          <w:highlight w:val="none"/>
        </w:rPr>
      </w:pPr>
    </w:p>
    <w:p>
      <w:pPr>
        <w:pStyle w:val="31"/>
        <w:rPr>
          <w:rFonts w:ascii="仿宋_GB2312" w:hAnsi="楷体" w:eastAsia="仿宋_GB2312"/>
          <w:color w:val="auto"/>
          <w:szCs w:val="24"/>
          <w:highlight w:val="none"/>
        </w:rPr>
      </w:pPr>
    </w:p>
    <w:p>
      <w:pPr>
        <w:spacing w:before="120" w:line="360" w:lineRule="auto"/>
        <w:rPr>
          <w:rFonts w:ascii="仿宋_GB2312" w:hAnsi="楷体" w:eastAsia="仿宋_GB2312"/>
          <w:color w:val="auto"/>
          <w:sz w:val="24"/>
          <w:highlight w:val="none"/>
        </w:rPr>
      </w:pPr>
    </w:p>
    <w:p>
      <w:pPr>
        <w:spacing w:before="120" w:line="360" w:lineRule="auto"/>
        <w:ind w:left="96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项目名称：</w:t>
      </w:r>
      <w:r>
        <w:rPr>
          <w:rFonts w:hint="eastAsia" w:ascii="仿宋_GB2312" w:hAnsi="楷体" w:eastAsia="仿宋_GB2312"/>
          <w:color w:val="auto"/>
          <w:sz w:val="24"/>
          <w:highlight w:val="none"/>
          <w:u w:val="single"/>
        </w:rPr>
        <w:t xml:space="preserve">                                   </w:t>
      </w:r>
    </w:p>
    <w:p>
      <w:pPr>
        <w:pStyle w:val="32"/>
        <w:spacing w:before="120"/>
        <w:rPr>
          <w:rFonts w:hAnsi="楷体"/>
          <w:color w:val="auto"/>
          <w:szCs w:val="24"/>
          <w:highlight w:val="none"/>
        </w:rPr>
      </w:pPr>
    </w:p>
    <w:p>
      <w:pPr>
        <w:spacing w:line="360" w:lineRule="auto"/>
        <w:rPr>
          <w:rFonts w:ascii="仿宋_GB2312" w:eastAsia="仿宋_GB2312"/>
          <w:color w:val="auto"/>
          <w:sz w:val="24"/>
          <w:highlight w:val="none"/>
        </w:rPr>
      </w:pPr>
    </w:p>
    <w:p>
      <w:pPr>
        <w:spacing w:before="120" w:line="360" w:lineRule="auto"/>
        <w:ind w:left="96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甲方：</w:t>
      </w:r>
      <w:r>
        <w:rPr>
          <w:rFonts w:hint="eastAsia" w:ascii="仿宋_GB2312" w:hAnsi="楷体" w:eastAsia="仿宋_GB2312"/>
          <w:color w:val="auto"/>
          <w:sz w:val="24"/>
          <w:highlight w:val="none"/>
          <w:u w:val="single"/>
        </w:rPr>
        <w:t xml:space="preserve">                                       </w:t>
      </w:r>
    </w:p>
    <w:p>
      <w:pPr>
        <w:spacing w:before="120" w:line="360" w:lineRule="auto"/>
        <w:rPr>
          <w:rFonts w:ascii="仿宋_GB2312" w:hAnsi="楷体" w:eastAsia="仿宋_GB2312"/>
          <w:color w:val="auto"/>
          <w:sz w:val="24"/>
          <w:highlight w:val="none"/>
        </w:rPr>
      </w:pPr>
    </w:p>
    <w:p>
      <w:pPr>
        <w:spacing w:before="120" w:line="360" w:lineRule="auto"/>
        <w:ind w:left="96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乙方：</w:t>
      </w:r>
      <w:r>
        <w:rPr>
          <w:rFonts w:hint="eastAsia" w:ascii="仿宋_GB2312" w:hAnsi="楷体" w:eastAsia="仿宋_GB2312"/>
          <w:color w:val="auto"/>
          <w:sz w:val="24"/>
          <w:highlight w:val="none"/>
          <w:u w:val="single"/>
        </w:rPr>
        <w:t xml:space="preserve">                                       </w:t>
      </w:r>
    </w:p>
    <w:p>
      <w:pPr>
        <w:spacing w:before="120" w:line="360" w:lineRule="auto"/>
        <w:rPr>
          <w:rFonts w:ascii="仿宋_GB2312" w:hAnsi="楷体" w:eastAsia="仿宋_GB2312"/>
          <w:color w:val="auto"/>
          <w:sz w:val="24"/>
          <w:highlight w:val="none"/>
        </w:rPr>
      </w:pPr>
    </w:p>
    <w:p>
      <w:pPr>
        <w:spacing w:before="120" w:line="360" w:lineRule="auto"/>
        <w:ind w:firstLine="960" w:firstLineChars="4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签订地：</w:t>
      </w:r>
      <w:r>
        <w:rPr>
          <w:rFonts w:hint="eastAsia" w:ascii="仿宋_GB2312" w:hAnsi="楷体" w:eastAsia="仿宋_GB2312"/>
          <w:color w:val="auto"/>
          <w:sz w:val="24"/>
          <w:highlight w:val="none"/>
          <w:u w:val="single"/>
        </w:rPr>
        <w:t xml:space="preserve">                                     </w:t>
      </w:r>
    </w:p>
    <w:p>
      <w:pPr>
        <w:spacing w:before="120" w:line="360" w:lineRule="auto"/>
        <w:rPr>
          <w:rFonts w:ascii="仿宋_GB2312" w:hAnsi="楷体" w:eastAsia="仿宋_GB2312"/>
          <w:color w:val="auto"/>
          <w:sz w:val="24"/>
          <w:highlight w:val="none"/>
        </w:rPr>
      </w:pPr>
    </w:p>
    <w:p>
      <w:pPr>
        <w:spacing w:before="120" w:line="360" w:lineRule="auto"/>
        <w:ind w:firstLine="960" w:firstLineChars="4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签订日期：</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年</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月</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w:t>
      </w:r>
    </w:p>
    <w:p>
      <w:pPr>
        <w:widowControl/>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br w:type="page"/>
      </w:r>
    </w:p>
    <w:p>
      <w:pPr>
        <w:spacing w:line="360" w:lineRule="auto"/>
        <w:ind w:firstLine="562" w:firstLineChars="200"/>
        <w:jc w:val="center"/>
        <w:rPr>
          <w:rFonts w:ascii="仿宋_GB2312" w:hAnsi="楷体" w:eastAsia="仿宋_GB2312"/>
          <w:b/>
          <w:color w:val="auto"/>
          <w:sz w:val="28"/>
          <w:szCs w:val="28"/>
          <w:highlight w:val="none"/>
        </w:rPr>
      </w:pPr>
      <w:r>
        <w:rPr>
          <w:rFonts w:hint="eastAsia" w:ascii="仿宋_GB2312" w:hAnsi="楷体" w:eastAsia="仿宋_GB2312"/>
          <w:b/>
          <w:color w:val="auto"/>
          <w:sz w:val="28"/>
          <w:szCs w:val="28"/>
          <w:highlight w:val="none"/>
        </w:rPr>
        <w:t>第一部分 合同书</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楷体" w:eastAsia="仿宋_GB2312"/>
          <w:color w:val="auto"/>
          <w:sz w:val="24"/>
          <w:highlight w:val="none"/>
          <w:u w:val="single"/>
        </w:rPr>
        <w:t xml:space="preserve">   （采购人名称）   </w:t>
      </w:r>
      <w:r>
        <w:rPr>
          <w:rFonts w:hint="eastAsia" w:ascii="仿宋_GB2312" w:hAnsi="楷体" w:eastAsia="仿宋_GB2312"/>
          <w:color w:val="auto"/>
          <w:sz w:val="24"/>
          <w:highlight w:val="none"/>
        </w:rPr>
        <w:t>以</w:t>
      </w:r>
      <w:r>
        <w:rPr>
          <w:rFonts w:hint="eastAsia" w:ascii="仿宋_GB2312" w:hAnsi="楷体" w:eastAsia="仿宋_GB2312"/>
          <w:color w:val="auto"/>
          <w:sz w:val="24"/>
          <w:highlight w:val="none"/>
          <w:u w:val="single"/>
        </w:rPr>
        <w:t xml:space="preserve">   （政府采购方式）  </w:t>
      </w:r>
      <w:r>
        <w:rPr>
          <w:rFonts w:hint="eastAsia" w:ascii="仿宋_GB2312" w:hAnsi="楷体" w:eastAsia="仿宋_GB2312"/>
          <w:color w:val="auto"/>
          <w:sz w:val="24"/>
          <w:highlight w:val="none"/>
        </w:rPr>
        <w:t>对</w:t>
      </w:r>
      <w:r>
        <w:rPr>
          <w:rFonts w:hint="eastAsia" w:ascii="仿宋_GB2312" w:hAnsi="楷体" w:eastAsia="仿宋_GB2312"/>
          <w:color w:val="auto"/>
          <w:sz w:val="24"/>
          <w:highlight w:val="none"/>
          <w:u w:val="single"/>
        </w:rPr>
        <w:t xml:space="preserve">   （同前页项目名称）   </w:t>
      </w:r>
      <w:r>
        <w:rPr>
          <w:rFonts w:hint="eastAsia" w:ascii="仿宋_GB2312" w:hAnsi="楷体" w:eastAsia="仿宋_GB2312"/>
          <w:color w:val="auto"/>
          <w:sz w:val="24"/>
          <w:highlight w:val="none"/>
        </w:rPr>
        <w:t>项目进行了采购。经评定，</w:t>
      </w:r>
      <w:r>
        <w:rPr>
          <w:rFonts w:hint="eastAsia" w:ascii="仿宋_GB2312" w:hAnsi="楷体" w:eastAsia="仿宋_GB2312"/>
          <w:color w:val="auto"/>
          <w:sz w:val="24"/>
          <w:highlight w:val="none"/>
          <w:u w:val="single"/>
        </w:rPr>
        <w:t xml:space="preserve">   （成交供应商名称）</w:t>
      </w:r>
      <w:r>
        <w:rPr>
          <w:rFonts w:hint="eastAsia" w:ascii="仿宋_GB2312" w:hAnsi="楷体" w:eastAsia="仿宋_GB2312"/>
          <w:color w:val="auto"/>
          <w:sz w:val="24"/>
          <w:highlight w:val="none"/>
        </w:rPr>
        <w:t>为该项目成交供应商。现于成交通知书发出之日起三十日内，按照采购文件确定的事项签订本合同。</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（采购人名称）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（成交供应商名称）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pPr>
        <w:spacing w:line="360" w:lineRule="auto"/>
        <w:ind w:firstLine="482" w:firstLineChars="200"/>
        <w:outlineLvl w:val="0"/>
        <w:rPr>
          <w:rFonts w:ascii="仿宋_GB2312" w:hAnsi="楷体" w:eastAsia="仿宋_GB2312"/>
          <w:b/>
          <w:color w:val="auto"/>
          <w:sz w:val="24"/>
          <w:highlight w:val="none"/>
        </w:rPr>
      </w:pPr>
      <w:bookmarkStart w:id="378" w:name="_Toc24059"/>
      <w:bookmarkStart w:id="379" w:name="_Toc2232"/>
      <w:bookmarkStart w:id="380" w:name="_Toc3029"/>
      <w:r>
        <w:rPr>
          <w:rFonts w:hint="eastAsia" w:ascii="仿宋_GB2312" w:hAnsi="楷体" w:eastAsia="仿宋_GB2312"/>
          <w:b/>
          <w:color w:val="auto"/>
          <w:sz w:val="24"/>
          <w:highlight w:val="none"/>
        </w:rPr>
        <w:t>1.1 合同组成部分</w:t>
      </w:r>
      <w:bookmarkEnd w:id="378"/>
      <w:bookmarkEnd w:id="379"/>
      <w:bookmarkEnd w:id="380"/>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1.1.2 成交通知书；</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1.1.3 响应文件及“最后报价”（含澄清或者说明文件）；</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1.1.4 磋商文件（含澄清或者修改文件）；</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pPr>
        <w:spacing w:line="360" w:lineRule="auto"/>
        <w:ind w:firstLine="482" w:firstLineChars="200"/>
        <w:outlineLvl w:val="0"/>
        <w:rPr>
          <w:rFonts w:ascii="仿宋_GB2312" w:hAnsi="楷体" w:eastAsia="仿宋_GB2312"/>
          <w:b/>
          <w:color w:val="auto"/>
          <w:sz w:val="24"/>
          <w:highlight w:val="none"/>
        </w:rPr>
      </w:pPr>
      <w:bookmarkStart w:id="381" w:name="_Toc27126"/>
      <w:bookmarkStart w:id="382" w:name="_Toc24300"/>
      <w:bookmarkStart w:id="383" w:name="_Toc21295"/>
      <w:r>
        <w:rPr>
          <w:rFonts w:hint="eastAsia" w:ascii="仿宋_GB2312" w:hAnsi="楷体" w:eastAsia="仿宋_GB2312"/>
          <w:b/>
          <w:color w:val="auto"/>
          <w:sz w:val="24"/>
          <w:highlight w:val="none"/>
        </w:rPr>
        <w:t>1.2 标的物</w:t>
      </w:r>
      <w:bookmarkEnd w:id="381"/>
      <w:bookmarkEnd w:id="382"/>
      <w:bookmarkEnd w:id="383"/>
    </w:p>
    <w:p>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1.2.1 标的物名称：</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1.2.2 标的物数量：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1.2.3 标的物质量：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2" w:firstLineChars="200"/>
        <w:outlineLvl w:val="0"/>
        <w:rPr>
          <w:rFonts w:ascii="仿宋_GB2312" w:hAnsi="楷体" w:eastAsia="仿宋_GB2312"/>
          <w:b/>
          <w:color w:val="auto"/>
          <w:sz w:val="24"/>
          <w:highlight w:val="none"/>
        </w:rPr>
      </w:pPr>
      <w:bookmarkStart w:id="384" w:name="_Toc21631"/>
      <w:bookmarkStart w:id="385" w:name="_Toc21551"/>
      <w:bookmarkStart w:id="386" w:name="_Toc23292"/>
      <w:r>
        <w:rPr>
          <w:rFonts w:hint="eastAsia" w:ascii="仿宋_GB2312" w:hAnsi="楷体" w:eastAsia="仿宋_GB2312"/>
          <w:b/>
          <w:color w:val="auto"/>
          <w:sz w:val="24"/>
          <w:highlight w:val="none"/>
        </w:rPr>
        <w:t>1.3 价款</w:t>
      </w:r>
      <w:bookmarkEnd w:id="384"/>
      <w:bookmarkEnd w:id="385"/>
      <w:bookmarkEnd w:id="386"/>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本合同总价为：人民币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w:t>
      </w:r>
    </w:p>
    <w:p>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分项价格：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3"/>
              <w:spacing w:line="360" w:lineRule="auto"/>
              <w:jc w:val="center"/>
              <w:rPr>
                <w:rFonts w:ascii="仿宋_GB2312" w:hAnsi="楷体" w:eastAsia="仿宋_GB2312"/>
                <w:color w:val="auto"/>
                <w:sz w:val="24"/>
                <w:szCs w:val="24"/>
                <w:highlight w:val="none"/>
              </w:rPr>
            </w:pPr>
            <w:r>
              <w:rPr>
                <w:rFonts w:hint="eastAsia" w:ascii="仿宋_GB2312" w:hAnsi="楷体" w:eastAsia="仿宋_GB2312"/>
                <w:color w:val="auto"/>
                <w:sz w:val="24"/>
                <w:szCs w:val="24"/>
                <w:highlight w:val="none"/>
              </w:rPr>
              <w:t>序号</w:t>
            </w:r>
          </w:p>
        </w:tc>
        <w:tc>
          <w:tcPr>
            <w:tcW w:w="3402" w:type="dxa"/>
            <w:noWrap w:val="0"/>
            <w:vAlign w:val="center"/>
          </w:tcPr>
          <w:p>
            <w:pPr>
              <w:pStyle w:val="33"/>
              <w:spacing w:line="360" w:lineRule="auto"/>
              <w:ind w:firstLine="200"/>
              <w:jc w:val="center"/>
              <w:rPr>
                <w:rFonts w:ascii="仿宋_GB2312" w:hAnsi="楷体" w:eastAsia="仿宋_GB2312"/>
                <w:color w:val="auto"/>
                <w:sz w:val="24"/>
                <w:szCs w:val="24"/>
                <w:highlight w:val="none"/>
              </w:rPr>
            </w:pPr>
            <w:r>
              <w:rPr>
                <w:rFonts w:hint="eastAsia" w:ascii="仿宋_GB2312" w:hAnsi="楷体" w:eastAsia="仿宋_GB2312"/>
                <w:color w:val="auto"/>
                <w:sz w:val="24"/>
                <w:szCs w:val="24"/>
                <w:highlight w:val="none"/>
              </w:rPr>
              <w:t>分项名称</w:t>
            </w:r>
          </w:p>
        </w:tc>
        <w:tc>
          <w:tcPr>
            <w:tcW w:w="2552" w:type="dxa"/>
            <w:noWrap w:val="0"/>
            <w:vAlign w:val="center"/>
          </w:tcPr>
          <w:p>
            <w:pPr>
              <w:pStyle w:val="33"/>
              <w:spacing w:line="360" w:lineRule="auto"/>
              <w:jc w:val="center"/>
              <w:rPr>
                <w:rFonts w:ascii="仿宋_GB2312" w:hAnsi="楷体" w:eastAsia="仿宋_GB2312"/>
                <w:color w:val="auto"/>
                <w:sz w:val="24"/>
                <w:szCs w:val="24"/>
                <w:highlight w:val="none"/>
              </w:rPr>
            </w:pPr>
            <w:r>
              <w:rPr>
                <w:rFonts w:hint="eastAsia" w:ascii="仿宋_GB2312" w:hAnsi="楷体" w:eastAsia="仿宋_GB2312"/>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3"/>
              <w:spacing w:line="360" w:lineRule="auto"/>
              <w:ind w:firstLine="200"/>
              <w:jc w:val="center"/>
              <w:rPr>
                <w:rFonts w:ascii="仿宋_GB2312" w:hAnsi="楷体" w:eastAsia="仿宋_GB2312"/>
                <w:color w:val="auto"/>
                <w:sz w:val="24"/>
                <w:szCs w:val="24"/>
                <w:highlight w:val="none"/>
              </w:rPr>
            </w:pPr>
          </w:p>
        </w:tc>
        <w:tc>
          <w:tcPr>
            <w:tcW w:w="3402" w:type="dxa"/>
            <w:noWrap w:val="0"/>
            <w:vAlign w:val="center"/>
          </w:tcPr>
          <w:p>
            <w:pPr>
              <w:pStyle w:val="33"/>
              <w:spacing w:line="360" w:lineRule="auto"/>
              <w:ind w:firstLine="200"/>
              <w:jc w:val="center"/>
              <w:rPr>
                <w:rFonts w:ascii="仿宋_GB2312" w:hAnsi="楷体" w:eastAsia="仿宋_GB2312"/>
                <w:color w:val="auto"/>
                <w:sz w:val="24"/>
                <w:szCs w:val="24"/>
                <w:highlight w:val="none"/>
              </w:rPr>
            </w:pPr>
          </w:p>
        </w:tc>
        <w:tc>
          <w:tcPr>
            <w:tcW w:w="2552" w:type="dxa"/>
            <w:noWrap w:val="0"/>
            <w:vAlign w:val="center"/>
          </w:tcPr>
          <w:p>
            <w:pPr>
              <w:pStyle w:val="33"/>
              <w:spacing w:line="360" w:lineRule="auto"/>
              <w:ind w:firstLine="200"/>
              <w:jc w:val="center"/>
              <w:rPr>
                <w:rFonts w:ascii="仿宋_GB2312" w:hAnsi="楷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3"/>
              <w:spacing w:line="360" w:lineRule="auto"/>
              <w:ind w:firstLine="200"/>
              <w:jc w:val="center"/>
              <w:rPr>
                <w:rFonts w:ascii="仿宋_GB2312" w:hAnsi="楷体" w:eastAsia="仿宋_GB2312"/>
                <w:color w:val="auto"/>
                <w:sz w:val="24"/>
                <w:szCs w:val="24"/>
                <w:highlight w:val="none"/>
              </w:rPr>
            </w:pPr>
          </w:p>
        </w:tc>
        <w:tc>
          <w:tcPr>
            <w:tcW w:w="3402" w:type="dxa"/>
            <w:noWrap w:val="0"/>
            <w:vAlign w:val="center"/>
          </w:tcPr>
          <w:p>
            <w:pPr>
              <w:pStyle w:val="33"/>
              <w:spacing w:line="360" w:lineRule="auto"/>
              <w:ind w:firstLine="200"/>
              <w:jc w:val="center"/>
              <w:rPr>
                <w:rFonts w:ascii="仿宋_GB2312" w:hAnsi="楷体" w:eastAsia="仿宋_GB2312"/>
                <w:color w:val="auto"/>
                <w:sz w:val="24"/>
                <w:szCs w:val="24"/>
                <w:highlight w:val="none"/>
              </w:rPr>
            </w:pPr>
          </w:p>
        </w:tc>
        <w:tc>
          <w:tcPr>
            <w:tcW w:w="2552" w:type="dxa"/>
            <w:noWrap w:val="0"/>
            <w:vAlign w:val="center"/>
          </w:tcPr>
          <w:p>
            <w:pPr>
              <w:pStyle w:val="33"/>
              <w:spacing w:line="360" w:lineRule="auto"/>
              <w:ind w:firstLine="200"/>
              <w:jc w:val="center"/>
              <w:rPr>
                <w:rFonts w:ascii="仿宋_GB2312" w:hAnsi="楷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3"/>
              <w:spacing w:line="360" w:lineRule="auto"/>
              <w:ind w:firstLine="200"/>
              <w:jc w:val="center"/>
              <w:rPr>
                <w:rFonts w:ascii="仿宋_GB2312" w:hAnsi="楷体" w:eastAsia="仿宋_GB2312"/>
                <w:color w:val="auto"/>
                <w:sz w:val="24"/>
                <w:szCs w:val="24"/>
                <w:highlight w:val="none"/>
              </w:rPr>
            </w:pPr>
          </w:p>
        </w:tc>
        <w:tc>
          <w:tcPr>
            <w:tcW w:w="3402" w:type="dxa"/>
            <w:noWrap w:val="0"/>
            <w:vAlign w:val="center"/>
          </w:tcPr>
          <w:p>
            <w:pPr>
              <w:pStyle w:val="33"/>
              <w:spacing w:line="360" w:lineRule="auto"/>
              <w:ind w:firstLine="200"/>
              <w:jc w:val="center"/>
              <w:rPr>
                <w:rFonts w:ascii="仿宋_GB2312" w:hAnsi="楷体" w:eastAsia="仿宋_GB2312"/>
                <w:color w:val="auto"/>
                <w:sz w:val="24"/>
                <w:szCs w:val="24"/>
                <w:highlight w:val="none"/>
              </w:rPr>
            </w:pPr>
          </w:p>
        </w:tc>
        <w:tc>
          <w:tcPr>
            <w:tcW w:w="2552" w:type="dxa"/>
            <w:noWrap w:val="0"/>
            <w:vAlign w:val="center"/>
          </w:tcPr>
          <w:p>
            <w:pPr>
              <w:pStyle w:val="33"/>
              <w:spacing w:line="360" w:lineRule="auto"/>
              <w:ind w:firstLine="200"/>
              <w:jc w:val="center"/>
              <w:rPr>
                <w:rFonts w:ascii="仿宋_GB2312" w:hAnsi="楷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33"/>
              <w:spacing w:line="360" w:lineRule="auto"/>
              <w:ind w:firstLine="200"/>
              <w:jc w:val="center"/>
              <w:rPr>
                <w:rFonts w:ascii="仿宋_GB2312" w:hAnsi="楷体" w:eastAsia="仿宋_GB2312"/>
                <w:color w:val="auto"/>
                <w:sz w:val="24"/>
                <w:szCs w:val="24"/>
                <w:highlight w:val="none"/>
              </w:rPr>
            </w:pPr>
            <w:r>
              <w:rPr>
                <w:rFonts w:hint="eastAsia" w:ascii="仿宋_GB2312" w:hAnsi="楷体" w:eastAsia="仿宋_GB2312"/>
                <w:color w:val="auto"/>
                <w:sz w:val="24"/>
                <w:szCs w:val="24"/>
                <w:highlight w:val="none"/>
              </w:rPr>
              <w:t>总价</w:t>
            </w:r>
          </w:p>
        </w:tc>
        <w:tc>
          <w:tcPr>
            <w:tcW w:w="2552" w:type="dxa"/>
            <w:noWrap w:val="0"/>
            <w:vAlign w:val="center"/>
          </w:tcPr>
          <w:p>
            <w:pPr>
              <w:pStyle w:val="33"/>
              <w:spacing w:line="360" w:lineRule="auto"/>
              <w:ind w:firstLine="200"/>
              <w:jc w:val="center"/>
              <w:rPr>
                <w:rFonts w:ascii="仿宋_GB2312" w:hAnsi="楷体" w:eastAsia="仿宋_GB2312"/>
                <w:color w:val="auto"/>
                <w:sz w:val="24"/>
                <w:szCs w:val="24"/>
                <w:highlight w:val="none"/>
              </w:rPr>
            </w:pPr>
          </w:p>
        </w:tc>
      </w:tr>
    </w:tbl>
    <w:p>
      <w:pPr>
        <w:spacing w:line="360" w:lineRule="auto"/>
        <w:ind w:firstLine="482" w:firstLineChars="200"/>
        <w:outlineLvl w:val="0"/>
        <w:rPr>
          <w:rFonts w:ascii="仿宋_GB2312" w:hAnsi="楷体" w:eastAsia="仿宋_GB2312"/>
          <w:b/>
          <w:color w:val="auto"/>
          <w:sz w:val="24"/>
          <w:highlight w:val="none"/>
        </w:rPr>
      </w:pPr>
      <w:bookmarkStart w:id="387" w:name="_Toc22618"/>
      <w:bookmarkStart w:id="388" w:name="_Toc10340"/>
      <w:bookmarkStart w:id="389" w:name="_Toc1814"/>
      <w:r>
        <w:rPr>
          <w:rFonts w:hint="eastAsia" w:ascii="仿宋_GB2312" w:hAnsi="楷体" w:eastAsia="仿宋_GB2312"/>
          <w:b/>
          <w:color w:val="auto"/>
          <w:sz w:val="24"/>
          <w:highlight w:val="none"/>
        </w:rPr>
        <w:t>1.4 付款方式和发票开具方式</w:t>
      </w:r>
      <w:bookmarkEnd w:id="387"/>
      <w:bookmarkEnd w:id="388"/>
      <w:bookmarkEnd w:id="389"/>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u w:val="single"/>
        </w:rPr>
        <w:t xml:space="preserve">   分期付款                   </w:t>
      </w:r>
      <w:r>
        <w:rPr>
          <w:rFonts w:hint="eastAsia" w:ascii="仿宋_GB2312" w:hAnsi="楷体" w:eastAsia="仿宋_GB2312"/>
          <w:color w:val="auto"/>
          <w:sz w:val="24"/>
          <w:highlight w:val="none"/>
        </w:rPr>
        <w:t>；</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u w:val="single"/>
        </w:rPr>
        <w:t>1.4.3甲方拒绝或迟延支付中小企业款项，乙方可向有关部门投诉   。</w:t>
      </w:r>
    </w:p>
    <w:p>
      <w:pPr>
        <w:spacing w:line="360" w:lineRule="auto"/>
        <w:ind w:firstLine="482" w:firstLineChars="200"/>
        <w:rPr>
          <w:rFonts w:ascii="仿宋_GB2312" w:hAnsi="楷体" w:eastAsia="仿宋_GB2312"/>
          <w:b/>
          <w:color w:val="auto"/>
          <w:sz w:val="24"/>
          <w:highlight w:val="none"/>
        </w:rPr>
      </w:pPr>
      <w:bookmarkStart w:id="390" w:name="_Toc2846"/>
      <w:bookmarkStart w:id="391" w:name="_Toc19304"/>
      <w:bookmarkStart w:id="392" w:name="_Toc32071"/>
      <w:r>
        <w:rPr>
          <w:rFonts w:hint="eastAsia" w:ascii="仿宋_GB2312" w:hAnsi="楷体" w:eastAsia="仿宋_GB2312"/>
          <w:b/>
          <w:color w:val="auto"/>
          <w:sz w:val="24"/>
          <w:highlight w:val="none"/>
        </w:rPr>
        <w:t>1.5 标的物交付期限、地点和方式</w:t>
      </w:r>
      <w:bookmarkEnd w:id="390"/>
      <w:bookmarkEnd w:id="391"/>
      <w:bookmarkEnd w:id="392"/>
    </w:p>
    <w:p>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w:t>
      </w:r>
      <w:r>
        <w:rPr>
          <w:rFonts w:hint="eastAsia" w:ascii="仿宋_GB2312" w:hAnsi="仿宋" w:eastAsia="仿宋_GB2312"/>
          <w:b/>
          <w:color w:val="auto"/>
          <w:sz w:val="24"/>
          <w:highlight w:val="none"/>
          <w:u w:val="single"/>
        </w:rPr>
        <w:t xml:space="preserve">                                    </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2" w:firstLineChars="200"/>
        <w:outlineLvl w:val="0"/>
        <w:rPr>
          <w:rFonts w:ascii="仿宋_GB2312" w:hAnsi="楷体" w:eastAsia="仿宋_GB2312"/>
          <w:b/>
          <w:color w:val="auto"/>
          <w:sz w:val="24"/>
          <w:highlight w:val="none"/>
        </w:rPr>
      </w:pPr>
      <w:bookmarkStart w:id="393" w:name="_Toc21423"/>
      <w:bookmarkStart w:id="394" w:name="_Toc27250"/>
      <w:bookmarkStart w:id="395" w:name="_Toc19554"/>
      <w:r>
        <w:rPr>
          <w:rFonts w:hint="eastAsia" w:ascii="仿宋_GB2312" w:hAnsi="楷体" w:eastAsia="仿宋_GB2312"/>
          <w:b/>
          <w:color w:val="auto"/>
          <w:sz w:val="24"/>
          <w:highlight w:val="none"/>
        </w:rPr>
        <w:t>1.6 违约责任</w:t>
      </w:r>
      <w:bookmarkEnd w:id="393"/>
      <w:bookmarkEnd w:id="394"/>
      <w:bookmarkEnd w:id="395"/>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计算，最高限额为本合同总价的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%；迟延交付标的物的违约金计算数额达到前述最高限额之日起，甲方有权在要求乙方支付违约金的同时，书面通知乙方解除本合同；</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计算，最高限额为本合同总价的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ascii="仿宋_GB2312" w:hAnsi="楷体" w:eastAsia="仿宋_GB2312"/>
          <w:b/>
          <w:color w:val="auto"/>
          <w:sz w:val="24"/>
          <w:highlight w:val="none"/>
        </w:rPr>
      </w:pPr>
      <w:bookmarkStart w:id="396" w:name="_Toc15583"/>
      <w:bookmarkStart w:id="397" w:name="_Toc28375"/>
      <w:bookmarkStart w:id="398" w:name="_Toc16021"/>
      <w:r>
        <w:rPr>
          <w:rFonts w:hint="eastAsia" w:ascii="仿宋_GB2312" w:hAnsi="楷体" w:eastAsia="仿宋_GB2312"/>
          <w:b/>
          <w:color w:val="auto"/>
          <w:sz w:val="24"/>
          <w:highlight w:val="none"/>
        </w:rPr>
        <w:t>1.7 合同争议的解决</w:t>
      </w:r>
      <w:bookmarkEnd w:id="396"/>
      <w:bookmarkEnd w:id="397"/>
      <w:bookmarkEnd w:id="398"/>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本合同履行过程中发生的任何争议，双方当事人均可通过和解或者调解解决；不愿和解、调解或者和解、调解不成的，可以选择下列第</w:t>
      </w:r>
      <w:r>
        <w:rPr>
          <w:rFonts w:hint="eastAsia" w:ascii="仿宋_GB2312" w:hAnsi="楷体" w:eastAsia="仿宋_GB2312"/>
          <w:color w:val="auto"/>
          <w:sz w:val="24"/>
          <w:highlight w:val="none"/>
          <w:u w:val="single"/>
        </w:rPr>
        <w:t xml:space="preserve">  1  </w:t>
      </w:r>
      <w:r>
        <w:rPr>
          <w:rFonts w:hint="eastAsia" w:ascii="仿宋_GB2312" w:hAnsi="楷体" w:eastAsia="仿宋_GB2312"/>
          <w:color w:val="auto"/>
          <w:sz w:val="24"/>
          <w:highlight w:val="none"/>
        </w:rPr>
        <w:t>种方式解决：</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临安区</w:t>
      </w:r>
      <w:r>
        <w:rPr>
          <w:rFonts w:hint="eastAsia" w:ascii="仿宋_GB2312" w:hAnsi="楷体" w:eastAsia="仿宋_GB2312"/>
          <w:color w:val="auto"/>
          <w:sz w:val="24"/>
          <w:highlight w:val="none"/>
        </w:rPr>
        <w:t>仲裁委员会依申请仲裁时其现行有效的仲裁规则裁决；</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    </w:t>
      </w:r>
      <w:r>
        <w:rPr>
          <w:rFonts w:hint="eastAsia" w:ascii="仿宋_GB2312" w:hAnsi="楷体" w:eastAsia="仿宋_GB2312"/>
          <w:color w:val="auto"/>
          <w:sz w:val="24"/>
          <w:highlight w:val="none"/>
        </w:rPr>
        <w:t>人民法院起诉。</w:t>
      </w:r>
    </w:p>
    <w:p>
      <w:pPr>
        <w:spacing w:line="360" w:lineRule="auto"/>
        <w:ind w:firstLine="482" w:firstLineChars="200"/>
        <w:outlineLvl w:val="0"/>
        <w:rPr>
          <w:rFonts w:ascii="仿宋_GB2312" w:hAnsi="楷体" w:eastAsia="仿宋_GB2312"/>
          <w:b/>
          <w:color w:val="auto"/>
          <w:sz w:val="24"/>
          <w:highlight w:val="none"/>
        </w:rPr>
      </w:pPr>
      <w:bookmarkStart w:id="399" w:name="_Toc7245"/>
      <w:bookmarkStart w:id="400" w:name="_Toc15322"/>
      <w:bookmarkStart w:id="401" w:name="_Toc11173"/>
      <w:r>
        <w:rPr>
          <w:rFonts w:hint="eastAsia" w:ascii="仿宋_GB2312" w:hAnsi="楷体" w:eastAsia="仿宋_GB2312"/>
          <w:b/>
          <w:color w:val="auto"/>
          <w:sz w:val="24"/>
          <w:highlight w:val="none"/>
        </w:rPr>
        <w:t>1.8 合同生效</w:t>
      </w:r>
      <w:bookmarkEnd w:id="399"/>
      <w:bookmarkEnd w:id="400"/>
      <w:bookmarkEnd w:id="401"/>
    </w:p>
    <w:p>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本合同自双方当事人盖章或者签字时生效。</w:t>
      </w:r>
    </w:p>
    <w:p>
      <w:pPr>
        <w:autoSpaceDE w:val="0"/>
        <w:autoSpaceDN w:val="0"/>
        <w:spacing w:line="360" w:lineRule="auto"/>
        <w:rPr>
          <w:rFonts w:ascii="仿宋_GB2312" w:hAnsi="楷体" w:eastAsia="仿宋_GB2312"/>
          <w:color w:val="auto"/>
          <w:sz w:val="24"/>
          <w:highlight w:val="none"/>
          <w:lang w:val="zh-CN"/>
        </w:rPr>
      </w:pP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                                   乙方：</w:t>
      </w: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pPr>
        <w:autoSpaceDE w:val="0"/>
        <w:autoSpaceDN w:val="0"/>
        <w:spacing w:line="360" w:lineRule="auto"/>
        <w:rPr>
          <w:rFonts w:ascii="仿宋_GB2312" w:hAnsi="楷体" w:eastAsia="仿宋_GB2312"/>
          <w:color w:val="auto"/>
          <w:sz w:val="24"/>
          <w:highlight w:val="none"/>
          <w:lang w:val="zh-CN"/>
        </w:rPr>
      </w:pP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                        或授权代表（签字）: </w:t>
      </w: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pPr>
        <w:autoSpaceDE w:val="0"/>
        <w:autoSpaceDN w:val="0"/>
        <w:spacing w:line="360" w:lineRule="auto"/>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pPr>
        <w:autoSpaceDE w:val="0"/>
        <w:autoSpaceDN w:val="0"/>
        <w:spacing w:line="360" w:lineRule="auto"/>
        <w:rPr>
          <w:rFonts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pPr>
        <w:autoSpaceDE w:val="0"/>
        <w:autoSpaceDN w:val="0"/>
        <w:spacing w:line="360" w:lineRule="auto"/>
        <w:rPr>
          <w:rFonts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pPr>
        <w:autoSpaceDE w:val="0"/>
        <w:autoSpaceDN w:val="0"/>
        <w:spacing w:line="360" w:lineRule="auto"/>
        <w:rPr>
          <w:rFonts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pPr>
        <w:widowControl/>
        <w:ind w:firstLine="482"/>
        <w:jc w:val="center"/>
        <w:rPr>
          <w:rFonts w:ascii="仿宋_GB2312" w:hAnsi="楷体" w:eastAsia="仿宋_GB2312"/>
          <w:b/>
          <w:color w:val="auto"/>
          <w:sz w:val="28"/>
          <w:szCs w:val="28"/>
          <w:highlight w:val="none"/>
        </w:rPr>
      </w:pPr>
      <w:r>
        <w:rPr>
          <w:rFonts w:hint="eastAsia" w:ascii="仿宋_GB2312" w:hAnsi="楷体" w:eastAsia="仿宋_GB2312"/>
          <w:b/>
          <w:color w:val="auto"/>
          <w:highlight w:val="none"/>
        </w:rPr>
        <w:br w:type="page"/>
      </w:r>
      <w:r>
        <w:rPr>
          <w:rFonts w:hint="eastAsia" w:ascii="仿宋_GB2312" w:hAnsi="楷体" w:eastAsia="仿宋_GB2312"/>
          <w:b/>
          <w:color w:val="auto"/>
          <w:sz w:val="28"/>
          <w:szCs w:val="28"/>
          <w:highlight w:val="none"/>
        </w:rPr>
        <w:t>第二部分 合同一般条款</w:t>
      </w:r>
    </w:p>
    <w:p>
      <w:pPr>
        <w:spacing w:line="360" w:lineRule="auto"/>
        <w:ind w:firstLine="482" w:firstLineChars="200"/>
        <w:outlineLvl w:val="0"/>
        <w:rPr>
          <w:rFonts w:ascii="仿宋_GB2312" w:hAnsi="楷体" w:eastAsia="仿宋_GB2312"/>
          <w:b/>
          <w:color w:val="auto"/>
          <w:sz w:val="24"/>
          <w:highlight w:val="none"/>
        </w:rPr>
      </w:pPr>
      <w:bookmarkStart w:id="402" w:name="_Ref467378463"/>
      <w:bookmarkStart w:id="403" w:name="_Ref467379205"/>
      <w:bookmarkStart w:id="404" w:name="_Toc259093669"/>
      <w:bookmarkStart w:id="405" w:name="_Ref467379101"/>
      <w:bookmarkStart w:id="406" w:name="_Ref467378499"/>
      <w:bookmarkStart w:id="407" w:name="_Toc279701240"/>
      <w:bookmarkStart w:id="408" w:name="_Ref467379109"/>
      <w:bookmarkStart w:id="409" w:name="_Ref467378404"/>
      <w:bookmarkStart w:id="410" w:name="_Ref467379094"/>
      <w:bookmarkStart w:id="411" w:name="_Toc28763"/>
      <w:bookmarkStart w:id="412" w:name="_Ref467379195"/>
      <w:bookmarkStart w:id="413" w:name="_Ref467379214"/>
      <w:bookmarkStart w:id="414" w:name="_Ref467379225"/>
      <w:bookmarkStart w:id="415" w:name="_Toc16917"/>
      <w:bookmarkStart w:id="416" w:name="_Toc487900349"/>
      <w:bookmarkStart w:id="417" w:name="_Toc19614"/>
      <w:r>
        <w:rPr>
          <w:rFonts w:hint="eastAsia" w:ascii="仿宋_GB2312" w:hAnsi="楷体" w:eastAsia="仿宋_GB2312"/>
          <w:b/>
          <w:color w:val="auto"/>
          <w:sz w:val="24"/>
          <w:highlight w:val="none"/>
        </w:rPr>
        <w:t>2.1 定义</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“合同”系指采购人和成交供应商签订的载明双方当事人所达成的协议，并包括所有的附件、附录和构成合同的其他文件。</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“合同价”系指根据合同约定，成交供应商在完全履行合同义务后，采购人应支付给成交供应商的价格。</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color w:val="auto"/>
          <w:sz w:val="24"/>
          <w:highlight w:val="none"/>
        </w:rPr>
      </w:pPr>
      <w:bookmarkStart w:id="418" w:name="_Ref467378840"/>
      <w:r>
        <w:rPr>
          <w:rFonts w:hint="eastAsia" w:ascii="仿宋_GB2312" w:hAnsi="楷体" w:eastAsia="仿宋_GB2312"/>
          <w:color w:val="auto"/>
          <w:sz w:val="24"/>
          <w:highlight w:val="none"/>
        </w:rPr>
        <w:t>2.1.4 “甲方”系指与成交供应商签署合同的采购人</w:t>
      </w:r>
      <w:bookmarkEnd w:id="418"/>
      <w:r>
        <w:rPr>
          <w:rFonts w:hint="eastAsia" w:ascii="仿宋_GB2312" w:hAnsi="楷体" w:eastAsia="仿宋_GB2312"/>
          <w:color w:val="auto"/>
          <w:sz w:val="24"/>
          <w:highlight w:val="none"/>
        </w:rPr>
        <w:t>；采购人委托采购机构代表其与乙方签订合同的，采购人的授权委托书作为合同附件。</w:t>
      </w:r>
    </w:p>
    <w:p>
      <w:pPr>
        <w:spacing w:line="360" w:lineRule="auto"/>
        <w:ind w:firstLine="480" w:firstLineChars="200"/>
        <w:rPr>
          <w:rFonts w:ascii="仿宋_GB2312" w:hAnsi="楷体" w:eastAsia="仿宋_GB2312"/>
          <w:color w:val="auto"/>
          <w:sz w:val="24"/>
          <w:highlight w:val="none"/>
        </w:rPr>
      </w:pPr>
      <w:bookmarkStart w:id="419" w:name="_Ref467379400"/>
      <w:r>
        <w:rPr>
          <w:rFonts w:hint="eastAsia" w:ascii="仿宋_GB2312" w:hAnsi="楷体" w:eastAsia="仿宋_GB2312"/>
          <w:color w:val="auto"/>
          <w:sz w:val="24"/>
          <w:highlight w:val="none"/>
        </w:rPr>
        <w:t>2.1.5 “乙方”系指根据合同约定交付标的物的成交供应商</w:t>
      </w:r>
      <w:bookmarkEnd w:id="419"/>
      <w:r>
        <w:rPr>
          <w:rFonts w:hint="eastAsia" w:ascii="仿宋_GB2312" w:hAnsi="楷体" w:eastAsia="仿宋_GB2312"/>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color w:val="auto"/>
          <w:sz w:val="24"/>
          <w:highlight w:val="none"/>
        </w:rPr>
      </w:pPr>
      <w:bookmarkStart w:id="420" w:name="_Ref467379436"/>
      <w:r>
        <w:rPr>
          <w:rFonts w:hint="eastAsia" w:ascii="仿宋_GB2312" w:hAnsi="楷体" w:eastAsia="仿宋_GB2312"/>
          <w:color w:val="auto"/>
          <w:sz w:val="24"/>
          <w:highlight w:val="none"/>
        </w:rPr>
        <w:t>2.1.6 “现场”系指合同约定标的物将要运至或者实施或者安装的地点。</w:t>
      </w:r>
      <w:bookmarkEnd w:id="420"/>
    </w:p>
    <w:p>
      <w:pPr>
        <w:spacing w:line="360" w:lineRule="auto"/>
        <w:ind w:firstLine="482" w:firstLineChars="200"/>
        <w:outlineLvl w:val="0"/>
        <w:rPr>
          <w:rFonts w:ascii="仿宋_GB2312" w:hAnsi="楷体" w:eastAsia="仿宋_GB2312"/>
          <w:b/>
          <w:color w:val="auto"/>
          <w:sz w:val="24"/>
          <w:highlight w:val="none"/>
        </w:rPr>
      </w:pPr>
      <w:bookmarkStart w:id="421" w:name="_Toc487900350"/>
      <w:bookmarkStart w:id="422" w:name="_Toc279701241"/>
      <w:bookmarkStart w:id="423" w:name="_Toc27635"/>
      <w:bookmarkStart w:id="424" w:name="_Toc259093670"/>
      <w:bookmarkStart w:id="425" w:name="_Toc13336"/>
      <w:bookmarkStart w:id="426" w:name="_Toc32504"/>
      <w:r>
        <w:rPr>
          <w:rFonts w:hint="eastAsia" w:ascii="仿宋_GB2312" w:hAnsi="楷体" w:eastAsia="仿宋_GB2312"/>
          <w:b/>
          <w:color w:val="auto"/>
          <w:sz w:val="24"/>
          <w:highlight w:val="none"/>
        </w:rPr>
        <w:t>2.2 技术规范</w:t>
      </w:r>
      <w:bookmarkEnd w:id="421"/>
      <w:bookmarkEnd w:id="422"/>
      <w:bookmarkEnd w:id="423"/>
      <w:bookmarkEnd w:id="424"/>
      <w:bookmarkEnd w:id="425"/>
      <w:bookmarkEnd w:id="426"/>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_GB2312" w:hAnsi="楷体" w:eastAsia="仿宋_GB2312"/>
          <w:b/>
          <w:color w:val="auto"/>
          <w:sz w:val="24"/>
          <w:highlight w:val="none"/>
        </w:rPr>
      </w:pPr>
      <w:bookmarkStart w:id="427" w:name="_Toc9829"/>
      <w:bookmarkStart w:id="428" w:name="_Toc487900351"/>
      <w:bookmarkStart w:id="429" w:name="_Toc279701242"/>
      <w:bookmarkStart w:id="430" w:name="_Toc259093671"/>
      <w:bookmarkStart w:id="431" w:name="_Toc31634"/>
      <w:bookmarkStart w:id="432" w:name="_Toc27853"/>
      <w:r>
        <w:rPr>
          <w:rFonts w:hint="eastAsia" w:ascii="仿宋_GB2312" w:hAnsi="楷体" w:eastAsia="仿宋_GB2312"/>
          <w:b/>
          <w:color w:val="auto"/>
          <w:sz w:val="24"/>
          <w:highlight w:val="none"/>
        </w:rPr>
        <w:t>2.3 知识产权</w:t>
      </w:r>
      <w:bookmarkEnd w:id="427"/>
      <w:bookmarkEnd w:id="428"/>
      <w:bookmarkEnd w:id="429"/>
      <w:bookmarkEnd w:id="430"/>
      <w:bookmarkEnd w:id="431"/>
      <w:bookmarkEnd w:id="432"/>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ascii="仿宋_GB2312" w:hAnsi="楷体" w:eastAsia="仿宋_GB2312"/>
          <w:b/>
          <w:color w:val="auto"/>
          <w:sz w:val="24"/>
          <w:highlight w:val="none"/>
        </w:rPr>
      </w:pPr>
      <w:bookmarkStart w:id="433" w:name="_Toc4194"/>
      <w:bookmarkStart w:id="434" w:name="_Toc29149"/>
      <w:bookmarkStart w:id="435" w:name="_Toc11932"/>
      <w:r>
        <w:rPr>
          <w:rFonts w:hint="eastAsia" w:ascii="仿宋_GB2312" w:hAnsi="楷体" w:eastAsia="仿宋_GB2312"/>
          <w:b/>
          <w:color w:val="auto"/>
          <w:sz w:val="24"/>
          <w:highlight w:val="none"/>
        </w:rPr>
        <w:t>2.4 包装和装运</w:t>
      </w:r>
      <w:bookmarkEnd w:id="433"/>
      <w:bookmarkEnd w:id="434"/>
      <w:bookmarkEnd w:id="435"/>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ascii="仿宋_GB2312" w:hAnsi="楷体" w:eastAsia="仿宋_GB2312"/>
          <w:b/>
          <w:color w:val="auto"/>
          <w:sz w:val="24"/>
          <w:highlight w:val="none"/>
        </w:rPr>
      </w:pPr>
      <w:bookmarkStart w:id="436" w:name="_Ref467379536"/>
      <w:bookmarkStart w:id="437" w:name="_Ref467378591"/>
      <w:bookmarkStart w:id="438" w:name="_Toc259093674"/>
      <w:bookmarkStart w:id="439" w:name="_Ref467379527"/>
      <w:bookmarkStart w:id="440" w:name="_Toc279701245"/>
      <w:bookmarkStart w:id="441" w:name="_Toc487900354"/>
      <w:bookmarkStart w:id="442" w:name="_Ref467378541"/>
      <w:bookmarkStart w:id="443" w:name="_Ref467379542"/>
      <w:bookmarkStart w:id="444" w:name="_Toc26182"/>
      <w:bookmarkStart w:id="445" w:name="_Toc30272"/>
      <w:bookmarkStart w:id="446" w:name="_Toc19074"/>
      <w:r>
        <w:rPr>
          <w:rFonts w:hint="eastAsia" w:ascii="仿宋_GB2312" w:hAnsi="楷体" w:eastAsia="仿宋_GB2312"/>
          <w:b/>
          <w:color w:val="auto"/>
          <w:sz w:val="24"/>
          <w:highlight w:val="none"/>
        </w:rPr>
        <w:t>2.</w:t>
      </w:r>
      <w:bookmarkEnd w:id="436"/>
      <w:bookmarkEnd w:id="437"/>
      <w:bookmarkEnd w:id="438"/>
      <w:bookmarkEnd w:id="439"/>
      <w:bookmarkEnd w:id="440"/>
      <w:bookmarkEnd w:id="441"/>
      <w:bookmarkEnd w:id="442"/>
      <w:bookmarkEnd w:id="443"/>
      <w:r>
        <w:rPr>
          <w:rFonts w:hint="eastAsia" w:ascii="仿宋_GB2312" w:hAnsi="楷体" w:eastAsia="仿宋_GB2312"/>
          <w:b/>
          <w:color w:val="auto"/>
          <w:sz w:val="24"/>
          <w:highlight w:val="none"/>
        </w:rPr>
        <w:t>5 履约检查和问题反馈</w:t>
      </w:r>
      <w:bookmarkEnd w:id="444"/>
      <w:bookmarkEnd w:id="445"/>
      <w:bookmarkEnd w:id="446"/>
    </w:p>
    <w:p>
      <w:pPr>
        <w:spacing w:line="360" w:lineRule="auto"/>
        <w:ind w:firstLine="480" w:firstLineChars="200"/>
        <w:rPr>
          <w:rFonts w:ascii="仿宋_GB2312" w:hAnsi="楷体" w:eastAsia="仿宋_GB2312"/>
          <w:color w:val="auto"/>
          <w:sz w:val="24"/>
          <w:highlight w:val="none"/>
        </w:rPr>
      </w:pPr>
      <w:bookmarkStart w:id="447" w:name="_Ref467379657"/>
      <w:r>
        <w:rPr>
          <w:rFonts w:hint="eastAsia" w:ascii="仿宋_GB2312" w:hAnsi="楷体" w:eastAsia="仿宋_GB2312"/>
          <w:color w:val="auto"/>
          <w:sz w:val="24"/>
          <w:highlight w:val="none"/>
        </w:rPr>
        <w:t>2.5.1</w:t>
      </w:r>
      <w:bookmarkEnd w:id="447"/>
      <w:bookmarkStart w:id="448" w:name="_Toc186431854"/>
      <w:bookmarkStart w:id="449" w:name="_Toc487900357"/>
      <w:bookmarkStart w:id="450" w:name="_Ref467379793"/>
      <w:bookmarkStart w:id="451" w:name="_Toc259093676"/>
      <w:bookmarkStart w:id="452" w:name="_Toc279701247"/>
      <w:bookmarkStart w:id="453" w:name="_Ref467379807"/>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448"/>
      <w:bookmarkStart w:id="454" w:name="_Toc186431855"/>
      <w:r>
        <w:rPr>
          <w:rFonts w:hint="eastAsia" w:ascii="仿宋_GB2312" w:hAnsi="楷体" w:eastAsia="仿宋_GB2312"/>
          <w:color w:val="auto"/>
          <w:sz w:val="24"/>
          <w:highlight w:val="none"/>
        </w:rPr>
        <w:t>。</w:t>
      </w:r>
    </w:p>
    <w:bookmarkEnd w:id="454"/>
    <w:p>
      <w:pPr>
        <w:spacing w:line="360" w:lineRule="auto"/>
        <w:ind w:firstLine="482" w:firstLineChars="200"/>
        <w:outlineLvl w:val="0"/>
        <w:rPr>
          <w:rFonts w:ascii="仿宋_GB2312" w:hAnsi="楷体" w:eastAsia="仿宋_GB2312"/>
          <w:b/>
          <w:color w:val="auto"/>
          <w:sz w:val="24"/>
          <w:highlight w:val="none"/>
        </w:rPr>
      </w:pPr>
      <w:bookmarkStart w:id="455" w:name="_Toc28451"/>
      <w:bookmarkStart w:id="456" w:name="_Toc7836"/>
      <w:bookmarkStart w:id="457" w:name="_Toc19219"/>
      <w:r>
        <w:rPr>
          <w:rFonts w:hint="eastAsia" w:ascii="仿宋_GB2312" w:hAnsi="楷体" w:eastAsia="仿宋_GB2312"/>
          <w:b/>
          <w:color w:val="auto"/>
          <w:sz w:val="24"/>
          <w:highlight w:val="none"/>
        </w:rPr>
        <w:t>2.6 结算方式和付款条件</w:t>
      </w:r>
      <w:bookmarkEnd w:id="449"/>
      <w:bookmarkEnd w:id="450"/>
      <w:bookmarkEnd w:id="451"/>
      <w:bookmarkEnd w:id="452"/>
      <w:bookmarkEnd w:id="453"/>
      <w:bookmarkEnd w:id="455"/>
      <w:bookmarkEnd w:id="456"/>
      <w:bookmarkEnd w:id="457"/>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ascii="仿宋_GB2312" w:hAnsi="楷体" w:eastAsia="仿宋_GB2312"/>
          <w:b/>
          <w:color w:val="auto"/>
          <w:sz w:val="24"/>
          <w:highlight w:val="none"/>
        </w:rPr>
      </w:pPr>
      <w:bookmarkStart w:id="458" w:name="_Toc259093677"/>
      <w:bookmarkStart w:id="459" w:name="_Toc487900358"/>
      <w:bookmarkStart w:id="460" w:name="_Toc279701248"/>
      <w:bookmarkStart w:id="461" w:name="_Ref467379852"/>
      <w:bookmarkStart w:id="462" w:name="_Ref467379863"/>
      <w:bookmarkStart w:id="463" w:name="_Ref467379923"/>
      <w:bookmarkStart w:id="464" w:name="_Toc3225"/>
      <w:bookmarkStart w:id="465" w:name="_Toc16110"/>
      <w:bookmarkStart w:id="466" w:name="_Toc774"/>
      <w:r>
        <w:rPr>
          <w:rFonts w:hint="eastAsia" w:ascii="仿宋_GB2312" w:hAnsi="楷体" w:eastAsia="仿宋_GB2312"/>
          <w:b/>
          <w:color w:val="auto"/>
          <w:sz w:val="24"/>
          <w:highlight w:val="none"/>
        </w:rPr>
        <w:t>2.7 技术资料</w:t>
      </w:r>
      <w:bookmarkEnd w:id="458"/>
      <w:bookmarkEnd w:id="459"/>
      <w:bookmarkEnd w:id="460"/>
      <w:bookmarkEnd w:id="461"/>
      <w:bookmarkEnd w:id="462"/>
      <w:bookmarkEnd w:id="463"/>
      <w:r>
        <w:rPr>
          <w:rFonts w:hint="eastAsia" w:ascii="仿宋_GB2312" w:hAnsi="楷体" w:eastAsia="仿宋_GB2312"/>
          <w:b/>
          <w:color w:val="auto"/>
          <w:sz w:val="24"/>
          <w:highlight w:val="none"/>
        </w:rPr>
        <w:t>和保密义务</w:t>
      </w:r>
      <w:bookmarkEnd w:id="464"/>
      <w:bookmarkEnd w:id="465"/>
      <w:bookmarkEnd w:id="466"/>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ascii="仿宋_GB2312" w:hAnsi="楷体" w:eastAsia="仿宋_GB2312"/>
          <w:b/>
          <w:color w:val="auto"/>
          <w:sz w:val="24"/>
          <w:highlight w:val="none"/>
        </w:rPr>
      </w:pPr>
      <w:bookmarkStart w:id="467" w:name="_Toc7860"/>
      <w:r>
        <w:rPr>
          <w:rFonts w:hint="eastAsia" w:ascii="仿宋_GB2312" w:hAnsi="楷体" w:eastAsia="仿宋_GB2312"/>
          <w:b/>
          <w:color w:val="auto"/>
          <w:sz w:val="24"/>
          <w:highlight w:val="none"/>
        </w:rPr>
        <w:t>2.8 质量保证</w:t>
      </w:r>
      <w:bookmarkEnd w:id="467"/>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_GB2312" w:hAnsi="楷体" w:eastAsia="仿宋_GB2312"/>
          <w:b/>
          <w:color w:val="auto"/>
          <w:sz w:val="24"/>
          <w:highlight w:val="none"/>
        </w:rPr>
      </w:pPr>
      <w:bookmarkStart w:id="468" w:name="_Toc17244"/>
      <w:bookmarkStart w:id="469" w:name="_Toc487900362"/>
      <w:bookmarkStart w:id="470" w:name="_Toc279701252"/>
      <w:bookmarkStart w:id="471" w:name="_Toc259093681"/>
      <w:r>
        <w:rPr>
          <w:rFonts w:hint="eastAsia" w:ascii="仿宋_GB2312" w:hAnsi="楷体" w:eastAsia="仿宋_GB2312"/>
          <w:b/>
          <w:color w:val="auto"/>
          <w:sz w:val="24"/>
          <w:highlight w:val="none"/>
        </w:rPr>
        <w:t>2.9 标的物的风险负担</w:t>
      </w:r>
      <w:bookmarkEnd w:id="468"/>
    </w:p>
    <w:p>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ascii="仿宋_GB2312" w:hAnsi="楷体" w:eastAsia="仿宋_GB2312"/>
          <w:b/>
          <w:color w:val="auto"/>
          <w:sz w:val="24"/>
          <w:highlight w:val="none"/>
        </w:rPr>
      </w:pPr>
      <w:bookmarkStart w:id="472" w:name="_Toc14055"/>
      <w:r>
        <w:rPr>
          <w:rFonts w:hint="eastAsia" w:ascii="仿宋_GB2312" w:hAnsi="楷体" w:eastAsia="仿宋_GB2312"/>
          <w:b/>
          <w:color w:val="auto"/>
          <w:sz w:val="24"/>
          <w:highlight w:val="none"/>
        </w:rPr>
        <w:t>2.10 延迟交货</w:t>
      </w:r>
      <w:bookmarkEnd w:id="469"/>
      <w:bookmarkEnd w:id="470"/>
      <w:bookmarkEnd w:id="471"/>
      <w:bookmarkEnd w:id="472"/>
      <w:r>
        <w:rPr>
          <w:rFonts w:hint="eastAsia" w:ascii="仿宋_GB2312" w:hAnsi="楷体" w:eastAsia="仿宋_GB2312"/>
          <w:b/>
          <w:color w:val="auto"/>
          <w:sz w:val="24"/>
          <w:highlight w:val="none"/>
        </w:rPr>
        <w:t>/交付</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仿宋_GB2312" w:hAnsi="楷体" w:eastAsia="仿宋_GB2312"/>
          <w:b/>
          <w:color w:val="auto"/>
          <w:sz w:val="24"/>
          <w:highlight w:val="none"/>
        </w:rPr>
      </w:pPr>
      <w:bookmarkStart w:id="473" w:name="_Toc7502"/>
      <w:bookmarkStart w:id="474" w:name="_Ref467378121"/>
      <w:bookmarkStart w:id="475" w:name="_Toc279701254"/>
      <w:bookmarkStart w:id="476" w:name="_Toc259093683"/>
      <w:bookmarkStart w:id="477" w:name="_Toc487900364"/>
      <w:r>
        <w:rPr>
          <w:rFonts w:hint="eastAsia" w:ascii="仿宋_GB2312" w:hAnsi="楷体" w:eastAsia="仿宋_GB2312"/>
          <w:b/>
          <w:color w:val="auto"/>
          <w:sz w:val="24"/>
          <w:highlight w:val="none"/>
        </w:rPr>
        <w:t>2.11 合同变更</w:t>
      </w:r>
      <w:bookmarkEnd w:id="473"/>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478" w:name="_Toc259093688"/>
      <w:bookmarkStart w:id="479" w:name="_Toc279701259"/>
      <w:bookmarkStart w:id="480" w:name="_Toc487900369"/>
    </w:p>
    <w:p>
      <w:pPr>
        <w:spacing w:line="360" w:lineRule="auto"/>
        <w:ind w:firstLine="482" w:firstLineChars="200"/>
        <w:outlineLvl w:val="0"/>
        <w:rPr>
          <w:rFonts w:ascii="仿宋_GB2312" w:hAnsi="楷体" w:eastAsia="仿宋_GB2312"/>
          <w:b/>
          <w:color w:val="auto"/>
          <w:sz w:val="24"/>
          <w:highlight w:val="none"/>
        </w:rPr>
      </w:pPr>
      <w:bookmarkStart w:id="481" w:name="_Toc15237"/>
      <w:bookmarkStart w:id="482" w:name="_Toc10366"/>
      <w:bookmarkStart w:id="483" w:name="_Toc22955"/>
      <w:r>
        <w:rPr>
          <w:rFonts w:hint="eastAsia" w:ascii="仿宋_GB2312" w:hAnsi="楷体" w:eastAsia="仿宋_GB2312"/>
          <w:b/>
          <w:color w:val="auto"/>
          <w:sz w:val="24"/>
          <w:highlight w:val="none"/>
        </w:rPr>
        <w:t>2.12 合同转让</w:t>
      </w:r>
      <w:bookmarkEnd w:id="478"/>
      <w:bookmarkEnd w:id="479"/>
      <w:bookmarkEnd w:id="480"/>
      <w:r>
        <w:rPr>
          <w:rFonts w:hint="eastAsia" w:ascii="仿宋_GB2312" w:hAnsi="楷体" w:eastAsia="仿宋_GB2312"/>
          <w:b/>
          <w:color w:val="auto"/>
          <w:sz w:val="24"/>
          <w:highlight w:val="none"/>
        </w:rPr>
        <w:t>和分包</w:t>
      </w:r>
      <w:bookmarkEnd w:id="481"/>
      <w:bookmarkEnd w:id="482"/>
      <w:bookmarkEnd w:id="483"/>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仿宋_GB2312" w:hAnsi="楷体" w:eastAsia="仿宋_GB2312"/>
          <w:b/>
          <w:color w:val="auto"/>
          <w:sz w:val="24"/>
          <w:highlight w:val="none"/>
        </w:rPr>
      </w:pPr>
      <w:bookmarkStart w:id="484" w:name="_Toc13566"/>
      <w:bookmarkStart w:id="485" w:name="_Toc16508"/>
      <w:bookmarkStart w:id="486" w:name="_Toc14066"/>
      <w:r>
        <w:rPr>
          <w:rFonts w:hint="eastAsia" w:ascii="仿宋_GB2312" w:hAnsi="楷体" w:eastAsia="仿宋_GB2312"/>
          <w:b/>
          <w:color w:val="auto"/>
          <w:sz w:val="24"/>
          <w:highlight w:val="none"/>
        </w:rPr>
        <w:t>2.13 不可抗力</w:t>
      </w:r>
      <w:bookmarkEnd w:id="484"/>
      <w:bookmarkEnd w:id="485"/>
      <w:bookmarkEnd w:id="486"/>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pPr>
        <w:spacing w:line="360" w:lineRule="auto"/>
        <w:ind w:firstLine="482" w:firstLineChars="200"/>
        <w:outlineLvl w:val="0"/>
        <w:rPr>
          <w:rFonts w:ascii="仿宋_GB2312" w:hAnsi="楷体" w:eastAsia="仿宋_GB2312"/>
          <w:b/>
          <w:color w:val="auto"/>
          <w:sz w:val="24"/>
          <w:highlight w:val="none"/>
        </w:rPr>
      </w:pPr>
      <w:bookmarkStart w:id="487" w:name="_Toc6969"/>
      <w:bookmarkStart w:id="488" w:name="_Toc30676"/>
      <w:bookmarkStart w:id="489" w:name="_Toc279701255"/>
      <w:bookmarkStart w:id="490" w:name="_Toc259093684"/>
      <w:bookmarkStart w:id="491" w:name="_Toc487900365"/>
      <w:bookmarkStart w:id="492" w:name="_Toc689"/>
      <w:r>
        <w:rPr>
          <w:rFonts w:hint="eastAsia" w:ascii="仿宋_GB2312" w:hAnsi="楷体" w:eastAsia="仿宋_GB2312"/>
          <w:b/>
          <w:color w:val="auto"/>
          <w:sz w:val="24"/>
          <w:highlight w:val="none"/>
        </w:rPr>
        <w:t>2.14 税费</w:t>
      </w:r>
      <w:bookmarkEnd w:id="487"/>
      <w:bookmarkEnd w:id="488"/>
      <w:bookmarkEnd w:id="489"/>
      <w:bookmarkEnd w:id="490"/>
      <w:bookmarkEnd w:id="491"/>
      <w:bookmarkEnd w:id="492"/>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pPr>
        <w:spacing w:line="360" w:lineRule="auto"/>
        <w:ind w:firstLine="482" w:firstLineChars="200"/>
        <w:outlineLvl w:val="0"/>
        <w:rPr>
          <w:rFonts w:ascii="仿宋_GB2312" w:hAnsi="楷体" w:eastAsia="仿宋_GB2312"/>
          <w:b/>
          <w:color w:val="auto"/>
          <w:sz w:val="24"/>
          <w:highlight w:val="none"/>
        </w:rPr>
      </w:pPr>
      <w:bookmarkStart w:id="493" w:name="_Toc8298"/>
      <w:bookmarkStart w:id="494" w:name="_Toc279701258"/>
      <w:bookmarkStart w:id="495" w:name="_Toc259093687"/>
      <w:bookmarkStart w:id="496" w:name="_Toc487900368"/>
      <w:bookmarkStart w:id="497" w:name="_Toc16959"/>
      <w:bookmarkStart w:id="498" w:name="_Toc7102"/>
      <w:r>
        <w:rPr>
          <w:rFonts w:hint="eastAsia" w:ascii="仿宋_GB2312" w:hAnsi="楷体" w:eastAsia="仿宋_GB2312"/>
          <w:b/>
          <w:color w:val="auto"/>
          <w:sz w:val="24"/>
          <w:highlight w:val="none"/>
        </w:rPr>
        <w:t>2.15 乙方破产</w:t>
      </w:r>
      <w:bookmarkEnd w:id="493"/>
      <w:bookmarkEnd w:id="494"/>
      <w:bookmarkEnd w:id="495"/>
      <w:bookmarkEnd w:id="496"/>
      <w:bookmarkEnd w:id="497"/>
      <w:bookmarkEnd w:id="498"/>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_GB2312" w:hAnsi="楷体" w:eastAsia="仿宋_GB2312"/>
          <w:b/>
          <w:color w:val="auto"/>
          <w:sz w:val="24"/>
          <w:highlight w:val="none"/>
        </w:rPr>
      </w:pPr>
      <w:bookmarkStart w:id="499" w:name="_Toc29333"/>
      <w:bookmarkStart w:id="500" w:name="_Toc6134"/>
      <w:bookmarkStart w:id="501" w:name="_Toc15387"/>
      <w:r>
        <w:rPr>
          <w:rFonts w:hint="eastAsia" w:ascii="仿宋_GB2312" w:hAnsi="楷体" w:eastAsia="仿宋_GB2312"/>
          <w:b/>
          <w:color w:val="auto"/>
          <w:sz w:val="24"/>
          <w:highlight w:val="none"/>
        </w:rPr>
        <w:t>2.16 合同中止、终止</w:t>
      </w:r>
      <w:bookmarkEnd w:id="499"/>
      <w:bookmarkEnd w:id="500"/>
      <w:bookmarkEnd w:id="501"/>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2.16.3因甲方原因导致变更、中止或终止合同的，甲方应对乙方受到的损失予以赔偿或者补偿。</w:t>
      </w:r>
    </w:p>
    <w:p>
      <w:pPr>
        <w:spacing w:line="360" w:lineRule="auto"/>
        <w:ind w:firstLine="482" w:firstLineChars="200"/>
        <w:rPr>
          <w:rFonts w:ascii="仿宋_GB2312" w:hAnsi="楷体" w:eastAsia="仿宋_GB2312"/>
          <w:b/>
          <w:color w:val="auto"/>
          <w:sz w:val="24"/>
          <w:highlight w:val="none"/>
        </w:rPr>
      </w:pPr>
      <w:bookmarkStart w:id="502" w:name="_Toc14563"/>
      <w:bookmarkStart w:id="503" w:name="_Toc6596"/>
      <w:bookmarkStart w:id="504" w:name="_Toc1125"/>
      <w:r>
        <w:rPr>
          <w:rFonts w:hint="eastAsia" w:ascii="仿宋_GB2312" w:hAnsi="楷体" w:eastAsia="仿宋_GB2312"/>
          <w:b/>
          <w:color w:val="auto"/>
          <w:sz w:val="24"/>
          <w:highlight w:val="none"/>
        </w:rPr>
        <w:t>2.17 检验和验收</w:t>
      </w:r>
      <w:bookmarkEnd w:id="502"/>
      <w:bookmarkEnd w:id="503"/>
      <w:bookmarkEnd w:id="504"/>
    </w:p>
    <w:p>
      <w:pPr>
        <w:tabs>
          <w:tab w:val="left" w:pos="360"/>
          <w:tab w:val="left" w:pos="540"/>
          <w:tab w:val="left" w:pos="1080"/>
        </w:tabs>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pPr>
        <w:tabs>
          <w:tab w:val="left" w:pos="360"/>
          <w:tab w:val="left" w:pos="540"/>
          <w:tab w:val="left" w:pos="1080"/>
        </w:tabs>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474"/>
    <w:bookmarkEnd w:id="475"/>
    <w:bookmarkEnd w:id="476"/>
    <w:bookmarkEnd w:id="477"/>
    <w:p>
      <w:pPr>
        <w:spacing w:line="360" w:lineRule="auto"/>
        <w:ind w:firstLine="482" w:firstLineChars="200"/>
        <w:outlineLvl w:val="0"/>
        <w:rPr>
          <w:rFonts w:ascii="仿宋_GB2312" w:hAnsi="楷体" w:eastAsia="仿宋_GB2312"/>
          <w:b/>
          <w:color w:val="auto"/>
          <w:sz w:val="24"/>
          <w:highlight w:val="none"/>
        </w:rPr>
      </w:pPr>
      <w:bookmarkStart w:id="505" w:name="_Toc259093690"/>
      <w:bookmarkStart w:id="506" w:name="_Toc279701261"/>
      <w:bookmarkStart w:id="507" w:name="_Toc487900371"/>
      <w:bookmarkStart w:id="508" w:name="_Toc11284"/>
      <w:bookmarkStart w:id="509" w:name="_Toc19604"/>
      <w:bookmarkStart w:id="510" w:name="_Toc25182"/>
      <w:r>
        <w:rPr>
          <w:rFonts w:hint="eastAsia" w:ascii="仿宋_GB2312" w:hAnsi="楷体" w:eastAsia="仿宋_GB2312"/>
          <w:b/>
          <w:color w:val="auto"/>
          <w:sz w:val="24"/>
          <w:highlight w:val="none"/>
        </w:rPr>
        <w:t>2.18 通知</w:t>
      </w:r>
      <w:bookmarkEnd w:id="505"/>
      <w:bookmarkEnd w:id="506"/>
      <w:bookmarkEnd w:id="507"/>
      <w:r>
        <w:rPr>
          <w:rFonts w:hint="eastAsia" w:ascii="仿宋_GB2312" w:hAnsi="楷体" w:eastAsia="仿宋_GB2312"/>
          <w:b/>
          <w:color w:val="auto"/>
          <w:sz w:val="24"/>
          <w:highlight w:val="none"/>
        </w:rPr>
        <w:t>和送达</w:t>
      </w:r>
      <w:bookmarkEnd w:id="508"/>
      <w:bookmarkEnd w:id="509"/>
      <w:bookmarkEnd w:id="510"/>
    </w:p>
    <w:p>
      <w:pPr>
        <w:spacing w:line="360" w:lineRule="auto"/>
        <w:ind w:firstLine="480" w:firstLineChars="200"/>
        <w:rPr>
          <w:rFonts w:ascii="仿宋_GB2312" w:hAnsi="楷体" w:eastAsia="仿宋_GB2312"/>
          <w:color w:val="auto"/>
          <w:sz w:val="24"/>
          <w:highlight w:val="none"/>
        </w:rPr>
      </w:pPr>
      <w:bookmarkStart w:id="511" w:name="_Toc6698"/>
      <w:bookmarkStart w:id="512" w:name="_Toc3135"/>
      <w:bookmarkStart w:id="513" w:name="_Toc279701262"/>
      <w:bookmarkStart w:id="514" w:name="_Toc487900372"/>
      <w:bookmarkStart w:id="515" w:name="_Toc259093691"/>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5  </w:t>
      </w:r>
      <w:r>
        <w:rPr>
          <w:rFonts w:hint="eastAsia" w:ascii="仿宋_GB2312" w:hAnsi="楷体" w:eastAsia="仿宋_GB2312"/>
          <w:color w:val="auto"/>
          <w:sz w:val="24"/>
          <w:highlight w:val="none"/>
        </w:rPr>
        <w:t>个工作日内书面通知对方当事人，在对方当事人收到有关变更通知之前，变更前的约定送达方式或者地址仍视为有效。</w:t>
      </w:r>
      <w:bookmarkEnd w:id="511"/>
      <w:bookmarkEnd w:id="512"/>
    </w:p>
    <w:p>
      <w:pPr>
        <w:spacing w:line="360" w:lineRule="auto"/>
        <w:ind w:firstLine="480" w:firstLineChars="200"/>
        <w:rPr>
          <w:rFonts w:ascii="仿宋_GB2312" w:hAnsi="楷体" w:eastAsia="仿宋_GB2312"/>
          <w:color w:val="auto"/>
          <w:sz w:val="24"/>
          <w:highlight w:val="none"/>
        </w:rPr>
      </w:pPr>
      <w:bookmarkStart w:id="516" w:name="_Toc23294"/>
      <w:bookmarkStart w:id="517" w:name="_Toc23128"/>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6"/>
      <w:bookmarkEnd w:id="517"/>
    </w:p>
    <w:p>
      <w:pPr>
        <w:spacing w:line="360" w:lineRule="auto"/>
        <w:ind w:firstLine="482" w:firstLineChars="200"/>
        <w:outlineLvl w:val="0"/>
        <w:rPr>
          <w:rFonts w:ascii="仿宋_GB2312" w:hAnsi="楷体" w:eastAsia="仿宋_GB2312"/>
          <w:b/>
          <w:color w:val="auto"/>
          <w:sz w:val="24"/>
          <w:highlight w:val="none"/>
        </w:rPr>
      </w:pPr>
      <w:bookmarkStart w:id="518" w:name="_Toc4355"/>
      <w:bookmarkStart w:id="519" w:name="_Toc18540"/>
      <w:bookmarkStart w:id="520" w:name="_Toc30599"/>
      <w:r>
        <w:rPr>
          <w:rFonts w:hint="eastAsia" w:ascii="仿宋_GB2312" w:hAnsi="楷体" w:eastAsia="仿宋_GB2312"/>
          <w:b/>
          <w:color w:val="auto"/>
          <w:sz w:val="24"/>
          <w:highlight w:val="none"/>
        </w:rPr>
        <w:t>2.19 计量单位</w:t>
      </w:r>
      <w:bookmarkEnd w:id="513"/>
      <w:bookmarkEnd w:id="514"/>
      <w:bookmarkEnd w:id="515"/>
      <w:bookmarkEnd w:id="518"/>
      <w:bookmarkEnd w:id="519"/>
      <w:bookmarkEnd w:id="520"/>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pPr>
        <w:spacing w:line="360" w:lineRule="auto"/>
        <w:ind w:firstLine="482" w:firstLineChars="200"/>
        <w:outlineLvl w:val="0"/>
        <w:rPr>
          <w:rFonts w:ascii="仿宋_GB2312" w:hAnsi="楷体" w:eastAsia="仿宋_GB2312"/>
          <w:b/>
          <w:color w:val="auto"/>
          <w:sz w:val="24"/>
          <w:highlight w:val="none"/>
        </w:rPr>
      </w:pPr>
      <w:bookmarkStart w:id="521" w:name="_Toc10330"/>
      <w:bookmarkStart w:id="522" w:name="_Toc12773"/>
      <w:bookmarkStart w:id="523" w:name="_Toc259093692"/>
      <w:bookmarkStart w:id="524" w:name="_Toc279701263"/>
      <w:bookmarkStart w:id="525" w:name="_Toc487900373"/>
      <w:bookmarkStart w:id="526" w:name="_Toc18567"/>
      <w:r>
        <w:rPr>
          <w:rFonts w:hint="eastAsia" w:ascii="仿宋_GB2312" w:hAnsi="楷体" w:eastAsia="仿宋_GB2312"/>
          <w:b/>
          <w:color w:val="auto"/>
          <w:sz w:val="24"/>
          <w:highlight w:val="none"/>
        </w:rPr>
        <w:t>2.20 合同使用的文字和适用的法律</w:t>
      </w:r>
      <w:bookmarkEnd w:id="521"/>
      <w:bookmarkEnd w:id="522"/>
      <w:bookmarkEnd w:id="523"/>
      <w:bookmarkEnd w:id="524"/>
      <w:bookmarkEnd w:id="525"/>
      <w:bookmarkEnd w:id="526"/>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pPr>
        <w:spacing w:line="360" w:lineRule="auto"/>
        <w:ind w:firstLine="482" w:firstLineChars="200"/>
        <w:outlineLvl w:val="0"/>
        <w:rPr>
          <w:rFonts w:ascii="仿宋_GB2312" w:hAnsi="楷体" w:eastAsia="仿宋_GB2312"/>
          <w:b/>
          <w:color w:val="auto"/>
          <w:sz w:val="24"/>
          <w:highlight w:val="none"/>
        </w:rPr>
      </w:pPr>
      <w:bookmarkStart w:id="527" w:name="_Toc12004"/>
      <w:bookmarkStart w:id="528" w:name="_Toc279701264"/>
      <w:bookmarkStart w:id="529" w:name="_Toc3148"/>
      <w:bookmarkStart w:id="530" w:name="_Toc16673"/>
      <w:bookmarkStart w:id="531" w:name="_Toc259093693"/>
      <w:bookmarkStart w:id="532" w:name="_Toc487900374"/>
      <w:r>
        <w:rPr>
          <w:rFonts w:hint="eastAsia" w:ascii="仿宋_GB2312" w:hAnsi="楷体" w:eastAsia="仿宋_GB2312"/>
          <w:b/>
          <w:color w:val="auto"/>
          <w:sz w:val="24"/>
          <w:highlight w:val="none"/>
        </w:rPr>
        <w:t>2.21 履约保证金</w:t>
      </w:r>
      <w:bookmarkEnd w:id="527"/>
      <w:bookmarkEnd w:id="528"/>
      <w:bookmarkEnd w:id="529"/>
      <w:bookmarkEnd w:id="530"/>
      <w:bookmarkEnd w:id="531"/>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2.21.1 采购文件要求乙方提交履约保证金的，乙方</w:t>
      </w:r>
      <w:r>
        <w:rPr>
          <w:rFonts w:hint="eastAsia" w:ascii="仿宋_GB2312" w:hAnsi="仿宋" w:eastAsia="仿宋_GB2312"/>
          <w:color w:val="auto"/>
          <w:kern w:val="0"/>
          <w:sz w:val="24"/>
          <w:highlight w:val="none"/>
          <w:lang w:val="zh-CN"/>
        </w:rPr>
        <w:t>应在合同签订后3个工作日内</w:t>
      </w:r>
      <w:r>
        <w:rPr>
          <w:rFonts w:hint="eastAsia" w:ascii="仿宋_GB2312" w:hAnsi="楷体" w:eastAsia="仿宋_GB2312"/>
          <w:color w:val="auto"/>
          <w:sz w:val="24"/>
          <w:highlight w:val="none"/>
        </w:rPr>
        <w:t>，以支票、汇票、本票或者金融机构、担保机构出具的保函等非现金形式，提交不超过合同价</w:t>
      </w:r>
      <w:r>
        <w:rPr>
          <w:rFonts w:hint="eastAsia" w:ascii="仿宋_GB2312" w:hAnsi="楷体" w:eastAsia="仿宋_GB2312"/>
          <w:color w:val="auto"/>
          <w:sz w:val="24"/>
          <w:highlight w:val="none"/>
          <w:u w:val="single"/>
        </w:rPr>
        <w:t xml:space="preserve"> 2.5 </w:t>
      </w:r>
      <w:r>
        <w:rPr>
          <w:rFonts w:hint="eastAsia" w:ascii="仿宋_GB2312" w:hAnsi="楷体" w:eastAsia="仿宋_GB2312"/>
          <w:color w:val="auto"/>
          <w:sz w:val="24"/>
          <w:highlight w:val="none"/>
        </w:rPr>
        <w:t>%的履约保证金；</w:t>
      </w:r>
      <w:r>
        <w:rPr>
          <w:rFonts w:ascii="仿宋_GB2312" w:hAnsi="楷体" w:eastAsia="仿宋_GB2312"/>
          <w:color w:val="auto"/>
          <w:sz w:val="24"/>
          <w:highlight w:val="none"/>
        </w:rPr>
        <w:t xml:space="preserve"> </w:t>
      </w:r>
    </w:p>
    <w:p>
      <w:pPr>
        <w:spacing w:line="360" w:lineRule="auto"/>
        <w:ind w:firstLine="480" w:firstLineChars="200"/>
        <w:rPr>
          <w:rFonts w:ascii="仿宋_GB2312" w:hAnsi="楷体" w:eastAsia="仿宋_GB2312"/>
          <w:color w:val="auto"/>
          <w:sz w:val="24"/>
          <w:highlight w:val="none"/>
        </w:rPr>
      </w:pPr>
      <w:r>
        <w:rPr>
          <w:rFonts w:ascii="仿宋_GB2312" w:hAnsi="楷体" w:eastAsia="仿宋_GB2312"/>
          <w:color w:val="auto"/>
          <w:sz w:val="24"/>
          <w:highlight w:val="none"/>
        </w:rPr>
        <w:t xml:space="preserve">2.21.2  </w:t>
      </w:r>
      <w:r>
        <w:rPr>
          <w:rFonts w:hint="eastAsia" w:ascii="仿宋_GB2312" w:hAnsi="楷体" w:eastAsia="仿宋_GB2312"/>
          <w:color w:val="auto"/>
          <w:sz w:val="24"/>
          <w:highlight w:val="none"/>
        </w:rPr>
        <w:t>履约保证金在</w:t>
      </w:r>
      <w:r>
        <w:rPr>
          <w:rFonts w:hint="eastAsia" w:ascii="仿宋_GB2312" w:hAnsi="楷体" w:eastAsia="仿宋_GB2312"/>
          <w:color w:val="auto"/>
          <w:sz w:val="24"/>
          <w:highlight w:val="none"/>
          <w:u w:val="single"/>
        </w:rPr>
        <w:t>合同有效期</w:t>
      </w:r>
      <w:r>
        <w:rPr>
          <w:rFonts w:hint="eastAsia" w:ascii="仿宋_GB2312" w:hAnsi="楷体" w:eastAsia="仿宋_GB2312"/>
          <w:color w:val="auto"/>
          <w:sz w:val="24"/>
          <w:highlight w:val="none"/>
        </w:rPr>
        <w:t>内或者标的物质量保证期内不予退还或者应完全有效</w:t>
      </w:r>
      <w:r>
        <w:rPr>
          <w:rFonts w:hint="eastAsia" w:ascii="仿宋_GB2312" w:hAnsi="仿宋" w:eastAsia="仿宋_GB2312" w:cs="Arial"/>
          <w:snapToGrid w:val="0"/>
          <w:color w:val="auto"/>
          <w:kern w:val="0"/>
          <w:sz w:val="24"/>
          <w:highlight w:val="none"/>
        </w:rPr>
        <w:t>。服务期满，通过验收，甲方于收到乙方退还履约保证金申请之日起</w:t>
      </w:r>
      <w:r>
        <w:rPr>
          <w:rFonts w:ascii="仿宋_GB2312" w:hAnsi="仿宋" w:eastAsia="仿宋_GB2312" w:cs="Arial"/>
          <w:snapToGrid w:val="0"/>
          <w:color w:val="auto"/>
          <w:kern w:val="0"/>
          <w:sz w:val="24"/>
          <w:highlight w:val="none"/>
          <w:u w:val="single"/>
        </w:rPr>
        <w:t>5</w:t>
      </w:r>
      <w:r>
        <w:rPr>
          <w:rFonts w:hint="eastAsia" w:ascii="仿宋_GB2312" w:hAnsi="仿宋" w:eastAsia="仿宋_GB2312" w:cs="Arial"/>
          <w:snapToGrid w:val="0"/>
          <w:color w:val="auto"/>
          <w:kern w:val="0"/>
          <w:sz w:val="24"/>
          <w:highlight w:val="none"/>
        </w:rPr>
        <w:t>个工作日内退还乙方履约保证金。甲方无故逾期退还的，按照每逾期一日支付履约保证金</w:t>
      </w:r>
      <w:r>
        <w:rPr>
          <w:rFonts w:ascii="仿宋_GB2312" w:hAnsi="仿宋" w:eastAsia="仿宋_GB2312" w:cs="Arial"/>
          <w:snapToGrid w:val="0"/>
          <w:color w:val="auto"/>
          <w:kern w:val="0"/>
          <w:sz w:val="24"/>
          <w:highlight w:val="none"/>
        </w:rPr>
        <w:t>5‰</w:t>
      </w:r>
      <w:r>
        <w:rPr>
          <w:rFonts w:hint="eastAsia" w:ascii="仿宋_GB2312" w:hAnsi="仿宋" w:eastAsia="仿宋_GB2312" w:cs="Arial"/>
          <w:snapToGrid w:val="0"/>
          <w:color w:val="auto"/>
          <w:kern w:val="0"/>
          <w:sz w:val="24"/>
          <w:highlight w:val="none"/>
        </w:rPr>
        <w:t>的额度承担违约责任</w:t>
      </w:r>
      <w:r>
        <w:rPr>
          <w:rFonts w:hint="eastAsia" w:ascii="仿宋_GB2312" w:hAnsi="楷体" w:eastAsia="仿宋_GB2312"/>
          <w:color w:val="auto"/>
          <w:sz w:val="24"/>
          <w:highlight w:val="none"/>
        </w:rPr>
        <w:t>；</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仿宋_GB2312" w:hAnsi="仿宋" w:eastAsia="仿宋_GB2312" w:cs="Arial"/>
          <w:snapToGrid w:val="0"/>
          <w:color w:val="auto"/>
          <w:kern w:val="0"/>
          <w:sz w:val="24"/>
          <w:highlight w:val="none"/>
        </w:rPr>
      </w:pPr>
      <w:r>
        <w:rPr>
          <w:rFonts w:ascii="仿宋_GB2312" w:hAnsi="楷体" w:eastAsia="仿宋_GB2312"/>
          <w:color w:val="auto"/>
          <w:sz w:val="24"/>
          <w:highlight w:val="none"/>
        </w:rPr>
        <w:t>2.21.4</w:t>
      </w:r>
      <w:r>
        <w:rPr>
          <w:rFonts w:hint="eastAsia" w:ascii="仿宋_GB2312" w:hAnsi="楷体" w:eastAsia="仿宋_GB2312"/>
          <w:color w:val="auto"/>
          <w:sz w:val="24"/>
          <w:highlight w:val="none"/>
        </w:rPr>
        <w:t>甲方根据杭州市政府采购网公布的供应商履约评价情况减免履约保证金。乙方履约验收评价总分为</w:t>
      </w:r>
      <w:r>
        <w:rPr>
          <w:rFonts w:ascii="仿宋_GB2312" w:hAnsi="楷体" w:eastAsia="仿宋_GB2312"/>
          <w:color w:val="auto"/>
          <w:sz w:val="24"/>
          <w:highlight w:val="none"/>
        </w:rPr>
        <w:t>100分的，甲方免收履约保证金；评价总分在90分以上的，收取履约保证金</w:t>
      </w:r>
      <w:r>
        <w:rPr>
          <w:rFonts w:hint="eastAsia" w:ascii="仿宋_GB2312" w:hAnsi="楷体" w:eastAsia="仿宋_GB2312"/>
          <w:color w:val="auto"/>
          <w:sz w:val="24"/>
          <w:highlight w:val="none"/>
        </w:rPr>
        <w:t>为</w:t>
      </w:r>
      <w:r>
        <w:rPr>
          <w:rFonts w:ascii="仿宋_GB2312" w:hAnsi="楷体" w:eastAsia="仿宋_GB2312"/>
          <w:color w:val="auto"/>
          <w:sz w:val="24"/>
          <w:highlight w:val="none"/>
        </w:rPr>
        <w:t>合同金额2%；评价总分在不满90分或者暂无评分的，收取履约保证金</w:t>
      </w:r>
      <w:r>
        <w:rPr>
          <w:rFonts w:hint="eastAsia" w:ascii="仿宋_GB2312" w:hAnsi="楷体" w:eastAsia="仿宋_GB2312"/>
          <w:color w:val="auto"/>
          <w:sz w:val="24"/>
          <w:highlight w:val="none"/>
        </w:rPr>
        <w:t>为</w:t>
      </w:r>
      <w:r>
        <w:rPr>
          <w:rFonts w:ascii="仿宋_GB2312" w:hAnsi="楷体" w:eastAsia="仿宋_GB2312"/>
          <w:color w:val="auto"/>
          <w:sz w:val="24"/>
          <w:highlight w:val="none"/>
        </w:rPr>
        <w:t>合同金额</w:t>
      </w:r>
      <w:r>
        <w:rPr>
          <w:rFonts w:hint="eastAsia" w:ascii="仿宋_GB2312" w:hAnsi="楷体" w:eastAsia="仿宋_GB2312"/>
          <w:color w:val="auto"/>
          <w:sz w:val="24"/>
          <w:highlight w:val="none"/>
        </w:rPr>
        <w:t>2.</w:t>
      </w:r>
      <w:r>
        <w:rPr>
          <w:rFonts w:ascii="仿宋_GB2312" w:hAnsi="楷体" w:eastAsia="仿宋_GB2312"/>
          <w:color w:val="auto"/>
          <w:sz w:val="24"/>
          <w:highlight w:val="none"/>
        </w:rPr>
        <w:t>5</w:t>
      </w:r>
      <w:r>
        <w:rPr>
          <w:rFonts w:ascii="仿宋" w:hAnsi="仿宋" w:eastAsia="仿宋"/>
          <w:color w:val="auto"/>
          <w:sz w:val="24"/>
          <w:highlight w:val="none"/>
        </w:rPr>
        <w:t>%。</w:t>
      </w:r>
    </w:p>
    <w:p>
      <w:pPr>
        <w:spacing w:line="360" w:lineRule="auto"/>
        <w:ind w:firstLine="480"/>
        <w:outlineLvl w:val="0"/>
        <w:rPr>
          <w:rFonts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pPr>
        <w:spacing w:line="360" w:lineRule="auto"/>
        <w:ind w:firstLine="480"/>
        <w:outlineLvl w:val="0"/>
        <w:rPr>
          <w:rFonts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2.22.1本合同（□是  □否）为可融资合同，关于中小企业信用融资事项可登陆杭州市政府采购网（http://cg.hzft.gov.cn）“中小企业信用融资”专栏进行查询。</w:t>
      </w:r>
    </w:p>
    <w:p>
      <w:pPr>
        <w:spacing w:line="360" w:lineRule="auto"/>
        <w:ind w:firstLine="480"/>
        <w:outlineLvl w:val="0"/>
        <w:rPr>
          <w:rFonts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w:t>
      </w:r>
      <w:r>
        <w:rPr>
          <w:rFonts w:ascii="仿宋_GB2312" w:hAnsi="仿宋" w:eastAsia="仿宋_GB2312"/>
          <w:color w:val="auto"/>
          <w:kern w:val="0"/>
          <w:sz w:val="24"/>
          <w:highlight w:val="none"/>
          <w:lang w:val="zh-CN"/>
        </w:rPr>
        <w:t>本合同（</w:t>
      </w:r>
      <w:r>
        <w:rPr>
          <w:rFonts w:hint="eastAsia" w:ascii="仿宋_GB2312" w:hAnsi="仿宋" w:eastAsia="仿宋_GB2312"/>
          <w:color w:val="auto"/>
          <w:kern w:val="0"/>
          <w:sz w:val="24"/>
          <w:highlight w:val="none"/>
          <w:lang w:val="zh-CN"/>
        </w:rPr>
        <w:t>□</w:t>
      </w:r>
      <w:r>
        <w:rPr>
          <w:rFonts w:ascii="仿宋_GB2312" w:hAnsi="仿宋" w:eastAsia="仿宋_GB2312"/>
          <w:color w:val="auto"/>
          <w:kern w:val="0"/>
          <w:sz w:val="24"/>
          <w:highlight w:val="none"/>
          <w:lang w:val="zh-CN"/>
        </w:rPr>
        <w:t xml:space="preserve">是  </w:t>
      </w:r>
      <w:r>
        <w:rPr>
          <w:rFonts w:hint="eastAsia" w:ascii="仿宋_GB2312" w:hAnsi="仿宋" w:eastAsia="仿宋_GB2312"/>
          <w:color w:val="auto"/>
          <w:kern w:val="0"/>
          <w:sz w:val="24"/>
          <w:highlight w:val="none"/>
          <w:lang w:val="zh-CN"/>
        </w:rPr>
        <w:t>☑否）为中小企业预留合同。</w:t>
      </w:r>
    </w:p>
    <w:bookmarkEnd w:id="532"/>
    <w:p>
      <w:pPr>
        <w:spacing w:line="360" w:lineRule="auto"/>
        <w:ind w:firstLine="482" w:firstLineChars="200"/>
        <w:outlineLvl w:val="0"/>
        <w:rPr>
          <w:rFonts w:ascii="仿宋_GB2312" w:hAnsi="楷体" w:eastAsia="仿宋_GB2312"/>
          <w:b/>
          <w:color w:val="auto"/>
          <w:sz w:val="24"/>
          <w:highlight w:val="none"/>
        </w:rPr>
      </w:pPr>
      <w:bookmarkStart w:id="533" w:name="_Toc19890"/>
      <w:bookmarkStart w:id="534" w:name="_Toc6885"/>
      <w:bookmarkStart w:id="535" w:name="_Toc14001"/>
      <w:r>
        <w:rPr>
          <w:rFonts w:hint="eastAsia" w:ascii="仿宋_GB2312" w:hAnsi="楷体" w:eastAsia="仿宋_GB2312"/>
          <w:b/>
          <w:color w:val="auto"/>
          <w:sz w:val="24"/>
          <w:highlight w:val="none"/>
        </w:rPr>
        <w:t>2.23 合同份数</w:t>
      </w:r>
      <w:bookmarkEnd w:id="533"/>
      <w:bookmarkEnd w:id="534"/>
      <w:bookmarkEnd w:id="535"/>
    </w:p>
    <w:p>
      <w:pPr>
        <w:spacing w:line="360" w:lineRule="auto"/>
        <w:ind w:firstLine="480" w:firstLineChars="200"/>
        <w:rPr>
          <w:rFonts w:ascii="仿宋_GB2312" w:hAnsi="楷体" w:eastAsia="仿宋_GB2312"/>
          <w:color w:val="auto"/>
          <w:sz w:val="24"/>
          <w:highlight w:val="none"/>
        </w:rPr>
      </w:pPr>
      <w:r>
        <w:rPr>
          <w:rFonts w:hint="eastAsia" w:ascii="仿宋_GB2312" w:hAnsi="宋体" w:eastAsia="仿宋_GB2312"/>
          <w:color w:val="auto"/>
          <w:sz w:val="24"/>
          <w:highlight w:val="none"/>
        </w:rPr>
        <w:t>本合同一式</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pPr>
        <w:pStyle w:val="31"/>
        <w:jc w:val="center"/>
        <w:rPr>
          <w:rFonts w:ascii="仿宋_GB2312" w:hAnsi="楷体" w:eastAsia="仿宋_GB2312"/>
          <w:b/>
          <w:color w:val="auto"/>
          <w:szCs w:val="24"/>
          <w:highlight w:val="none"/>
        </w:rPr>
      </w:pPr>
      <w:r>
        <w:rPr>
          <w:rFonts w:hint="eastAsia" w:ascii="仿宋_GB2312" w:hAnsi="楷体" w:eastAsia="仿宋_GB2312"/>
          <w:color w:val="auto"/>
          <w:szCs w:val="24"/>
          <w:highlight w:val="none"/>
        </w:rPr>
        <w:br w:type="page"/>
      </w:r>
      <w:bookmarkStart w:id="536" w:name="_Toc331685784"/>
      <w:r>
        <w:rPr>
          <w:rFonts w:hint="eastAsia" w:ascii="仿宋_GB2312" w:hAnsi="楷体" w:eastAsia="仿宋_GB2312"/>
          <w:b/>
          <w:color w:val="auto"/>
          <w:szCs w:val="24"/>
          <w:highlight w:val="none"/>
        </w:rPr>
        <w:t xml:space="preserve">第三部分  </w:t>
      </w:r>
      <w:r>
        <w:rPr>
          <w:rFonts w:hint="eastAsia" w:ascii="仿宋_GB2312" w:hAnsi="仿宋" w:eastAsia="仿宋_GB2312"/>
          <w:b/>
          <w:color w:val="auto"/>
          <w:highlight w:val="none"/>
        </w:rPr>
        <w:t>※</w:t>
      </w:r>
      <w:r>
        <w:rPr>
          <w:rFonts w:hint="eastAsia" w:ascii="仿宋_GB2312" w:hAnsi="楷体" w:eastAsia="仿宋_GB2312"/>
          <w:b/>
          <w:color w:val="auto"/>
          <w:szCs w:val="24"/>
          <w:highlight w:val="none"/>
        </w:rPr>
        <w:t>合同专用条款</w:t>
      </w:r>
      <w:bookmarkEnd w:id="536"/>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w:t>
      </w:r>
    </w:p>
    <w:p>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知识产权归甲方所有。                                                  </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2.4.1包装和装运专用条款（如果有）：</w:t>
      </w:r>
    </w:p>
    <w:p>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2.4.2装运标的物的要求和通知：</w:t>
      </w:r>
    </w:p>
    <w:p>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2.6</w:t>
      </w:r>
      <w:r>
        <w:rPr>
          <w:rFonts w:hint="eastAsia" w:ascii="仿宋_GB2312" w:hAnsi="楷体" w:eastAsia="仿宋_GB2312"/>
          <w:b/>
          <w:color w:val="auto"/>
          <w:sz w:val="24"/>
          <w:highlight w:val="none"/>
        </w:rPr>
        <w:t>结算方式和付款条件</w:t>
      </w:r>
    </w:p>
    <w:p>
      <w:pPr>
        <w:spacing w:line="360" w:lineRule="auto"/>
        <w:ind w:firstLine="480" w:firstLineChars="200"/>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本次项目合同总价为大写人民币</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lang w:val="zh-CN"/>
        </w:rPr>
        <w:t>￥    元），采用分期付款方式，具体如下</w:t>
      </w:r>
      <w:r>
        <w:rPr>
          <w:rFonts w:hint="eastAsia" w:ascii="仿宋_GB2312" w:eastAsia="仿宋_GB2312" w:cs="仿宋_GB2312"/>
          <w:color w:val="auto"/>
          <w:kern w:val="0"/>
          <w:sz w:val="24"/>
          <w:highlight w:val="none"/>
        </w:rPr>
        <w:t>：</w:t>
      </w:r>
    </w:p>
    <w:p>
      <w:pPr>
        <w:autoSpaceDE w:val="0"/>
        <w:autoSpaceDN w:val="0"/>
        <w:snapToGrid w:val="0"/>
        <w:spacing w:line="360" w:lineRule="auto"/>
        <w:ind w:firstLine="540"/>
        <w:rPr>
          <w:rFonts w:ascii="仿宋_GB2312" w:hAnsi="宋体" w:eastAsia="仿宋_GB2312"/>
          <w:color w:val="auto"/>
          <w:kern w:val="0"/>
          <w:sz w:val="24"/>
          <w:highlight w:val="none"/>
          <w:lang w:val="zh-CN"/>
        </w:rPr>
      </w:pPr>
      <w:r>
        <w:rPr>
          <w:rFonts w:hint="eastAsia" w:ascii="仿宋_GB2312" w:hAnsi="宋体" w:eastAsia="仿宋_GB2312"/>
          <w:color w:val="auto"/>
          <w:kern w:val="0"/>
          <w:sz w:val="24"/>
          <w:highlight w:val="none"/>
          <w:lang w:val="zh-CN"/>
        </w:rPr>
        <w:t>第一期付款：合同签订</w:t>
      </w:r>
      <w:r>
        <w:rPr>
          <w:rFonts w:hint="eastAsia" w:ascii="仿宋_GB2312" w:hAnsi="宋体" w:eastAsia="仿宋_GB2312"/>
          <w:color w:val="auto"/>
          <w:kern w:val="0"/>
          <w:sz w:val="24"/>
          <w:highlight w:val="none"/>
          <w:u w:val="single"/>
        </w:rPr>
        <w:t xml:space="preserve">  </w:t>
      </w:r>
      <w:r>
        <w:rPr>
          <w:rFonts w:hint="eastAsia" w:ascii="仿宋_GB2312" w:hAnsi="宋体" w:eastAsia="仿宋_GB2312"/>
          <w:color w:val="auto"/>
          <w:kern w:val="0"/>
          <w:sz w:val="24"/>
          <w:highlight w:val="none"/>
          <w:lang w:val="zh-CN"/>
        </w:rPr>
        <w:t>日历天内，甲方支付合同总价</w:t>
      </w:r>
      <w:r>
        <w:rPr>
          <w:rFonts w:hint="eastAsia" w:ascii="仿宋_GB2312" w:hAnsi="宋体" w:eastAsia="仿宋_GB2312"/>
          <w:color w:val="auto"/>
          <w:kern w:val="0"/>
          <w:sz w:val="24"/>
          <w:highlight w:val="none"/>
          <w:u w:val="single"/>
        </w:rPr>
        <w:t xml:space="preserve">  </w:t>
      </w:r>
      <w:r>
        <w:rPr>
          <w:rFonts w:hint="eastAsia" w:ascii="仿宋_GB2312" w:hAnsi="宋体" w:eastAsia="仿宋_GB2312"/>
          <w:color w:val="auto"/>
          <w:kern w:val="0"/>
          <w:sz w:val="24"/>
          <w:highlight w:val="none"/>
        </w:rPr>
        <w:t>%</w:t>
      </w:r>
      <w:r>
        <w:rPr>
          <w:rFonts w:hint="eastAsia" w:ascii="仿宋_GB2312" w:hAnsi="宋体" w:eastAsia="仿宋_GB2312"/>
          <w:color w:val="auto"/>
          <w:kern w:val="0"/>
          <w:sz w:val="24"/>
          <w:highlight w:val="none"/>
          <w:lang w:val="zh-CN"/>
        </w:rPr>
        <w:t>的服务费</w:t>
      </w:r>
      <w:r>
        <w:rPr>
          <w:rFonts w:hint="eastAsia" w:ascii="仿宋_GB2312" w:eastAsia="仿宋_GB2312"/>
          <w:color w:val="auto"/>
          <w:sz w:val="24"/>
          <w:highlight w:val="none"/>
        </w:rPr>
        <w:t>结算手续，计人民币</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整</w:t>
      </w:r>
      <w:r>
        <w:rPr>
          <w:rFonts w:hint="eastAsia" w:ascii="仿宋_GB2312" w:hAnsi="宋体" w:eastAsia="仿宋_GB2312"/>
          <w:color w:val="auto"/>
          <w:kern w:val="0"/>
          <w:sz w:val="24"/>
          <w:highlight w:val="none"/>
          <w:lang w:val="zh-CN"/>
        </w:rPr>
        <w:t>（￥）。</w:t>
      </w:r>
    </w:p>
    <w:p>
      <w:pPr>
        <w:autoSpaceDE w:val="0"/>
        <w:autoSpaceDN w:val="0"/>
        <w:snapToGrid w:val="0"/>
        <w:spacing w:line="360" w:lineRule="auto"/>
        <w:ind w:firstLine="540"/>
        <w:rPr>
          <w:rFonts w:ascii="仿宋_GB2312" w:hAnsi="宋体" w:eastAsia="仿宋_GB2312"/>
          <w:color w:val="auto"/>
          <w:kern w:val="0"/>
          <w:sz w:val="24"/>
          <w:highlight w:val="none"/>
          <w:lang w:val="zh-CN"/>
        </w:rPr>
      </w:pPr>
      <w:r>
        <w:rPr>
          <w:rFonts w:hint="eastAsia" w:ascii="仿宋_GB2312" w:hAnsi="宋体" w:eastAsia="仿宋_GB2312"/>
          <w:color w:val="auto"/>
          <w:kern w:val="0"/>
          <w:sz w:val="24"/>
          <w:highlight w:val="none"/>
          <w:lang w:val="zh-CN"/>
        </w:rPr>
        <w:t>第二期付款：</w:t>
      </w:r>
      <w:r>
        <w:rPr>
          <w:rFonts w:hint="eastAsia" w:ascii="仿宋_GB2312" w:eastAsia="仿宋_GB2312"/>
          <w:color w:val="auto"/>
          <w:sz w:val="24"/>
          <w:highlight w:val="none"/>
          <w:u w:val="single"/>
        </w:rPr>
        <w:t xml:space="preserve">      </w:t>
      </w:r>
      <w:r>
        <w:rPr>
          <w:rFonts w:hint="eastAsia" w:ascii="仿宋_GB2312" w:hAnsi="宋体" w:eastAsia="仿宋_GB2312"/>
          <w:color w:val="auto"/>
          <w:kern w:val="0"/>
          <w:sz w:val="24"/>
          <w:highlight w:val="none"/>
        </w:rPr>
        <w:t>，甲方支付合同总价</w:t>
      </w:r>
      <w:r>
        <w:rPr>
          <w:rFonts w:hint="eastAsia" w:ascii="仿宋_GB2312" w:eastAsia="仿宋_GB2312"/>
          <w:color w:val="auto"/>
          <w:sz w:val="24"/>
          <w:highlight w:val="none"/>
          <w:u w:val="single"/>
        </w:rPr>
        <w:t xml:space="preserve">  </w:t>
      </w:r>
      <w:r>
        <w:rPr>
          <w:rFonts w:hint="eastAsia" w:ascii="仿宋_GB2312" w:hAnsi="宋体" w:eastAsia="仿宋_GB2312"/>
          <w:color w:val="auto"/>
          <w:kern w:val="0"/>
          <w:sz w:val="24"/>
          <w:highlight w:val="none"/>
        </w:rPr>
        <w:t>%的</w:t>
      </w:r>
      <w:r>
        <w:rPr>
          <w:rFonts w:hint="eastAsia" w:ascii="仿宋_GB2312" w:hAnsi="宋体" w:eastAsia="仿宋_GB2312"/>
          <w:color w:val="auto"/>
          <w:kern w:val="0"/>
          <w:sz w:val="24"/>
          <w:highlight w:val="none"/>
          <w:lang w:val="zh-CN"/>
        </w:rPr>
        <w:t>服务费</w:t>
      </w:r>
      <w:r>
        <w:rPr>
          <w:rFonts w:hint="eastAsia" w:ascii="仿宋_GB2312" w:hAnsi="宋体" w:eastAsia="仿宋_GB2312"/>
          <w:color w:val="auto"/>
          <w:kern w:val="0"/>
          <w:sz w:val="24"/>
          <w:highlight w:val="none"/>
        </w:rPr>
        <w:t>结算手续，</w:t>
      </w:r>
      <w:r>
        <w:rPr>
          <w:rFonts w:hint="eastAsia" w:ascii="仿宋_GB2312" w:eastAsia="仿宋_GB2312"/>
          <w:color w:val="auto"/>
          <w:sz w:val="24"/>
          <w:highlight w:val="none"/>
        </w:rPr>
        <w:t>计人民币</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整</w:t>
      </w:r>
      <w:r>
        <w:rPr>
          <w:rFonts w:hint="eastAsia" w:ascii="仿宋_GB2312" w:hAnsi="宋体" w:eastAsia="仿宋_GB2312"/>
          <w:color w:val="auto"/>
          <w:kern w:val="0"/>
          <w:sz w:val="24"/>
          <w:highlight w:val="none"/>
          <w:lang w:val="zh-CN"/>
        </w:rPr>
        <w:t>（￥</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u w:val="single"/>
        </w:rPr>
        <w:t xml:space="preserve">     </w:t>
      </w:r>
      <w:r>
        <w:rPr>
          <w:rFonts w:hint="eastAsia" w:ascii="仿宋_GB2312" w:hAnsi="宋体" w:eastAsia="仿宋_GB2312"/>
          <w:color w:val="auto"/>
          <w:kern w:val="0"/>
          <w:sz w:val="24"/>
          <w:highlight w:val="none"/>
        </w:rPr>
        <w:t>元</w:t>
      </w:r>
      <w:r>
        <w:rPr>
          <w:rFonts w:hint="eastAsia" w:ascii="仿宋_GB2312" w:hAnsi="宋体" w:eastAsia="仿宋_GB2312"/>
          <w:color w:val="auto"/>
          <w:kern w:val="0"/>
          <w:sz w:val="24"/>
          <w:highlight w:val="none"/>
          <w:lang w:val="zh-CN"/>
        </w:rPr>
        <w:t>）。</w:t>
      </w:r>
    </w:p>
    <w:p>
      <w:pPr>
        <w:autoSpaceDE w:val="0"/>
        <w:autoSpaceDN w:val="0"/>
        <w:snapToGrid w:val="0"/>
        <w:spacing w:line="360" w:lineRule="auto"/>
        <w:ind w:firstLine="540"/>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第三期付款：</w:t>
      </w:r>
      <w:r>
        <w:rPr>
          <w:rFonts w:hint="eastAsia" w:ascii="仿宋_GB2312" w:eastAsia="仿宋_GB2312"/>
          <w:color w:val="auto"/>
          <w:sz w:val="24"/>
          <w:highlight w:val="none"/>
          <w:u w:val="single"/>
        </w:rPr>
        <w:t xml:space="preserve">      </w:t>
      </w:r>
      <w:r>
        <w:rPr>
          <w:rFonts w:hint="eastAsia" w:ascii="仿宋_GB2312" w:hAnsi="宋体" w:eastAsia="仿宋_GB2312"/>
          <w:color w:val="auto"/>
          <w:kern w:val="0"/>
          <w:sz w:val="24"/>
          <w:highlight w:val="none"/>
        </w:rPr>
        <w:t>，甲方进行项目最终验收，通过验收后，甲方支付尾款，计人民币</w:t>
      </w:r>
      <w:r>
        <w:rPr>
          <w:rFonts w:hint="eastAsia" w:ascii="仿宋_GB2312" w:hAnsi="宋体" w:eastAsia="仿宋_GB2312"/>
          <w:color w:val="auto"/>
          <w:kern w:val="0"/>
          <w:sz w:val="24"/>
          <w:highlight w:val="none"/>
          <w:u w:val="single"/>
        </w:rPr>
        <w:t xml:space="preserve">      </w:t>
      </w:r>
      <w:r>
        <w:rPr>
          <w:rFonts w:hint="eastAsia" w:ascii="仿宋_GB2312" w:hAnsi="宋体" w:eastAsia="仿宋_GB2312"/>
          <w:color w:val="auto"/>
          <w:kern w:val="0"/>
          <w:sz w:val="24"/>
          <w:highlight w:val="none"/>
        </w:rPr>
        <w:t>整</w:t>
      </w:r>
      <w:r>
        <w:rPr>
          <w:rFonts w:hint="eastAsia" w:ascii="仿宋_GB2312" w:hAnsi="宋体" w:eastAsia="仿宋_GB2312"/>
          <w:color w:val="auto"/>
          <w:kern w:val="0"/>
          <w:sz w:val="24"/>
          <w:highlight w:val="none"/>
          <w:lang w:val="zh-CN"/>
        </w:rPr>
        <w:t>（￥</w:t>
      </w:r>
      <w:r>
        <w:rPr>
          <w:rFonts w:hint="eastAsia" w:ascii="仿宋_GB2312" w:hAnsi="宋体" w:eastAsia="仿宋_GB2312"/>
          <w:color w:val="auto"/>
          <w:kern w:val="0"/>
          <w:sz w:val="24"/>
          <w:highlight w:val="none"/>
          <w:u w:val="single"/>
        </w:rPr>
        <w:t xml:space="preserve">      </w:t>
      </w:r>
      <w:r>
        <w:rPr>
          <w:rFonts w:hint="eastAsia" w:ascii="仿宋_GB2312" w:hAnsi="宋体" w:eastAsia="仿宋_GB2312"/>
          <w:color w:val="auto"/>
          <w:kern w:val="0"/>
          <w:sz w:val="24"/>
          <w:highlight w:val="none"/>
        </w:rPr>
        <w:t>元</w:t>
      </w:r>
      <w:r>
        <w:rPr>
          <w:rFonts w:hint="eastAsia" w:ascii="仿宋_GB2312" w:hAnsi="宋体" w:eastAsia="仿宋_GB2312"/>
          <w:color w:val="auto"/>
          <w:kern w:val="0"/>
          <w:sz w:val="24"/>
          <w:highlight w:val="none"/>
          <w:lang w:val="zh-CN"/>
        </w:rPr>
        <w:t>）。</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甲方无故逾期支付服务费用的，按照每逾期一日支付本期应支付服务费额度的</w:t>
      </w:r>
      <w:r>
        <w:rPr>
          <w:rFonts w:ascii="仿宋_GB2312" w:hAnsi="仿宋" w:eastAsia="仿宋_GB2312"/>
          <w:color w:val="auto"/>
          <w:sz w:val="24"/>
          <w:highlight w:val="none"/>
        </w:rPr>
        <w:t>5‰</w:t>
      </w:r>
      <w:r>
        <w:rPr>
          <w:rFonts w:hint="eastAsia" w:ascii="仿宋_GB2312" w:hAnsi="仿宋" w:eastAsia="仿宋_GB2312"/>
          <w:color w:val="auto"/>
          <w:sz w:val="24"/>
          <w:highlight w:val="none"/>
        </w:rPr>
        <w:t>承担违约责任。</w:t>
      </w:r>
    </w:p>
    <w:p>
      <w:pPr>
        <w:autoSpaceDE w:val="0"/>
        <w:autoSpaceDN w:val="0"/>
        <w:snapToGrid w:val="0"/>
        <w:spacing w:line="360" w:lineRule="auto"/>
        <w:ind w:firstLine="540"/>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乙方支付申请和查询</w:t>
      </w:r>
      <w:r>
        <w:rPr>
          <w:rFonts w:hint="eastAsia" w:ascii="仿宋_GB2312" w:eastAsia="仿宋_GB2312" w:cs="仿宋_GB2312"/>
          <w:color w:val="auto"/>
          <w:kern w:val="0"/>
          <w:sz w:val="24"/>
          <w:highlight w:val="none"/>
        </w:rPr>
        <w:t>：</w:t>
      </w:r>
    </w:p>
    <w:p>
      <w:pPr>
        <w:autoSpaceDE w:val="0"/>
        <w:autoSpaceDN w:val="0"/>
        <w:snapToGrid w:val="0"/>
        <w:spacing w:line="360" w:lineRule="auto"/>
        <w:ind w:firstLine="54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乙方可以登录</w:t>
      </w:r>
      <w:r>
        <w:rPr>
          <w:rFonts w:hint="eastAsia" w:ascii="仿宋_GB2312" w:eastAsia="仿宋_GB2312" w:cs="仿宋_GB2312"/>
          <w:color w:val="auto"/>
          <w:kern w:val="0"/>
          <w:sz w:val="24"/>
          <w:highlight w:val="none"/>
        </w:rPr>
        <w:t>：http://czj.hangzhou.gov.cn/zfcg（</w:t>
      </w:r>
      <w:r>
        <w:rPr>
          <w:rFonts w:hint="eastAsia" w:ascii="仿宋_GB2312" w:eastAsia="仿宋_GB2312" w:cs="仿宋_GB2312"/>
          <w:color w:val="auto"/>
          <w:kern w:val="0"/>
          <w:sz w:val="24"/>
          <w:highlight w:val="none"/>
          <w:lang w:val="zh-CN"/>
        </w:rPr>
        <w:t>杭州市政府采购网</w:t>
      </w:r>
      <w:r>
        <w:rPr>
          <w:rFonts w:hint="eastAsia" w:ascii="仿宋_GB2312" w:eastAsia="仿宋_GB2312" w:cs="仿宋_GB2312"/>
          <w:color w:val="auto"/>
          <w:kern w:val="0"/>
          <w:sz w:val="24"/>
          <w:highlight w:val="none"/>
        </w:rPr>
        <w:t>），</w:t>
      </w:r>
      <w:r>
        <w:rPr>
          <w:rFonts w:hint="eastAsia" w:ascii="仿宋_GB2312" w:eastAsia="仿宋_GB2312" w:cs="仿宋_GB2312"/>
          <w:color w:val="auto"/>
          <w:kern w:val="0"/>
          <w:sz w:val="24"/>
          <w:highlight w:val="none"/>
          <w:lang w:val="zh-CN"/>
        </w:rPr>
        <w:t>在线发起付款申请和提交发票</w:t>
      </w:r>
      <w:r>
        <w:rPr>
          <w:rFonts w:hint="eastAsia" w:ascii="仿宋_GB2312" w:eastAsia="仿宋_GB2312" w:cs="仿宋_GB2312"/>
          <w:color w:val="auto"/>
          <w:kern w:val="0"/>
          <w:sz w:val="24"/>
          <w:highlight w:val="none"/>
        </w:rPr>
        <w:t>，</w:t>
      </w:r>
      <w:r>
        <w:rPr>
          <w:rFonts w:hint="eastAsia" w:ascii="仿宋_GB2312" w:eastAsia="仿宋_GB2312" w:cs="仿宋_GB2312"/>
          <w:color w:val="auto"/>
          <w:kern w:val="0"/>
          <w:sz w:val="24"/>
          <w:highlight w:val="none"/>
          <w:lang w:val="zh-CN"/>
        </w:rPr>
        <w:t>并可以在线查询支付信息。具体操作指南可以查询该网站文件《杭州市财政局关于进一步加强政府采购信息公开优化营商环境的通知》（杭财采监〔2021〕17号）。</w:t>
      </w:r>
    </w:p>
    <w:p>
      <w:pPr>
        <w:spacing w:line="360" w:lineRule="auto"/>
        <w:ind w:firstLine="480" w:firstLineChars="200"/>
        <w:outlineLvl w:val="0"/>
        <w:rPr>
          <w:rFonts w:ascii="仿宋_GB2312" w:hAnsi="楷体" w:eastAsia="仿宋_GB2312"/>
          <w:b/>
          <w:color w:val="auto"/>
          <w:sz w:val="24"/>
          <w:highlight w:val="none"/>
        </w:rPr>
      </w:pPr>
      <w:r>
        <w:rPr>
          <w:rFonts w:hint="eastAsia" w:ascii="仿宋_GB2312" w:hAnsi="楷体" w:eastAsia="仿宋_GB2312"/>
          <w:color w:val="auto"/>
          <w:sz w:val="24"/>
          <w:highlight w:val="none"/>
        </w:rPr>
        <w:t>2.9</w:t>
      </w:r>
      <w:r>
        <w:rPr>
          <w:rFonts w:hint="eastAsia" w:ascii="仿宋_GB2312" w:hAnsi="楷体" w:eastAsia="仿宋_GB2312"/>
          <w:b/>
          <w:color w:val="auto"/>
          <w:sz w:val="24"/>
          <w:highlight w:val="none"/>
        </w:rPr>
        <w:t>标的物的风险负担</w:t>
      </w:r>
    </w:p>
    <w:p>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标的物或者在途标的物或者交付给第一承运人后的标的物毁损、灭失的风险负担：</w:t>
      </w:r>
      <w:r>
        <w:rPr>
          <w:rFonts w:hint="eastAsia" w:ascii="仿宋_GB2312" w:hAnsi="楷体" w:eastAsia="仿宋_GB2312"/>
          <w:color w:val="auto"/>
          <w:sz w:val="24"/>
          <w:highlight w:val="none"/>
          <w:u w:val="single"/>
        </w:rPr>
        <w:t xml:space="preserve">                                                             </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color w:val="auto"/>
          <w:sz w:val="24"/>
          <w:highlight w:val="none"/>
          <w:u w:val="single"/>
        </w:rPr>
        <w:t xml:space="preserve">  15  </w:t>
      </w:r>
      <w:r>
        <w:rPr>
          <w:rFonts w:hint="eastAsia" w:ascii="仿宋_GB2312" w:hAnsi="楷体" w:eastAsia="仿宋_GB2312"/>
          <w:color w:val="auto"/>
          <w:sz w:val="24"/>
          <w:highlight w:val="none"/>
        </w:rPr>
        <w:t>日内以书面形式通知对方当事人，并在</w:t>
      </w:r>
      <w:r>
        <w:rPr>
          <w:rFonts w:hint="eastAsia" w:ascii="仿宋_GB2312" w:hAnsi="楷体" w:eastAsia="仿宋_GB2312"/>
          <w:color w:val="auto"/>
          <w:sz w:val="24"/>
          <w:highlight w:val="none"/>
          <w:u w:val="single"/>
        </w:rPr>
        <w:t xml:space="preserve">  15  </w:t>
      </w:r>
      <w:r>
        <w:rPr>
          <w:rFonts w:hint="eastAsia" w:ascii="仿宋_GB2312" w:hAnsi="楷体" w:eastAsia="仿宋_GB2312"/>
          <w:color w:val="auto"/>
          <w:sz w:val="24"/>
          <w:highlight w:val="none"/>
        </w:rPr>
        <w:t>日内，将有关部门出具的证明文件送达对方当事人。</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2.13.4因不可抗力致使合同有变更必要的，双方当事人应在</w:t>
      </w:r>
      <w:r>
        <w:rPr>
          <w:rFonts w:hint="eastAsia" w:ascii="仿宋_GB2312" w:hAnsi="楷体" w:eastAsia="仿宋_GB2312"/>
          <w:color w:val="auto"/>
          <w:sz w:val="24"/>
          <w:highlight w:val="none"/>
          <w:u w:val="single"/>
        </w:rPr>
        <w:t xml:space="preserve"> 15 </w:t>
      </w:r>
      <w:r>
        <w:rPr>
          <w:rFonts w:hint="eastAsia" w:ascii="仿宋_GB2312" w:hAnsi="楷体" w:eastAsia="仿宋_GB2312"/>
          <w:color w:val="auto"/>
          <w:sz w:val="24"/>
          <w:highlight w:val="none"/>
        </w:rPr>
        <w:t>日内以书面形式变更合同；</w:t>
      </w:r>
    </w:p>
    <w:p>
      <w:pPr>
        <w:tabs>
          <w:tab w:val="left" w:pos="360"/>
          <w:tab w:val="left" w:pos="540"/>
          <w:tab w:val="left" w:pos="1080"/>
        </w:tabs>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color w:val="auto"/>
          <w:sz w:val="24"/>
          <w:highlight w:val="none"/>
          <w:u w:val="single"/>
        </w:rPr>
        <w:t xml:space="preserve">  15日   </w:t>
      </w:r>
      <w:r>
        <w:rPr>
          <w:rFonts w:hint="eastAsia" w:ascii="仿宋_GB2312" w:hAnsi="楷体" w:eastAsia="仿宋_GB2312"/>
          <w:color w:val="auto"/>
          <w:sz w:val="24"/>
          <w:highlight w:val="none"/>
        </w:rPr>
        <w:t>内组织验收，并可依法邀请相关方参加，验收应出具验收书。</w:t>
      </w:r>
    </w:p>
    <w:p>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w:t>
      </w:r>
    </w:p>
    <w:p>
      <w:pPr>
        <w:spacing w:line="360" w:lineRule="auto"/>
        <w:ind w:firstLine="480" w:firstLineChars="200"/>
        <w:rPr>
          <w:rFonts w:ascii="仿宋_GB2312" w:hAnsi="楷体" w:eastAsia="仿宋_GB2312"/>
          <w:color w:val="auto"/>
          <w:sz w:val="24"/>
          <w:highlight w:val="none"/>
          <w:u w:val="single"/>
        </w:rPr>
      </w:pPr>
      <w:r>
        <w:rPr>
          <w:rFonts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rPr>
        <w:t xml:space="preserve">                                                                </w:t>
      </w:r>
    </w:p>
    <w:p>
      <w:pPr>
        <w:snapToGrid w:val="0"/>
        <w:spacing w:line="360" w:lineRule="auto"/>
        <w:rPr>
          <w:rFonts w:ascii="仿宋_GB2312" w:hAnsi="仿宋" w:eastAsia="仿宋_GB2312" w:cs="仿宋_GB2312"/>
          <w:b/>
          <w:color w:val="auto"/>
          <w:sz w:val="36"/>
          <w:highlight w:val="none"/>
        </w:rPr>
      </w:pPr>
    </w:p>
    <w:p>
      <w:pPr>
        <w:snapToGrid w:val="0"/>
        <w:spacing w:line="360" w:lineRule="auto"/>
        <w:jc w:val="center"/>
        <w:rPr>
          <w:rFonts w:hint="eastAsia" w:ascii="仿宋_GB2312" w:hAnsi="仿宋" w:eastAsia="仿宋_GB2312" w:cs="仿宋_GB2312"/>
          <w:b/>
          <w:color w:val="auto"/>
          <w:sz w:val="36"/>
          <w:highlight w:val="none"/>
        </w:rPr>
      </w:pPr>
    </w:p>
    <w:p>
      <w:pPr>
        <w:snapToGrid w:val="0"/>
        <w:spacing w:line="360" w:lineRule="auto"/>
        <w:jc w:val="center"/>
        <w:rPr>
          <w:rFonts w:hint="eastAsia" w:ascii="仿宋_GB2312" w:hAnsi="仿宋" w:eastAsia="仿宋_GB2312" w:cs="仿宋_GB2312"/>
          <w:b/>
          <w:color w:val="auto"/>
          <w:sz w:val="36"/>
          <w:highlight w:val="none"/>
        </w:rPr>
      </w:pPr>
    </w:p>
    <w:p>
      <w:pPr>
        <w:snapToGrid w:val="0"/>
        <w:spacing w:line="360" w:lineRule="auto"/>
        <w:jc w:val="center"/>
        <w:rPr>
          <w:rFonts w:hint="eastAsia" w:ascii="仿宋_GB2312" w:hAnsi="仿宋" w:eastAsia="仿宋_GB2312" w:cs="仿宋_GB2312"/>
          <w:b/>
          <w:color w:val="auto"/>
          <w:sz w:val="36"/>
          <w:highlight w:val="none"/>
        </w:rPr>
      </w:pPr>
    </w:p>
    <w:p>
      <w:pPr>
        <w:snapToGrid w:val="0"/>
        <w:spacing w:line="360" w:lineRule="auto"/>
        <w:jc w:val="center"/>
        <w:rPr>
          <w:rFonts w:hint="eastAsia" w:ascii="仿宋_GB2312" w:hAnsi="仿宋" w:eastAsia="仿宋_GB2312" w:cs="仿宋_GB2312"/>
          <w:b/>
          <w:color w:val="auto"/>
          <w:sz w:val="36"/>
          <w:highlight w:val="none"/>
        </w:rPr>
      </w:pPr>
    </w:p>
    <w:p>
      <w:pPr>
        <w:snapToGrid w:val="0"/>
        <w:spacing w:line="360" w:lineRule="auto"/>
        <w:jc w:val="center"/>
        <w:rPr>
          <w:rFonts w:hint="eastAsia" w:ascii="仿宋_GB2312" w:hAnsi="仿宋" w:eastAsia="仿宋_GB2312" w:cs="仿宋_GB2312"/>
          <w:b/>
          <w:color w:val="auto"/>
          <w:sz w:val="36"/>
          <w:highlight w:val="none"/>
        </w:rPr>
      </w:pPr>
    </w:p>
    <w:p>
      <w:pPr>
        <w:snapToGrid w:val="0"/>
        <w:spacing w:line="360" w:lineRule="auto"/>
        <w:jc w:val="center"/>
        <w:rPr>
          <w:rFonts w:hint="eastAsia" w:ascii="仿宋_GB2312" w:hAnsi="仿宋" w:eastAsia="仿宋_GB2312" w:cs="仿宋_GB2312"/>
          <w:b/>
          <w:color w:val="auto"/>
          <w:sz w:val="36"/>
          <w:highlight w:val="none"/>
        </w:rPr>
      </w:pPr>
    </w:p>
    <w:p>
      <w:pPr>
        <w:snapToGrid w:val="0"/>
        <w:spacing w:line="360" w:lineRule="auto"/>
        <w:jc w:val="center"/>
        <w:rPr>
          <w:rFonts w:hint="eastAsia" w:ascii="仿宋_GB2312" w:hAnsi="仿宋" w:eastAsia="仿宋_GB2312" w:cs="仿宋_GB2312"/>
          <w:b/>
          <w:color w:val="auto"/>
          <w:sz w:val="36"/>
          <w:highlight w:val="none"/>
        </w:rPr>
      </w:pPr>
    </w:p>
    <w:p>
      <w:pPr>
        <w:snapToGrid w:val="0"/>
        <w:spacing w:line="360" w:lineRule="auto"/>
        <w:jc w:val="center"/>
        <w:rPr>
          <w:rFonts w:hint="eastAsia" w:ascii="仿宋_GB2312" w:hAnsi="仿宋" w:eastAsia="仿宋_GB2312" w:cs="仿宋_GB2312"/>
          <w:b/>
          <w:color w:val="auto"/>
          <w:sz w:val="36"/>
          <w:highlight w:val="none"/>
        </w:rPr>
      </w:pPr>
    </w:p>
    <w:p>
      <w:pPr>
        <w:snapToGrid w:val="0"/>
        <w:spacing w:line="360" w:lineRule="auto"/>
        <w:jc w:val="center"/>
        <w:rPr>
          <w:rFonts w:hint="eastAsia" w:ascii="仿宋_GB2312" w:hAnsi="仿宋" w:eastAsia="仿宋_GB2312" w:cs="仿宋_GB2312"/>
          <w:b/>
          <w:color w:val="auto"/>
          <w:sz w:val="36"/>
          <w:highlight w:val="none"/>
        </w:rPr>
      </w:pPr>
    </w:p>
    <w:p>
      <w:pPr>
        <w:snapToGrid w:val="0"/>
        <w:spacing w:line="360" w:lineRule="auto"/>
        <w:jc w:val="center"/>
        <w:rPr>
          <w:rFonts w:hint="eastAsia" w:ascii="仿宋_GB2312" w:hAnsi="仿宋" w:eastAsia="仿宋_GB2312" w:cs="仿宋_GB2312"/>
          <w:b/>
          <w:color w:val="auto"/>
          <w:sz w:val="36"/>
          <w:highlight w:val="none"/>
        </w:rPr>
      </w:pPr>
    </w:p>
    <w:p>
      <w:pPr>
        <w:snapToGrid w:val="0"/>
        <w:spacing w:line="360" w:lineRule="auto"/>
        <w:jc w:val="center"/>
        <w:rPr>
          <w:rFonts w:hint="eastAsia" w:ascii="仿宋_GB2312" w:hAnsi="仿宋" w:eastAsia="仿宋_GB2312" w:cs="仿宋_GB2312"/>
          <w:b/>
          <w:color w:val="auto"/>
          <w:sz w:val="36"/>
          <w:highlight w:val="none"/>
        </w:rPr>
      </w:pPr>
    </w:p>
    <w:p>
      <w:pPr>
        <w:snapToGrid w:val="0"/>
        <w:spacing w:line="360" w:lineRule="auto"/>
        <w:jc w:val="center"/>
        <w:rPr>
          <w:rFonts w:hint="eastAsia" w:ascii="仿宋_GB2312" w:hAnsi="仿宋" w:eastAsia="仿宋_GB2312" w:cs="仿宋_GB2312"/>
          <w:b/>
          <w:color w:val="auto"/>
          <w:sz w:val="36"/>
          <w:highlight w:val="none"/>
        </w:rPr>
      </w:pPr>
    </w:p>
    <w:p>
      <w:pPr>
        <w:snapToGrid w:val="0"/>
        <w:spacing w:line="360" w:lineRule="auto"/>
        <w:jc w:val="center"/>
        <w:rPr>
          <w:rFonts w:hint="eastAsia" w:ascii="仿宋_GB2312" w:hAnsi="仿宋" w:eastAsia="仿宋_GB2312" w:cs="仿宋_GB2312"/>
          <w:b/>
          <w:color w:val="auto"/>
          <w:sz w:val="36"/>
          <w:highlight w:val="none"/>
        </w:rPr>
      </w:pPr>
    </w:p>
    <w:p>
      <w:pPr>
        <w:snapToGrid w:val="0"/>
        <w:spacing w:line="360" w:lineRule="auto"/>
        <w:jc w:val="center"/>
        <w:rPr>
          <w:rFonts w:hint="eastAsia" w:ascii="仿宋_GB2312" w:hAnsi="仿宋" w:eastAsia="仿宋_GB2312" w:cs="仿宋_GB2312"/>
          <w:b/>
          <w:color w:val="auto"/>
          <w:sz w:val="36"/>
          <w:highlight w:val="none"/>
        </w:rPr>
      </w:pPr>
    </w:p>
    <w:p>
      <w:pPr>
        <w:snapToGrid w:val="0"/>
        <w:spacing w:line="360" w:lineRule="auto"/>
        <w:jc w:val="center"/>
        <w:rPr>
          <w:rFonts w:hint="eastAsia" w:ascii="仿宋_GB2312" w:hAnsi="仿宋" w:eastAsia="仿宋_GB2312" w:cs="仿宋_GB2312"/>
          <w:b/>
          <w:color w:val="auto"/>
          <w:sz w:val="36"/>
          <w:highlight w:val="none"/>
        </w:rPr>
      </w:pPr>
    </w:p>
    <w:p>
      <w:pPr>
        <w:snapToGrid w:val="0"/>
        <w:spacing w:line="360" w:lineRule="auto"/>
        <w:jc w:val="center"/>
        <w:rPr>
          <w:rFonts w:hint="eastAsia" w:ascii="仿宋_GB2312" w:hAnsi="仿宋" w:eastAsia="仿宋_GB2312" w:cs="仿宋_GB2312"/>
          <w:b/>
          <w:color w:val="auto"/>
          <w:sz w:val="36"/>
          <w:highlight w:val="none"/>
        </w:rPr>
      </w:pPr>
    </w:p>
    <w:p>
      <w:pPr>
        <w:snapToGrid w:val="0"/>
        <w:spacing w:line="360" w:lineRule="auto"/>
        <w:jc w:val="center"/>
        <w:rPr>
          <w:rFonts w:hint="eastAsia" w:ascii="仿宋_GB2312" w:hAnsi="仿宋" w:eastAsia="仿宋_GB2312" w:cs="仿宋_GB2312"/>
          <w:b/>
          <w:color w:val="auto"/>
          <w:sz w:val="36"/>
          <w:highlight w:val="none"/>
        </w:rPr>
      </w:pPr>
    </w:p>
    <w:p>
      <w:pPr>
        <w:snapToGrid w:val="0"/>
        <w:spacing w:line="360" w:lineRule="auto"/>
        <w:jc w:val="center"/>
        <w:rPr>
          <w:rFonts w:ascii="仿宋_GB2312" w:hAnsi="仿宋" w:eastAsia="仿宋_GB2312" w:cs="仿宋_GB2312"/>
          <w:b/>
          <w:color w:val="auto"/>
          <w:sz w:val="36"/>
          <w:highlight w:val="none"/>
        </w:rPr>
      </w:pPr>
      <w:r>
        <w:rPr>
          <w:rFonts w:hint="eastAsia" w:ascii="仿宋_GB2312" w:hAnsi="仿宋" w:eastAsia="仿宋_GB2312" w:cs="仿宋_GB2312"/>
          <w:b/>
          <w:color w:val="auto"/>
          <w:sz w:val="36"/>
          <w:highlight w:val="none"/>
        </w:rPr>
        <w:t>第六部分 应提交的有关格式范例</w:t>
      </w:r>
    </w:p>
    <w:p>
      <w:pPr>
        <w:spacing w:line="360" w:lineRule="auto"/>
        <w:ind w:firstLine="480" w:firstLineChars="200"/>
        <w:outlineLvl w:val="0"/>
        <w:rPr>
          <w:rFonts w:ascii="仿宋_GB2312" w:hAnsi="仿宋" w:eastAsia="仿宋_GB2312" w:cs="仿宋_GB2312"/>
          <w:color w:val="auto"/>
          <w:sz w:val="36"/>
          <w:szCs w:val="36"/>
          <w:highlight w:val="none"/>
          <w:lang w:val="zh-CN"/>
        </w:rPr>
      </w:pPr>
      <w:r>
        <w:rPr>
          <w:rFonts w:hint="eastAsia" w:ascii="仿宋_GB2312" w:hAnsi="仿宋" w:eastAsia="仿宋_GB2312" w:cs="仿宋_GB2312"/>
          <w:color w:val="auto"/>
          <w:sz w:val="24"/>
          <w:highlight w:val="none"/>
        </w:rPr>
        <w:t>投标人按照以下格式编制</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color w:val="auto"/>
          <w:sz w:val="36"/>
          <w:szCs w:val="36"/>
          <w:highlight w:val="none"/>
          <w:lang w:val="zh-CN"/>
        </w:rPr>
        <w:t>▲</w:t>
      </w: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w:t>
      </w:r>
      <w:r>
        <w:rPr>
          <w:rFonts w:hint="eastAsia" w:ascii="仿宋" w:hAnsi="仿宋" w:eastAsia="仿宋" w:cs="仿宋_GB2312"/>
          <w:color w:val="auto"/>
          <w:sz w:val="24"/>
          <w:highlight w:val="none"/>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_GB2312" w:hAnsi="仿宋" w:eastAsia="仿宋_GB2312"/>
          <w:color w:val="auto"/>
          <w:sz w:val="24"/>
          <w:highlight w:val="none"/>
        </w:rPr>
        <w:t>营业执照复印件；</w:t>
      </w:r>
      <w:r>
        <w:rPr>
          <w:rFonts w:hint="eastAsia" w:ascii="仿宋_GB2312" w:hAnsi="仿宋" w:eastAsia="仿宋_GB2312" w:cs="仿宋_GB2312"/>
          <w:b/>
          <w:color w:val="auto"/>
          <w:kern w:val="0"/>
          <w:sz w:val="24"/>
          <w:highlight w:val="none"/>
        </w:rPr>
        <w:t>（以联合体形式进行政府采购的，参加联合体的供应商均应当提供）</w:t>
      </w:r>
      <w:r>
        <w:rPr>
          <w:rFonts w:hint="eastAsia" w:ascii="仿宋" w:hAnsi="仿宋" w:eastAsia="仿宋"/>
          <w:color w:val="auto"/>
          <w:sz w:val="24"/>
          <w:highlight w:val="none"/>
        </w:rPr>
        <w:t>………………………………………………………………………………………（页码）</w:t>
      </w:r>
    </w:p>
    <w:p>
      <w:pPr>
        <w:snapToGrid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（2）授权书 ……………………………………………………………………………（页码）</w:t>
      </w:r>
    </w:p>
    <w:p>
      <w:pPr>
        <w:snapToGrid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（3）法定代表人及其授权代表的身份证（复印件）………………………………（页码）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sz w:val="24"/>
          <w:highlight w:val="none"/>
        </w:rPr>
        <w:t>上一年度资产负债表等财务报表资料文件(新成立的公司，提供情况说明)</w:t>
      </w:r>
      <w:r>
        <w:rPr>
          <w:rFonts w:hint="eastAsia" w:ascii="仿宋_GB2312" w:hAnsi="仿宋" w:eastAsia="仿宋_GB2312" w:cs="仿宋_GB2312"/>
          <w:color w:val="auto"/>
          <w:kern w:val="0"/>
          <w:sz w:val="24"/>
          <w:highlight w:val="none"/>
        </w:rPr>
        <w:t>（页码）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（5）具有履行合同所必需的设备和专业技术能力的承诺函………………………（页码）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（6）参加政府采购活动前三年内，在经营活动中没有重大违法记录的声明</w:t>
      </w:r>
      <w:r>
        <w:rPr>
          <w:rFonts w:hint="eastAsia" w:ascii="仿宋_GB2312" w:hAnsi="仿宋" w:eastAsia="仿宋_GB2312" w:cs="仿宋_GB2312"/>
          <w:color w:val="auto"/>
          <w:kern w:val="0"/>
          <w:sz w:val="24"/>
          <w:highlight w:val="none"/>
        </w:rPr>
        <w:t xml:space="preserve"> …（页码）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（7）具有良好商业信誉特别声明</w:t>
      </w:r>
      <w:r>
        <w:rPr>
          <w:rFonts w:hint="eastAsia" w:ascii="仿宋_GB2312" w:hAnsi="仿宋" w:eastAsia="仿宋_GB2312" w:cs="仿宋_GB2312"/>
          <w:color w:val="auto"/>
          <w:kern w:val="0"/>
          <w:sz w:val="24"/>
          <w:highlight w:val="none"/>
        </w:rPr>
        <w:t>……………………………………………………（页码）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（8）</w:t>
      </w:r>
      <w:r>
        <w:rPr>
          <w:rFonts w:hint="eastAsia" w:ascii="仿宋_GB2312" w:hAnsi="仿宋" w:eastAsia="仿宋_GB2312" w:cs="仿宋_GB2312"/>
          <w:color w:val="auto"/>
          <w:sz w:val="24"/>
          <w:highlight w:val="none"/>
        </w:rPr>
        <w:t>符合特定资格条件（如果项目要求）的有关证明材料（复印件）</w:t>
      </w:r>
      <w:r>
        <w:rPr>
          <w:rFonts w:hint="eastAsia" w:ascii="仿宋_GB2312" w:hAnsi="仿宋" w:eastAsia="仿宋_GB2312" w:cs="仿宋_GB2312"/>
          <w:color w:val="auto"/>
          <w:kern w:val="0"/>
          <w:sz w:val="24"/>
          <w:highlight w:val="none"/>
        </w:rPr>
        <w:t>…………（页码）</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（9）</w:t>
      </w:r>
      <w:r>
        <w:rPr>
          <w:rFonts w:hint="eastAsia" w:ascii="仿宋" w:hAnsi="仿宋" w:eastAsia="仿宋" w:cs="仿宋_GB2312"/>
          <w:color w:val="auto"/>
          <w:sz w:val="24"/>
          <w:highlight w:val="none"/>
          <w:lang w:eastAsia="zh-CN"/>
        </w:rPr>
        <w:t>政府采购供应商廉洁自律承诺书</w:t>
      </w:r>
      <w:r>
        <w:rPr>
          <w:rFonts w:hint="eastAsia" w:ascii="仿宋" w:hAnsi="仿宋" w:eastAsia="仿宋" w:cs="仿宋_GB2312"/>
          <w:color w:val="auto"/>
          <w:kern w:val="0"/>
          <w:sz w:val="24"/>
          <w:highlight w:val="none"/>
        </w:rPr>
        <w:t>………………………………………………（页码）（</w:t>
      </w:r>
      <w:r>
        <w:rPr>
          <w:rFonts w:hint="eastAsia" w:ascii="仿宋" w:hAnsi="仿宋" w:eastAsia="仿宋" w:cs="仿宋_GB2312"/>
          <w:color w:val="auto"/>
          <w:kern w:val="0"/>
          <w:sz w:val="24"/>
          <w:highlight w:val="none"/>
          <w:lang w:val="en-US" w:eastAsia="zh-CN"/>
        </w:rPr>
        <w:t>10</w:t>
      </w:r>
      <w:r>
        <w:rPr>
          <w:rFonts w:hint="eastAsia" w:ascii="仿宋" w:hAnsi="仿宋" w:eastAsia="仿宋" w:cs="仿宋_GB2312"/>
          <w:color w:val="auto"/>
          <w:kern w:val="0"/>
          <w:sz w:val="24"/>
          <w:highlight w:val="none"/>
        </w:rPr>
        <w:t>）</w:t>
      </w:r>
      <w:r>
        <w:rPr>
          <w:rFonts w:hint="eastAsia" w:ascii="仿宋" w:hAnsi="仿宋" w:eastAsia="仿宋" w:cs="仿宋_GB2312"/>
          <w:color w:val="auto"/>
          <w:sz w:val="24"/>
          <w:highlight w:val="none"/>
          <w:lang w:eastAsia="zh-CN"/>
        </w:rPr>
        <w:t>中小企业声明函</w:t>
      </w:r>
      <w:r>
        <w:rPr>
          <w:rFonts w:hint="eastAsia" w:ascii="仿宋" w:hAnsi="仿宋" w:eastAsia="仿宋" w:cs="仿宋_GB2312"/>
          <w:color w:val="auto"/>
          <w:kern w:val="0"/>
          <w:sz w:val="24"/>
          <w:highlight w:val="none"/>
        </w:rPr>
        <w:t>………………………………………………………………（页码）</w:t>
      </w:r>
    </w:p>
    <w:p>
      <w:pPr>
        <w:snapToGrid w:val="0"/>
        <w:spacing w:line="360" w:lineRule="auto"/>
        <w:rPr>
          <w:rFonts w:ascii="仿宋" w:hAnsi="仿宋" w:eastAsia="仿宋" w:cs="仿宋_GB2312"/>
          <w:color w:val="auto"/>
          <w:kern w:val="0"/>
          <w:sz w:val="24"/>
          <w:highlight w:val="none"/>
        </w:rPr>
      </w:pPr>
    </w:p>
    <w:p>
      <w:pPr>
        <w:pStyle w:val="2"/>
        <w:rPr>
          <w:color w:val="auto"/>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snapToGrid w:val="0"/>
        <w:spacing w:line="360" w:lineRule="auto"/>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 w:hAnsi="仿宋" w:eastAsia="仿宋" w:cs="仿宋_GB2312"/>
          <w:color w:val="auto"/>
          <w:sz w:val="24"/>
          <w:highlight w:val="none"/>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_GB2312" w:hAnsi="仿宋" w:eastAsia="仿宋_GB2312"/>
          <w:color w:val="auto"/>
          <w:sz w:val="24"/>
          <w:highlight w:val="none"/>
        </w:rPr>
        <w:t>营业执照复印件；</w:t>
      </w:r>
      <w:r>
        <w:rPr>
          <w:rFonts w:hint="eastAsia" w:ascii="仿宋_GB2312" w:hAnsi="仿宋" w:eastAsia="仿宋_GB2312" w:cs="仿宋_GB2312"/>
          <w:b/>
          <w:color w:val="auto"/>
          <w:kern w:val="0"/>
          <w:sz w:val="24"/>
          <w:highlight w:val="none"/>
        </w:rPr>
        <w:t>（以联合体形式进行政府采购的，参加联合体的供应商均应当提供）</w:t>
      </w:r>
    </w:p>
    <w:p>
      <w:pPr>
        <w:spacing w:line="360" w:lineRule="auto"/>
        <w:jc w:val="center"/>
        <w:rPr>
          <w:rFonts w:ascii="仿宋_GB2312" w:hAnsi="仿宋" w:eastAsia="仿宋_GB2312" w:cs="仿宋_GB2312"/>
          <w:b/>
          <w:color w:val="auto"/>
          <w:sz w:val="30"/>
          <w:szCs w:val="30"/>
          <w:highlight w:val="none"/>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  年  月   日</w:t>
      </w:r>
    </w:p>
    <w:p>
      <w:pPr>
        <w:spacing w:line="360" w:lineRule="auto"/>
        <w:jc w:val="center"/>
        <w:rPr>
          <w:rFonts w:ascii="仿宋_GB2312" w:hAnsi="仿宋" w:eastAsia="仿宋_GB2312" w:cs="仿宋_GB2312"/>
          <w:b/>
          <w:color w:val="auto"/>
          <w:sz w:val="30"/>
          <w:szCs w:val="30"/>
          <w:highlight w:val="none"/>
        </w:rPr>
      </w:pPr>
    </w:p>
    <w:p>
      <w:pPr>
        <w:snapToGrid w:val="0"/>
        <w:spacing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二、授权书</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杭州市生态环境局临安分局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杭州市建设工程管理集团有限公司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兹委派我公司</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先生/女士(其在本公司的职务是：</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 ，联系电话：</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)，代表我公司全权处理</w:t>
      </w:r>
      <w:r>
        <w:rPr>
          <w:rFonts w:hint="eastAsia" w:ascii="仿宋_GB2312" w:hAnsi="仿宋_GB2312" w:eastAsia="仿宋_GB2312" w:cs="仿宋_GB2312"/>
          <w:color w:val="auto"/>
          <w:sz w:val="24"/>
          <w:highlight w:val="none"/>
        </w:rPr>
        <w:t>项目名称：</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】政府采购投标的一切事项，若中标则全权代表本公司签订相关合同，并负责处理合同履行等事宜。</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本授权书有效期：自   年 月  日起至  年  月  日止。</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特此告知。</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法定代表人（签章）：</w:t>
      </w:r>
    </w:p>
    <w:p>
      <w:pPr>
        <w:snapToGrid w:val="0"/>
        <w:spacing w:line="360" w:lineRule="auto"/>
        <w:ind w:right="240"/>
        <w:jc w:val="righ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签发日期：  年  月   日</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snapToGrid w:val="0"/>
        <w:spacing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 xml:space="preserve"> 联合体投标授权书（适用联合体投标）</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兹委派</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公司</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先生/女士(其在该公司的职务是：</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 ，联系电话：</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公司</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先生/女士(其在该公司的职务是：</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 ，联系电话：</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)；……，代表本联合体全权处理</w:t>
      </w:r>
      <w:r>
        <w:rPr>
          <w:rFonts w:hint="eastAsia" w:ascii="仿宋_GB2312" w:hAnsi="仿宋_GB2312" w:eastAsia="仿宋_GB2312" w:cs="仿宋_GB2312"/>
          <w:color w:val="auto"/>
          <w:sz w:val="24"/>
          <w:highlight w:val="none"/>
        </w:rPr>
        <w:t>项目名称：</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】政府采购投标的一切事项，若中标则全权代表本联合体签订相关合同，并负责处理合同履行等事宜。</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本授权书有效期：自   年 月  日起至  年  月  日止。</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特此告知。</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单位：            （电子签名）         单位：          （电子签名）</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             日期：    年   月   日</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w:t>
      </w:r>
    </w:p>
    <w:p>
      <w:pPr>
        <w:spacing w:line="360" w:lineRule="auto"/>
        <w:rPr>
          <w:rFonts w:ascii="仿宋_GB2312" w:hAnsi="仿宋" w:eastAsia="仿宋_GB2312" w:cs="仿宋_GB2312"/>
          <w:color w:val="auto"/>
          <w:sz w:val="28"/>
          <w:szCs w:val="28"/>
          <w:highlight w:val="none"/>
        </w:rPr>
      </w:pPr>
    </w:p>
    <w:p>
      <w:pPr>
        <w:spacing w:line="360" w:lineRule="auto"/>
        <w:rPr>
          <w:rFonts w:ascii="仿宋_GB2312" w:hAnsi="仿宋" w:eastAsia="仿宋_GB2312" w:cs="仿宋_GB2312"/>
          <w:color w:val="auto"/>
          <w:sz w:val="28"/>
          <w:szCs w:val="28"/>
          <w:highlight w:val="none"/>
        </w:rPr>
      </w:pP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b/>
          <w:bCs/>
          <w:color w:val="auto"/>
          <w:sz w:val="30"/>
          <w:szCs w:val="30"/>
          <w:highlight w:val="none"/>
        </w:rPr>
        <w:br w:type="page"/>
      </w:r>
      <w:r>
        <w:rPr>
          <w:rFonts w:hint="eastAsia" w:ascii="仿宋_GB2312" w:hAnsi="仿宋" w:eastAsia="仿宋_GB2312" w:cs="仿宋_GB2312"/>
          <w:b/>
          <w:bCs/>
          <w:color w:val="auto"/>
          <w:sz w:val="30"/>
          <w:szCs w:val="30"/>
          <w:highlight w:val="none"/>
        </w:rPr>
        <w:t>三、</w:t>
      </w:r>
      <w:r>
        <w:rPr>
          <w:rFonts w:hint="eastAsia" w:ascii="仿宋_GB2312" w:hAnsi="仿宋" w:eastAsia="仿宋_GB2312" w:cs="仿宋_GB2312"/>
          <w:b/>
          <w:color w:val="auto"/>
          <w:sz w:val="30"/>
          <w:szCs w:val="30"/>
          <w:highlight w:val="none"/>
        </w:rPr>
        <w:t>法定代表人及其授权代表的身份证（复印件）</w:t>
      </w:r>
    </w:p>
    <w:p>
      <w:pPr>
        <w:pStyle w:val="34"/>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法定代表人身份证件扫描件：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4"/>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                                 反面：</w:t>
            </w:r>
          </w:p>
          <w:p>
            <w:pPr>
              <w:pStyle w:val="34"/>
              <w:spacing w:line="360" w:lineRule="auto"/>
              <w:rPr>
                <w:rFonts w:ascii="仿宋_GB2312" w:hAnsi="仿宋" w:eastAsia="仿宋_GB2312"/>
                <w:bCs/>
                <w:color w:val="auto"/>
                <w:sz w:val="24"/>
                <w:highlight w:val="none"/>
              </w:rPr>
            </w:pPr>
          </w:p>
        </w:tc>
      </w:tr>
    </w:tbl>
    <w:p>
      <w:pPr>
        <w:pStyle w:val="34"/>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授权代表身份证件扫描件：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4"/>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                                 反面：</w:t>
            </w:r>
          </w:p>
          <w:p>
            <w:pPr>
              <w:pStyle w:val="34"/>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投标人名称(电子签名)：                              </w:t>
      </w:r>
    </w:p>
    <w:p>
      <w:pPr>
        <w:spacing w:line="360" w:lineRule="auto"/>
        <w:jc w:val="center"/>
        <w:rPr>
          <w:rFonts w:hint="default"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zh-CN"/>
        </w:rPr>
        <w:t xml:space="preserve">                   日期：  年  月</w:t>
      </w:r>
      <w:r>
        <w:rPr>
          <w:rFonts w:hint="eastAsia" w:ascii="仿宋_GB2312" w:hAnsi="仿宋" w:eastAsia="仿宋_GB2312" w:cs="仿宋_GB2312"/>
          <w:color w:val="auto"/>
          <w:kern w:val="0"/>
          <w:sz w:val="24"/>
          <w:highlight w:val="none"/>
          <w:lang w:val="en-US" w:eastAsia="zh-CN"/>
        </w:rPr>
        <w:t xml:space="preserve">  日</w:t>
      </w: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spacing w:line="360" w:lineRule="auto"/>
        <w:rPr>
          <w:rFonts w:ascii="仿宋_GB2312" w:hAnsi="仿宋" w:eastAsia="仿宋_GB2312" w:cs="仿宋_GB2312"/>
          <w:b/>
          <w:color w:val="auto"/>
          <w:sz w:val="30"/>
          <w:szCs w:val="30"/>
          <w:highlight w:val="none"/>
        </w:rPr>
      </w:pPr>
      <w:r>
        <w:rPr>
          <w:rFonts w:hint="eastAsia" w:ascii="仿宋_GB2312" w:hAnsi="仿宋" w:eastAsia="仿宋_GB2312" w:cs="仿宋_GB2312"/>
          <w:b/>
          <w:color w:val="auto"/>
          <w:sz w:val="30"/>
          <w:szCs w:val="30"/>
          <w:highlight w:val="none"/>
        </w:rPr>
        <w:t>四、上一年度资产负债表等财务报表资料文件（复印件）</w:t>
      </w:r>
    </w:p>
    <w:p>
      <w:pPr>
        <w:spacing w:line="360" w:lineRule="auto"/>
        <w:rPr>
          <w:rFonts w:ascii="仿宋_GB2312" w:hAnsi="仿宋" w:eastAsia="仿宋_GB2312" w:cs="仿宋_GB2312"/>
          <w:b/>
          <w:color w:val="auto"/>
          <w:sz w:val="30"/>
          <w:szCs w:val="30"/>
          <w:highlight w:val="none"/>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投标人名称(电子签名)：                              </w:t>
      </w:r>
    </w:p>
    <w:p>
      <w:pPr>
        <w:snapToGrid w:val="0"/>
        <w:spacing w:line="360" w:lineRule="auto"/>
        <w:ind w:right="480"/>
        <w:jc w:val="center"/>
        <w:rPr>
          <w:rFonts w:hint="default"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zh-CN"/>
        </w:rPr>
        <w:t xml:space="preserve">                   日期：  年  月</w:t>
      </w:r>
      <w:r>
        <w:rPr>
          <w:rFonts w:hint="eastAsia" w:ascii="仿宋_GB2312" w:hAnsi="仿宋" w:eastAsia="仿宋_GB2312" w:cs="仿宋_GB2312"/>
          <w:color w:val="auto"/>
          <w:kern w:val="0"/>
          <w:sz w:val="24"/>
          <w:highlight w:val="none"/>
          <w:lang w:val="en-US" w:eastAsia="zh-CN"/>
        </w:rPr>
        <w:t xml:space="preserve">  日</w:t>
      </w:r>
    </w:p>
    <w:p>
      <w:pPr>
        <w:snapToGrid w:val="0"/>
        <w:spacing w:line="360" w:lineRule="auto"/>
        <w:ind w:right="480"/>
        <w:jc w:val="center"/>
        <w:rPr>
          <w:rFonts w:ascii="仿宋_GB2312" w:hAnsi="仿宋" w:eastAsia="仿宋_GB2312" w:cs="仿宋_GB2312"/>
          <w:b/>
          <w:color w:val="auto"/>
          <w:kern w:val="0"/>
          <w:sz w:val="32"/>
          <w:szCs w:val="32"/>
          <w:highlight w:val="none"/>
          <w:lang w:val="zh-CN"/>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五、具有履行合同所必需的设备和专业技术能力的承诺函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杭州市生态环境局临安分局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杭州市建设工程管理集团有限公司</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我方郑重承诺，我方具有履行</w:t>
      </w:r>
      <w:r>
        <w:rPr>
          <w:rFonts w:hint="eastAsia" w:ascii="仿宋_GB2312" w:hAnsi="仿宋_GB2312" w:eastAsia="仿宋_GB2312" w:cs="仿宋_GB2312"/>
          <w:color w:val="auto"/>
          <w:sz w:val="24"/>
          <w:highlight w:val="none"/>
        </w:rPr>
        <w:t>项目名称：</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sz w:val="24"/>
          <w:highlight w:val="none"/>
        </w:rPr>
        <w:t>合同所必需的设备和专业技术能力。如中标，我方将保证合同顺利履行。</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center"/>
        <w:rPr>
          <w:rFonts w:ascii="仿宋_GB2312" w:hAnsi="仿宋" w:eastAsia="仿宋_GB2312" w:cs="仿宋_GB2312"/>
          <w:b/>
          <w:color w:val="auto"/>
          <w:kern w:val="0"/>
          <w:sz w:val="32"/>
          <w:szCs w:val="32"/>
          <w:highlight w:val="none"/>
        </w:rPr>
      </w:pPr>
    </w:p>
    <w:p>
      <w:pPr>
        <w:spacing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六、参加政府采购活动前三年内，在经营活动中</w:t>
      </w:r>
    </w:p>
    <w:p>
      <w:pPr>
        <w:spacing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没有重大违法记录的声明</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杭州市生态环境局临安分局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杭州市建设工程管理集团有限公司</w:t>
      </w:r>
      <w:r>
        <w:rPr>
          <w:rFonts w:hint="eastAsia" w:ascii="仿宋_GB2312" w:hAnsi="仿宋" w:eastAsia="仿宋_GB2312" w:cs="仿宋_GB2312"/>
          <w:color w:val="auto"/>
          <w:kern w:val="0"/>
          <w:sz w:val="24"/>
          <w:highlight w:val="none"/>
          <w:lang w:val="zh-CN"/>
        </w:rPr>
        <w:t>：</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lang w:val="zh-CN"/>
        </w:rPr>
        <w:t>我方</w:t>
      </w:r>
      <w:r>
        <w:rPr>
          <w:rFonts w:hint="eastAsia" w:ascii="仿宋_GB2312" w:hAnsi="仿宋" w:eastAsia="仿宋_GB2312" w:cs="仿宋_GB2312"/>
          <w:color w:val="auto"/>
          <w:sz w:val="24"/>
          <w:highlight w:val="none"/>
        </w:rPr>
        <w:t>声明投标截止时间前三年，在</w:t>
      </w:r>
      <w:r>
        <w:rPr>
          <w:rFonts w:hint="eastAsia" w:ascii="仿宋_GB2312" w:hAnsi="仿宋" w:eastAsia="仿宋_GB2312" w:cs="仿宋_GB2312"/>
          <w:color w:val="auto"/>
          <w:kern w:val="0"/>
          <w:sz w:val="24"/>
          <w:highlight w:val="none"/>
        </w:rPr>
        <w:t>经营活动中</w:t>
      </w:r>
      <w:r>
        <w:rPr>
          <w:rFonts w:hint="eastAsia" w:ascii="仿宋_GB2312" w:hAnsi="仿宋" w:eastAsia="仿宋_GB2312" w:cs="仿宋_GB2312"/>
          <w:color w:val="auto"/>
          <w:sz w:val="24"/>
          <w:highlight w:val="none"/>
        </w:rPr>
        <w:t xml:space="preserve">没有重大违法记录。 </w:t>
      </w: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snapToGrid w:val="0"/>
        <w:spacing w:line="360" w:lineRule="auto"/>
        <w:ind w:firstLine="1606" w:firstLineChars="500"/>
        <w:rPr>
          <w:rFonts w:ascii="仿宋_GB2312" w:hAnsi="仿宋" w:eastAsia="仿宋_GB2312" w:cs="仿宋_GB2312"/>
          <w:b/>
          <w:color w:val="auto"/>
          <w:kern w:val="0"/>
          <w:sz w:val="32"/>
          <w:szCs w:val="32"/>
          <w:highlight w:val="none"/>
        </w:rPr>
      </w:pPr>
    </w:p>
    <w:p>
      <w:pPr>
        <w:snapToGrid w:val="0"/>
        <w:spacing w:line="360" w:lineRule="auto"/>
        <w:ind w:firstLine="1606" w:firstLineChars="5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七、具有良好商业信誉特别声明</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杭州市生态环境局临安分局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杭州市建设工程管理集团有限公司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48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rPr>
        <w:t>截至投标截止时间，我方具有良好的商业信誉，不存在下列情形（包括但不限于）。否则，我方将承担在资格审查时不被通过的后果。</w:t>
      </w:r>
    </w:p>
    <w:p>
      <w:pPr>
        <w:pStyle w:val="28"/>
        <w:spacing w:before="0"/>
        <w:ind w:firstLine="495" w:firstLineChars="0"/>
        <w:rPr>
          <w:rFonts w:ascii="仿宋_GB2312" w:hAnsi="仿宋" w:eastAsia="仿宋_GB2312"/>
          <w:color w:val="auto"/>
          <w:highlight w:val="none"/>
        </w:rPr>
      </w:pPr>
      <w:r>
        <w:rPr>
          <w:rFonts w:hint="eastAsia" w:ascii="仿宋_GB2312" w:hAnsi="仿宋" w:eastAsia="仿宋_GB2312"/>
          <w:color w:val="auto"/>
          <w:highlight w:val="none"/>
        </w:rPr>
        <w:t>1</w:t>
      </w:r>
      <w:r>
        <w:rPr>
          <w:rFonts w:hint="eastAsia" w:ascii="仿宋_GB2312" w:hAnsi="仿宋" w:eastAsia="仿宋_GB2312" w:cs="仿宋_GB2312"/>
          <w:b/>
          <w:color w:val="auto"/>
          <w:szCs w:val="24"/>
          <w:highlight w:val="none"/>
        </w:rPr>
        <w:t>、</w:t>
      </w:r>
      <w:r>
        <w:rPr>
          <w:rFonts w:hint="eastAsia" w:ascii="仿宋_GB2312" w:hAnsi="仿宋" w:eastAsia="仿宋_GB2312"/>
          <w:color w:val="auto"/>
          <w:highlight w:val="none"/>
        </w:rPr>
        <w:t>按照</w:t>
      </w:r>
      <w:r>
        <w:rPr>
          <w:rFonts w:hint="eastAsia" w:ascii="仿宋_GB2312" w:hAnsi="仿宋" w:eastAsia="仿宋_GB2312"/>
          <w:color w:val="auto"/>
          <w:highlight w:val="none"/>
          <w:lang w:eastAsia="zh-CN"/>
        </w:rPr>
        <w:t>磋商</w:t>
      </w:r>
      <w:r>
        <w:rPr>
          <w:rFonts w:hint="eastAsia" w:ascii="仿宋_GB2312" w:hAnsi="仿宋" w:eastAsia="仿宋_GB2312"/>
          <w:color w:val="auto"/>
          <w:highlight w:val="none"/>
        </w:rPr>
        <w:t>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_GB2312" w:hAnsi="仿宋" w:eastAsia="仿宋_GB2312"/>
          <w:color w:val="auto"/>
          <w:sz w:val="24"/>
          <w:highlight w:val="none"/>
        </w:rPr>
      </w:pPr>
    </w:p>
    <w:p>
      <w:pPr>
        <w:snapToGrid w:val="0"/>
        <w:spacing w:line="360" w:lineRule="auto"/>
        <w:ind w:firstLine="4680" w:firstLineChars="19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center"/>
        <w:rPr>
          <w:rFonts w:ascii="仿宋_GB2312" w:hAnsi="仿宋" w:eastAsia="仿宋_GB2312" w:cs="仿宋_GB2312"/>
          <w:b/>
          <w:color w:val="auto"/>
          <w:sz w:val="30"/>
          <w:szCs w:val="30"/>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八、特定资格条件要求的资质文件（复印件）</w:t>
      </w:r>
    </w:p>
    <w:p>
      <w:pPr>
        <w:widowControl/>
        <w:spacing w:line="360" w:lineRule="auto"/>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w:t>
      </w:r>
      <w:r>
        <w:rPr>
          <w:rFonts w:hint="eastAsia" w:ascii="仿宋_GB2312" w:hAnsi="仿宋" w:eastAsia="仿宋_GB2312" w:cs="仿宋_GB2312"/>
          <w:color w:val="auto"/>
          <w:sz w:val="24"/>
          <w:highlight w:val="none"/>
          <w:lang w:eastAsia="zh-CN"/>
        </w:rPr>
        <w:t>磋商</w:t>
      </w:r>
      <w:r>
        <w:rPr>
          <w:rFonts w:hint="eastAsia" w:ascii="仿宋_GB2312" w:hAnsi="仿宋" w:eastAsia="仿宋_GB2312" w:cs="仿宋_GB2312"/>
          <w:color w:val="auto"/>
          <w:sz w:val="24"/>
          <w:highlight w:val="none"/>
        </w:rPr>
        <w:t>公告合格的投标人应具备的特定资格要求编制；如果本项目没有设置特定资格条件，则不需要提供）</w:t>
      </w:r>
    </w:p>
    <w:p>
      <w:pPr>
        <w:widowControl/>
        <w:spacing w:line="360" w:lineRule="auto"/>
        <w:ind w:firstLine="480" w:firstLineChars="200"/>
        <w:jc w:val="left"/>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firstLine="2891" w:firstLineChars="900"/>
        <w:rPr>
          <w:rFonts w:ascii="仿宋_GB2312" w:hAnsi="仿宋" w:eastAsia="仿宋_GB2312" w:cs="仿宋_GB2312"/>
          <w:b/>
          <w:bCs/>
          <w:color w:val="auto"/>
          <w:sz w:val="32"/>
          <w:szCs w:val="32"/>
          <w:highlight w:val="none"/>
        </w:rPr>
      </w:pPr>
    </w:p>
    <w:p>
      <w:pPr>
        <w:snapToGrid w:val="0"/>
        <w:spacing w:line="360" w:lineRule="auto"/>
        <w:ind w:firstLine="2891" w:firstLineChars="900"/>
        <w:rPr>
          <w:rFonts w:ascii="仿宋_GB2312" w:hAnsi="仿宋" w:eastAsia="仿宋_GB2312" w:cs="仿宋_GB2312"/>
          <w:b/>
          <w:bCs/>
          <w:color w:val="auto"/>
          <w:sz w:val="32"/>
          <w:szCs w:val="32"/>
          <w:highlight w:val="none"/>
        </w:rPr>
      </w:pPr>
    </w:p>
    <w:p>
      <w:pPr>
        <w:snapToGrid w:val="0"/>
        <w:spacing w:line="360" w:lineRule="auto"/>
        <w:ind w:firstLine="2891" w:firstLineChars="900"/>
        <w:rPr>
          <w:rFonts w:ascii="仿宋_GB2312" w:hAnsi="仿宋" w:eastAsia="仿宋_GB2312" w:cs="仿宋_GB2312"/>
          <w:b/>
          <w:bCs/>
          <w:color w:val="auto"/>
          <w:sz w:val="32"/>
          <w:szCs w:val="32"/>
          <w:highlight w:val="none"/>
        </w:rPr>
      </w:pPr>
    </w:p>
    <w:p>
      <w:pPr>
        <w:snapToGrid w:val="0"/>
        <w:spacing w:line="360" w:lineRule="auto"/>
        <w:ind w:firstLine="2891" w:firstLineChars="900"/>
        <w:rPr>
          <w:rFonts w:ascii="仿宋_GB2312" w:hAnsi="仿宋" w:eastAsia="仿宋_GB2312" w:cs="仿宋_GB2312"/>
          <w:b/>
          <w:bCs/>
          <w:color w:val="auto"/>
          <w:sz w:val="32"/>
          <w:szCs w:val="32"/>
          <w:highlight w:val="none"/>
        </w:rPr>
      </w:pPr>
    </w:p>
    <w:p>
      <w:pPr>
        <w:snapToGrid w:val="0"/>
        <w:spacing w:line="360" w:lineRule="auto"/>
        <w:ind w:firstLine="2891" w:firstLineChars="900"/>
        <w:rPr>
          <w:rFonts w:ascii="仿宋_GB2312" w:hAnsi="仿宋" w:eastAsia="仿宋_GB2312" w:cs="仿宋_GB2312"/>
          <w:b/>
          <w:bCs/>
          <w:color w:val="auto"/>
          <w:sz w:val="32"/>
          <w:szCs w:val="32"/>
          <w:highlight w:val="none"/>
        </w:rPr>
      </w:pPr>
    </w:p>
    <w:p>
      <w:pPr>
        <w:snapToGrid w:val="0"/>
        <w:spacing w:line="360" w:lineRule="auto"/>
        <w:ind w:firstLine="2891" w:firstLineChars="900"/>
        <w:rPr>
          <w:rFonts w:ascii="仿宋_GB2312" w:hAnsi="仿宋" w:eastAsia="仿宋_GB2312" w:cs="仿宋_GB2312"/>
          <w:b/>
          <w:bCs/>
          <w:color w:val="auto"/>
          <w:sz w:val="32"/>
          <w:szCs w:val="32"/>
          <w:highlight w:val="none"/>
        </w:rPr>
      </w:pPr>
    </w:p>
    <w:p>
      <w:pPr>
        <w:snapToGrid w:val="0"/>
        <w:spacing w:line="360" w:lineRule="auto"/>
        <w:ind w:firstLine="2891" w:firstLineChars="900"/>
        <w:rPr>
          <w:rFonts w:ascii="仿宋_GB2312" w:hAnsi="仿宋" w:eastAsia="仿宋_GB2312" w:cs="仿宋_GB2312"/>
          <w:b/>
          <w:bCs/>
          <w:color w:val="auto"/>
          <w:sz w:val="32"/>
          <w:szCs w:val="32"/>
          <w:highlight w:val="none"/>
        </w:rPr>
      </w:pPr>
    </w:p>
    <w:p>
      <w:pPr>
        <w:snapToGrid w:val="0"/>
        <w:spacing w:line="360" w:lineRule="auto"/>
        <w:ind w:firstLine="2891" w:firstLineChars="900"/>
        <w:rPr>
          <w:rFonts w:ascii="仿宋_GB2312" w:hAnsi="仿宋" w:eastAsia="仿宋_GB2312" w:cs="仿宋_GB2312"/>
          <w:b/>
          <w:bCs/>
          <w:color w:val="auto"/>
          <w:sz w:val="32"/>
          <w:szCs w:val="32"/>
          <w:highlight w:val="none"/>
        </w:rPr>
      </w:pPr>
    </w:p>
    <w:p>
      <w:pPr>
        <w:snapToGrid w:val="0"/>
        <w:spacing w:line="360" w:lineRule="auto"/>
        <w:ind w:firstLine="2891" w:firstLineChars="900"/>
        <w:rPr>
          <w:rFonts w:ascii="仿宋_GB2312" w:hAnsi="仿宋" w:eastAsia="仿宋_GB2312" w:cs="仿宋_GB2312"/>
          <w:b/>
          <w:bCs/>
          <w:color w:val="auto"/>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 w:hAnsi="仿宋" w:eastAsia="仿宋" w:cs="仿宋_GB2312"/>
          <w:b/>
          <w:color w:val="auto"/>
          <w:sz w:val="32"/>
          <w:szCs w:val="32"/>
          <w:highlight w:val="none"/>
        </w:rPr>
        <w:t>九</w:t>
      </w:r>
      <w:r>
        <w:rPr>
          <w:rFonts w:hint="eastAsia" w:ascii="仿宋" w:hAnsi="仿宋" w:eastAsia="仿宋" w:cs="仿宋_GB2312"/>
          <w:b/>
          <w:color w:val="auto"/>
          <w:sz w:val="30"/>
          <w:szCs w:val="30"/>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autoSpaceDE w:val="0"/>
        <w:autoSpaceDN w:val="0"/>
        <w:spacing w:line="360" w:lineRule="auto"/>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eastAsia="zh-CN"/>
        </w:rPr>
        <w:t>杭州市生态环境局临安分局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杭州市建设工程管理集团有限公司</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napToGrid w:val="0"/>
        <w:spacing w:line="360" w:lineRule="auto"/>
        <w:jc w:val="both"/>
        <w:rPr>
          <w:rFonts w:hint="eastAsia" w:ascii="仿宋_GB2312" w:hAnsi="仿宋" w:eastAsia="仿宋_GB2312" w:cs="仿宋_GB2312"/>
          <w:b/>
          <w:bCs/>
          <w:color w:val="auto"/>
          <w:sz w:val="32"/>
          <w:szCs w:val="32"/>
          <w:highlight w:val="none"/>
        </w:rPr>
      </w:pPr>
    </w:p>
    <w:p>
      <w:pPr>
        <w:snapToGrid w:val="0"/>
        <w:spacing w:line="360" w:lineRule="auto"/>
        <w:jc w:val="both"/>
        <w:rPr>
          <w:rFonts w:hint="eastAsia" w:ascii="仿宋_GB2312" w:hAnsi="仿宋" w:eastAsia="仿宋_GB2312" w:cs="仿宋_GB2312"/>
          <w:b/>
          <w:bCs/>
          <w:color w:val="auto"/>
          <w:sz w:val="32"/>
          <w:szCs w:val="32"/>
          <w:highlight w:val="none"/>
        </w:rPr>
      </w:pPr>
    </w:p>
    <w:p>
      <w:pPr>
        <w:snapToGrid w:val="0"/>
        <w:spacing w:line="360" w:lineRule="auto"/>
        <w:jc w:val="both"/>
        <w:rPr>
          <w:rFonts w:hint="eastAsia" w:ascii="仿宋_GB2312" w:hAnsi="仿宋" w:eastAsia="仿宋_GB2312" w:cs="仿宋_GB2312"/>
          <w:b/>
          <w:bCs/>
          <w:color w:val="auto"/>
          <w:sz w:val="32"/>
          <w:szCs w:val="32"/>
          <w:highlight w:val="none"/>
        </w:rPr>
      </w:pPr>
    </w:p>
    <w:p>
      <w:pPr>
        <w:snapToGrid w:val="0"/>
        <w:spacing w:line="360" w:lineRule="auto"/>
        <w:jc w:val="both"/>
        <w:rPr>
          <w:rFonts w:hint="eastAsia" w:ascii="仿宋_GB2312" w:hAnsi="仿宋" w:eastAsia="仿宋_GB2312" w:cs="仿宋_GB2312"/>
          <w:b/>
          <w:bCs/>
          <w:color w:val="auto"/>
          <w:sz w:val="32"/>
          <w:szCs w:val="32"/>
          <w:highlight w:val="none"/>
        </w:rPr>
      </w:pPr>
    </w:p>
    <w:p>
      <w:pPr>
        <w:snapToGrid w:val="0"/>
        <w:spacing w:line="360" w:lineRule="auto"/>
        <w:jc w:val="both"/>
        <w:rPr>
          <w:rFonts w:hint="eastAsia" w:ascii="仿宋_GB2312" w:hAnsi="仿宋" w:eastAsia="仿宋_GB2312" w:cs="仿宋_GB2312"/>
          <w:b/>
          <w:bCs/>
          <w:color w:val="auto"/>
          <w:sz w:val="32"/>
          <w:szCs w:val="32"/>
          <w:highlight w:val="none"/>
        </w:rPr>
      </w:pPr>
    </w:p>
    <w:p>
      <w:pPr>
        <w:snapToGrid w:val="0"/>
        <w:spacing w:line="360" w:lineRule="auto"/>
        <w:jc w:val="both"/>
        <w:rPr>
          <w:rFonts w:hint="eastAsia" w:ascii="仿宋_GB2312" w:hAnsi="仿宋" w:eastAsia="仿宋_GB2312" w:cs="仿宋_GB2312"/>
          <w:b/>
          <w:bCs/>
          <w:color w:val="auto"/>
          <w:sz w:val="32"/>
          <w:szCs w:val="32"/>
          <w:highlight w:val="none"/>
        </w:rPr>
      </w:pPr>
    </w:p>
    <w:p>
      <w:pPr>
        <w:pStyle w:val="36"/>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b/>
          <w:bCs/>
          <w:color w:val="auto"/>
          <w:sz w:val="32"/>
          <w:szCs w:val="32"/>
          <w:highlight w:val="none"/>
          <w:lang w:eastAsia="zh-CN"/>
        </w:rPr>
        <w:t>十、</w:t>
      </w:r>
      <w:r>
        <w:rPr>
          <w:rFonts w:hint="eastAsia" w:ascii="仿宋_GB2312" w:hAnsi="仿宋" w:eastAsia="仿宋_GB2312" w:cs="仿宋_GB2312"/>
          <w:color w:val="auto"/>
          <w:kern w:val="2"/>
          <w:sz w:val="32"/>
          <w:szCs w:val="32"/>
          <w:highlight w:val="none"/>
        </w:rPr>
        <w:t>中小企业声明函</w:t>
      </w:r>
    </w:p>
    <w:p>
      <w:pPr>
        <w:spacing w:line="360" w:lineRule="auto"/>
        <w:ind w:firstLine="600" w:firstLineChars="2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 xml:space="preserve"> ；制造商为 </w:t>
      </w:r>
      <w:r>
        <w:rPr>
          <w:rFonts w:hint="eastAsia" w:ascii="仿宋_GB2312" w:hAnsi="宋体" w:eastAsia="仿宋_GB2312"/>
          <w:color w:val="auto"/>
          <w:sz w:val="24"/>
          <w:highlight w:val="none"/>
          <w:u w:val="single"/>
        </w:rPr>
        <w:t>（企业名称）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u w:val="single"/>
        </w:rPr>
        <w:t xml:space="preserve">（标的名称） </w:t>
      </w:r>
      <w:r>
        <w:rPr>
          <w:rFonts w:hint="eastAsia" w:ascii="仿宋_GB2312" w:hAnsi="宋体" w:eastAsia="仿宋_GB2312"/>
          <w:color w:val="auto"/>
          <w:sz w:val="24"/>
          <w:highlight w:val="none"/>
        </w:rPr>
        <w:t xml:space="preserve">，属于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 xml:space="preserve"> ；制造商为 </w:t>
      </w:r>
      <w:r>
        <w:rPr>
          <w:rFonts w:hint="eastAsia" w:ascii="仿宋_GB2312" w:hAnsi="宋体" w:eastAsia="仿宋_GB2312"/>
          <w:color w:val="auto"/>
          <w:sz w:val="24"/>
          <w:highlight w:val="none"/>
          <w:u w:val="single"/>
        </w:rPr>
        <w:t>（企业名称）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万元，属于 </w:t>
      </w:r>
      <w:r>
        <w:rPr>
          <w:rFonts w:hint="eastAsia"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rPr>
        <w:t xml:space="preserve"> ；</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04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 xml:space="preserve">名称（ </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5160" w:firstLineChars="2150"/>
        <w:rPr>
          <w:rFonts w:ascii="仿宋_GB2312" w:hAnsi="宋体" w:eastAsia="仿宋_GB2312"/>
          <w:color w:val="auto"/>
          <w:sz w:val="24"/>
          <w:highlight w:val="none"/>
        </w:rPr>
      </w:pPr>
      <w:r>
        <w:rPr>
          <w:rFonts w:hint="eastAsia" w:ascii="仿宋_GB2312" w:hAnsi="宋体" w:eastAsia="仿宋_GB2312"/>
          <w:color w:val="auto"/>
          <w:sz w:val="24"/>
          <w:highlight w:val="none"/>
        </w:rPr>
        <w:t>日 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ind w:firstLine="0"/>
        <w:rPr>
          <w:rFonts w:ascii="仿宋_GB2312" w:hAnsi="仿宋" w:eastAsia="仿宋_GB2312" w:cs="仿宋_GB2312"/>
          <w:color w:val="auto"/>
          <w:sz w:val="36"/>
          <w:szCs w:val="36"/>
          <w:highlight w:val="none"/>
          <w:lang w:val="zh-CN"/>
        </w:rPr>
      </w:pPr>
    </w:p>
    <w:p>
      <w:pPr>
        <w:pStyle w:val="2"/>
        <w:ind w:firstLine="0"/>
        <w:rPr>
          <w:rFonts w:ascii="仿宋_GB2312" w:hAnsi="仿宋" w:eastAsia="仿宋_GB2312" w:cs="仿宋_GB2312"/>
          <w:color w:val="auto"/>
          <w:sz w:val="36"/>
          <w:szCs w:val="36"/>
          <w:highlight w:val="none"/>
          <w:lang w:val="zh-CN"/>
        </w:rPr>
      </w:pPr>
    </w:p>
    <w:p>
      <w:pPr>
        <w:snapToGrid w:val="0"/>
        <w:spacing w:line="360" w:lineRule="auto"/>
        <w:jc w:val="both"/>
        <w:rPr>
          <w:rFonts w:ascii="仿宋_GB2312" w:hAnsi="仿宋" w:eastAsia="仿宋_GB2312" w:cs="仿宋_GB2312"/>
          <w:b/>
          <w:color w:val="auto"/>
          <w:kern w:val="0"/>
          <w:sz w:val="36"/>
          <w:szCs w:val="36"/>
          <w:highlight w:val="none"/>
        </w:rPr>
      </w:pPr>
      <w:r>
        <w:rPr>
          <w:rFonts w:hint="eastAsia" w:ascii="仿宋_GB2312" w:hAnsi="仿宋" w:eastAsia="仿宋_GB2312" w:cs="仿宋_GB2312"/>
          <w:b/>
          <w:bCs/>
          <w:color w:val="auto"/>
          <w:sz w:val="32"/>
          <w:szCs w:val="32"/>
          <w:highlight w:val="none"/>
        </w:rPr>
        <w:br w:type="page"/>
      </w:r>
      <w:r>
        <w:rPr>
          <w:rFonts w:hint="eastAsia" w:ascii="仿宋_GB2312" w:hAnsi="仿宋" w:eastAsia="仿宋_GB2312" w:cs="仿宋_GB2312"/>
          <w:color w:val="auto"/>
          <w:sz w:val="36"/>
          <w:szCs w:val="36"/>
          <w:highlight w:val="none"/>
          <w:lang w:val="zh-CN"/>
        </w:rPr>
        <w:t>▲</w:t>
      </w: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outlineLvl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（1）投标响应函……………………………………………………（页码）</w:t>
      </w:r>
    </w:p>
    <w:p>
      <w:pPr>
        <w:spacing w:line="360" w:lineRule="auto"/>
        <w:outlineLvl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（2）投标（开标）一览表…………………………………………（页码）</w:t>
      </w: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一、投标响应</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杭州市生态环境局临安分局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杭州市建设工程管理集团有限公司</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sz w:val="24"/>
          <w:highlight w:val="none"/>
        </w:rPr>
        <w:t>(投标人全称)授权</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sz w:val="24"/>
          <w:highlight w:val="none"/>
        </w:rPr>
        <w:t>(全权代表姓名)</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sz w:val="24"/>
          <w:highlight w:val="none"/>
        </w:rPr>
        <w:t>(职务、职称)为全权代表，参加贵方组织的</w:t>
      </w:r>
      <w:r>
        <w:rPr>
          <w:rFonts w:hint="eastAsia" w:ascii="仿宋_GB2312" w:hAnsi="仿宋_GB2312" w:eastAsia="仿宋_GB2312" w:cs="仿宋_GB2312"/>
          <w:color w:val="auto"/>
          <w:sz w:val="24"/>
          <w:highlight w:val="none"/>
        </w:rPr>
        <w:t>项目名称：</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1、我方同意在投标人</w:t>
      </w:r>
      <w:r>
        <w:rPr>
          <w:rFonts w:hint="eastAsia" w:ascii="仿宋_GB2312" w:hAnsi="仿宋" w:eastAsia="仿宋_GB2312" w:cs="仿宋_GB2312"/>
          <w:color w:val="auto"/>
          <w:kern w:val="44"/>
          <w:sz w:val="24"/>
          <w:highlight w:val="none"/>
        </w:rPr>
        <w:t>投标人须知</w:t>
      </w:r>
      <w:r>
        <w:rPr>
          <w:rFonts w:hint="eastAsia" w:ascii="仿宋_GB2312" w:hAnsi="仿宋" w:eastAsia="仿宋_GB2312" w:cs="仿宋_GB2312"/>
          <w:color w:val="auto"/>
          <w:sz w:val="24"/>
          <w:highlight w:val="none"/>
        </w:rPr>
        <w:t>规定的开标日期起遵守本</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中的承诺且在投标有效期满之前均具有约束力。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2、我方承诺已经具备《中华人民共和国政府采购法》中规定的参加政府采购活动的供应商应当具备的条件：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(1)具有独立承担民事责任的能力；</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(2)遵守国家法律、行政法规，具有良好的信誉和商业道德；</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(3)具有履行合同的能力和良好的履行合同记录；</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(4)良好的资金、财务状况；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(5)产品及生产所需装备符合中国政府规定的相应技术标准和环保标准；</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(6)没有违反政府采购法规、政策的记录；</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(7)没有发生重大经济纠纷和走私犯罪记录。</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3、我方中标后拟在中标后将</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工作分包，分包承担主体是</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，我方承诺分包承担主体具备相应资质条件</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，且不再次分包。（不再将工作进行分包或本项目不允许分包的，下划线处填写“/”。）</w:t>
      </w:r>
    </w:p>
    <w:p>
      <w:pPr>
        <w:pStyle w:val="1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4、提供</w:t>
      </w:r>
      <w:r>
        <w:rPr>
          <w:rFonts w:hint="eastAsia" w:ascii="仿宋_GB2312" w:hAnsi="仿宋" w:eastAsia="仿宋_GB2312" w:cs="仿宋_GB2312"/>
          <w:color w:val="auto"/>
          <w:kern w:val="44"/>
          <w:sz w:val="24"/>
          <w:highlight w:val="none"/>
        </w:rPr>
        <w:t>投标人须知</w:t>
      </w:r>
      <w:r>
        <w:rPr>
          <w:rFonts w:hint="eastAsia" w:ascii="仿宋_GB2312" w:hAnsi="仿宋" w:eastAsia="仿宋_GB2312" w:cs="仿宋_GB2312"/>
          <w:color w:val="auto"/>
          <w:sz w:val="24"/>
          <w:highlight w:val="none"/>
        </w:rPr>
        <w:t>规定的全部</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kern w:val="44"/>
          <w:sz w:val="24"/>
          <w:highlight w:val="none"/>
        </w:rPr>
        <w:t>。</w:t>
      </w:r>
      <w:r>
        <w:rPr>
          <w:rFonts w:hint="eastAsia" w:ascii="仿宋_GB2312" w:hAnsi="仿宋" w:eastAsia="仿宋_GB2312" w:cs="仿宋_GB2312"/>
          <w:color w:val="auto"/>
          <w:sz w:val="24"/>
          <w:highlight w:val="none"/>
        </w:rPr>
        <w:t>具体内容为：</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lang w:eastAsia="zh-CN"/>
        </w:rPr>
        <w:t>开标一览表（报价表）</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(2)投标</w:t>
      </w:r>
      <w:r>
        <w:rPr>
          <w:rFonts w:hint="eastAsia" w:ascii="仿宋_GB2312" w:hAnsi="仿宋" w:eastAsia="仿宋_GB2312" w:cs="仿宋_GB2312"/>
          <w:color w:val="auto"/>
          <w:kern w:val="0"/>
          <w:sz w:val="24"/>
          <w:highlight w:val="none"/>
          <w:lang w:val="zh-CN"/>
        </w:rPr>
        <w:t>技术文件和</w:t>
      </w:r>
      <w:r>
        <w:rPr>
          <w:rFonts w:hint="eastAsia" w:ascii="仿宋_GB2312" w:hAnsi="仿宋" w:eastAsia="仿宋_GB2312" w:cs="仿宋_GB2312"/>
          <w:color w:val="auto"/>
          <w:sz w:val="24"/>
          <w:highlight w:val="none"/>
          <w:lang w:val="zh-CN"/>
        </w:rPr>
        <w:t>商务文件</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r>
        <w:rPr>
          <w:rFonts w:hint="eastAsia" w:ascii="仿宋_GB2312" w:hAnsi="仿宋" w:eastAsia="仿宋_GB2312" w:cs="仿宋_GB2312"/>
          <w:color w:val="auto"/>
          <w:kern w:val="44"/>
          <w:sz w:val="24"/>
          <w:highlight w:val="none"/>
        </w:rPr>
        <w:t>投标人须知</w:t>
      </w:r>
      <w:r>
        <w:rPr>
          <w:rFonts w:hint="eastAsia" w:ascii="仿宋_GB2312" w:hAnsi="仿宋" w:eastAsia="仿宋_GB2312" w:cs="仿宋_GB2312"/>
          <w:color w:val="auto"/>
          <w:sz w:val="24"/>
          <w:highlight w:val="none"/>
        </w:rPr>
        <w:t>要求投标人提交的全部文件；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(4)按</w:t>
      </w:r>
      <w:r>
        <w:rPr>
          <w:rFonts w:hint="eastAsia" w:ascii="仿宋_GB2312" w:hAnsi="仿宋" w:eastAsia="仿宋_GB2312" w:cs="仿宋_GB2312"/>
          <w:color w:val="auto"/>
          <w:sz w:val="24"/>
          <w:highlight w:val="none"/>
          <w:lang w:eastAsia="zh-CN"/>
        </w:rPr>
        <w:t>磋商</w:t>
      </w:r>
      <w:r>
        <w:rPr>
          <w:rFonts w:hint="eastAsia" w:ascii="仿宋_GB2312" w:hAnsi="仿宋" w:eastAsia="仿宋_GB2312" w:cs="仿宋_GB2312"/>
          <w:color w:val="auto"/>
          <w:sz w:val="24"/>
          <w:highlight w:val="none"/>
        </w:rPr>
        <w:t>文件要求提供和交付的货物和服务的投标报价详见</w:t>
      </w:r>
      <w:r>
        <w:rPr>
          <w:rFonts w:hint="eastAsia" w:ascii="仿宋_GB2312" w:hAnsi="仿宋" w:eastAsia="仿宋_GB2312" w:cs="仿宋_GB2312"/>
          <w:color w:val="auto"/>
          <w:sz w:val="24"/>
          <w:highlight w:val="none"/>
          <w:lang w:eastAsia="zh-CN"/>
        </w:rPr>
        <w:t>开标一览表（报价表）</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(5)保证忠实地执行双方所签订的合同，并承担合同规定的责任和义务；</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(6)保证遵守</w:t>
      </w:r>
      <w:r>
        <w:rPr>
          <w:rFonts w:hint="eastAsia" w:ascii="仿宋_GB2312" w:hAnsi="仿宋" w:eastAsia="仿宋_GB2312" w:cs="仿宋_GB2312"/>
          <w:color w:val="auto"/>
          <w:sz w:val="24"/>
          <w:highlight w:val="none"/>
          <w:lang w:eastAsia="zh-CN"/>
        </w:rPr>
        <w:t>磋商</w:t>
      </w:r>
      <w:r>
        <w:rPr>
          <w:rFonts w:hint="eastAsia" w:ascii="仿宋_GB2312" w:hAnsi="仿宋" w:eastAsia="仿宋_GB2312" w:cs="仿宋_GB2312"/>
          <w:color w:val="auto"/>
          <w:sz w:val="24"/>
          <w:highlight w:val="none"/>
        </w:rPr>
        <w:t>文件中的其他有关规定。</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5、我方承诺投标有效期从提交</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的截止之日起</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hint="eastAsia" w:ascii="仿宋_GB2312" w:hAnsi="仿宋" w:eastAsia="仿宋_GB2312" w:cs="仿宋_GB2312"/>
          <w:color w:val="auto"/>
          <w:sz w:val="24"/>
          <w:highlight w:val="none"/>
          <w:lang w:eastAsia="zh-CN"/>
        </w:rPr>
        <w:t>磋商</w:t>
      </w:r>
      <w:r>
        <w:rPr>
          <w:rFonts w:hint="eastAsia" w:ascii="仿宋_GB2312" w:hAnsi="仿宋" w:eastAsia="仿宋_GB2312" w:cs="仿宋_GB2312"/>
          <w:color w:val="auto"/>
          <w:sz w:val="24"/>
          <w:highlight w:val="none"/>
        </w:rPr>
        <w:t>文件中载明的投标有效期（从提交</w:t>
      </w:r>
      <w:r>
        <w:rPr>
          <w:rFonts w:hint="eastAsia" w:ascii="仿宋_GB2312" w:hAnsi="仿宋" w:eastAsia="仿宋_GB2312" w:cs="仿宋_GB2312"/>
          <w:color w:val="auto"/>
          <w:sz w:val="24"/>
          <w:highlight w:val="none"/>
          <w:lang w:eastAsia="zh-CN"/>
        </w:rPr>
        <w:t>响应文件</w:t>
      </w:r>
      <w:r>
        <w:rPr>
          <w:rFonts w:hint="eastAsia" w:ascii="仿宋_GB2312" w:hAnsi="仿宋" w:eastAsia="仿宋_GB2312" w:cs="仿宋_GB2312"/>
          <w:color w:val="auto"/>
          <w:sz w:val="24"/>
          <w:highlight w:val="none"/>
        </w:rPr>
        <w:t>的截止之日起90天）。</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6、我方完全理解贵方不一定要接受最低价的投标。</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8、我方已详细审核全部</w:t>
      </w:r>
      <w:r>
        <w:rPr>
          <w:rFonts w:hint="eastAsia" w:ascii="仿宋_GB2312" w:hAnsi="仿宋" w:eastAsia="仿宋_GB2312" w:cs="仿宋_GB2312"/>
          <w:color w:val="auto"/>
          <w:sz w:val="24"/>
          <w:highlight w:val="none"/>
          <w:lang w:eastAsia="zh-CN"/>
        </w:rPr>
        <w:t>磋商</w:t>
      </w:r>
      <w:r>
        <w:rPr>
          <w:rFonts w:hint="eastAsia" w:ascii="仿宋_GB2312" w:hAnsi="仿宋" w:eastAsia="仿宋_GB2312" w:cs="仿宋_GB2312"/>
          <w:color w:val="auto"/>
          <w:sz w:val="24"/>
          <w:highlight w:val="none"/>
        </w:rPr>
        <w:t>文件，包括</w:t>
      </w:r>
      <w:r>
        <w:rPr>
          <w:rFonts w:hint="eastAsia" w:ascii="仿宋_GB2312" w:hAnsi="仿宋" w:eastAsia="仿宋_GB2312" w:cs="仿宋_GB2312"/>
          <w:color w:val="auto"/>
          <w:sz w:val="24"/>
          <w:highlight w:val="none"/>
          <w:lang w:eastAsia="zh-CN"/>
        </w:rPr>
        <w:t>磋商</w:t>
      </w:r>
      <w:r>
        <w:rPr>
          <w:rFonts w:hint="eastAsia" w:ascii="仿宋_GB2312" w:hAnsi="仿宋" w:eastAsia="仿宋_GB2312" w:cs="仿宋_GB2312"/>
          <w:color w:val="auto"/>
          <w:sz w:val="24"/>
          <w:highlight w:val="none"/>
        </w:rPr>
        <w:t>文件修改书(如果有)、参考资料及有关附件，确认无误。</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a)提供虚假材料谋取中标、成交的；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b)采取不正当手段诋毁、排挤其他供应商的；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c)与采购人、其它供应商或者采购机构恶意串通的；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d)向采购人、采购机构行贿或者提供其他不正当利益的；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e)在招标采购过程中与采购人进行协商谈判的；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f)拒绝有关部门监督检查或提供虚假情况的。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供应商有前款第a)至e)项情形之一的，中标、成交无效。</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投标人名称（电子签名）：                          </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ind w:left="420" w:left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联系人：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联系电话： </w:t>
      </w:r>
      <w:r>
        <w:rPr>
          <w:rFonts w:hint="eastAsia" w:ascii="仿宋_GB2312" w:hAnsi="仿宋" w:eastAsia="仿宋_GB2312" w:cs="仿宋_GB2312"/>
          <w:color w:val="auto"/>
          <w:kern w:val="0"/>
          <w:sz w:val="24"/>
          <w:highlight w:val="none"/>
          <w:u w:val="single"/>
          <w:lang w:val="zh-CN"/>
        </w:rPr>
        <w:t xml:space="preserve">                </w:t>
      </w:r>
    </w:p>
    <w:p>
      <w:pPr>
        <w:snapToGrid w:val="0"/>
        <w:spacing w:line="360" w:lineRule="auto"/>
        <w:ind w:left="420" w:left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联系地址：</w:t>
      </w:r>
      <w:r>
        <w:rPr>
          <w:rFonts w:hint="eastAsia" w:ascii="仿宋_GB2312" w:hAnsi="仿宋" w:eastAsia="仿宋_GB2312" w:cs="仿宋_GB2312"/>
          <w:color w:val="auto"/>
          <w:kern w:val="0"/>
          <w:sz w:val="24"/>
          <w:highlight w:val="none"/>
          <w:u w:val="single"/>
          <w:lang w:val="zh-CN"/>
        </w:rPr>
        <w:t xml:space="preserve">                                                    </w:t>
      </w:r>
    </w:p>
    <w:p>
      <w:pPr>
        <w:snapToGrid w:val="0"/>
        <w:spacing w:line="360" w:lineRule="auto"/>
        <w:ind w:left="420" w:left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邮政编码：</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传真号码：</w:t>
      </w:r>
      <w:r>
        <w:rPr>
          <w:rFonts w:hint="eastAsia" w:ascii="仿宋_GB2312" w:hAnsi="仿宋" w:eastAsia="仿宋_GB2312" w:cs="仿宋_GB2312"/>
          <w:color w:val="auto"/>
          <w:kern w:val="0"/>
          <w:sz w:val="24"/>
          <w:highlight w:val="none"/>
          <w:u w:val="single"/>
          <w:lang w:val="zh-CN"/>
        </w:rPr>
        <w:t xml:space="preserve">                     </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b/>
          <w:color w:val="auto"/>
          <w:kern w:val="0"/>
          <w:sz w:val="24"/>
          <w:highlight w:val="none"/>
          <w:lang w:val="zh-CN"/>
        </w:rPr>
        <w:t>注：未按照本投标响应函要求填报的将被视为非实质性响应投标，从而可能导致该投标被拒绝。</w:t>
      </w: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rPr>
          <w:rFonts w:ascii="仿宋_GB2312" w:hAnsi="仿宋" w:eastAsia="仿宋_GB2312" w:cs="仿宋_GB2312"/>
          <w:color w:val="auto"/>
          <w:sz w:val="32"/>
          <w:szCs w:val="32"/>
          <w:highlight w:val="none"/>
        </w:rPr>
        <w:sectPr>
          <w:headerReference r:id="rId3" w:type="default"/>
          <w:footerReference r:id="rId4" w:type="default"/>
          <w:pgSz w:w="11906" w:h="16838"/>
          <w:pgMar w:top="680" w:right="1417" w:bottom="471" w:left="1417" w:header="851" w:footer="992" w:gutter="0"/>
          <w:pgNumType w:fmt="decimal" w:start="1"/>
          <w:cols w:space="425" w:num="1"/>
          <w:docGrid w:type="lines" w:linePitch="312" w:charSpace="0"/>
        </w:sectPr>
      </w:pPr>
    </w:p>
    <w:p>
      <w:pPr>
        <w:pStyle w:val="3"/>
        <w:rPr>
          <w:color w:val="auto"/>
          <w:highlight w:val="none"/>
        </w:rPr>
      </w:pPr>
    </w:p>
    <w:p>
      <w:pPr>
        <w:pStyle w:val="36"/>
        <w:keepNext w:val="0"/>
        <w:pageBreakBefore w:val="0"/>
        <w:tabs>
          <w:tab w:val="clear" w:pos="720"/>
        </w:tabs>
        <w:snapToGrid w:val="0"/>
        <w:spacing w:before="120" w:after="120"/>
        <w:ind w:firstLine="643"/>
        <w:outlineLvl w:val="9"/>
        <w:rPr>
          <w:rFonts w:hint="eastAsia" w:ascii="仿宋_GB2312" w:hAnsi="仿宋" w:eastAsia="仿宋_GB2312" w:cs="仿宋_GB2312"/>
          <w:color w:val="auto"/>
          <w:kern w:val="2"/>
          <w:sz w:val="32"/>
          <w:szCs w:val="32"/>
          <w:highlight w:val="none"/>
          <w:lang w:eastAsia="zh-CN"/>
        </w:rPr>
      </w:pPr>
      <w:r>
        <w:rPr>
          <w:rFonts w:hint="eastAsia" w:ascii="仿宋_GB2312" w:hAnsi="仿宋" w:eastAsia="仿宋_GB2312" w:cs="仿宋_GB2312"/>
          <w:color w:val="auto"/>
          <w:kern w:val="2"/>
          <w:sz w:val="32"/>
          <w:szCs w:val="32"/>
          <w:highlight w:val="none"/>
        </w:rPr>
        <w:t>二、</w:t>
      </w:r>
      <w:r>
        <w:rPr>
          <w:rFonts w:hint="eastAsia" w:ascii="仿宋_GB2312" w:hAnsi="仿宋" w:eastAsia="仿宋_GB2312" w:cs="仿宋_GB2312"/>
          <w:color w:val="auto"/>
          <w:kern w:val="2"/>
          <w:sz w:val="32"/>
          <w:szCs w:val="32"/>
          <w:highlight w:val="none"/>
          <w:lang w:eastAsia="zh-CN"/>
        </w:rPr>
        <w:t>开标一览表（报价表）</w:t>
      </w:r>
    </w:p>
    <w:p>
      <w:pPr>
        <w:snapToGrid w:val="0"/>
        <w:spacing w:line="360" w:lineRule="auto"/>
        <w:rPr>
          <w:rFonts w:ascii="仿宋_GB2312" w:hAnsi="仿宋" w:eastAsia="仿宋_GB2312" w:cs="仿宋_GB2312"/>
          <w:color w:val="auto"/>
          <w:kern w:val="0"/>
          <w:sz w:val="24"/>
          <w:highlight w:val="none"/>
        </w:rPr>
      </w:pPr>
      <w:bookmarkStart w:id="537" w:name="_Toc86217005"/>
      <w:r>
        <w:rPr>
          <w:rFonts w:hint="eastAsia" w:ascii="仿宋_GB2312" w:hAnsi="仿宋" w:eastAsia="仿宋_GB2312" w:cs="仿宋_GB2312"/>
          <w:color w:val="auto"/>
          <w:sz w:val="24"/>
          <w:highlight w:val="none"/>
          <w:lang w:eastAsia="zh-CN"/>
        </w:rPr>
        <w:t>杭州市生态环境局临安分局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杭州市建设工程管理集团有限公司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按你方磋商文件要求，我们，本响应文件签字方，谨此向你方发出要约如下：如你方接受本投标，我方承诺按照如下开标一览表（报价表）的价格完成</w:t>
      </w:r>
      <w:r>
        <w:rPr>
          <w:rFonts w:hint="eastAsia" w:ascii="仿宋_GB2312" w:hAnsi="仿宋_GB2312" w:eastAsia="仿宋_GB2312" w:cs="仿宋_GB2312"/>
          <w:color w:val="auto"/>
          <w:sz w:val="24"/>
          <w:highlight w:val="none"/>
        </w:rPr>
        <w:t>项目名称：</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开标一览表（报价表）(单位均为人民币元)</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7"/>
        <w:gridCol w:w="1972"/>
        <w:gridCol w:w="791"/>
        <w:gridCol w:w="798"/>
        <w:gridCol w:w="1248"/>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46" w:type="pct"/>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477" w:type="pct"/>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623" w:type="pct"/>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1062" w:type="pct"/>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426" w:type="pct"/>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430" w:type="pct"/>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672" w:type="pct"/>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1062" w:type="pct"/>
            <w:vAlign w:val="center"/>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spacing w:line="360" w:lineRule="auto"/>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477" w:type="pct"/>
            <w:vAlign w:val="center"/>
          </w:tcPr>
          <w:p>
            <w:pPr>
              <w:snapToGrid w:val="0"/>
              <w:spacing w:line="360" w:lineRule="auto"/>
              <w:jc w:val="center"/>
              <w:rPr>
                <w:rFonts w:ascii="仿宋_GB2312" w:hAnsi="仿宋" w:eastAsia="仿宋_GB2312" w:cs="仿宋_GB2312"/>
                <w:color w:val="auto"/>
                <w:sz w:val="24"/>
                <w:highlight w:val="none"/>
              </w:rPr>
            </w:pPr>
          </w:p>
        </w:tc>
        <w:tc>
          <w:tcPr>
            <w:tcW w:w="623" w:type="pct"/>
            <w:vAlign w:val="center"/>
          </w:tcPr>
          <w:p>
            <w:pPr>
              <w:snapToGrid w:val="0"/>
              <w:spacing w:line="360" w:lineRule="auto"/>
              <w:jc w:val="center"/>
              <w:rPr>
                <w:rFonts w:ascii="仿宋_GB2312" w:hAnsi="仿宋" w:eastAsia="仿宋_GB2312" w:cs="仿宋_GB2312"/>
                <w:color w:val="auto"/>
                <w:sz w:val="24"/>
                <w:highlight w:val="none"/>
              </w:rPr>
            </w:pPr>
          </w:p>
        </w:tc>
        <w:tc>
          <w:tcPr>
            <w:tcW w:w="1062" w:type="pct"/>
            <w:vAlign w:val="center"/>
          </w:tcPr>
          <w:p>
            <w:pPr>
              <w:snapToGrid w:val="0"/>
              <w:spacing w:line="360" w:lineRule="auto"/>
              <w:jc w:val="center"/>
              <w:rPr>
                <w:rFonts w:ascii="仿宋_GB2312" w:hAnsi="仿宋" w:eastAsia="仿宋_GB2312" w:cs="仿宋_GB2312"/>
                <w:color w:val="auto"/>
                <w:sz w:val="24"/>
                <w:highlight w:val="none"/>
              </w:rPr>
            </w:pPr>
          </w:p>
        </w:tc>
        <w:tc>
          <w:tcPr>
            <w:tcW w:w="426" w:type="pct"/>
            <w:vAlign w:val="center"/>
          </w:tcPr>
          <w:p>
            <w:pPr>
              <w:snapToGrid w:val="0"/>
              <w:spacing w:line="360" w:lineRule="auto"/>
              <w:jc w:val="center"/>
              <w:rPr>
                <w:rFonts w:ascii="仿宋_GB2312" w:hAnsi="仿宋" w:eastAsia="仿宋_GB2312" w:cs="仿宋_GB2312"/>
                <w:color w:val="auto"/>
                <w:sz w:val="24"/>
                <w:highlight w:val="none"/>
              </w:rPr>
            </w:pPr>
          </w:p>
        </w:tc>
        <w:tc>
          <w:tcPr>
            <w:tcW w:w="430" w:type="pct"/>
            <w:vAlign w:val="center"/>
          </w:tcPr>
          <w:p>
            <w:pPr>
              <w:spacing w:line="360" w:lineRule="auto"/>
              <w:jc w:val="center"/>
              <w:rPr>
                <w:rFonts w:ascii="仿宋_GB2312" w:hAnsi="仿宋" w:eastAsia="仿宋_GB2312" w:cs="仿宋_GB2312"/>
                <w:color w:val="auto"/>
                <w:sz w:val="24"/>
                <w:highlight w:val="none"/>
              </w:rPr>
            </w:pPr>
          </w:p>
        </w:tc>
        <w:tc>
          <w:tcPr>
            <w:tcW w:w="672" w:type="pct"/>
            <w:vAlign w:val="center"/>
          </w:tcPr>
          <w:p>
            <w:pPr>
              <w:spacing w:line="360" w:lineRule="auto"/>
              <w:jc w:val="center"/>
              <w:rPr>
                <w:rFonts w:ascii="仿宋_GB2312" w:hAnsi="仿宋" w:eastAsia="仿宋_GB2312" w:cs="仿宋_GB2312"/>
                <w:color w:val="auto"/>
                <w:sz w:val="24"/>
                <w:highlight w:val="none"/>
              </w:rPr>
            </w:pPr>
          </w:p>
        </w:tc>
        <w:tc>
          <w:tcPr>
            <w:tcW w:w="1062" w:type="pct"/>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477" w:type="pct"/>
            <w:vAlign w:val="center"/>
          </w:tcPr>
          <w:p>
            <w:pPr>
              <w:snapToGrid w:val="0"/>
              <w:spacing w:line="360" w:lineRule="auto"/>
              <w:jc w:val="center"/>
              <w:rPr>
                <w:rFonts w:ascii="仿宋_GB2312" w:hAnsi="仿宋" w:eastAsia="仿宋_GB2312" w:cs="仿宋_GB2312"/>
                <w:color w:val="auto"/>
                <w:sz w:val="24"/>
                <w:highlight w:val="none"/>
              </w:rPr>
            </w:pPr>
          </w:p>
        </w:tc>
        <w:tc>
          <w:tcPr>
            <w:tcW w:w="623" w:type="pct"/>
            <w:vAlign w:val="center"/>
          </w:tcPr>
          <w:p>
            <w:pPr>
              <w:snapToGrid w:val="0"/>
              <w:spacing w:line="360" w:lineRule="auto"/>
              <w:jc w:val="center"/>
              <w:rPr>
                <w:rFonts w:ascii="仿宋_GB2312" w:hAnsi="仿宋" w:eastAsia="仿宋_GB2312" w:cs="仿宋_GB2312"/>
                <w:color w:val="auto"/>
                <w:sz w:val="24"/>
                <w:highlight w:val="none"/>
              </w:rPr>
            </w:pPr>
          </w:p>
        </w:tc>
        <w:tc>
          <w:tcPr>
            <w:tcW w:w="1062" w:type="pct"/>
            <w:vAlign w:val="center"/>
          </w:tcPr>
          <w:p>
            <w:pPr>
              <w:snapToGrid w:val="0"/>
              <w:spacing w:line="360" w:lineRule="auto"/>
              <w:jc w:val="center"/>
              <w:rPr>
                <w:rFonts w:ascii="仿宋_GB2312" w:hAnsi="仿宋" w:eastAsia="仿宋_GB2312" w:cs="仿宋_GB2312"/>
                <w:color w:val="auto"/>
                <w:sz w:val="24"/>
                <w:highlight w:val="none"/>
              </w:rPr>
            </w:pPr>
          </w:p>
        </w:tc>
        <w:tc>
          <w:tcPr>
            <w:tcW w:w="426" w:type="pct"/>
            <w:vAlign w:val="center"/>
          </w:tcPr>
          <w:p>
            <w:pPr>
              <w:snapToGrid w:val="0"/>
              <w:spacing w:line="360" w:lineRule="auto"/>
              <w:jc w:val="center"/>
              <w:rPr>
                <w:rFonts w:ascii="仿宋_GB2312" w:hAnsi="仿宋" w:eastAsia="仿宋_GB2312" w:cs="仿宋_GB2312"/>
                <w:color w:val="auto"/>
                <w:sz w:val="24"/>
                <w:highlight w:val="none"/>
              </w:rPr>
            </w:pPr>
          </w:p>
        </w:tc>
        <w:tc>
          <w:tcPr>
            <w:tcW w:w="430" w:type="pct"/>
            <w:vAlign w:val="center"/>
          </w:tcPr>
          <w:p>
            <w:pPr>
              <w:spacing w:line="360" w:lineRule="auto"/>
              <w:jc w:val="center"/>
              <w:rPr>
                <w:rFonts w:ascii="仿宋_GB2312" w:hAnsi="仿宋" w:eastAsia="仿宋_GB2312" w:cs="仿宋_GB2312"/>
                <w:color w:val="auto"/>
                <w:sz w:val="24"/>
                <w:highlight w:val="none"/>
              </w:rPr>
            </w:pPr>
          </w:p>
        </w:tc>
        <w:tc>
          <w:tcPr>
            <w:tcW w:w="672" w:type="pct"/>
            <w:vAlign w:val="center"/>
          </w:tcPr>
          <w:p>
            <w:pPr>
              <w:spacing w:line="360" w:lineRule="auto"/>
              <w:jc w:val="center"/>
              <w:rPr>
                <w:rFonts w:ascii="仿宋_GB2312" w:hAnsi="仿宋" w:eastAsia="仿宋_GB2312" w:cs="仿宋_GB2312"/>
                <w:color w:val="auto"/>
                <w:sz w:val="24"/>
                <w:highlight w:val="none"/>
              </w:rPr>
            </w:pPr>
          </w:p>
        </w:tc>
        <w:tc>
          <w:tcPr>
            <w:tcW w:w="1062" w:type="pct"/>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477" w:type="pct"/>
            <w:vAlign w:val="center"/>
          </w:tcPr>
          <w:p>
            <w:pPr>
              <w:snapToGrid w:val="0"/>
              <w:spacing w:line="360" w:lineRule="auto"/>
              <w:jc w:val="center"/>
              <w:rPr>
                <w:rFonts w:ascii="仿宋_GB2312" w:hAnsi="仿宋" w:eastAsia="仿宋_GB2312" w:cs="仿宋_GB2312"/>
                <w:color w:val="auto"/>
                <w:sz w:val="24"/>
                <w:highlight w:val="none"/>
              </w:rPr>
            </w:pPr>
          </w:p>
        </w:tc>
        <w:tc>
          <w:tcPr>
            <w:tcW w:w="623" w:type="pct"/>
            <w:vAlign w:val="center"/>
          </w:tcPr>
          <w:p>
            <w:pPr>
              <w:snapToGrid w:val="0"/>
              <w:spacing w:line="360" w:lineRule="auto"/>
              <w:jc w:val="center"/>
              <w:rPr>
                <w:rFonts w:ascii="仿宋_GB2312" w:hAnsi="仿宋" w:eastAsia="仿宋_GB2312" w:cs="仿宋_GB2312"/>
                <w:color w:val="auto"/>
                <w:sz w:val="24"/>
                <w:highlight w:val="none"/>
              </w:rPr>
            </w:pPr>
          </w:p>
        </w:tc>
        <w:tc>
          <w:tcPr>
            <w:tcW w:w="1062" w:type="pct"/>
            <w:vAlign w:val="center"/>
          </w:tcPr>
          <w:p>
            <w:pPr>
              <w:snapToGrid w:val="0"/>
              <w:spacing w:line="360" w:lineRule="auto"/>
              <w:jc w:val="center"/>
              <w:rPr>
                <w:rFonts w:ascii="仿宋_GB2312" w:hAnsi="仿宋" w:eastAsia="仿宋_GB2312" w:cs="仿宋_GB2312"/>
                <w:color w:val="auto"/>
                <w:sz w:val="24"/>
                <w:highlight w:val="none"/>
              </w:rPr>
            </w:pPr>
          </w:p>
        </w:tc>
        <w:tc>
          <w:tcPr>
            <w:tcW w:w="426" w:type="pct"/>
            <w:vAlign w:val="center"/>
          </w:tcPr>
          <w:p>
            <w:pPr>
              <w:snapToGrid w:val="0"/>
              <w:spacing w:line="360" w:lineRule="auto"/>
              <w:jc w:val="center"/>
              <w:rPr>
                <w:rFonts w:ascii="仿宋_GB2312" w:hAnsi="仿宋" w:eastAsia="仿宋_GB2312" w:cs="仿宋_GB2312"/>
                <w:color w:val="auto"/>
                <w:sz w:val="24"/>
                <w:highlight w:val="none"/>
              </w:rPr>
            </w:pPr>
          </w:p>
        </w:tc>
        <w:tc>
          <w:tcPr>
            <w:tcW w:w="430" w:type="pct"/>
            <w:vAlign w:val="center"/>
          </w:tcPr>
          <w:p>
            <w:pPr>
              <w:spacing w:line="360" w:lineRule="auto"/>
              <w:jc w:val="center"/>
              <w:rPr>
                <w:rFonts w:ascii="仿宋_GB2312" w:hAnsi="仿宋" w:eastAsia="仿宋_GB2312" w:cs="仿宋_GB2312"/>
                <w:color w:val="auto"/>
                <w:sz w:val="24"/>
                <w:highlight w:val="none"/>
              </w:rPr>
            </w:pPr>
          </w:p>
        </w:tc>
        <w:tc>
          <w:tcPr>
            <w:tcW w:w="672" w:type="pct"/>
            <w:vAlign w:val="center"/>
          </w:tcPr>
          <w:p>
            <w:pPr>
              <w:spacing w:line="360" w:lineRule="auto"/>
              <w:jc w:val="center"/>
              <w:rPr>
                <w:rFonts w:ascii="仿宋_GB2312" w:hAnsi="仿宋" w:eastAsia="仿宋_GB2312" w:cs="仿宋_GB2312"/>
                <w:color w:val="auto"/>
                <w:sz w:val="24"/>
                <w:highlight w:val="none"/>
              </w:rPr>
            </w:pPr>
          </w:p>
        </w:tc>
        <w:tc>
          <w:tcPr>
            <w:tcW w:w="1062" w:type="pct"/>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08" w:type="pct"/>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2591" w:type="pct"/>
            <w:gridSpan w:val="4"/>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08" w:type="pct"/>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2591" w:type="pct"/>
            <w:gridSpan w:val="4"/>
            <w:vAlign w:val="center"/>
          </w:tcPr>
          <w:p>
            <w:pPr>
              <w:spacing w:line="360" w:lineRule="auto"/>
              <w:jc w:val="center"/>
              <w:rPr>
                <w:rFonts w:ascii="仿宋_GB2312" w:hAnsi="仿宋" w:eastAsia="仿宋_GB2312" w:cs="仿宋_GB2312"/>
                <w:color w:val="auto"/>
                <w:sz w:val="24"/>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1、投标人需按本表格式填写，不得自行更改。</w:t>
      </w:r>
    </w:p>
    <w:p>
      <w:pPr>
        <w:snapToGrid w:val="0"/>
        <w:spacing w:line="360" w:lineRule="auto"/>
        <w:ind w:left="48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2、有关本项目实施所涉及的一切费用（详见前附表）均计入报价。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各项明细费用请按实填写（不得出现“0元”“免费赠送”等形式的无偿报价）。</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5、符合磋商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投标人名称（电子签名）：                          </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日期：  年   月   日</w:t>
      </w:r>
    </w:p>
    <w:bookmarkEnd w:id="537"/>
    <w:p>
      <w:pPr>
        <w:pStyle w:val="2"/>
        <w:ind w:firstLine="0"/>
        <w:rPr>
          <w:rFonts w:ascii="仿宋_GB2312" w:hAnsi="仿宋" w:eastAsia="仿宋_GB2312" w:cs="仿宋_GB2312"/>
          <w:color w:val="auto"/>
          <w:sz w:val="36"/>
          <w:szCs w:val="36"/>
          <w:highlight w:val="none"/>
          <w:lang w:val="zh-CN"/>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color w:val="auto"/>
          <w:sz w:val="36"/>
          <w:szCs w:val="36"/>
          <w:highlight w:val="none"/>
          <w:lang w:val="zh-CN"/>
        </w:rPr>
        <w:t>▲</w:t>
      </w: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目录</w:t>
      </w:r>
    </w:p>
    <w:p>
      <w:pPr>
        <w:pStyle w:val="38"/>
        <w:spacing w:line="360" w:lineRule="auto"/>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（1）营业执照(或事业法人登记证或其他工商等登记证明材料)复印件（投标人为 然人的，提供自然人的身份证明）………………………………………………（页码）</w:t>
      </w:r>
    </w:p>
    <w:p>
      <w:pPr>
        <w:pStyle w:val="38"/>
        <w:spacing w:line="360" w:lineRule="auto"/>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（2）联合体协议</w:t>
      </w:r>
      <w:r>
        <w:rPr>
          <w:rFonts w:hint="eastAsia" w:ascii="仿宋" w:hAnsi="仿宋" w:eastAsia="仿宋" w:cs="仿宋"/>
          <w:i w:val="0"/>
          <w:iCs w:val="0"/>
          <w:color w:val="auto"/>
          <w:highlight w:val="none"/>
          <w:lang w:val="zh-CN"/>
        </w:rPr>
        <w:t>… ………………………</w:t>
      </w:r>
      <w:r>
        <w:rPr>
          <w:rFonts w:hint="eastAsia" w:ascii="仿宋" w:hAnsi="仿宋" w:eastAsia="仿宋" w:cs="仿宋"/>
          <w:i w:val="0"/>
          <w:iCs w:val="0"/>
          <w:color w:val="auto"/>
          <w:highlight w:val="none"/>
        </w:rPr>
        <w:t>……</w:t>
      </w:r>
      <w:r>
        <w:rPr>
          <w:rFonts w:hint="eastAsia" w:ascii="仿宋" w:hAnsi="仿宋" w:eastAsia="仿宋" w:cs="仿宋"/>
          <w:i w:val="0"/>
          <w:iCs w:val="0"/>
          <w:color w:val="auto"/>
          <w:highlight w:val="none"/>
          <w:lang w:val="zh-CN"/>
        </w:rPr>
        <w:t>……………………………</w:t>
      </w:r>
      <w:r>
        <w:rPr>
          <w:rFonts w:hint="eastAsia" w:ascii="仿宋" w:hAnsi="仿宋" w:eastAsia="仿宋" w:cs="仿宋"/>
          <w:i w:val="0"/>
          <w:iCs w:val="0"/>
          <w:color w:val="auto"/>
          <w:highlight w:val="none"/>
        </w:rPr>
        <w:t>（页码）</w:t>
      </w:r>
    </w:p>
    <w:p>
      <w:pPr>
        <w:pStyle w:val="38"/>
        <w:spacing w:line="360" w:lineRule="auto"/>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（3）资信文件复印件（如果要求提供） …………………………………（页码）</w:t>
      </w:r>
    </w:p>
    <w:p>
      <w:pPr>
        <w:pStyle w:val="38"/>
        <w:spacing w:line="360" w:lineRule="auto"/>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（4）</w:t>
      </w:r>
      <w:r>
        <w:rPr>
          <w:rFonts w:hint="eastAsia" w:ascii="仿宋" w:hAnsi="仿宋" w:eastAsia="仿宋" w:cs="仿宋"/>
          <w:i w:val="0"/>
          <w:iCs w:val="0"/>
          <w:color w:val="auto"/>
          <w:highlight w:val="none"/>
          <w:lang w:val="zh-CN"/>
        </w:rPr>
        <w:t>主要业绩证明… ………………</w:t>
      </w:r>
      <w:r>
        <w:rPr>
          <w:rFonts w:hint="eastAsia" w:ascii="仿宋" w:hAnsi="仿宋" w:eastAsia="仿宋" w:cs="仿宋"/>
          <w:i w:val="0"/>
          <w:iCs w:val="0"/>
          <w:color w:val="auto"/>
          <w:highlight w:val="none"/>
        </w:rPr>
        <w:t>……</w:t>
      </w:r>
      <w:r>
        <w:rPr>
          <w:rFonts w:hint="eastAsia" w:ascii="仿宋" w:hAnsi="仿宋" w:eastAsia="仿宋" w:cs="仿宋"/>
          <w:i w:val="0"/>
          <w:iCs w:val="0"/>
          <w:color w:val="auto"/>
          <w:highlight w:val="none"/>
          <w:lang w:val="zh-CN"/>
        </w:rPr>
        <w:t>…………………………………</w:t>
      </w:r>
      <w:r>
        <w:rPr>
          <w:rFonts w:hint="eastAsia" w:ascii="仿宋" w:hAnsi="仿宋" w:eastAsia="仿宋" w:cs="仿宋"/>
          <w:i w:val="0"/>
          <w:iCs w:val="0"/>
          <w:color w:val="auto"/>
          <w:highlight w:val="none"/>
        </w:rPr>
        <w:t>（页码）</w:t>
      </w:r>
    </w:p>
    <w:p>
      <w:pPr>
        <w:pStyle w:val="38"/>
        <w:spacing w:line="360" w:lineRule="auto"/>
        <w:rPr>
          <w:rFonts w:hint="eastAsia" w:ascii="仿宋" w:hAnsi="仿宋" w:eastAsia="仿宋" w:cs="仿宋"/>
          <w:i w:val="0"/>
          <w:iCs w:val="0"/>
          <w:color w:val="auto"/>
          <w:highlight w:val="none"/>
        </w:rPr>
      </w:pPr>
      <w:bookmarkStart w:id="538" w:name="OLE_LINK6"/>
      <w:bookmarkStart w:id="539" w:name="OLE_LINK7"/>
      <w:bookmarkStart w:id="540" w:name="OLE_LINK5"/>
      <w:r>
        <w:rPr>
          <w:rFonts w:hint="eastAsia" w:ascii="仿宋" w:hAnsi="仿宋" w:eastAsia="仿宋" w:cs="仿宋"/>
          <w:i w:val="0"/>
          <w:iCs w:val="0"/>
          <w:color w:val="auto"/>
          <w:highlight w:val="none"/>
        </w:rPr>
        <w:t>（5）其他商务文件或说明</w:t>
      </w:r>
      <w:r>
        <w:rPr>
          <w:rFonts w:hint="eastAsia" w:ascii="仿宋" w:hAnsi="仿宋" w:eastAsia="仿宋" w:cs="仿宋"/>
          <w:i w:val="0"/>
          <w:iCs w:val="0"/>
          <w:color w:val="auto"/>
          <w:highlight w:val="none"/>
          <w:lang w:val="zh-CN"/>
        </w:rPr>
        <w:t xml:space="preserve"> …………</w:t>
      </w:r>
      <w:r>
        <w:rPr>
          <w:rFonts w:hint="eastAsia" w:ascii="仿宋" w:hAnsi="仿宋" w:eastAsia="仿宋" w:cs="仿宋"/>
          <w:i w:val="0"/>
          <w:iCs w:val="0"/>
          <w:color w:val="auto"/>
          <w:highlight w:val="none"/>
        </w:rPr>
        <w:t>……</w:t>
      </w:r>
      <w:r>
        <w:rPr>
          <w:rFonts w:hint="eastAsia" w:ascii="仿宋" w:hAnsi="仿宋" w:eastAsia="仿宋" w:cs="仿宋"/>
          <w:i w:val="0"/>
          <w:iCs w:val="0"/>
          <w:color w:val="auto"/>
          <w:highlight w:val="none"/>
          <w:lang w:val="zh-CN"/>
        </w:rPr>
        <w:t>…………………………………</w:t>
      </w:r>
      <w:r>
        <w:rPr>
          <w:rFonts w:hint="eastAsia" w:ascii="仿宋" w:hAnsi="仿宋" w:eastAsia="仿宋" w:cs="仿宋"/>
          <w:i w:val="0"/>
          <w:iCs w:val="0"/>
          <w:color w:val="auto"/>
          <w:highlight w:val="none"/>
        </w:rPr>
        <w:t>（页码）</w:t>
      </w:r>
      <w:bookmarkEnd w:id="538"/>
      <w:bookmarkEnd w:id="539"/>
    </w:p>
    <w:bookmarkEnd w:id="540"/>
    <w:p>
      <w:pPr>
        <w:spacing w:line="360" w:lineRule="auto"/>
        <w:ind w:firstLine="480" w:firstLineChars="200"/>
        <w:outlineLvl w:val="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（6）技术（服务）方案……………</w:t>
      </w:r>
      <w:r>
        <w:rPr>
          <w:rFonts w:hint="eastAsia" w:ascii="仿宋" w:hAnsi="仿宋" w:eastAsia="仿宋" w:cs="仿宋"/>
          <w:i w:val="0"/>
          <w:iCs w:val="0"/>
          <w:color w:val="auto"/>
          <w:highlight w:val="none"/>
        </w:rPr>
        <w:t>……………</w:t>
      </w:r>
      <w:r>
        <w:rPr>
          <w:rFonts w:hint="eastAsia" w:ascii="仿宋" w:hAnsi="仿宋" w:eastAsia="仿宋" w:cs="仿宋"/>
          <w:i w:val="0"/>
          <w:iCs w:val="0"/>
          <w:color w:val="auto"/>
          <w:kern w:val="0"/>
          <w:sz w:val="24"/>
          <w:highlight w:val="none"/>
        </w:rPr>
        <w:t>……………………………（页码）</w:t>
      </w:r>
    </w:p>
    <w:p>
      <w:pPr>
        <w:spacing w:line="360" w:lineRule="auto"/>
        <w:ind w:firstLine="480" w:firstLineChars="200"/>
        <w:outlineLvl w:val="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（7）技术（服务）偏离说明表………</w:t>
      </w:r>
      <w:r>
        <w:rPr>
          <w:rFonts w:hint="eastAsia" w:ascii="仿宋" w:hAnsi="仿宋" w:eastAsia="仿宋" w:cs="仿宋"/>
          <w:i w:val="0"/>
          <w:iCs w:val="0"/>
          <w:color w:val="auto"/>
          <w:highlight w:val="none"/>
        </w:rPr>
        <w:t>…………</w:t>
      </w:r>
      <w:r>
        <w:rPr>
          <w:rFonts w:hint="eastAsia" w:ascii="仿宋" w:hAnsi="仿宋" w:eastAsia="仿宋" w:cs="仿宋"/>
          <w:i w:val="0"/>
          <w:iCs w:val="0"/>
          <w:color w:val="auto"/>
          <w:kern w:val="0"/>
          <w:sz w:val="24"/>
          <w:highlight w:val="none"/>
        </w:rPr>
        <w:t>……………………………（页码）</w:t>
      </w:r>
    </w:p>
    <w:p>
      <w:pPr>
        <w:spacing w:line="360" w:lineRule="auto"/>
        <w:ind w:firstLine="480" w:firstLineChars="200"/>
        <w:outlineLvl w:val="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（8）组织实施方案……………………</w:t>
      </w:r>
      <w:r>
        <w:rPr>
          <w:rFonts w:hint="eastAsia" w:ascii="仿宋" w:hAnsi="仿宋" w:eastAsia="仿宋" w:cs="仿宋"/>
          <w:i w:val="0"/>
          <w:iCs w:val="0"/>
          <w:color w:val="auto"/>
          <w:highlight w:val="none"/>
        </w:rPr>
        <w:t>………</w:t>
      </w:r>
      <w:r>
        <w:rPr>
          <w:rFonts w:hint="eastAsia" w:ascii="仿宋" w:hAnsi="仿宋" w:eastAsia="仿宋" w:cs="仿宋"/>
          <w:i w:val="0"/>
          <w:iCs w:val="0"/>
          <w:color w:val="auto"/>
          <w:kern w:val="0"/>
          <w:sz w:val="24"/>
          <w:highlight w:val="none"/>
        </w:rPr>
        <w:t>………………………………（页码）</w:t>
      </w:r>
    </w:p>
    <w:p>
      <w:pPr>
        <w:spacing w:line="360" w:lineRule="auto"/>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（9）</w:t>
      </w:r>
      <w:r>
        <w:rPr>
          <w:rFonts w:hint="eastAsia" w:ascii="仿宋" w:hAnsi="仿宋" w:eastAsia="仿宋" w:cs="仿宋"/>
          <w:i w:val="0"/>
          <w:iCs w:val="0"/>
          <w:color w:val="auto"/>
          <w:sz w:val="24"/>
          <w:highlight w:val="none"/>
        </w:rPr>
        <w:t xml:space="preserve">人员投入计划 </w:t>
      </w:r>
      <w:r>
        <w:rPr>
          <w:rFonts w:hint="eastAsia" w:ascii="仿宋" w:hAnsi="仿宋" w:eastAsia="仿宋" w:cs="仿宋"/>
          <w:i w:val="0"/>
          <w:iCs w:val="0"/>
          <w:color w:val="auto"/>
          <w:kern w:val="0"/>
          <w:sz w:val="24"/>
          <w:highlight w:val="none"/>
        </w:rPr>
        <w:t>…………………………………………………………（页码）</w:t>
      </w:r>
    </w:p>
    <w:p>
      <w:pPr>
        <w:spacing w:line="360" w:lineRule="auto"/>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（10）</w:t>
      </w:r>
      <w:r>
        <w:rPr>
          <w:rFonts w:hint="eastAsia" w:ascii="仿宋" w:hAnsi="仿宋" w:eastAsia="仿宋" w:cs="仿宋"/>
          <w:i w:val="0"/>
          <w:iCs w:val="0"/>
          <w:color w:val="auto"/>
          <w:sz w:val="24"/>
          <w:highlight w:val="none"/>
        </w:rPr>
        <w:t xml:space="preserve">材料、设备、工具等投入计划  </w:t>
      </w:r>
      <w:r>
        <w:rPr>
          <w:rFonts w:hint="eastAsia" w:ascii="仿宋" w:hAnsi="仿宋" w:eastAsia="仿宋" w:cs="仿宋"/>
          <w:i w:val="0"/>
          <w:iCs w:val="0"/>
          <w:color w:val="auto"/>
          <w:kern w:val="0"/>
          <w:sz w:val="24"/>
          <w:highlight w:val="none"/>
        </w:rPr>
        <w:t>……………………………………（页码）</w:t>
      </w:r>
    </w:p>
    <w:p>
      <w:pPr>
        <w:spacing w:line="360" w:lineRule="auto"/>
        <w:ind w:firstLine="480" w:firstLineChars="2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（11）</w:t>
      </w:r>
      <w:r>
        <w:rPr>
          <w:rFonts w:hint="eastAsia" w:ascii="仿宋" w:hAnsi="仿宋" w:eastAsia="仿宋" w:cs="仿宋"/>
          <w:i w:val="0"/>
          <w:iCs w:val="0"/>
          <w:snapToGrid w:val="0"/>
          <w:color w:val="auto"/>
          <w:kern w:val="0"/>
          <w:sz w:val="24"/>
          <w:highlight w:val="none"/>
        </w:rPr>
        <w:t xml:space="preserve">投标人的各项服务承诺 </w:t>
      </w:r>
      <w:r>
        <w:rPr>
          <w:rFonts w:hint="eastAsia" w:ascii="仿宋" w:hAnsi="仿宋" w:eastAsia="仿宋" w:cs="仿宋"/>
          <w:i w:val="0"/>
          <w:iCs w:val="0"/>
          <w:color w:val="auto"/>
          <w:kern w:val="0"/>
          <w:sz w:val="24"/>
          <w:highlight w:val="none"/>
          <w:lang w:val="zh-CN"/>
        </w:rPr>
        <w:t>………………</w:t>
      </w:r>
      <w:r>
        <w:rPr>
          <w:rFonts w:hint="eastAsia" w:ascii="仿宋" w:hAnsi="仿宋" w:eastAsia="仿宋" w:cs="仿宋"/>
          <w:i w:val="0"/>
          <w:iCs w:val="0"/>
          <w:color w:val="auto"/>
          <w:highlight w:val="none"/>
        </w:rPr>
        <w:t>……</w:t>
      </w:r>
      <w:r>
        <w:rPr>
          <w:rFonts w:hint="eastAsia" w:ascii="仿宋" w:hAnsi="仿宋" w:eastAsia="仿宋" w:cs="仿宋"/>
          <w:i w:val="0"/>
          <w:iCs w:val="0"/>
          <w:color w:val="auto"/>
          <w:kern w:val="0"/>
          <w:sz w:val="24"/>
          <w:highlight w:val="none"/>
          <w:lang w:val="zh-CN"/>
        </w:rPr>
        <w:t>…………………………</w:t>
      </w:r>
      <w:r>
        <w:rPr>
          <w:rFonts w:hint="eastAsia" w:ascii="仿宋" w:hAnsi="仿宋" w:eastAsia="仿宋" w:cs="仿宋"/>
          <w:i w:val="0"/>
          <w:iCs w:val="0"/>
          <w:color w:val="auto"/>
          <w:kern w:val="0"/>
          <w:sz w:val="24"/>
          <w:highlight w:val="none"/>
        </w:rPr>
        <w:t>（页码）</w:t>
      </w:r>
    </w:p>
    <w:p>
      <w:pPr>
        <w:spacing w:line="360" w:lineRule="auto"/>
        <w:ind w:firstLine="480" w:firstLineChars="200"/>
        <w:rPr>
          <w:rFonts w:hint="eastAsia" w:ascii="仿宋" w:hAnsi="仿宋" w:eastAsia="仿宋" w:cs="仿宋"/>
          <w:b/>
          <w:bCs/>
          <w:i w:val="0"/>
          <w:iCs w:val="0"/>
          <w:color w:val="auto"/>
          <w:kern w:val="0"/>
          <w:sz w:val="24"/>
          <w:highlight w:val="none"/>
        </w:rPr>
      </w:pPr>
      <w:r>
        <w:rPr>
          <w:rFonts w:hint="eastAsia" w:ascii="仿宋" w:hAnsi="仿宋" w:eastAsia="仿宋" w:cs="仿宋"/>
          <w:i w:val="0"/>
          <w:iCs w:val="0"/>
          <w:color w:val="auto"/>
          <w:kern w:val="0"/>
          <w:sz w:val="24"/>
          <w:highlight w:val="none"/>
        </w:rPr>
        <w:t>（12）投标人</w:t>
      </w:r>
      <w:r>
        <w:rPr>
          <w:rFonts w:hint="eastAsia" w:ascii="仿宋" w:hAnsi="仿宋" w:eastAsia="仿宋" w:cs="仿宋"/>
          <w:i w:val="0"/>
          <w:iCs w:val="0"/>
          <w:color w:val="auto"/>
          <w:kern w:val="0"/>
          <w:sz w:val="24"/>
          <w:highlight w:val="none"/>
          <w:lang w:val="zh-CN"/>
        </w:rPr>
        <w:t>认为需要的其他技术文件或说明……………………………</w:t>
      </w:r>
      <w:r>
        <w:rPr>
          <w:rFonts w:hint="eastAsia" w:ascii="仿宋" w:hAnsi="仿宋" w:eastAsia="仿宋" w:cs="仿宋"/>
          <w:i w:val="0"/>
          <w:iCs w:val="0"/>
          <w:color w:val="auto"/>
          <w:kern w:val="0"/>
          <w:sz w:val="24"/>
          <w:highlight w:val="none"/>
        </w:rPr>
        <w:t>（页码）</w:t>
      </w:r>
    </w:p>
    <w:p>
      <w:pPr>
        <w:spacing w:line="360" w:lineRule="auto"/>
        <w:ind w:firstLine="480" w:firstLineChars="200"/>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rPr>
        <w:t>（13）</w:t>
      </w:r>
      <w:r>
        <w:rPr>
          <w:rFonts w:hint="eastAsia" w:ascii="仿宋" w:hAnsi="仿宋" w:eastAsia="仿宋" w:cs="仿宋"/>
          <w:i w:val="0"/>
          <w:iCs w:val="0"/>
          <w:color w:val="auto"/>
          <w:kern w:val="0"/>
          <w:sz w:val="24"/>
          <w:highlight w:val="none"/>
          <w:lang w:val="zh-CN"/>
        </w:rPr>
        <w:t>关于对磋商文件中商务、合同有关条款的拒绝声明…</w:t>
      </w:r>
      <w:r>
        <w:rPr>
          <w:rFonts w:hint="eastAsia" w:ascii="仿宋" w:hAnsi="仿宋" w:eastAsia="仿宋" w:cs="仿宋"/>
          <w:i w:val="0"/>
          <w:iCs w:val="0"/>
          <w:color w:val="auto"/>
          <w:highlight w:val="none"/>
        </w:rPr>
        <w:t>………</w:t>
      </w:r>
      <w:r>
        <w:rPr>
          <w:rFonts w:hint="eastAsia" w:ascii="仿宋" w:hAnsi="仿宋" w:eastAsia="仿宋" w:cs="仿宋"/>
          <w:i w:val="0"/>
          <w:iCs w:val="0"/>
          <w:color w:val="auto"/>
          <w:kern w:val="0"/>
          <w:sz w:val="24"/>
          <w:highlight w:val="none"/>
          <w:lang w:val="zh-CN"/>
        </w:rPr>
        <w:t>…………</w:t>
      </w:r>
      <w:r>
        <w:rPr>
          <w:rFonts w:hint="eastAsia" w:ascii="仿宋" w:hAnsi="仿宋" w:eastAsia="仿宋" w:cs="仿宋"/>
          <w:i w:val="0"/>
          <w:iCs w:val="0"/>
          <w:color w:val="auto"/>
          <w:kern w:val="0"/>
          <w:sz w:val="24"/>
          <w:highlight w:val="none"/>
        </w:rPr>
        <w:t>（页码）</w:t>
      </w:r>
    </w:p>
    <w:p>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注：以上目录是基本格式要求，各投标人可根据自身情况进一步细化。</w:t>
      </w: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both"/>
        <w:rPr>
          <w:rFonts w:ascii="仿宋" w:hAnsi="仿宋" w:eastAsia="仿宋" w:cs="仿宋_GB2312"/>
          <w:b/>
          <w:color w:val="auto"/>
          <w:sz w:val="36"/>
          <w:szCs w:val="36"/>
          <w:highlight w:val="none"/>
        </w:rPr>
      </w:pPr>
    </w:p>
    <w:p>
      <w:pPr>
        <w:pStyle w:val="27"/>
        <w:jc w:val="center"/>
        <w:rPr>
          <w:rFonts w:hint="eastAsia" w:ascii="仿宋" w:hAnsi="仿宋" w:eastAsia="仿宋" w:cs="仿宋_GB2312"/>
          <w:b/>
          <w:color w:val="auto"/>
          <w:sz w:val="36"/>
          <w:szCs w:val="36"/>
          <w:highlight w:val="none"/>
          <w:lang w:eastAsia="zh-CN"/>
        </w:rPr>
      </w:pPr>
      <w:r>
        <w:rPr>
          <w:rFonts w:hint="eastAsia" w:ascii="仿宋" w:hAnsi="仿宋" w:eastAsia="仿宋" w:cs="仿宋_GB2312"/>
          <w:b/>
          <w:color w:val="auto"/>
          <w:sz w:val="36"/>
          <w:szCs w:val="36"/>
          <w:highlight w:val="none"/>
          <w:lang w:eastAsia="zh-CN"/>
        </w:rPr>
        <w:t>评分索引一览表</w:t>
      </w:r>
    </w:p>
    <w:tbl>
      <w:tblPr>
        <w:tblStyle w:val="18"/>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48"/>
        <w:gridCol w:w="1582"/>
        <w:gridCol w:w="818"/>
        <w:gridCol w:w="5236"/>
        <w:gridCol w:w="1100"/>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0" w:hRule="atLeast"/>
          <w:tblHeader/>
          <w:jc w:val="center"/>
        </w:trPr>
        <w:tc>
          <w:tcPr>
            <w:tcW w:w="548" w:type="dxa"/>
            <w:noWrap w:val="0"/>
            <w:vAlign w:val="center"/>
          </w:tcPr>
          <w:p>
            <w:pPr>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582" w:type="dxa"/>
            <w:noWrap w:val="0"/>
            <w:vAlign w:val="center"/>
          </w:tcPr>
          <w:p>
            <w:pPr>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评分项</w:t>
            </w:r>
          </w:p>
        </w:tc>
        <w:tc>
          <w:tcPr>
            <w:tcW w:w="818" w:type="dxa"/>
            <w:noWrap w:val="0"/>
            <w:vAlign w:val="center"/>
          </w:tcPr>
          <w:p>
            <w:pPr>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分值</w:t>
            </w:r>
          </w:p>
        </w:tc>
        <w:tc>
          <w:tcPr>
            <w:tcW w:w="5236" w:type="dxa"/>
            <w:noWrap w:val="0"/>
            <w:vAlign w:val="center"/>
          </w:tcPr>
          <w:p>
            <w:pPr>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评审标准</w:t>
            </w:r>
          </w:p>
        </w:tc>
        <w:tc>
          <w:tcPr>
            <w:tcW w:w="1100" w:type="dxa"/>
            <w:noWrap w:val="0"/>
            <w:vAlign w:val="center"/>
          </w:tcPr>
          <w:p>
            <w:pPr>
              <w:spacing w:line="400" w:lineRule="exact"/>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自评分</w:t>
            </w:r>
          </w:p>
        </w:tc>
        <w:tc>
          <w:tcPr>
            <w:tcW w:w="774" w:type="dxa"/>
            <w:noWrap w:val="0"/>
            <w:vAlign w:val="center"/>
          </w:tcPr>
          <w:p>
            <w:pPr>
              <w:spacing w:line="400" w:lineRule="exact"/>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164" w:hRule="atLeast"/>
          <w:tblHeader/>
          <w:jc w:val="center"/>
        </w:trPr>
        <w:tc>
          <w:tcPr>
            <w:tcW w:w="548" w:type="dxa"/>
            <w:noWrap w:val="0"/>
            <w:vAlign w:val="center"/>
          </w:tcPr>
          <w:p>
            <w:pPr>
              <w:spacing w:line="400" w:lineRule="exact"/>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1582" w:type="dxa"/>
            <w:noWrap w:val="0"/>
            <w:vAlign w:val="center"/>
          </w:tcPr>
          <w:p>
            <w:pPr>
              <w:spacing w:line="400" w:lineRule="exact"/>
              <w:jc w:val="center"/>
              <w:rPr>
                <w:rFonts w:hint="eastAsia" w:ascii="仿宋" w:hAnsi="仿宋" w:eastAsia="仿宋" w:cs="仿宋"/>
                <w:b/>
                <w:bCs/>
                <w:color w:val="auto"/>
                <w:sz w:val="21"/>
                <w:szCs w:val="21"/>
                <w:highlight w:val="none"/>
              </w:rPr>
            </w:pPr>
          </w:p>
        </w:tc>
        <w:tc>
          <w:tcPr>
            <w:tcW w:w="818" w:type="dxa"/>
            <w:noWrap w:val="0"/>
            <w:vAlign w:val="center"/>
          </w:tcPr>
          <w:p>
            <w:pPr>
              <w:spacing w:line="400" w:lineRule="exact"/>
              <w:jc w:val="center"/>
              <w:rPr>
                <w:rFonts w:hint="eastAsia" w:ascii="仿宋" w:hAnsi="仿宋" w:eastAsia="仿宋" w:cs="仿宋"/>
                <w:b/>
                <w:bCs/>
                <w:color w:val="auto"/>
                <w:sz w:val="21"/>
                <w:szCs w:val="21"/>
                <w:highlight w:val="none"/>
              </w:rPr>
            </w:pPr>
          </w:p>
        </w:tc>
        <w:tc>
          <w:tcPr>
            <w:tcW w:w="5236" w:type="dxa"/>
            <w:noWrap w:val="0"/>
            <w:vAlign w:val="center"/>
          </w:tcPr>
          <w:p>
            <w:pPr>
              <w:spacing w:line="400" w:lineRule="exact"/>
              <w:jc w:val="center"/>
              <w:rPr>
                <w:rFonts w:hint="eastAsia" w:ascii="仿宋" w:hAnsi="仿宋" w:eastAsia="仿宋" w:cs="仿宋"/>
                <w:b/>
                <w:bCs/>
                <w:color w:val="auto"/>
                <w:sz w:val="21"/>
                <w:szCs w:val="21"/>
                <w:highlight w:val="none"/>
              </w:rPr>
            </w:pPr>
          </w:p>
        </w:tc>
        <w:tc>
          <w:tcPr>
            <w:tcW w:w="1100" w:type="dxa"/>
            <w:noWrap w:val="0"/>
            <w:vAlign w:val="center"/>
          </w:tcPr>
          <w:p>
            <w:pPr>
              <w:spacing w:line="400" w:lineRule="exact"/>
              <w:jc w:val="center"/>
              <w:rPr>
                <w:rFonts w:hint="eastAsia" w:ascii="仿宋" w:hAnsi="仿宋" w:eastAsia="仿宋" w:cs="仿宋"/>
                <w:b/>
                <w:bCs/>
                <w:color w:val="auto"/>
                <w:sz w:val="21"/>
                <w:szCs w:val="21"/>
                <w:highlight w:val="none"/>
                <w:lang w:val="en-US" w:eastAsia="zh-CN"/>
              </w:rPr>
            </w:pPr>
          </w:p>
        </w:tc>
        <w:tc>
          <w:tcPr>
            <w:tcW w:w="774" w:type="dxa"/>
            <w:noWrap w:val="0"/>
            <w:vAlign w:val="center"/>
          </w:tcPr>
          <w:p>
            <w:pPr>
              <w:spacing w:line="400" w:lineRule="exact"/>
              <w:jc w:val="center"/>
              <w:rPr>
                <w:rFonts w:hint="eastAsia" w:ascii="仿宋" w:hAnsi="仿宋" w:eastAsia="仿宋" w:cs="仿宋"/>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329" w:hRule="atLeast"/>
          <w:tblHeader/>
          <w:jc w:val="center"/>
        </w:trPr>
        <w:tc>
          <w:tcPr>
            <w:tcW w:w="548" w:type="dxa"/>
            <w:noWrap w:val="0"/>
            <w:vAlign w:val="center"/>
          </w:tcPr>
          <w:p>
            <w:pPr>
              <w:spacing w:line="400" w:lineRule="exact"/>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w:t>
            </w:r>
          </w:p>
        </w:tc>
        <w:tc>
          <w:tcPr>
            <w:tcW w:w="1582" w:type="dxa"/>
            <w:noWrap w:val="0"/>
            <w:vAlign w:val="center"/>
          </w:tcPr>
          <w:p>
            <w:pPr>
              <w:spacing w:line="400" w:lineRule="exact"/>
              <w:jc w:val="center"/>
              <w:rPr>
                <w:rFonts w:hint="eastAsia" w:ascii="仿宋" w:hAnsi="仿宋" w:eastAsia="仿宋" w:cs="仿宋"/>
                <w:b/>
                <w:bCs/>
                <w:color w:val="auto"/>
                <w:sz w:val="21"/>
                <w:szCs w:val="21"/>
                <w:highlight w:val="none"/>
              </w:rPr>
            </w:pPr>
          </w:p>
        </w:tc>
        <w:tc>
          <w:tcPr>
            <w:tcW w:w="818" w:type="dxa"/>
            <w:noWrap w:val="0"/>
            <w:vAlign w:val="center"/>
          </w:tcPr>
          <w:p>
            <w:pPr>
              <w:spacing w:line="400" w:lineRule="exact"/>
              <w:jc w:val="center"/>
              <w:rPr>
                <w:rFonts w:hint="eastAsia" w:ascii="仿宋" w:hAnsi="仿宋" w:eastAsia="仿宋" w:cs="仿宋"/>
                <w:b/>
                <w:bCs/>
                <w:color w:val="auto"/>
                <w:sz w:val="21"/>
                <w:szCs w:val="21"/>
                <w:highlight w:val="none"/>
              </w:rPr>
            </w:pPr>
          </w:p>
        </w:tc>
        <w:tc>
          <w:tcPr>
            <w:tcW w:w="5236" w:type="dxa"/>
            <w:noWrap w:val="0"/>
            <w:vAlign w:val="center"/>
          </w:tcPr>
          <w:p>
            <w:pPr>
              <w:spacing w:line="400" w:lineRule="exact"/>
              <w:jc w:val="center"/>
              <w:rPr>
                <w:rFonts w:hint="eastAsia" w:ascii="仿宋" w:hAnsi="仿宋" w:eastAsia="仿宋" w:cs="仿宋"/>
                <w:b/>
                <w:bCs/>
                <w:color w:val="auto"/>
                <w:sz w:val="21"/>
                <w:szCs w:val="21"/>
                <w:highlight w:val="none"/>
              </w:rPr>
            </w:pPr>
          </w:p>
        </w:tc>
        <w:tc>
          <w:tcPr>
            <w:tcW w:w="1100" w:type="dxa"/>
            <w:noWrap w:val="0"/>
            <w:vAlign w:val="center"/>
          </w:tcPr>
          <w:p>
            <w:pPr>
              <w:spacing w:line="400" w:lineRule="exact"/>
              <w:jc w:val="center"/>
              <w:rPr>
                <w:rFonts w:hint="eastAsia" w:ascii="仿宋" w:hAnsi="仿宋" w:eastAsia="仿宋" w:cs="仿宋"/>
                <w:b/>
                <w:bCs/>
                <w:color w:val="auto"/>
                <w:sz w:val="21"/>
                <w:szCs w:val="21"/>
                <w:highlight w:val="none"/>
                <w:lang w:val="en-US" w:eastAsia="zh-CN"/>
              </w:rPr>
            </w:pPr>
          </w:p>
        </w:tc>
        <w:tc>
          <w:tcPr>
            <w:tcW w:w="774" w:type="dxa"/>
            <w:noWrap w:val="0"/>
            <w:vAlign w:val="center"/>
          </w:tcPr>
          <w:p>
            <w:pPr>
              <w:spacing w:line="400" w:lineRule="exact"/>
              <w:jc w:val="center"/>
              <w:rPr>
                <w:rFonts w:hint="eastAsia" w:ascii="仿宋" w:hAnsi="仿宋" w:eastAsia="仿宋" w:cs="仿宋"/>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089" w:hRule="atLeast"/>
          <w:tblHeader/>
          <w:jc w:val="center"/>
        </w:trPr>
        <w:tc>
          <w:tcPr>
            <w:tcW w:w="548" w:type="dxa"/>
            <w:noWrap w:val="0"/>
            <w:vAlign w:val="center"/>
          </w:tcPr>
          <w:p>
            <w:pPr>
              <w:spacing w:line="400" w:lineRule="exact"/>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1582" w:type="dxa"/>
            <w:noWrap w:val="0"/>
            <w:vAlign w:val="center"/>
          </w:tcPr>
          <w:p>
            <w:pPr>
              <w:spacing w:line="400" w:lineRule="exact"/>
              <w:jc w:val="center"/>
              <w:rPr>
                <w:rFonts w:hint="eastAsia" w:ascii="仿宋" w:hAnsi="仿宋" w:eastAsia="仿宋" w:cs="仿宋"/>
                <w:b/>
                <w:bCs/>
                <w:color w:val="auto"/>
                <w:sz w:val="21"/>
                <w:szCs w:val="21"/>
                <w:highlight w:val="none"/>
              </w:rPr>
            </w:pPr>
          </w:p>
        </w:tc>
        <w:tc>
          <w:tcPr>
            <w:tcW w:w="818" w:type="dxa"/>
            <w:noWrap w:val="0"/>
            <w:vAlign w:val="center"/>
          </w:tcPr>
          <w:p>
            <w:pPr>
              <w:spacing w:line="400" w:lineRule="exact"/>
              <w:jc w:val="center"/>
              <w:rPr>
                <w:rFonts w:hint="eastAsia" w:ascii="仿宋" w:hAnsi="仿宋" w:eastAsia="仿宋" w:cs="仿宋"/>
                <w:b/>
                <w:bCs/>
                <w:color w:val="auto"/>
                <w:sz w:val="21"/>
                <w:szCs w:val="21"/>
                <w:highlight w:val="none"/>
              </w:rPr>
            </w:pPr>
          </w:p>
        </w:tc>
        <w:tc>
          <w:tcPr>
            <w:tcW w:w="5236" w:type="dxa"/>
            <w:noWrap w:val="0"/>
            <w:vAlign w:val="center"/>
          </w:tcPr>
          <w:p>
            <w:pPr>
              <w:spacing w:line="400" w:lineRule="exact"/>
              <w:jc w:val="center"/>
              <w:rPr>
                <w:rFonts w:hint="eastAsia" w:ascii="仿宋" w:hAnsi="仿宋" w:eastAsia="仿宋" w:cs="仿宋"/>
                <w:b/>
                <w:bCs/>
                <w:color w:val="auto"/>
                <w:sz w:val="21"/>
                <w:szCs w:val="21"/>
                <w:highlight w:val="none"/>
              </w:rPr>
            </w:pPr>
          </w:p>
        </w:tc>
        <w:tc>
          <w:tcPr>
            <w:tcW w:w="1100" w:type="dxa"/>
            <w:noWrap w:val="0"/>
            <w:vAlign w:val="center"/>
          </w:tcPr>
          <w:p>
            <w:pPr>
              <w:spacing w:line="400" w:lineRule="exact"/>
              <w:jc w:val="center"/>
              <w:rPr>
                <w:rFonts w:hint="eastAsia" w:ascii="仿宋" w:hAnsi="仿宋" w:eastAsia="仿宋" w:cs="仿宋"/>
                <w:b/>
                <w:bCs/>
                <w:color w:val="auto"/>
                <w:sz w:val="21"/>
                <w:szCs w:val="21"/>
                <w:highlight w:val="none"/>
                <w:lang w:val="en-US" w:eastAsia="zh-CN"/>
              </w:rPr>
            </w:pPr>
          </w:p>
        </w:tc>
        <w:tc>
          <w:tcPr>
            <w:tcW w:w="774" w:type="dxa"/>
            <w:noWrap w:val="0"/>
            <w:vAlign w:val="center"/>
          </w:tcPr>
          <w:p>
            <w:pPr>
              <w:spacing w:line="400" w:lineRule="exact"/>
              <w:jc w:val="center"/>
              <w:rPr>
                <w:rFonts w:hint="eastAsia" w:ascii="仿宋" w:hAnsi="仿宋" w:eastAsia="仿宋" w:cs="仿宋"/>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209" w:hRule="atLeast"/>
          <w:tblHeader/>
          <w:jc w:val="center"/>
        </w:trPr>
        <w:tc>
          <w:tcPr>
            <w:tcW w:w="548" w:type="dxa"/>
            <w:noWrap w:val="0"/>
            <w:vAlign w:val="center"/>
          </w:tcPr>
          <w:p>
            <w:pPr>
              <w:spacing w:line="400" w:lineRule="exact"/>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4</w:t>
            </w:r>
          </w:p>
        </w:tc>
        <w:tc>
          <w:tcPr>
            <w:tcW w:w="1582" w:type="dxa"/>
            <w:noWrap w:val="0"/>
            <w:vAlign w:val="center"/>
          </w:tcPr>
          <w:p>
            <w:pPr>
              <w:spacing w:line="400" w:lineRule="exact"/>
              <w:jc w:val="center"/>
              <w:rPr>
                <w:rFonts w:hint="eastAsia" w:ascii="仿宋" w:hAnsi="仿宋" w:eastAsia="仿宋" w:cs="仿宋"/>
                <w:b/>
                <w:bCs/>
                <w:color w:val="auto"/>
                <w:sz w:val="21"/>
                <w:szCs w:val="21"/>
                <w:highlight w:val="none"/>
              </w:rPr>
            </w:pPr>
          </w:p>
        </w:tc>
        <w:tc>
          <w:tcPr>
            <w:tcW w:w="818" w:type="dxa"/>
            <w:noWrap w:val="0"/>
            <w:vAlign w:val="center"/>
          </w:tcPr>
          <w:p>
            <w:pPr>
              <w:spacing w:line="400" w:lineRule="exact"/>
              <w:jc w:val="center"/>
              <w:rPr>
                <w:rFonts w:hint="eastAsia" w:ascii="仿宋" w:hAnsi="仿宋" w:eastAsia="仿宋" w:cs="仿宋"/>
                <w:b/>
                <w:bCs/>
                <w:color w:val="auto"/>
                <w:sz w:val="21"/>
                <w:szCs w:val="21"/>
                <w:highlight w:val="none"/>
              </w:rPr>
            </w:pPr>
          </w:p>
        </w:tc>
        <w:tc>
          <w:tcPr>
            <w:tcW w:w="5236" w:type="dxa"/>
            <w:noWrap w:val="0"/>
            <w:vAlign w:val="center"/>
          </w:tcPr>
          <w:p>
            <w:pPr>
              <w:spacing w:line="400" w:lineRule="exact"/>
              <w:jc w:val="center"/>
              <w:rPr>
                <w:rFonts w:hint="eastAsia" w:ascii="仿宋" w:hAnsi="仿宋" w:eastAsia="仿宋" w:cs="仿宋"/>
                <w:b/>
                <w:bCs/>
                <w:color w:val="auto"/>
                <w:sz w:val="21"/>
                <w:szCs w:val="21"/>
                <w:highlight w:val="none"/>
              </w:rPr>
            </w:pPr>
          </w:p>
        </w:tc>
        <w:tc>
          <w:tcPr>
            <w:tcW w:w="1100" w:type="dxa"/>
            <w:noWrap w:val="0"/>
            <w:vAlign w:val="center"/>
          </w:tcPr>
          <w:p>
            <w:pPr>
              <w:spacing w:line="400" w:lineRule="exact"/>
              <w:jc w:val="center"/>
              <w:rPr>
                <w:rFonts w:hint="eastAsia" w:ascii="仿宋" w:hAnsi="仿宋" w:eastAsia="仿宋" w:cs="仿宋"/>
                <w:b/>
                <w:bCs/>
                <w:color w:val="auto"/>
                <w:sz w:val="21"/>
                <w:szCs w:val="21"/>
                <w:highlight w:val="none"/>
                <w:lang w:val="en-US" w:eastAsia="zh-CN"/>
              </w:rPr>
            </w:pPr>
          </w:p>
        </w:tc>
        <w:tc>
          <w:tcPr>
            <w:tcW w:w="774" w:type="dxa"/>
            <w:noWrap w:val="0"/>
            <w:vAlign w:val="center"/>
          </w:tcPr>
          <w:p>
            <w:pPr>
              <w:spacing w:line="400" w:lineRule="exact"/>
              <w:jc w:val="center"/>
              <w:rPr>
                <w:rFonts w:hint="eastAsia" w:ascii="仿宋" w:hAnsi="仿宋" w:eastAsia="仿宋" w:cs="仿宋"/>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819" w:hRule="atLeast"/>
          <w:tblHeader/>
          <w:jc w:val="center"/>
        </w:trPr>
        <w:tc>
          <w:tcPr>
            <w:tcW w:w="548" w:type="dxa"/>
            <w:noWrap w:val="0"/>
            <w:vAlign w:val="center"/>
          </w:tcPr>
          <w:p>
            <w:pPr>
              <w:spacing w:line="400" w:lineRule="exact"/>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5</w:t>
            </w:r>
          </w:p>
        </w:tc>
        <w:tc>
          <w:tcPr>
            <w:tcW w:w="1582" w:type="dxa"/>
            <w:noWrap w:val="0"/>
            <w:vAlign w:val="center"/>
          </w:tcPr>
          <w:p>
            <w:pPr>
              <w:spacing w:line="400" w:lineRule="exact"/>
              <w:jc w:val="center"/>
              <w:rPr>
                <w:rFonts w:hint="eastAsia" w:ascii="仿宋" w:hAnsi="仿宋" w:eastAsia="仿宋" w:cs="仿宋"/>
                <w:b/>
                <w:bCs/>
                <w:color w:val="auto"/>
                <w:sz w:val="21"/>
                <w:szCs w:val="21"/>
                <w:highlight w:val="none"/>
              </w:rPr>
            </w:pPr>
          </w:p>
        </w:tc>
        <w:tc>
          <w:tcPr>
            <w:tcW w:w="818" w:type="dxa"/>
            <w:noWrap w:val="0"/>
            <w:vAlign w:val="center"/>
          </w:tcPr>
          <w:p>
            <w:pPr>
              <w:spacing w:line="400" w:lineRule="exact"/>
              <w:jc w:val="center"/>
              <w:rPr>
                <w:rFonts w:hint="eastAsia" w:ascii="仿宋" w:hAnsi="仿宋" w:eastAsia="仿宋" w:cs="仿宋"/>
                <w:b/>
                <w:bCs/>
                <w:color w:val="auto"/>
                <w:sz w:val="21"/>
                <w:szCs w:val="21"/>
                <w:highlight w:val="none"/>
              </w:rPr>
            </w:pPr>
          </w:p>
        </w:tc>
        <w:tc>
          <w:tcPr>
            <w:tcW w:w="5236" w:type="dxa"/>
            <w:noWrap w:val="0"/>
            <w:vAlign w:val="center"/>
          </w:tcPr>
          <w:p>
            <w:pPr>
              <w:spacing w:line="400" w:lineRule="exact"/>
              <w:jc w:val="center"/>
              <w:rPr>
                <w:rFonts w:hint="eastAsia" w:ascii="仿宋" w:hAnsi="仿宋" w:eastAsia="仿宋" w:cs="仿宋"/>
                <w:b/>
                <w:bCs/>
                <w:color w:val="auto"/>
                <w:sz w:val="21"/>
                <w:szCs w:val="21"/>
                <w:highlight w:val="none"/>
              </w:rPr>
            </w:pPr>
          </w:p>
        </w:tc>
        <w:tc>
          <w:tcPr>
            <w:tcW w:w="1100" w:type="dxa"/>
            <w:noWrap w:val="0"/>
            <w:vAlign w:val="center"/>
          </w:tcPr>
          <w:p>
            <w:pPr>
              <w:spacing w:line="400" w:lineRule="exact"/>
              <w:jc w:val="center"/>
              <w:rPr>
                <w:rFonts w:hint="eastAsia" w:ascii="仿宋" w:hAnsi="仿宋" w:eastAsia="仿宋" w:cs="仿宋"/>
                <w:b/>
                <w:bCs/>
                <w:color w:val="auto"/>
                <w:sz w:val="21"/>
                <w:szCs w:val="21"/>
                <w:highlight w:val="none"/>
                <w:lang w:val="en-US" w:eastAsia="zh-CN"/>
              </w:rPr>
            </w:pPr>
          </w:p>
        </w:tc>
        <w:tc>
          <w:tcPr>
            <w:tcW w:w="774" w:type="dxa"/>
            <w:noWrap w:val="0"/>
            <w:vAlign w:val="center"/>
          </w:tcPr>
          <w:p>
            <w:pPr>
              <w:spacing w:line="400" w:lineRule="exact"/>
              <w:jc w:val="center"/>
              <w:rPr>
                <w:rFonts w:hint="eastAsia" w:ascii="仿宋" w:hAnsi="仿宋" w:eastAsia="仿宋" w:cs="仿宋"/>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819" w:hRule="atLeast"/>
          <w:tblHeader/>
          <w:jc w:val="center"/>
        </w:trPr>
        <w:tc>
          <w:tcPr>
            <w:tcW w:w="548" w:type="dxa"/>
            <w:noWrap w:val="0"/>
            <w:vAlign w:val="center"/>
          </w:tcPr>
          <w:p>
            <w:pPr>
              <w:spacing w:line="400" w:lineRule="exact"/>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t>
            </w:r>
          </w:p>
        </w:tc>
        <w:tc>
          <w:tcPr>
            <w:tcW w:w="1582" w:type="dxa"/>
            <w:noWrap w:val="0"/>
            <w:vAlign w:val="center"/>
          </w:tcPr>
          <w:p>
            <w:pPr>
              <w:spacing w:line="400" w:lineRule="exact"/>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t>
            </w:r>
          </w:p>
        </w:tc>
        <w:tc>
          <w:tcPr>
            <w:tcW w:w="818" w:type="dxa"/>
            <w:noWrap w:val="0"/>
            <w:vAlign w:val="center"/>
          </w:tcPr>
          <w:p>
            <w:pPr>
              <w:spacing w:line="400" w:lineRule="exact"/>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t>
            </w:r>
          </w:p>
        </w:tc>
        <w:tc>
          <w:tcPr>
            <w:tcW w:w="5236" w:type="dxa"/>
            <w:noWrap w:val="0"/>
            <w:vAlign w:val="center"/>
          </w:tcPr>
          <w:p>
            <w:pPr>
              <w:spacing w:line="400" w:lineRule="exact"/>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t>
            </w:r>
          </w:p>
        </w:tc>
        <w:tc>
          <w:tcPr>
            <w:tcW w:w="1100" w:type="dxa"/>
            <w:noWrap w:val="0"/>
            <w:vAlign w:val="center"/>
          </w:tcPr>
          <w:p>
            <w:pPr>
              <w:spacing w:line="400" w:lineRule="exact"/>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t>
            </w:r>
          </w:p>
        </w:tc>
        <w:tc>
          <w:tcPr>
            <w:tcW w:w="774" w:type="dxa"/>
            <w:noWrap w:val="0"/>
            <w:vAlign w:val="center"/>
          </w:tcPr>
          <w:p>
            <w:pPr>
              <w:spacing w:line="400" w:lineRule="exact"/>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t>
            </w:r>
          </w:p>
        </w:tc>
      </w:tr>
    </w:tbl>
    <w:p>
      <w:pPr>
        <w:pStyle w:val="27"/>
        <w:jc w:val="both"/>
        <w:rPr>
          <w:rFonts w:ascii="仿宋" w:hAnsi="仿宋" w:eastAsia="仿宋" w:cs="仿宋_GB2312"/>
          <w:b/>
          <w:color w:val="auto"/>
          <w:sz w:val="36"/>
          <w:szCs w:val="36"/>
          <w:highlight w:val="none"/>
        </w:rPr>
        <w:sectPr>
          <w:pgSz w:w="11906" w:h="16838"/>
          <w:pgMar w:top="680" w:right="1417" w:bottom="471" w:left="1417" w:header="851" w:footer="992" w:gutter="0"/>
          <w:pgNumType w:fmt="decimal"/>
          <w:cols w:space="425" w:num="1"/>
          <w:docGrid w:type="lines" w:linePitch="312" w:charSpace="0"/>
        </w:sectPr>
      </w:pPr>
    </w:p>
    <w:p>
      <w:pPr>
        <w:numPr>
          <w:ilvl w:val="0"/>
          <w:numId w:val="6"/>
        </w:numPr>
        <w:spacing w:line="360" w:lineRule="auto"/>
        <w:jc w:val="center"/>
        <w:rPr>
          <w:rFonts w:hint="eastAsia" w:ascii="仿宋" w:hAnsi="仿宋" w:eastAsia="仿宋" w:cs="仿宋"/>
          <w:b/>
          <w:i w:val="0"/>
          <w:iCs w:val="0"/>
          <w:color w:val="auto"/>
          <w:sz w:val="30"/>
          <w:szCs w:val="30"/>
          <w:highlight w:val="none"/>
        </w:rPr>
      </w:pPr>
      <w:bookmarkStart w:id="541" w:name="_Toc465665161"/>
      <w:r>
        <w:rPr>
          <w:rFonts w:hint="eastAsia" w:ascii="仿宋" w:hAnsi="仿宋" w:eastAsia="仿宋" w:cs="仿宋"/>
          <w:b/>
          <w:i w:val="0"/>
          <w:iCs w:val="0"/>
          <w:color w:val="auto"/>
          <w:sz w:val="30"/>
          <w:szCs w:val="30"/>
          <w:highlight w:val="none"/>
        </w:rPr>
        <w:t>营业执照(或事业法人登记证或其他工商等登记证明材料)复印件（投标人为自然人的，提供自然人的身份证明）</w:t>
      </w:r>
    </w:p>
    <w:p>
      <w:pPr>
        <w:spacing w:line="360" w:lineRule="auto"/>
        <w:ind w:left="720"/>
        <w:rPr>
          <w:rFonts w:hint="eastAsia" w:ascii="仿宋" w:hAnsi="仿宋" w:eastAsia="仿宋" w:cs="仿宋"/>
          <w:b/>
          <w:i w:val="0"/>
          <w:iCs w:val="0"/>
          <w:color w:val="auto"/>
          <w:sz w:val="30"/>
          <w:szCs w:val="30"/>
          <w:highlight w:val="none"/>
        </w:rPr>
      </w:pPr>
    </w:p>
    <w:p>
      <w:pPr>
        <w:snapToGrid w:val="0"/>
        <w:spacing w:line="360" w:lineRule="auto"/>
        <w:jc w:val="right"/>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 xml:space="preserve">投标人名称(电子签章)：                              </w:t>
      </w:r>
    </w:p>
    <w:p>
      <w:pPr>
        <w:snapToGrid w:val="0"/>
        <w:spacing w:line="360" w:lineRule="auto"/>
        <w:ind w:left="720"/>
        <w:jc w:val="right"/>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 xml:space="preserve">                 日期：  年  月 日</w:t>
      </w:r>
    </w:p>
    <w:p>
      <w:pPr>
        <w:snapToGrid w:val="0"/>
        <w:spacing w:line="360" w:lineRule="auto"/>
        <w:ind w:left="720"/>
        <w:jc w:val="right"/>
        <w:rPr>
          <w:rFonts w:hint="eastAsia" w:ascii="仿宋" w:hAnsi="仿宋" w:eastAsia="仿宋" w:cs="仿宋"/>
          <w:i w:val="0"/>
          <w:iCs w:val="0"/>
          <w:color w:val="auto"/>
          <w:kern w:val="0"/>
          <w:sz w:val="24"/>
          <w:highlight w:val="none"/>
          <w:lang w:val="zh-CN"/>
        </w:rPr>
      </w:pPr>
    </w:p>
    <w:p>
      <w:pPr>
        <w:snapToGrid w:val="0"/>
        <w:spacing w:line="360" w:lineRule="auto"/>
        <w:ind w:left="720"/>
        <w:jc w:val="right"/>
        <w:rPr>
          <w:rFonts w:hint="eastAsia" w:ascii="仿宋" w:hAnsi="仿宋" w:eastAsia="仿宋" w:cs="仿宋"/>
          <w:i w:val="0"/>
          <w:iCs w:val="0"/>
          <w:color w:val="auto"/>
          <w:kern w:val="0"/>
          <w:sz w:val="24"/>
          <w:highlight w:val="none"/>
          <w:lang w:val="zh-CN"/>
        </w:rPr>
      </w:pPr>
    </w:p>
    <w:p>
      <w:pPr>
        <w:snapToGrid w:val="0"/>
        <w:spacing w:line="360" w:lineRule="auto"/>
        <w:jc w:val="center"/>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br w:type="page"/>
      </w:r>
      <w:r>
        <w:rPr>
          <w:rFonts w:hint="eastAsia" w:ascii="仿宋" w:hAnsi="仿宋" w:eastAsia="仿宋" w:cs="仿宋"/>
          <w:b/>
          <w:i w:val="0"/>
          <w:iCs w:val="0"/>
          <w:color w:val="auto"/>
          <w:sz w:val="30"/>
          <w:szCs w:val="30"/>
          <w:highlight w:val="none"/>
        </w:rPr>
        <w:t>联合体协议</w:t>
      </w:r>
    </w:p>
    <w:p>
      <w:pPr>
        <w:snapToGrid w:val="0"/>
        <w:spacing w:line="360" w:lineRule="auto"/>
        <w:ind w:firstLine="576"/>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甲方：</w:t>
      </w:r>
    </w:p>
    <w:p>
      <w:pPr>
        <w:snapToGrid w:val="0"/>
        <w:spacing w:line="360" w:lineRule="auto"/>
        <w:ind w:firstLine="576"/>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乙方：</w:t>
      </w:r>
    </w:p>
    <w:p>
      <w:pPr>
        <w:snapToGrid w:val="0"/>
        <w:spacing w:line="360" w:lineRule="auto"/>
        <w:ind w:firstLine="576"/>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w:t>
      </w:r>
    </w:p>
    <w:p>
      <w:pPr>
        <w:snapToGrid w:val="0"/>
        <w:spacing w:line="360" w:lineRule="auto"/>
        <w:ind w:firstLine="576"/>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各方经协商一致，决定组成一个联合体，以一个投标人的身份就</w:t>
      </w:r>
      <w:r>
        <w:rPr>
          <w:rFonts w:hint="eastAsia" w:ascii="仿宋" w:hAnsi="仿宋" w:eastAsia="仿宋" w:cs="仿宋"/>
          <w:i w:val="0"/>
          <w:iCs w:val="0"/>
          <w:color w:val="auto"/>
          <w:sz w:val="24"/>
          <w:highlight w:val="none"/>
        </w:rPr>
        <w:t>********项目</w:t>
      </w:r>
      <w:r>
        <w:rPr>
          <w:rFonts w:hint="eastAsia" w:ascii="仿宋" w:hAnsi="仿宋" w:eastAsia="仿宋" w:cs="仿宋"/>
          <w:i w:val="0"/>
          <w:iCs w:val="0"/>
          <w:color w:val="auto"/>
          <w:kern w:val="0"/>
          <w:sz w:val="24"/>
          <w:highlight w:val="none"/>
          <w:lang w:val="zh-CN"/>
        </w:rPr>
        <w:t>【招标编号：*****】共同投标。</w:t>
      </w:r>
    </w:p>
    <w:p>
      <w:pPr>
        <w:snapToGrid w:val="0"/>
        <w:spacing w:line="360" w:lineRule="auto"/>
        <w:ind w:firstLine="576"/>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一、各方一致决定，</w:t>
      </w:r>
      <w:r>
        <w:rPr>
          <w:rFonts w:hint="eastAsia" w:ascii="仿宋" w:hAnsi="仿宋" w:eastAsia="仿宋" w:cs="仿宋"/>
          <w:i w:val="0"/>
          <w:iCs w:val="0"/>
          <w:color w:val="auto"/>
          <w:sz w:val="24"/>
          <w:highlight w:val="none"/>
        </w:rPr>
        <w:t>指定</w:t>
      </w:r>
      <w:r>
        <w:rPr>
          <w:rFonts w:hint="eastAsia" w:ascii="仿宋" w:hAnsi="仿宋" w:eastAsia="仿宋" w:cs="仿宋"/>
          <w:i w:val="0"/>
          <w:iCs w:val="0"/>
          <w:color w:val="auto"/>
          <w:highlight w:val="none"/>
          <w:u w:val="single"/>
        </w:rPr>
        <w:t xml:space="preserve">   </w:t>
      </w:r>
      <w:r>
        <w:rPr>
          <w:rFonts w:hint="eastAsia" w:ascii="仿宋" w:hAnsi="仿宋" w:eastAsia="仿宋" w:cs="仿宋"/>
          <w:i w:val="0"/>
          <w:iCs w:val="0"/>
          <w:color w:val="auto"/>
          <w:sz w:val="24"/>
          <w:highlight w:val="none"/>
        </w:rPr>
        <w:t>方牵头人，代表所有联合体成员负责投标和合同实施阶段的主办、协调工作</w:t>
      </w:r>
      <w:r>
        <w:rPr>
          <w:rFonts w:hint="eastAsia" w:ascii="仿宋" w:hAnsi="仿宋" w:eastAsia="仿宋" w:cs="仿宋"/>
          <w:i w:val="0"/>
          <w:iCs w:val="0"/>
          <w:color w:val="auto"/>
          <w:kern w:val="0"/>
          <w:sz w:val="24"/>
          <w:highlight w:val="none"/>
          <w:lang w:val="zh-CN"/>
        </w:rPr>
        <w:t>。</w:t>
      </w:r>
    </w:p>
    <w:p>
      <w:pPr>
        <w:snapToGrid w:val="0"/>
        <w:spacing w:line="360" w:lineRule="auto"/>
        <w:ind w:firstLine="576"/>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二、</w:t>
      </w:r>
      <w:r>
        <w:rPr>
          <w:rFonts w:hint="eastAsia" w:ascii="仿宋" w:hAnsi="仿宋" w:eastAsia="仿宋" w:cs="仿宋"/>
          <w:i w:val="0"/>
          <w:iCs w:val="0"/>
          <w:color w:val="auto"/>
          <w:sz w:val="24"/>
          <w:highlight w:val="none"/>
        </w:rPr>
        <w:t>所有联合体成员各方签署授权书，授权书载明的</w:t>
      </w:r>
      <w:r>
        <w:rPr>
          <w:rFonts w:hint="eastAsia" w:ascii="仿宋" w:hAnsi="仿宋" w:eastAsia="仿宋" w:cs="仿宋"/>
          <w:i w:val="0"/>
          <w:iCs w:val="0"/>
          <w:color w:val="auto"/>
          <w:kern w:val="0"/>
          <w:sz w:val="24"/>
          <w:highlight w:val="none"/>
          <w:lang w:val="zh-CN"/>
        </w:rPr>
        <w:t>授权代表根据磋商文件规定及投标内容而对采购人、采购机构所作的任何合法承诺，包括书面澄清及相应等均对联合投标各方产生约束力。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三、本次联合投标中，分工如下：甲方承担的工作和义务为：</w:t>
      </w:r>
      <w:r>
        <w:rPr>
          <w:rFonts w:hint="eastAsia" w:ascii="仿宋" w:hAnsi="仿宋" w:eastAsia="仿宋" w:cs="仿宋"/>
          <w:i w:val="0"/>
          <w:iCs w:val="0"/>
          <w:color w:val="auto"/>
          <w:highlight w:val="none"/>
          <w:u w:val="single"/>
        </w:rPr>
        <w:t xml:space="preserve">             </w:t>
      </w:r>
      <w:r>
        <w:rPr>
          <w:rFonts w:hint="eastAsia" w:ascii="仿宋" w:hAnsi="仿宋" w:eastAsia="仿宋" w:cs="仿宋"/>
          <w:i w:val="0"/>
          <w:iCs w:val="0"/>
          <w:color w:val="auto"/>
          <w:kern w:val="0"/>
          <w:sz w:val="24"/>
          <w:highlight w:val="none"/>
          <w:lang w:val="zh-CN"/>
        </w:rPr>
        <w:t>；乙方承担的工作和义务为：</w:t>
      </w:r>
      <w:r>
        <w:rPr>
          <w:rFonts w:hint="eastAsia" w:ascii="仿宋" w:hAnsi="仿宋" w:eastAsia="仿宋" w:cs="仿宋"/>
          <w:i w:val="0"/>
          <w:iCs w:val="0"/>
          <w:color w:val="auto"/>
          <w:highlight w:val="none"/>
          <w:u w:val="single"/>
        </w:rPr>
        <w:t xml:space="preserve">            </w:t>
      </w:r>
      <w:r>
        <w:rPr>
          <w:rFonts w:hint="eastAsia" w:ascii="仿宋" w:hAnsi="仿宋" w:eastAsia="仿宋" w:cs="仿宋"/>
          <w:i w:val="0"/>
          <w:iCs w:val="0"/>
          <w:color w:val="auto"/>
          <w:kern w:val="0"/>
          <w:sz w:val="24"/>
          <w:highlight w:val="none"/>
          <w:lang w:val="zh-CN"/>
        </w:rPr>
        <w:t xml:space="preserve"> ；……（注：甲乙双方合同份额比例须明确。）</w:t>
      </w:r>
    </w:p>
    <w:p>
      <w:pPr>
        <w:snapToGrid w:val="0"/>
        <w:spacing w:line="360" w:lineRule="auto"/>
        <w:ind w:firstLine="576"/>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四、如果中标，</w:t>
      </w:r>
      <w:r>
        <w:rPr>
          <w:rFonts w:hint="eastAsia" w:ascii="仿宋" w:hAnsi="仿宋" w:eastAsia="仿宋" w:cs="仿宋"/>
          <w:i w:val="0"/>
          <w:iCs w:val="0"/>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五、有关本次联合投标的其他事宜：</w:t>
      </w:r>
    </w:p>
    <w:p>
      <w:pPr>
        <w:snapToGrid w:val="0"/>
        <w:spacing w:line="360" w:lineRule="auto"/>
        <w:ind w:firstLine="576"/>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3、本协议提交采购人、采购机构后，联合体各方不得以任何形式对上述内容进行修改或撤销。</w:t>
      </w:r>
    </w:p>
    <w:p>
      <w:pPr>
        <w:snapToGrid w:val="0"/>
        <w:spacing w:line="360" w:lineRule="auto"/>
        <w:ind w:firstLine="576"/>
        <w:rPr>
          <w:rFonts w:hint="eastAsia" w:ascii="仿宋" w:hAnsi="仿宋" w:eastAsia="仿宋" w:cs="仿宋"/>
          <w:i w:val="0"/>
          <w:iCs w:val="0"/>
          <w:color w:val="auto"/>
          <w:kern w:val="0"/>
          <w:sz w:val="24"/>
          <w:highlight w:val="none"/>
          <w:lang w:val="zh-CN"/>
        </w:rPr>
      </w:pPr>
    </w:p>
    <w:p>
      <w:pPr>
        <w:snapToGrid w:val="0"/>
        <w:spacing w:line="360" w:lineRule="auto"/>
        <w:ind w:firstLine="576"/>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甲方单位：          （电子签章）          乙方单位：        （电子签章）</w:t>
      </w:r>
    </w:p>
    <w:p>
      <w:pPr>
        <w:snapToGrid w:val="0"/>
        <w:spacing w:line="360" w:lineRule="auto"/>
        <w:ind w:firstLine="576"/>
        <w:rPr>
          <w:rFonts w:hint="eastAsia" w:ascii="仿宋" w:hAnsi="仿宋" w:eastAsia="仿宋" w:cs="仿宋"/>
          <w:i w:val="0"/>
          <w:iCs w:val="0"/>
          <w:color w:val="auto"/>
          <w:kern w:val="0"/>
          <w:sz w:val="24"/>
          <w:highlight w:val="none"/>
          <w:lang w:val="zh-CN"/>
        </w:rPr>
        <w:sectPr>
          <w:pgSz w:w="11906" w:h="16838"/>
          <w:pgMar w:top="1247" w:right="1418" w:bottom="1276" w:left="1418" w:header="851" w:footer="992" w:gutter="0"/>
          <w:pgNumType w:fmt="decimal"/>
          <w:cols w:space="720" w:num="1"/>
        </w:sectPr>
      </w:pPr>
      <w:r>
        <w:rPr>
          <w:rFonts w:hint="eastAsia" w:ascii="仿宋" w:hAnsi="仿宋" w:eastAsia="仿宋" w:cs="仿宋"/>
          <w:i w:val="0"/>
          <w:iCs w:val="0"/>
          <w:color w:val="auto"/>
          <w:kern w:val="0"/>
          <w:sz w:val="24"/>
          <w:highlight w:val="none"/>
          <w:lang w:val="zh-CN"/>
        </w:rPr>
        <w:t>日期：    年   月   日                  日期：    年   月   日</w:t>
      </w:r>
    </w:p>
    <w:p>
      <w:pPr>
        <w:spacing w:line="360" w:lineRule="auto"/>
        <w:jc w:val="center"/>
        <w:rPr>
          <w:rFonts w:hint="eastAsia"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三、资信文件复印件（如果要求提供）</w:t>
      </w:r>
    </w:p>
    <w:p>
      <w:pPr>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（由投标人根据采购需求及</w:t>
      </w:r>
      <w:r>
        <w:rPr>
          <w:rFonts w:hint="eastAsia" w:ascii="仿宋" w:hAnsi="仿宋" w:eastAsia="仿宋" w:cs="仿宋"/>
          <w:i w:val="0"/>
          <w:iCs w:val="0"/>
          <w:color w:val="auto"/>
          <w:sz w:val="24"/>
          <w:highlight w:val="none"/>
          <w:lang w:eastAsia="zh-CN"/>
        </w:rPr>
        <w:t>磋商</w:t>
      </w:r>
      <w:r>
        <w:rPr>
          <w:rFonts w:hint="eastAsia" w:ascii="仿宋" w:hAnsi="仿宋" w:eastAsia="仿宋" w:cs="仿宋"/>
          <w:i w:val="0"/>
          <w:iCs w:val="0"/>
          <w:color w:val="auto"/>
          <w:sz w:val="24"/>
          <w:highlight w:val="none"/>
        </w:rPr>
        <w:t>文件要求编制）</w:t>
      </w:r>
    </w:p>
    <w:p>
      <w:pPr>
        <w:spacing w:line="360" w:lineRule="auto"/>
        <w:jc w:val="center"/>
        <w:rPr>
          <w:rFonts w:hint="eastAsia" w:ascii="仿宋" w:hAnsi="仿宋" w:eastAsia="仿宋" w:cs="仿宋"/>
          <w:b/>
          <w:bCs/>
          <w:i w:val="0"/>
          <w:iCs w:val="0"/>
          <w:color w:val="auto"/>
          <w:sz w:val="32"/>
          <w:szCs w:val="32"/>
          <w:highlight w:val="none"/>
        </w:rPr>
      </w:pPr>
    </w:p>
    <w:p>
      <w:pPr>
        <w:snapToGrid w:val="0"/>
        <w:spacing w:line="360" w:lineRule="auto"/>
        <w:ind w:firstLine="576"/>
        <w:jc w:val="center"/>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 xml:space="preserve">              投标人名称(电子签章)：                              </w:t>
      </w:r>
    </w:p>
    <w:p>
      <w:pPr>
        <w:spacing w:line="360" w:lineRule="auto"/>
        <w:jc w:val="center"/>
        <w:rPr>
          <w:rFonts w:hint="eastAsia" w:ascii="仿宋" w:hAnsi="仿宋" w:eastAsia="仿宋" w:cs="仿宋"/>
          <w:b/>
          <w:bCs/>
          <w:i w:val="0"/>
          <w:iCs w:val="0"/>
          <w:color w:val="auto"/>
          <w:sz w:val="32"/>
          <w:szCs w:val="32"/>
          <w:highlight w:val="none"/>
        </w:rPr>
      </w:pPr>
      <w:r>
        <w:rPr>
          <w:rFonts w:hint="eastAsia" w:ascii="仿宋" w:hAnsi="仿宋" w:eastAsia="仿宋" w:cs="仿宋"/>
          <w:i w:val="0"/>
          <w:iCs w:val="0"/>
          <w:color w:val="auto"/>
          <w:kern w:val="0"/>
          <w:sz w:val="24"/>
          <w:highlight w:val="none"/>
          <w:lang w:val="zh-CN"/>
        </w:rPr>
        <w:t xml:space="preserve">                   日期：  年  月 日</w:t>
      </w:r>
    </w:p>
    <w:p>
      <w:pPr>
        <w:spacing w:line="360" w:lineRule="auto"/>
        <w:jc w:val="center"/>
        <w:rPr>
          <w:rFonts w:hint="eastAsia" w:ascii="仿宋" w:hAnsi="仿宋" w:eastAsia="仿宋" w:cs="仿宋"/>
          <w:b/>
          <w:bCs/>
          <w:i w:val="0"/>
          <w:iCs w:val="0"/>
          <w:color w:val="auto"/>
          <w:sz w:val="32"/>
          <w:szCs w:val="32"/>
          <w:highlight w:val="none"/>
        </w:rPr>
      </w:pPr>
    </w:p>
    <w:p>
      <w:pPr>
        <w:spacing w:line="360" w:lineRule="auto"/>
        <w:jc w:val="center"/>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z w:val="32"/>
          <w:szCs w:val="32"/>
          <w:highlight w:val="none"/>
        </w:rPr>
        <w:t>四、</w:t>
      </w:r>
      <w:r>
        <w:rPr>
          <w:rFonts w:hint="eastAsia" w:ascii="仿宋" w:hAnsi="仿宋" w:eastAsia="仿宋" w:cs="仿宋"/>
          <w:b/>
          <w:i w:val="0"/>
          <w:iCs w:val="0"/>
          <w:color w:val="auto"/>
          <w:kern w:val="0"/>
          <w:sz w:val="32"/>
          <w:szCs w:val="32"/>
          <w:highlight w:val="none"/>
          <w:lang w:val="zh-CN"/>
        </w:rPr>
        <w:t>主要业绩证明</w:t>
      </w:r>
    </w:p>
    <w:p>
      <w:pPr>
        <w:autoSpaceDE w:val="0"/>
        <w:autoSpaceDN w:val="0"/>
        <w:spacing w:line="360" w:lineRule="auto"/>
        <w:ind w:firstLine="4560" w:firstLineChars="1900"/>
        <w:rPr>
          <w:rFonts w:hint="eastAsia" w:ascii="仿宋" w:hAnsi="仿宋" w:eastAsia="仿宋" w:cs="仿宋"/>
          <w:i w:val="0"/>
          <w:iCs w:val="0"/>
          <w:color w:val="auto"/>
          <w:kern w:val="0"/>
          <w:sz w:val="24"/>
          <w:highlight w:val="none"/>
        </w:rPr>
      </w:pPr>
    </w:p>
    <w:p>
      <w:pPr>
        <w:autoSpaceDE w:val="0"/>
        <w:autoSpaceDN w:val="0"/>
        <w:spacing w:line="360" w:lineRule="auto"/>
        <w:ind w:firstLine="4560" w:firstLineChars="19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xml:space="preserve">投标人名称（电子签章）：                       </w:t>
      </w:r>
    </w:p>
    <w:p>
      <w:pPr>
        <w:autoSpaceDE w:val="0"/>
        <w:autoSpaceDN w:val="0"/>
        <w:spacing w:line="360" w:lineRule="auto"/>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xml:space="preserve">                                     日期：  年  月   日</w:t>
      </w:r>
    </w:p>
    <w:p>
      <w:pPr>
        <w:spacing w:line="360" w:lineRule="auto"/>
        <w:rPr>
          <w:rFonts w:hint="eastAsia" w:ascii="仿宋" w:hAnsi="仿宋" w:eastAsia="仿宋" w:cs="仿宋"/>
          <w:i w:val="0"/>
          <w:iCs w:val="0"/>
          <w:color w:val="auto"/>
          <w:kern w:val="0"/>
          <w:sz w:val="24"/>
          <w:highlight w:val="none"/>
        </w:rPr>
      </w:pPr>
    </w:p>
    <w:p>
      <w:pPr>
        <w:spacing w:line="360" w:lineRule="auto"/>
        <w:rPr>
          <w:rFonts w:hint="eastAsia" w:ascii="仿宋" w:hAnsi="仿宋" w:eastAsia="仿宋" w:cs="仿宋"/>
          <w:i w:val="0"/>
          <w:iCs w:val="0"/>
          <w:color w:val="auto"/>
          <w:kern w:val="0"/>
          <w:sz w:val="24"/>
          <w:highlight w:val="none"/>
        </w:rPr>
      </w:pPr>
    </w:p>
    <w:p>
      <w:pPr>
        <w:spacing w:line="360" w:lineRule="auto"/>
        <w:jc w:val="center"/>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z w:val="32"/>
          <w:szCs w:val="32"/>
          <w:highlight w:val="none"/>
        </w:rPr>
        <w:t>五、</w:t>
      </w:r>
      <w:bookmarkStart w:id="542" w:name="OLE_LINK16"/>
      <w:bookmarkStart w:id="543" w:name="OLE_LINK17"/>
      <w:r>
        <w:rPr>
          <w:rFonts w:hint="eastAsia" w:ascii="仿宋" w:hAnsi="仿宋" w:eastAsia="仿宋" w:cs="仿宋"/>
          <w:b/>
          <w:bCs/>
          <w:i w:val="0"/>
          <w:iCs w:val="0"/>
          <w:color w:val="auto"/>
          <w:sz w:val="32"/>
          <w:szCs w:val="32"/>
          <w:highlight w:val="none"/>
        </w:rPr>
        <w:t>其他商务文件或说明</w:t>
      </w:r>
    </w:p>
    <w:p>
      <w:pPr>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w:t>
      </w:r>
      <w:bookmarkStart w:id="544" w:name="OLE_LINK10"/>
      <w:bookmarkStart w:id="545" w:name="OLE_LINK11"/>
      <w:r>
        <w:rPr>
          <w:rFonts w:hint="eastAsia" w:ascii="仿宋" w:hAnsi="仿宋" w:eastAsia="仿宋" w:cs="仿宋"/>
          <w:i w:val="0"/>
          <w:iCs w:val="0"/>
          <w:color w:val="auto"/>
          <w:sz w:val="24"/>
          <w:highlight w:val="none"/>
        </w:rPr>
        <w:t>其他商务文件或说明由投标人根据采购需求自行编制</w:t>
      </w:r>
      <w:bookmarkEnd w:id="544"/>
      <w:bookmarkEnd w:id="545"/>
      <w:r>
        <w:rPr>
          <w:rFonts w:hint="eastAsia" w:ascii="仿宋" w:hAnsi="仿宋" w:eastAsia="仿宋" w:cs="仿宋"/>
          <w:i w:val="0"/>
          <w:iCs w:val="0"/>
          <w:color w:val="auto"/>
          <w:sz w:val="24"/>
          <w:highlight w:val="none"/>
        </w:rPr>
        <w:t>）</w:t>
      </w:r>
    </w:p>
    <w:bookmarkEnd w:id="542"/>
    <w:bookmarkEnd w:id="543"/>
    <w:p>
      <w:pPr>
        <w:spacing w:line="360" w:lineRule="auto"/>
        <w:jc w:val="center"/>
        <w:rPr>
          <w:rFonts w:hint="eastAsia" w:ascii="仿宋" w:hAnsi="仿宋" w:eastAsia="仿宋" w:cs="仿宋"/>
          <w:i w:val="0"/>
          <w:iCs w:val="0"/>
          <w:color w:val="auto"/>
          <w:sz w:val="24"/>
          <w:highlight w:val="none"/>
        </w:rPr>
      </w:pPr>
    </w:p>
    <w:p>
      <w:pPr>
        <w:autoSpaceDE w:val="0"/>
        <w:autoSpaceDN w:val="0"/>
        <w:spacing w:line="360" w:lineRule="auto"/>
        <w:ind w:firstLine="4800" w:firstLineChars="20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lang w:val="zh-CN"/>
        </w:rPr>
        <w:t xml:space="preserve">投标人名称（电子签章）：      </w:t>
      </w:r>
    </w:p>
    <w:p>
      <w:pPr>
        <w:autoSpaceDE w:val="0"/>
        <w:autoSpaceDN w:val="0"/>
        <w:spacing w:line="360" w:lineRule="auto"/>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 xml:space="preserve">                                        日期：  年  月   日</w:t>
      </w:r>
    </w:p>
    <w:p>
      <w:pPr>
        <w:autoSpaceDE w:val="0"/>
        <w:autoSpaceDN w:val="0"/>
        <w:spacing w:line="360" w:lineRule="auto"/>
        <w:rPr>
          <w:rFonts w:hint="eastAsia" w:ascii="仿宋" w:hAnsi="仿宋" w:eastAsia="仿宋" w:cs="仿宋"/>
          <w:i w:val="0"/>
          <w:iCs w:val="0"/>
          <w:color w:val="auto"/>
          <w:kern w:val="0"/>
          <w:sz w:val="24"/>
          <w:highlight w:val="none"/>
          <w:lang w:val="zh-CN"/>
        </w:rPr>
      </w:pPr>
    </w:p>
    <w:p>
      <w:pPr>
        <w:autoSpaceDE w:val="0"/>
        <w:autoSpaceDN w:val="0"/>
        <w:spacing w:line="360" w:lineRule="auto"/>
        <w:rPr>
          <w:rFonts w:hint="eastAsia" w:ascii="仿宋" w:hAnsi="仿宋" w:eastAsia="仿宋" w:cs="仿宋"/>
          <w:i w:val="0"/>
          <w:iCs w:val="0"/>
          <w:color w:val="auto"/>
          <w:kern w:val="0"/>
          <w:sz w:val="24"/>
          <w:highlight w:val="none"/>
          <w:lang w:val="zh-CN"/>
        </w:rPr>
      </w:pPr>
    </w:p>
    <w:p>
      <w:pPr>
        <w:spacing w:line="360" w:lineRule="auto"/>
        <w:jc w:val="center"/>
        <w:rPr>
          <w:rFonts w:hint="eastAsia" w:ascii="仿宋" w:hAnsi="仿宋" w:eastAsia="仿宋" w:cs="仿宋"/>
          <w:b/>
          <w:bCs/>
          <w:i w:val="0"/>
          <w:iCs w:val="0"/>
          <w:color w:val="auto"/>
          <w:sz w:val="32"/>
          <w:szCs w:val="32"/>
          <w:highlight w:val="none"/>
        </w:rPr>
      </w:pPr>
      <w:r>
        <w:rPr>
          <w:rFonts w:hint="eastAsia" w:ascii="仿宋" w:hAnsi="仿宋" w:eastAsia="仿宋" w:cs="仿宋"/>
          <w:b/>
          <w:i w:val="0"/>
          <w:iCs w:val="0"/>
          <w:color w:val="auto"/>
          <w:sz w:val="32"/>
          <w:szCs w:val="32"/>
          <w:highlight w:val="none"/>
        </w:rPr>
        <w:t>六</w:t>
      </w:r>
      <w:r>
        <w:rPr>
          <w:rFonts w:hint="eastAsia" w:ascii="仿宋" w:hAnsi="仿宋" w:eastAsia="仿宋" w:cs="仿宋"/>
          <w:b/>
          <w:bCs/>
          <w:i w:val="0"/>
          <w:iCs w:val="0"/>
          <w:color w:val="auto"/>
          <w:sz w:val="32"/>
          <w:szCs w:val="32"/>
          <w:highlight w:val="none"/>
        </w:rPr>
        <w:t>、技术和服务方案</w:t>
      </w:r>
    </w:p>
    <w:p>
      <w:pPr>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（由投标人根据采购需求及</w:t>
      </w:r>
      <w:r>
        <w:rPr>
          <w:rFonts w:hint="eastAsia" w:ascii="仿宋" w:hAnsi="仿宋" w:eastAsia="仿宋" w:cs="仿宋"/>
          <w:i w:val="0"/>
          <w:iCs w:val="0"/>
          <w:color w:val="auto"/>
          <w:sz w:val="24"/>
          <w:highlight w:val="none"/>
          <w:lang w:eastAsia="zh-CN"/>
        </w:rPr>
        <w:t>磋商</w:t>
      </w:r>
      <w:r>
        <w:rPr>
          <w:rFonts w:hint="eastAsia" w:ascii="仿宋" w:hAnsi="仿宋" w:eastAsia="仿宋" w:cs="仿宋"/>
          <w:i w:val="0"/>
          <w:iCs w:val="0"/>
          <w:color w:val="auto"/>
          <w:sz w:val="24"/>
          <w:highlight w:val="none"/>
        </w:rPr>
        <w:t>文件要求编制）</w:t>
      </w:r>
    </w:p>
    <w:p>
      <w:pPr>
        <w:autoSpaceDE w:val="0"/>
        <w:autoSpaceDN w:val="0"/>
        <w:spacing w:line="360" w:lineRule="auto"/>
        <w:ind w:firstLine="4560" w:firstLineChars="1900"/>
        <w:rPr>
          <w:rFonts w:hint="eastAsia" w:ascii="仿宋" w:hAnsi="仿宋" w:eastAsia="仿宋" w:cs="仿宋"/>
          <w:i w:val="0"/>
          <w:iCs w:val="0"/>
          <w:color w:val="auto"/>
          <w:kern w:val="0"/>
          <w:sz w:val="24"/>
          <w:highlight w:val="none"/>
        </w:rPr>
      </w:pPr>
    </w:p>
    <w:p>
      <w:pPr>
        <w:autoSpaceDE w:val="0"/>
        <w:autoSpaceDN w:val="0"/>
        <w:spacing w:line="360" w:lineRule="auto"/>
        <w:ind w:firstLine="4560" w:firstLineChars="1900"/>
        <w:rPr>
          <w:rFonts w:hint="eastAsia" w:ascii="仿宋" w:hAnsi="仿宋" w:eastAsia="仿宋" w:cs="仿宋"/>
          <w:i w:val="0"/>
          <w:iCs w:val="0"/>
          <w:color w:val="auto"/>
          <w:kern w:val="0"/>
          <w:sz w:val="24"/>
          <w:highlight w:val="none"/>
        </w:rPr>
      </w:pPr>
    </w:p>
    <w:p>
      <w:pPr>
        <w:autoSpaceDE w:val="0"/>
        <w:autoSpaceDN w:val="0"/>
        <w:spacing w:line="360" w:lineRule="auto"/>
        <w:ind w:firstLine="4560" w:firstLineChars="1900"/>
        <w:rPr>
          <w:rFonts w:hint="eastAsia" w:ascii="仿宋" w:hAnsi="仿宋" w:eastAsia="仿宋" w:cs="仿宋"/>
          <w:i w:val="0"/>
          <w:iCs w:val="0"/>
          <w:color w:val="auto"/>
          <w:kern w:val="0"/>
          <w:sz w:val="24"/>
          <w:highlight w:val="none"/>
        </w:rPr>
      </w:pPr>
    </w:p>
    <w:p>
      <w:pPr>
        <w:autoSpaceDE w:val="0"/>
        <w:autoSpaceDN w:val="0"/>
        <w:spacing w:line="360" w:lineRule="auto"/>
        <w:ind w:firstLine="4560" w:firstLineChars="19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xml:space="preserve">供应商名称（电子签章）：                       </w:t>
      </w:r>
    </w:p>
    <w:p>
      <w:pPr>
        <w:autoSpaceDE w:val="0"/>
        <w:autoSpaceDN w:val="0"/>
        <w:spacing w:line="360" w:lineRule="auto"/>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xml:space="preserve">                                      日期：   年  月   日</w:t>
      </w:r>
    </w:p>
    <w:p>
      <w:pPr>
        <w:widowControl/>
        <w:adjustRightInd/>
        <w:jc w:val="left"/>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kern w:val="0"/>
          <w:sz w:val="32"/>
          <w:szCs w:val="32"/>
          <w:highlight w:val="none"/>
        </w:rPr>
        <w:br w:type="page"/>
      </w:r>
    </w:p>
    <w:p>
      <w:pPr>
        <w:spacing w:line="360" w:lineRule="auto"/>
        <w:jc w:val="center"/>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z w:val="32"/>
          <w:szCs w:val="32"/>
          <w:highlight w:val="none"/>
        </w:rPr>
        <w:t>七、技术和服务偏离说明表</w:t>
      </w:r>
    </w:p>
    <w:p>
      <w:pPr>
        <w:spacing w:line="360" w:lineRule="auto"/>
        <w:jc w:val="center"/>
        <w:rPr>
          <w:rFonts w:hint="eastAsia" w:ascii="仿宋" w:hAnsi="仿宋" w:eastAsia="仿宋" w:cs="仿宋"/>
          <w:b/>
          <w:bCs/>
          <w:i w:val="0"/>
          <w:iCs w:val="0"/>
          <w:color w:val="auto"/>
          <w:sz w:val="18"/>
          <w:szCs w:val="18"/>
          <w:highlight w:val="none"/>
        </w:rPr>
      </w:pPr>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i w:val="0"/>
                <w:iCs w:val="0"/>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i w:val="0"/>
                <w:iCs w:val="0"/>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i w:val="0"/>
                <w:iCs w:val="0"/>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i w:val="0"/>
                <w:iCs w:val="0"/>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i w:val="0"/>
                <w:iCs w:val="0"/>
                <w:color w:val="auto"/>
                <w:sz w:val="24"/>
                <w:highlight w:val="none"/>
              </w:rPr>
            </w:pPr>
          </w:p>
        </w:tc>
      </w:tr>
    </w:tbl>
    <w:p>
      <w:pPr>
        <w:autoSpaceDE w:val="0"/>
        <w:autoSpaceDN w:val="0"/>
        <w:spacing w:line="360" w:lineRule="auto"/>
        <w:ind w:firstLine="5040" w:firstLineChars="2100"/>
        <w:rPr>
          <w:rFonts w:hint="eastAsia" w:ascii="仿宋" w:hAnsi="仿宋" w:eastAsia="仿宋" w:cs="仿宋"/>
          <w:i w:val="0"/>
          <w:iCs w:val="0"/>
          <w:color w:val="auto"/>
          <w:kern w:val="0"/>
          <w:sz w:val="24"/>
          <w:highlight w:val="none"/>
          <w:lang w:val="zh-CN"/>
        </w:rPr>
      </w:pPr>
    </w:p>
    <w:p>
      <w:pPr>
        <w:autoSpaceDE w:val="0"/>
        <w:autoSpaceDN w:val="0"/>
        <w:spacing w:line="360" w:lineRule="auto"/>
        <w:ind w:firstLine="5040" w:firstLineChars="21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lang w:val="zh-CN"/>
        </w:rPr>
        <w:t xml:space="preserve">投标人名称（电子签章）：      </w:t>
      </w:r>
    </w:p>
    <w:p>
      <w:pPr>
        <w:autoSpaceDE w:val="0"/>
        <w:autoSpaceDN w:val="0"/>
        <w:spacing w:line="360" w:lineRule="auto"/>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 xml:space="preserve">                                          日期：  年  月   日</w:t>
      </w:r>
    </w:p>
    <w:p>
      <w:pPr>
        <w:spacing w:line="360" w:lineRule="auto"/>
        <w:jc w:val="center"/>
        <w:rPr>
          <w:rFonts w:hint="eastAsia" w:ascii="仿宋" w:hAnsi="仿宋" w:eastAsia="仿宋" w:cs="仿宋"/>
          <w:b/>
          <w:i w:val="0"/>
          <w:iCs w:val="0"/>
          <w:color w:val="auto"/>
          <w:sz w:val="24"/>
          <w:highlight w:val="none"/>
        </w:rPr>
      </w:pPr>
      <w:r>
        <w:rPr>
          <w:rFonts w:hint="eastAsia" w:ascii="仿宋" w:hAnsi="仿宋" w:eastAsia="仿宋" w:cs="仿宋"/>
          <w:i w:val="0"/>
          <w:iCs w:val="0"/>
          <w:color w:val="auto"/>
          <w:kern w:val="0"/>
          <w:sz w:val="24"/>
          <w:highlight w:val="none"/>
          <w:lang w:val="zh-CN"/>
        </w:rPr>
        <w:t xml:space="preserve">                           </w:t>
      </w:r>
    </w:p>
    <w:p>
      <w:pPr>
        <w:tabs>
          <w:tab w:val="left" w:pos="2790"/>
          <w:tab w:val="left" w:pos="4230"/>
        </w:tabs>
        <w:autoSpaceDE w:val="0"/>
        <w:autoSpaceDN w:val="0"/>
        <w:spacing w:line="360" w:lineRule="auto"/>
        <w:ind w:right="1400"/>
        <w:jc w:val="center"/>
        <w:outlineLvl w:val="1"/>
        <w:rPr>
          <w:rFonts w:hint="eastAsia" w:ascii="仿宋" w:hAnsi="仿宋" w:eastAsia="仿宋" w:cs="仿宋"/>
          <w:b/>
          <w:bCs/>
          <w:i w:val="0"/>
          <w:iCs w:val="0"/>
          <w:color w:val="auto"/>
          <w:kern w:val="0"/>
          <w:sz w:val="36"/>
          <w:szCs w:val="36"/>
          <w:highlight w:val="none"/>
          <w:lang w:val="zh-CN"/>
        </w:rPr>
      </w:pPr>
      <w:r>
        <w:rPr>
          <w:rFonts w:hint="eastAsia" w:ascii="仿宋" w:hAnsi="仿宋" w:eastAsia="仿宋" w:cs="仿宋"/>
          <w:b/>
          <w:bCs/>
          <w:i w:val="0"/>
          <w:iCs w:val="0"/>
          <w:color w:val="auto"/>
          <w:kern w:val="0"/>
          <w:sz w:val="36"/>
          <w:szCs w:val="36"/>
          <w:highlight w:val="none"/>
          <w:lang w:val="zh-CN"/>
        </w:rPr>
        <w:t xml:space="preserve"> </w:t>
      </w:r>
    </w:p>
    <w:p>
      <w:pPr>
        <w:tabs>
          <w:tab w:val="left" w:pos="2790"/>
          <w:tab w:val="left" w:pos="4230"/>
        </w:tabs>
        <w:autoSpaceDE w:val="0"/>
        <w:autoSpaceDN w:val="0"/>
        <w:spacing w:line="360" w:lineRule="auto"/>
        <w:ind w:right="1400"/>
        <w:jc w:val="center"/>
        <w:outlineLvl w:val="1"/>
        <w:rPr>
          <w:rFonts w:hint="eastAsia" w:ascii="仿宋" w:hAnsi="仿宋" w:eastAsia="仿宋" w:cs="仿宋"/>
          <w:b/>
          <w:bCs/>
          <w:i w:val="0"/>
          <w:iCs w:val="0"/>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 w:hAnsi="仿宋" w:eastAsia="仿宋" w:cs="仿宋"/>
          <w:b/>
          <w:bCs/>
          <w:i w:val="0"/>
          <w:iCs w:val="0"/>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 w:hAnsi="仿宋" w:eastAsia="仿宋" w:cs="仿宋"/>
          <w:b/>
          <w:bCs/>
          <w:i w:val="0"/>
          <w:iCs w:val="0"/>
          <w:color w:val="auto"/>
          <w:kern w:val="0"/>
          <w:sz w:val="32"/>
          <w:szCs w:val="32"/>
          <w:highlight w:val="none"/>
          <w:lang w:val="zh-CN"/>
        </w:rPr>
      </w:pPr>
      <w:r>
        <w:rPr>
          <w:rFonts w:hint="eastAsia" w:ascii="仿宋" w:hAnsi="仿宋" w:eastAsia="仿宋" w:cs="仿宋"/>
          <w:b/>
          <w:bCs/>
          <w:i w:val="0"/>
          <w:iCs w:val="0"/>
          <w:color w:val="auto"/>
          <w:kern w:val="0"/>
          <w:sz w:val="32"/>
          <w:szCs w:val="32"/>
          <w:highlight w:val="none"/>
          <w:lang w:val="zh-CN"/>
        </w:rPr>
        <w:t>八、组织实施方案</w:t>
      </w:r>
    </w:p>
    <w:p>
      <w:pPr>
        <w:autoSpaceDE w:val="0"/>
        <w:autoSpaceDN w:val="0"/>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（由投标人根据采购需求及</w:t>
      </w:r>
      <w:r>
        <w:rPr>
          <w:rFonts w:hint="eastAsia" w:ascii="仿宋" w:hAnsi="仿宋" w:eastAsia="仿宋" w:cs="仿宋"/>
          <w:i w:val="0"/>
          <w:iCs w:val="0"/>
          <w:color w:val="auto"/>
          <w:sz w:val="24"/>
          <w:highlight w:val="none"/>
          <w:lang w:eastAsia="zh-CN"/>
        </w:rPr>
        <w:t>磋商</w:t>
      </w:r>
      <w:r>
        <w:rPr>
          <w:rFonts w:hint="eastAsia" w:ascii="仿宋" w:hAnsi="仿宋" w:eastAsia="仿宋" w:cs="仿宋"/>
          <w:i w:val="0"/>
          <w:iCs w:val="0"/>
          <w:color w:val="auto"/>
          <w:sz w:val="24"/>
          <w:highlight w:val="none"/>
        </w:rPr>
        <w:t>文件要求编制）</w:t>
      </w:r>
    </w:p>
    <w:p>
      <w:pPr>
        <w:tabs>
          <w:tab w:val="left" w:pos="2790"/>
          <w:tab w:val="left" w:pos="4230"/>
        </w:tabs>
        <w:autoSpaceDE w:val="0"/>
        <w:autoSpaceDN w:val="0"/>
        <w:spacing w:line="360" w:lineRule="auto"/>
        <w:ind w:right="1400"/>
        <w:outlineLvl w:val="1"/>
        <w:rPr>
          <w:rFonts w:hint="eastAsia" w:ascii="仿宋" w:hAnsi="仿宋" w:eastAsia="仿宋" w:cs="仿宋"/>
          <w:b/>
          <w:bCs/>
          <w:i w:val="0"/>
          <w:iCs w:val="0"/>
          <w:color w:val="auto"/>
          <w:kern w:val="0"/>
          <w:sz w:val="24"/>
          <w:highlight w:val="none"/>
          <w:lang w:val="zh-CN"/>
        </w:rPr>
      </w:pPr>
    </w:p>
    <w:p>
      <w:pPr>
        <w:autoSpaceDE w:val="0"/>
        <w:autoSpaceDN w:val="0"/>
        <w:spacing w:line="360" w:lineRule="auto"/>
        <w:ind w:firstLine="4440" w:firstLineChars="185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投标人名称（电子签章）：</w:t>
      </w:r>
    </w:p>
    <w:p>
      <w:pPr>
        <w:autoSpaceDE w:val="0"/>
        <w:autoSpaceDN w:val="0"/>
        <w:spacing w:line="360" w:lineRule="auto"/>
        <w:rPr>
          <w:rFonts w:hint="eastAsia" w:ascii="仿宋" w:hAnsi="仿宋" w:eastAsia="仿宋" w:cs="仿宋"/>
          <w:b/>
          <w:bCs/>
          <w:i w:val="0"/>
          <w:iCs w:val="0"/>
          <w:color w:val="auto"/>
          <w:sz w:val="32"/>
          <w:szCs w:val="32"/>
          <w:highlight w:val="none"/>
        </w:rPr>
      </w:pPr>
      <w:r>
        <w:rPr>
          <w:rFonts w:hint="eastAsia"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lang w:val="zh-CN"/>
        </w:rPr>
        <w:t>日期：  年  月   日</w:t>
      </w:r>
    </w:p>
    <w:p>
      <w:pPr>
        <w:spacing w:line="360" w:lineRule="auto"/>
        <w:jc w:val="center"/>
        <w:rPr>
          <w:rFonts w:hint="eastAsia" w:ascii="仿宋" w:hAnsi="仿宋" w:eastAsia="仿宋" w:cs="仿宋"/>
          <w:b/>
          <w:bCs/>
          <w:i w:val="0"/>
          <w:iCs w:val="0"/>
          <w:color w:val="auto"/>
          <w:sz w:val="32"/>
          <w:szCs w:val="32"/>
          <w:highlight w:val="none"/>
        </w:rPr>
      </w:pPr>
    </w:p>
    <w:p>
      <w:pPr>
        <w:spacing w:line="360" w:lineRule="auto"/>
        <w:jc w:val="center"/>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z w:val="32"/>
          <w:szCs w:val="32"/>
          <w:highlight w:val="none"/>
        </w:rPr>
        <w:t>九、人员投入计划</w:t>
      </w:r>
    </w:p>
    <w:p>
      <w:pPr>
        <w:autoSpaceDE w:val="0"/>
        <w:autoSpaceDN w:val="0"/>
        <w:spacing w:line="360" w:lineRule="auto"/>
        <w:jc w:val="center"/>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sz w:val="24"/>
          <w:highlight w:val="none"/>
        </w:rPr>
        <w:t>（由投标人根据采购需求及</w:t>
      </w:r>
      <w:r>
        <w:rPr>
          <w:rFonts w:hint="eastAsia" w:ascii="仿宋" w:hAnsi="仿宋" w:eastAsia="仿宋" w:cs="仿宋"/>
          <w:i w:val="0"/>
          <w:iCs w:val="0"/>
          <w:color w:val="auto"/>
          <w:sz w:val="24"/>
          <w:highlight w:val="none"/>
          <w:lang w:eastAsia="zh-CN"/>
        </w:rPr>
        <w:t>磋商</w:t>
      </w:r>
      <w:r>
        <w:rPr>
          <w:rFonts w:hint="eastAsia" w:ascii="仿宋" w:hAnsi="仿宋" w:eastAsia="仿宋" w:cs="仿宋"/>
          <w:i w:val="0"/>
          <w:iCs w:val="0"/>
          <w:color w:val="auto"/>
          <w:sz w:val="24"/>
          <w:highlight w:val="none"/>
        </w:rPr>
        <w:t>文件要求编制）</w:t>
      </w:r>
    </w:p>
    <w:p>
      <w:pPr>
        <w:autoSpaceDE w:val="0"/>
        <w:autoSpaceDN w:val="0"/>
        <w:spacing w:line="360" w:lineRule="auto"/>
        <w:ind w:firstLine="4440" w:firstLineChars="1850"/>
        <w:rPr>
          <w:rFonts w:hint="eastAsia" w:ascii="仿宋" w:hAnsi="仿宋" w:eastAsia="仿宋" w:cs="仿宋"/>
          <w:i w:val="0"/>
          <w:iCs w:val="0"/>
          <w:color w:val="auto"/>
          <w:kern w:val="0"/>
          <w:sz w:val="24"/>
          <w:highlight w:val="none"/>
        </w:rPr>
      </w:pPr>
    </w:p>
    <w:p>
      <w:pPr>
        <w:autoSpaceDE w:val="0"/>
        <w:autoSpaceDN w:val="0"/>
        <w:spacing w:line="360" w:lineRule="auto"/>
        <w:ind w:firstLine="4440" w:firstLineChars="1850"/>
        <w:rPr>
          <w:rFonts w:hint="eastAsia" w:ascii="仿宋" w:hAnsi="仿宋" w:eastAsia="仿宋" w:cs="仿宋"/>
          <w:i w:val="0"/>
          <w:iCs w:val="0"/>
          <w:color w:val="auto"/>
          <w:kern w:val="0"/>
          <w:sz w:val="24"/>
          <w:highlight w:val="none"/>
        </w:rPr>
      </w:pPr>
    </w:p>
    <w:p>
      <w:pPr>
        <w:autoSpaceDE w:val="0"/>
        <w:autoSpaceDN w:val="0"/>
        <w:spacing w:line="360" w:lineRule="auto"/>
        <w:ind w:firstLine="4440" w:firstLineChars="1850"/>
        <w:rPr>
          <w:rFonts w:hint="eastAsia" w:ascii="仿宋" w:hAnsi="仿宋" w:eastAsia="仿宋" w:cs="仿宋"/>
          <w:i w:val="0"/>
          <w:iCs w:val="0"/>
          <w:color w:val="auto"/>
          <w:kern w:val="0"/>
          <w:sz w:val="24"/>
          <w:highlight w:val="none"/>
        </w:rPr>
      </w:pPr>
    </w:p>
    <w:p>
      <w:pPr>
        <w:autoSpaceDE w:val="0"/>
        <w:autoSpaceDN w:val="0"/>
        <w:spacing w:line="360" w:lineRule="auto"/>
        <w:ind w:firstLine="4440" w:firstLineChars="185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投标人名称（电子签章）：</w:t>
      </w:r>
    </w:p>
    <w:p>
      <w:pPr>
        <w:autoSpaceDE w:val="0"/>
        <w:autoSpaceDN w:val="0"/>
        <w:spacing w:line="360" w:lineRule="auto"/>
        <w:rPr>
          <w:rFonts w:hint="eastAsia" w:ascii="仿宋" w:hAnsi="仿宋" w:eastAsia="仿宋" w:cs="仿宋"/>
          <w:b/>
          <w:bCs/>
          <w:i w:val="0"/>
          <w:iCs w:val="0"/>
          <w:color w:val="auto"/>
          <w:sz w:val="24"/>
          <w:highlight w:val="none"/>
        </w:rPr>
      </w:pPr>
      <w:r>
        <w:rPr>
          <w:rFonts w:hint="eastAsia"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lang w:val="zh-CN"/>
        </w:rPr>
        <w:t>日期：  年  月   日</w:t>
      </w:r>
    </w:p>
    <w:p>
      <w:pPr>
        <w:spacing w:line="360" w:lineRule="auto"/>
        <w:jc w:val="center"/>
        <w:rPr>
          <w:rFonts w:hint="eastAsia" w:ascii="仿宋" w:hAnsi="仿宋" w:eastAsia="仿宋" w:cs="仿宋"/>
          <w:b/>
          <w:bCs/>
          <w:i w:val="0"/>
          <w:iCs w:val="0"/>
          <w:color w:val="auto"/>
          <w:sz w:val="32"/>
          <w:szCs w:val="32"/>
          <w:highlight w:val="none"/>
        </w:rPr>
      </w:pPr>
    </w:p>
    <w:p>
      <w:pPr>
        <w:spacing w:line="360" w:lineRule="auto"/>
        <w:jc w:val="center"/>
        <w:rPr>
          <w:rFonts w:hint="eastAsia" w:ascii="仿宋" w:hAnsi="仿宋" w:eastAsia="仿宋" w:cs="仿宋"/>
          <w:b/>
          <w:bCs/>
          <w:i w:val="0"/>
          <w:iCs w:val="0"/>
          <w:color w:val="auto"/>
          <w:sz w:val="32"/>
          <w:szCs w:val="32"/>
          <w:highlight w:val="none"/>
        </w:rPr>
      </w:pPr>
    </w:p>
    <w:p>
      <w:pPr>
        <w:spacing w:line="360" w:lineRule="auto"/>
        <w:jc w:val="center"/>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z w:val="32"/>
          <w:szCs w:val="32"/>
          <w:highlight w:val="none"/>
        </w:rPr>
        <w:t>十、材料、设备、工具等投入计划</w:t>
      </w:r>
    </w:p>
    <w:p>
      <w:pPr>
        <w:spacing w:line="360" w:lineRule="auto"/>
        <w:jc w:val="center"/>
        <w:rPr>
          <w:rFonts w:hint="eastAsia" w:ascii="仿宋" w:hAnsi="仿宋" w:eastAsia="仿宋" w:cs="仿宋"/>
          <w:b/>
          <w:bCs/>
          <w:i w:val="0"/>
          <w:iCs w:val="0"/>
          <w:color w:val="auto"/>
          <w:sz w:val="24"/>
          <w:highlight w:val="none"/>
        </w:rPr>
      </w:pPr>
      <w:r>
        <w:rPr>
          <w:rFonts w:hint="eastAsia" w:ascii="仿宋" w:hAnsi="仿宋" w:eastAsia="仿宋" w:cs="仿宋"/>
          <w:i w:val="0"/>
          <w:iCs w:val="0"/>
          <w:color w:val="auto"/>
          <w:sz w:val="24"/>
          <w:highlight w:val="none"/>
        </w:rPr>
        <w:t>（由投标人根据采购需求及</w:t>
      </w:r>
      <w:r>
        <w:rPr>
          <w:rFonts w:hint="eastAsia" w:ascii="仿宋" w:hAnsi="仿宋" w:eastAsia="仿宋" w:cs="仿宋"/>
          <w:i w:val="0"/>
          <w:iCs w:val="0"/>
          <w:color w:val="auto"/>
          <w:sz w:val="24"/>
          <w:highlight w:val="none"/>
          <w:lang w:eastAsia="zh-CN"/>
        </w:rPr>
        <w:t>磋商</w:t>
      </w:r>
      <w:r>
        <w:rPr>
          <w:rFonts w:hint="eastAsia" w:ascii="仿宋" w:hAnsi="仿宋" w:eastAsia="仿宋" w:cs="仿宋"/>
          <w:i w:val="0"/>
          <w:iCs w:val="0"/>
          <w:color w:val="auto"/>
          <w:sz w:val="24"/>
          <w:highlight w:val="none"/>
        </w:rPr>
        <w:t>文件要求编制）</w:t>
      </w:r>
    </w:p>
    <w:p>
      <w:pPr>
        <w:autoSpaceDE w:val="0"/>
        <w:autoSpaceDN w:val="0"/>
        <w:spacing w:line="360" w:lineRule="auto"/>
        <w:ind w:firstLine="4440" w:firstLineChars="185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投标人名称（电子签章）：</w:t>
      </w:r>
    </w:p>
    <w:p>
      <w:pPr>
        <w:autoSpaceDE w:val="0"/>
        <w:autoSpaceDN w:val="0"/>
        <w:spacing w:line="360" w:lineRule="auto"/>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lang w:val="zh-CN"/>
        </w:rPr>
        <w:t>日期：  年  月   日</w:t>
      </w:r>
    </w:p>
    <w:p>
      <w:pPr>
        <w:spacing w:line="360" w:lineRule="auto"/>
        <w:jc w:val="center"/>
        <w:rPr>
          <w:rFonts w:hint="eastAsia" w:ascii="仿宋" w:hAnsi="仿宋" w:eastAsia="仿宋" w:cs="仿宋"/>
          <w:b/>
          <w:bCs/>
          <w:i w:val="0"/>
          <w:iCs w:val="0"/>
          <w:color w:val="auto"/>
          <w:sz w:val="32"/>
          <w:szCs w:val="32"/>
          <w:highlight w:val="none"/>
        </w:rPr>
      </w:pPr>
    </w:p>
    <w:p>
      <w:pPr>
        <w:spacing w:line="360" w:lineRule="auto"/>
        <w:jc w:val="center"/>
        <w:rPr>
          <w:rFonts w:hint="eastAsia" w:ascii="仿宋" w:hAnsi="仿宋" w:eastAsia="仿宋" w:cs="仿宋"/>
          <w:b/>
          <w:bCs/>
          <w:i w:val="0"/>
          <w:iCs w:val="0"/>
          <w:color w:val="auto"/>
          <w:sz w:val="32"/>
          <w:szCs w:val="32"/>
          <w:highlight w:val="none"/>
        </w:rPr>
      </w:pPr>
    </w:p>
    <w:p>
      <w:pPr>
        <w:spacing w:line="360" w:lineRule="auto"/>
        <w:jc w:val="center"/>
        <w:rPr>
          <w:rFonts w:hint="eastAsia" w:ascii="仿宋" w:hAnsi="仿宋" w:eastAsia="仿宋" w:cs="仿宋"/>
          <w:b/>
          <w:bCs/>
          <w:i w:val="0"/>
          <w:iCs w:val="0"/>
          <w:color w:val="auto"/>
          <w:sz w:val="32"/>
          <w:szCs w:val="32"/>
          <w:highlight w:val="none"/>
        </w:rPr>
      </w:pPr>
    </w:p>
    <w:p>
      <w:pPr>
        <w:spacing w:line="360" w:lineRule="auto"/>
        <w:jc w:val="center"/>
        <w:rPr>
          <w:rFonts w:hint="eastAsia" w:ascii="仿宋" w:hAnsi="仿宋" w:eastAsia="仿宋" w:cs="仿宋"/>
          <w:b/>
          <w:bCs/>
          <w:i w:val="0"/>
          <w:iCs w:val="0"/>
          <w:color w:val="auto"/>
          <w:sz w:val="32"/>
          <w:szCs w:val="32"/>
          <w:highlight w:val="none"/>
        </w:rPr>
      </w:pPr>
    </w:p>
    <w:p>
      <w:pPr>
        <w:spacing w:line="360" w:lineRule="auto"/>
        <w:jc w:val="center"/>
        <w:rPr>
          <w:rFonts w:hint="eastAsia" w:ascii="仿宋" w:hAnsi="仿宋" w:eastAsia="仿宋" w:cs="仿宋"/>
          <w:b/>
          <w:i w:val="0"/>
          <w:iCs w:val="0"/>
          <w:color w:val="auto"/>
          <w:kern w:val="0"/>
          <w:sz w:val="32"/>
          <w:szCs w:val="32"/>
          <w:highlight w:val="none"/>
          <w:lang w:val="zh-CN"/>
        </w:rPr>
      </w:pPr>
      <w:r>
        <w:rPr>
          <w:rFonts w:hint="eastAsia" w:ascii="仿宋" w:hAnsi="仿宋" w:eastAsia="仿宋" w:cs="仿宋"/>
          <w:b/>
          <w:bCs/>
          <w:i w:val="0"/>
          <w:iCs w:val="0"/>
          <w:color w:val="auto"/>
          <w:sz w:val="32"/>
          <w:szCs w:val="32"/>
          <w:highlight w:val="none"/>
        </w:rPr>
        <w:t>十一、</w:t>
      </w:r>
      <w:r>
        <w:rPr>
          <w:rFonts w:hint="eastAsia" w:ascii="仿宋" w:hAnsi="仿宋" w:eastAsia="仿宋" w:cs="仿宋"/>
          <w:b/>
          <w:i w:val="0"/>
          <w:iCs w:val="0"/>
          <w:color w:val="auto"/>
          <w:kern w:val="0"/>
          <w:sz w:val="32"/>
          <w:szCs w:val="32"/>
          <w:highlight w:val="none"/>
          <w:lang w:val="zh-CN"/>
        </w:rPr>
        <w:t>投标人的各项服务承诺</w:t>
      </w:r>
    </w:p>
    <w:p>
      <w:pPr>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（由投标人根据采购需求及</w:t>
      </w:r>
      <w:r>
        <w:rPr>
          <w:rFonts w:hint="eastAsia" w:ascii="仿宋" w:hAnsi="仿宋" w:eastAsia="仿宋" w:cs="仿宋"/>
          <w:i w:val="0"/>
          <w:iCs w:val="0"/>
          <w:color w:val="auto"/>
          <w:sz w:val="24"/>
          <w:highlight w:val="none"/>
          <w:lang w:eastAsia="zh-CN"/>
        </w:rPr>
        <w:t>磋商</w:t>
      </w:r>
      <w:r>
        <w:rPr>
          <w:rFonts w:hint="eastAsia" w:ascii="仿宋" w:hAnsi="仿宋" w:eastAsia="仿宋" w:cs="仿宋"/>
          <w:i w:val="0"/>
          <w:iCs w:val="0"/>
          <w:color w:val="auto"/>
          <w:sz w:val="24"/>
          <w:highlight w:val="none"/>
        </w:rPr>
        <w:t>文件要求编制）</w:t>
      </w:r>
    </w:p>
    <w:p>
      <w:pPr>
        <w:spacing w:line="360" w:lineRule="auto"/>
        <w:jc w:val="center"/>
        <w:rPr>
          <w:rFonts w:hint="eastAsia" w:ascii="仿宋" w:hAnsi="仿宋" w:eastAsia="仿宋" w:cs="仿宋"/>
          <w:i w:val="0"/>
          <w:iCs w:val="0"/>
          <w:color w:val="auto"/>
          <w:sz w:val="18"/>
          <w:szCs w:val="18"/>
          <w:highlight w:val="none"/>
        </w:rPr>
      </w:pPr>
    </w:p>
    <w:p>
      <w:pPr>
        <w:autoSpaceDE w:val="0"/>
        <w:autoSpaceDN w:val="0"/>
        <w:spacing w:line="360" w:lineRule="auto"/>
        <w:ind w:firstLine="4440" w:firstLineChars="185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投标人名称（电子签章）：</w:t>
      </w:r>
    </w:p>
    <w:p>
      <w:pPr>
        <w:autoSpaceDE w:val="0"/>
        <w:autoSpaceDN w:val="0"/>
        <w:spacing w:line="360" w:lineRule="auto"/>
        <w:rPr>
          <w:rFonts w:hint="eastAsia" w:ascii="仿宋" w:hAnsi="仿宋" w:eastAsia="仿宋" w:cs="仿宋"/>
          <w:b/>
          <w:bCs/>
          <w:i w:val="0"/>
          <w:iCs w:val="0"/>
          <w:color w:val="auto"/>
          <w:sz w:val="18"/>
          <w:szCs w:val="18"/>
          <w:highlight w:val="none"/>
        </w:rPr>
      </w:pPr>
      <w:r>
        <w:rPr>
          <w:rFonts w:hint="eastAsia"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lang w:val="zh-CN"/>
        </w:rPr>
        <w:t>日期：  年  月   日</w:t>
      </w:r>
    </w:p>
    <w:p>
      <w:pPr>
        <w:spacing w:line="360" w:lineRule="auto"/>
        <w:jc w:val="center"/>
        <w:rPr>
          <w:rFonts w:hint="eastAsia" w:ascii="仿宋" w:hAnsi="仿宋" w:eastAsia="仿宋" w:cs="仿宋"/>
          <w:b/>
          <w:bCs/>
          <w:i w:val="0"/>
          <w:iCs w:val="0"/>
          <w:color w:val="auto"/>
          <w:sz w:val="32"/>
          <w:szCs w:val="32"/>
          <w:highlight w:val="none"/>
        </w:rPr>
      </w:pPr>
    </w:p>
    <w:p>
      <w:pPr>
        <w:spacing w:line="360" w:lineRule="auto"/>
        <w:jc w:val="center"/>
        <w:rPr>
          <w:rFonts w:hint="eastAsia" w:ascii="仿宋" w:hAnsi="仿宋" w:eastAsia="仿宋" w:cs="仿宋"/>
          <w:b/>
          <w:bCs/>
          <w:i w:val="0"/>
          <w:iCs w:val="0"/>
          <w:color w:val="auto"/>
          <w:sz w:val="32"/>
          <w:szCs w:val="32"/>
          <w:highlight w:val="none"/>
        </w:rPr>
      </w:pPr>
    </w:p>
    <w:p>
      <w:pPr>
        <w:spacing w:line="360" w:lineRule="auto"/>
        <w:jc w:val="center"/>
        <w:rPr>
          <w:rFonts w:hint="eastAsia" w:ascii="仿宋" w:hAnsi="仿宋" w:eastAsia="仿宋" w:cs="仿宋"/>
          <w:b/>
          <w:bCs/>
          <w:i w:val="0"/>
          <w:iCs w:val="0"/>
          <w:color w:val="auto"/>
          <w:sz w:val="32"/>
          <w:szCs w:val="32"/>
          <w:highlight w:val="none"/>
        </w:rPr>
      </w:pPr>
    </w:p>
    <w:p>
      <w:pPr>
        <w:spacing w:line="360" w:lineRule="auto"/>
        <w:jc w:val="center"/>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z w:val="32"/>
          <w:szCs w:val="32"/>
          <w:highlight w:val="none"/>
        </w:rPr>
        <w:t>十二、投标人认为需要的其他技术文件或说明</w:t>
      </w:r>
    </w:p>
    <w:p>
      <w:pPr>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（由投标人根据采购需求自行编制）</w:t>
      </w:r>
    </w:p>
    <w:p>
      <w:pPr>
        <w:spacing w:line="360" w:lineRule="auto"/>
        <w:jc w:val="center"/>
        <w:rPr>
          <w:rFonts w:hint="eastAsia" w:ascii="仿宋" w:hAnsi="仿宋" w:eastAsia="仿宋" w:cs="仿宋"/>
          <w:i w:val="0"/>
          <w:iCs w:val="0"/>
          <w:color w:val="auto"/>
          <w:sz w:val="24"/>
          <w:highlight w:val="none"/>
        </w:rPr>
      </w:pPr>
    </w:p>
    <w:p>
      <w:pPr>
        <w:autoSpaceDE w:val="0"/>
        <w:autoSpaceDN w:val="0"/>
        <w:spacing w:line="360" w:lineRule="auto"/>
        <w:ind w:firstLine="4800" w:firstLineChars="20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 xml:space="preserve">投标人名称（电子签章）：                       </w:t>
      </w:r>
    </w:p>
    <w:p>
      <w:pPr>
        <w:autoSpaceDE w:val="0"/>
        <w:autoSpaceDN w:val="0"/>
        <w:spacing w:line="360" w:lineRule="auto"/>
        <w:rPr>
          <w:rFonts w:hint="eastAsia" w:ascii="仿宋" w:hAnsi="仿宋" w:eastAsia="仿宋" w:cs="仿宋"/>
          <w:b/>
          <w:bCs/>
          <w:i w:val="0"/>
          <w:iCs w:val="0"/>
          <w:color w:val="auto"/>
          <w:sz w:val="30"/>
          <w:szCs w:val="30"/>
          <w:highlight w:val="none"/>
        </w:rPr>
      </w:pPr>
      <w:r>
        <w:rPr>
          <w:rFonts w:hint="eastAsia" w:ascii="仿宋" w:hAnsi="仿宋" w:eastAsia="仿宋" w:cs="仿宋"/>
          <w:i w:val="0"/>
          <w:iCs w:val="0"/>
          <w:color w:val="auto"/>
          <w:kern w:val="0"/>
          <w:sz w:val="24"/>
          <w:highlight w:val="none"/>
        </w:rPr>
        <w:t xml:space="preserve">                                        </w:t>
      </w:r>
      <w:r>
        <w:rPr>
          <w:rFonts w:hint="eastAsia" w:ascii="仿宋" w:hAnsi="仿宋" w:eastAsia="仿宋" w:cs="仿宋"/>
          <w:i w:val="0"/>
          <w:iCs w:val="0"/>
          <w:color w:val="auto"/>
          <w:kern w:val="0"/>
          <w:sz w:val="24"/>
          <w:highlight w:val="none"/>
          <w:lang w:val="zh-CN"/>
        </w:rPr>
        <w:t>日期：  年  月   日</w:t>
      </w:r>
    </w:p>
    <w:p>
      <w:pPr>
        <w:spacing w:line="360" w:lineRule="auto"/>
        <w:jc w:val="center"/>
        <w:rPr>
          <w:rFonts w:hint="eastAsia" w:ascii="仿宋" w:hAnsi="仿宋" w:eastAsia="仿宋" w:cs="仿宋"/>
          <w:b/>
          <w:bCs/>
          <w:i w:val="0"/>
          <w:iCs w:val="0"/>
          <w:color w:val="auto"/>
          <w:sz w:val="30"/>
          <w:szCs w:val="30"/>
          <w:highlight w:val="none"/>
        </w:rPr>
      </w:pPr>
    </w:p>
    <w:p>
      <w:pPr>
        <w:spacing w:line="360" w:lineRule="auto"/>
        <w:jc w:val="center"/>
        <w:rPr>
          <w:rFonts w:hint="eastAsia" w:ascii="仿宋" w:hAnsi="仿宋" w:eastAsia="仿宋" w:cs="仿宋"/>
          <w:b/>
          <w:bCs/>
          <w:i w:val="0"/>
          <w:iCs w:val="0"/>
          <w:color w:val="auto"/>
          <w:sz w:val="30"/>
          <w:szCs w:val="30"/>
          <w:highlight w:val="none"/>
        </w:rPr>
      </w:pPr>
    </w:p>
    <w:p>
      <w:pPr>
        <w:spacing w:line="360" w:lineRule="auto"/>
        <w:jc w:val="center"/>
        <w:rPr>
          <w:rFonts w:hint="eastAsia" w:ascii="仿宋" w:hAnsi="仿宋" w:eastAsia="仿宋" w:cs="仿宋"/>
          <w:b/>
          <w:bCs/>
          <w:i w:val="0"/>
          <w:iCs w:val="0"/>
          <w:color w:val="auto"/>
          <w:sz w:val="30"/>
          <w:szCs w:val="30"/>
          <w:highlight w:val="none"/>
        </w:rPr>
      </w:pPr>
    </w:p>
    <w:p>
      <w:pPr>
        <w:spacing w:line="360" w:lineRule="auto"/>
        <w:jc w:val="center"/>
        <w:rPr>
          <w:rFonts w:hint="eastAsia" w:ascii="仿宋" w:hAnsi="仿宋" w:eastAsia="仿宋" w:cs="仿宋"/>
          <w:b/>
          <w:bCs/>
          <w:i w:val="0"/>
          <w:iCs w:val="0"/>
          <w:color w:val="auto"/>
          <w:sz w:val="30"/>
          <w:szCs w:val="30"/>
          <w:highlight w:val="none"/>
        </w:rPr>
      </w:pPr>
    </w:p>
    <w:p>
      <w:pPr>
        <w:spacing w:line="360" w:lineRule="auto"/>
        <w:jc w:val="center"/>
        <w:rPr>
          <w:rFonts w:hint="eastAsia" w:ascii="仿宋" w:hAnsi="仿宋" w:eastAsia="仿宋" w:cs="仿宋"/>
          <w:b/>
          <w:bCs/>
          <w:i w:val="0"/>
          <w:iCs w:val="0"/>
          <w:color w:val="auto"/>
          <w:sz w:val="30"/>
          <w:szCs w:val="30"/>
          <w:highlight w:val="none"/>
        </w:rPr>
      </w:pPr>
    </w:p>
    <w:p>
      <w:pPr>
        <w:spacing w:line="360" w:lineRule="auto"/>
        <w:jc w:val="center"/>
        <w:rPr>
          <w:rFonts w:hint="eastAsia" w:ascii="仿宋" w:hAnsi="仿宋" w:eastAsia="仿宋" w:cs="仿宋"/>
          <w:b/>
          <w:i w:val="0"/>
          <w:iCs w:val="0"/>
          <w:color w:val="auto"/>
          <w:kern w:val="0"/>
          <w:sz w:val="30"/>
          <w:szCs w:val="30"/>
          <w:highlight w:val="none"/>
          <w:lang w:val="zh-CN"/>
        </w:rPr>
      </w:pPr>
      <w:r>
        <w:rPr>
          <w:rFonts w:hint="eastAsia" w:ascii="仿宋" w:hAnsi="仿宋" w:eastAsia="仿宋" w:cs="仿宋"/>
          <w:b/>
          <w:bCs/>
          <w:i w:val="0"/>
          <w:iCs w:val="0"/>
          <w:color w:val="auto"/>
          <w:sz w:val="30"/>
          <w:szCs w:val="30"/>
          <w:highlight w:val="none"/>
        </w:rPr>
        <w:t>十三、关于</w:t>
      </w:r>
      <w:r>
        <w:rPr>
          <w:rFonts w:hint="eastAsia" w:ascii="仿宋" w:hAnsi="仿宋" w:eastAsia="仿宋" w:cs="仿宋"/>
          <w:b/>
          <w:i w:val="0"/>
          <w:iCs w:val="0"/>
          <w:color w:val="auto"/>
          <w:kern w:val="0"/>
          <w:sz w:val="30"/>
          <w:szCs w:val="30"/>
          <w:highlight w:val="none"/>
          <w:lang w:val="zh-CN"/>
        </w:rPr>
        <w:t>对磋商文件中有关商务、合同条款的拒绝声明</w:t>
      </w:r>
    </w:p>
    <w:p>
      <w:pPr>
        <w:spacing w:line="36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（由投标人根据采购需求自行编制）</w:t>
      </w:r>
    </w:p>
    <w:p>
      <w:pPr>
        <w:spacing w:line="360" w:lineRule="auto"/>
        <w:rPr>
          <w:rFonts w:hint="eastAsia" w:ascii="仿宋" w:hAnsi="仿宋" w:eastAsia="仿宋" w:cs="仿宋"/>
          <w:i w:val="0"/>
          <w:iCs w:val="0"/>
          <w:color w:val="auto"/>
          <w:sz w:val="24"/>
          <w:highlight w:val="none"/>
        </w:rPr>
      </w:pPr>
    </w:p>
    <w:p>
      <w:pPr>
        <w:autoSpaceDE w:val="0"/>
        <w:autoSpaceDN w:val="0"/>
        <w:spacing w:line="360" w:lineRule="auto"/>
        <w:ind w:firstLine="5040" w:firstLineChars="210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lang w:val="zh-CN"/>
        </w:rPr>
        <w:t xml:space="preserve">投标人名称（电子签章）：      </w:t>
      </w:r>
    </w:p>
    <w:p>
      <w:pPr>
        <w:autoSpaceDE w:val="0"/>
        <w:autoSpaceDN w:val="0"/>
        <w:spacing w:line="360" w:lineRule="auto"/>
        <w:rPr>
          <w:rFonts w:hint="eastAsia" w:ascii="仿宋" w:hAnsi="仿宋" w:eastAsia="仿宋" w:cs="仿宋"/>
          <w:i w:val="0"/>
          <w:iCs w:val="0"/>
          <w:color w:val="auto"/>
          <w:kern w:val="0"/>
          <w:sz w:val="24"/>
          <w:highlight w:val="none"/>
          <w:lang w:val="zh-CN"/>
        </w:rPr>
      </w:pPr>
      <w:r>
        <w:rPr>
          <w:rFonts w:hint="eastAsia" w:ascii="仿宋" w:hAnsi="仿宋" w:eastAsia="仿宋" w:cs="仿宋"/>
          <w:i w:val="0"/>
          <w:iCs w:val="0"/>
          <w:color w:val="auto"/>
          <w:kern w:val="0"/>
          <w:sz w:val="24"/>
          <w:highlight w:val="none"/>
          <w:lang w:val="zh-CN"/>
        </w:rPr>
        <w:t xml:space="preserve">                                        日期：  年  月   日</w:t>
      </w:r>
    </w:p>
    <w:p>
      <w:pPr>
        <w:spacing w:line="360" w:lineRule="auto"/>
        <w:jc w:val="center"/>
        <w:rPr>
          <w:rFonts w:hint="eastAsia" w:ascii="仿宋" w:hAnsi="仿宋" w:eastAsia="仿宋" w:cs="仿宋"/>
          <w:b/>
          <w:bCs/>
          <w:i w:val="0"/>
          <w:iCs w:val="0"/>
          <w:color w:val="auto"/>
          <w:sz w:val="24"/>
          <w:highlight w:val="none"/>
        </w:rPr>
      </w:pPr>
    </w:p>
    <w:p>
      <w:pPr>
        <w:spacing w:line="360" w:lineRule="auto"/>
        <w:jc w:val="center"/>
        <w:rPr>
          <w:rFonts w:hint="eastAsia" w:ascii="仿宋" w:hAnsi="仿宋" w:eastAsia="仿宋" w:cs="仿宋"/>
          <w:b/>
          <w:bCs/>
          <w:i w:val="0"/>
          <w:iCs w:val="0"/>
          <w:color w:val="auto"/>
          <w:sz w:val="24"/>
          <w:highlight w:val="none"/>
        </w:rPr>
      </w:pPr>
    </w:p>
    <w:p>
      <w:pPr>
        <w:widowControl/>
        <w:adjustRightInd/>
        <w:spacing w:line="360" w:lineRule="auto"/>
        <w:jc w:val="left"/>
        <w:rPr>
          <w:rFonts w:hint="eastAsia" w:ascii="仿宋" w:hAnsi="仿宋" w:eastAsia="仿宋" w:cs="仿宋"/>
          <w:b/>
          <w:bCs/>
          <w:i w:val="0"/>
          <w:iCs w:val="0"/>
          <w:color w:val="auto"/>
          <w:kern w:val="0"/>
          <w:sz w:val="24"/>
          <w:highlight w:val="none"/>
        </w:rPr>
        <w:sectPr>
          <w:pgSz w:w="11906" w:h="16838"/>
          <w:pgMar w:top="1247" w:right="1418" w:bottom="1276" w:left="1418" w:header="851" w:footer="992" w:gutter="0"/>
          <w:pgNumType w:fmt="decimal"/>
          <w:cols w:space="720" w:num="1"/>
        </w:sectPr>
      </w:pPr>
    </w:p>
    <w:p>
      <w:pPr>
        <w:pStyle w:val="5"/>
        <w:keepNext w:val="0"/>
        <w:keepLines w:val="0"/>
        <w:pageBreakBefore/>
        <w:widowControl/>
        <w:numPr>
          <w:ilvl w:val="0"/>
          <w:numId w:val="0"/>
        </w:numPr>
        <w:spacing w:before="100" w:beforeAutospacing="1" w:after="100" w:afterAutospacing="1" w:line="360" w:lineRule="auto"/>
        <w:jc w:val="center"/>
        <w:rPr>
          <w:rFonts w:ascii="仿宋_GB2312" w:hAnsi="仿宋" w:eastAsia="仿宋_GB2312"/>
          <w:color w:val="auto"/>
          <w:highlight w:val="none"/>
        </w:rPr>
      </w:pPr>
      <w:r>
        <w:rPr>
          <w:rFonts w:hint="eastAsia" w:ascii="仿宋_GB2312" w:hAnsi="仿宋" w:eastAsia="仿宋_GB2312"/>
          <w:color w:val="auto"/>
          <w:highlight w:val="none"/>
        </w:rPr>
        <w:t>附件</w:t>
      </w:r>
      <w:bookmarkEnd w:id="541"/>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附件1：</w:t>
      </w:r>
    </w:p>
    <w:p>
      <w:pPr>
        <w:spacing w:line="360" w:lineRule="auto"/>
        <w:jc w:val="center"/>
        <w:rPr>
          <w:rFonts w:ascii="仿宋_GB2312" w:hAnsi="仿宋" w:eastAsia="仿宋_GB2312"/>
          <w:b/>
          <w:color w:val="auto"/>
          <w:spacing w:val="6"/>
          <w:sz w:val="32"/>
          <w:szCs w:val="32"/>
          <w:highlight w:val="none"/>
        </w:rPr>
      </w:pPr>
      <w:bookmarkStart w:id="546" w:name="OLE_LINK13"/>
      <w:bookmarkStart w:id="547" w:name="OLE_LINK14"/>
      <w:r>
        <w:rPr>
          <w:rFonts w:hint="eastAsia" w:ascii="仿宋_GB2312" w:hAnsi="仿宋" w:eastAsia="仿宋_GB2312"/>
          <w:b/>
          <w:color w:val="auto"/>
          <w:spacing w:val="6"/>
          <w:sz w:val="32"/>
          <w:szCs w:val="32"/>
          <w:highlight w:val="none"/>
        </w:rPr>
        <w:t>残疾人福利性单位声明函</w:t>
      </w:r>
    </w:p>
    <w:bookmarkEnd w:id="546"/>
    <w:bookmarkEnd w:id="547"/>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hint="eastAsia" w:ascii="仿宋_GB2312" w:hAnsi="仿宋" w:eastAsia="仿宋_GB2312"/>
          <w:b/>
          <w:color w:val="auto"/>
          <w:spacing w:val="6"/>
          <w:sz w:val="32"/>
          <w:szCs w:val="32"/>
          <w:highlight w:val="none"/>
          <w:lang w:val="en-US" w:eastAsia="zh-CN"/>
        </w:rPr>
        <w:t>2</w:t>
      </w:r>
      <w:r>
        <w:rPr>
          <w:rFonts w:hint="eastAsia" w:ascii="仿宋_GB2312" w:hAnsi="仿宋" w:eastAsia="仿宋_GB2312"/>
          <w:b/>
          <w:color w:val="auto"/>
          <w:spacing w:val="6"/>
          <w:sz w:val="32"/>
          <w:szCs w:val="32"/>
          <w:highlight w:val="none"/>
        </w:rPr>
        <w:t>：质疑函范本及制作说明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312"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地址： </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质疑事项1：</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hint="eastAsia"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签字(签章)：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日期：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2.质疑供应商若委托代理人进行质疑的，质疑函应按要求列明“授权代表”的有关内容，并在附件中提交由质疑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hint="eastAsia" w:ascii="仿宋_GB2312" w:hAnsi="仿宋" w:eastAsia="仿宋_GB2312"/>
          <w:b/>
          <w:color w:val="auto"/>
          <w:spacing w:val="6"/>
          <w:sz w:val="32"/>
          <w:szCs w:val="32"/>
          <w:highlight w:val="none"/>
          <w:lang w:val="en-US" w:eastAsia="zh-CN"/>
        </w:rPr>
        <w:t>3</w:t>
      </w:r>
      <w:r>
        <w:rPr>
          <w:rFonts w:hint="eastAsia" w:ascii="仿宋_GB2312" w:hAnsi="仿宋" w:eastAsia="仿宋_GB2312"/>
          <w:b/>
          <w:color w:val="auto"/>
          <w:spacing w:val="6"/>
          <w:sz w:val="32"/>
          <w:szCs w:val="32"/>
          <w:highlight w:val="none"/>
        </w:rPr>
        <w:t>：投诉书范本及制作说明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法定代表人/主要负责人：</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被投诉人1：</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hint="eastAsia" w:ascii="仿宋_GB2312" w:hAnsi="仿宋" w:eastAsia="仿宋_GB2312"/>
          <w:color w:val="auto"/>
          <w:sz w:val="24"/>
          <w:highlight w:val="none"/>
          <w:u w:val="dotted"/>
        </w:rPr>
        <w:t xml:space="preserve">是/否 </w:t>
      </w:r>
      <w:r>
        <w:rPr>
          <w:rFonts w:hint="eastAsia" w:ascii="仿宋_GB2312" w:hAnsi="仿宋" w:eastAsia="仿宋_GB2312"/>
          <w:color w:val="auto"/>
          <w:sz w:val="24"/>
          <w:highlight w:val="none"/>
        </w:rPr>
        <w:t>公告期限：</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hint="eastAsia" w:ascii="仿宋_GB2312" w:hAnsi="仿宋" w:eastAsia="仿宋_GB2312"/>
          <w:color w:val="auto"/>
          <w:sz w:val="24"/>
          <w:highlight w:val="none"/>
          <w:u w:val="dotted"/>
        </w:rPr>
        <w:t xml:space="preserve">是/否 </w:t>
      </w:r>
      <w:r>
        <w:rPr>
          <w:rFonts w:hint="eastAsia" w:ascii="仿宋_GB2312" w:hAnsi="仿宋" w:eastAsia="仿宋_GB2312"/>
          <w:color w:val="auto"/>
          <w:sz w:val="24"/>
          <w:highlight w:val="none"/>
        </w:rPr>
        <w:t>公告期限：</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日,向</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采购人/代理机构</w:t>
      </w:r>
      <w:r>
        <w:rPr>
          <w:rFonts w:hint="eastAsia" w:ascii="仿宋_GB2312" w:hAnsi="仿宋" w:eastAsia="仿宋_GB2312"/>
          <w:color w:val="auto"/>
          <w:sz w:val="24"/>
          <w:highlight w:val="none"/>
        </w:rPr>
        <w:t>于</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日,就质疑事项作出了答复/没有在法定期限内作出答复。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 1：</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签字(签章)：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日期：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hint="eastAsia"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hint="eastAsia"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仿宋_GB2312"/>
          <w:b/>
          <w:color w:val="auto"/>
          <w:sz w:val="24"/>
          <w:highlight w:val="none"/>
        </w:rPr>
      </w:pPr>
      <w:r>
        <w:rPr>
          <w:rFonts w:hint="eastAsia"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olor w:val="auto"/>
          <w:kern w:val="0"/>
          <w:sz w:val="24"/>
          <w:highlight w:val="none"/>
        </w:rPr>
      </w:pPr>
    </w:p>
    <w:p>
      <w:pPr>
        <w:pStyle w:val="27"/>
        <w:jc w:val="both"/>
        <w:rPr>
          <w:rFonts w:ascii="仿宋" w:hAnsi="仿宋" w:eastAsia="仿宋" w:cs="仿宋_GB2312"/>
          <w:b/>
          <w:color w:val="auto"/>
          <w:sz w:val="36"/>
          <w:szCs w:val="36"/>
          <w:highlight w:val="none"/>
        </w:rPr>
      </w:pPr>
    </w:p>
    <w:p>
      <w:pPr>
        <w:jc w:val="left"/>
        <w:rPr>
          <w:rFonts w:ascii="仿宋_GB2312" w:hAnsi="仿宋" w:eastAsia="仿宋_GB2312"/>
          <w:b/>
          <w:color w:val="auto"/>
          <w:spacing w:val="6"/>
          <w:sz w:val="32"/>
          <w:szCs w:val="32"/>
          <w:highlight w:val="none"/>
        </w:rPr>
      </w:pPr>
    </w:p>
    <w:p>
      <w:pPr>
        <w:jc w:val="left"/>
        <w:rPr>
          <w:rFonts w:ascii="仿宋" w:hAnsi="仿宋" w:eastAsia="仿宋" w:cs="仿宋"/>
          <w:b/>
          <w:color w:val="auto"/>
          <w:spacing w:val="6"/>
          <w:sz w:val="32"/>
          <w:szCs w:val="32"/>
          <w:highlight w:val="none"/>
        </w:rPr>
      </w:pPr>
    </w:p>
    <w:p>
      <w:pPr>
        <w:jc w:val="left"/>
        <w:rPr>
          <w:rFonts w:ascii="仿宋" w:hAnsi="仿宋" w:eastAsia="仿宋" w:cs="仿宋"/>
          <w:color w:val="auto"/>
          <w:sz w:val="28"/>
          <w:szCs w:val="28"/>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color w:val="auto"/>
          <w:sz w:val="28"/>
          <w:szCs w:val="28"/>
          <w:highlight w:val="none"/>
        </w:rPr>
        <w:t>：</w:t>
      </w:r>
    </w:p>
    <w:p>
      <w:pPr>
        <w:autoSpaceDE w:val="0"/>
        <w:autoSpaceDN w:val="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jc w:val="left"/>
        <w:rPr>
          <w:rFonts w:ascii="仿宋" w:hAnsi="仿宋" w:eastAsia="仿宋" w:cs="仿宋"/>
          <w:color w:val="auto"/>
          <w:sz w:val="28"/>
          <w:szCs w:val="28"/>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color w:val="auto"/>
          <w:sz w:val="28"/>
          <w:szCs w:val="28"/>
          <w:highlight w:val="none"/>
        </w:rPr>
        <w:t>：</w:t>
      </w:r>
    </w:p>
    <w:p>
      <w:pPr>
        <w:autoSpaceDE w:val="0"/>
        <w:autoSpaceDN w:val="0"/>
        <w:jc w:val="center"/>
        <w:rPr>
          <w:rFonts w:hint="eastAsia" w:ascii="仿宋" w:hAnsi="仿宋" w:eastAsia="仿宋"/>
          <w:b/>
          <w:color w:val="auto"/>
          <w:spacing w:val="6"/>
          <w:sz w:val="32"/>
          <w:szCs w:val="32"/>
          <w:highlight w:val="none"/>
        </w:rPr>
      </w:pPr>
    </w:p>
    <w:p>
      <w:pPr>
        <w:jc w:val="center"/>
        <w:rPr>
          <w:rFonts w:ascii="仿宋" w:hAnsi="仿宋" w:eastAsia="仿宋" w:cs="仿宋"/>
          <w:color w:val="auto"/>
          <w:sz w:val="44"/>
          <w:szCs w:val="44"/>
          <w:highlight w:val="none"/>
        </w:rPr>
      </w:pPr>
      <w:r>
        <w:rPr>
          <w:rFonts w:hint="eastAsia" w:ascii="仿宋" w:hAnsi="仿宋" w:eastAsia="仿宋" w:cs="仿宋"/>
          <w:b/>
          <w:bCs/>
          <w:color w:val="auto"/>
          <w:sz w:val="40"/>
          <w:szCs w:val="40"/>
          <w:highlight w:val="none"/>
        </w:rPr>
        <w:t>政府采购融资畅通工程金融机构联系信息表</w:t>
      </w:r>
    </w:p>
    <w:p>
      <w:pPr>
        <w:rPr>
          <w:rFonts w:ascii="仿宋" w:hAnsi="仿宋" w:eastAsia="仿宋" w:cs="仿宋"/>
          <w:color w:val="auto"/>
          <w:sz w:val="44"/>
          <w:szCs w:val="44"/>
          <w:highlight w:val="none"/>
        </w:rPr>
      </w:pPr>
    </w:p>
    <w:tbl>
      <w:tblPr>
        <w:tblStyle w:val="18"/>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金融机构各称</w:t>
            </w:r>
          </w:p>
        </w:tc>
        <w:tc>
          <w:tcPr>
            <w:tcW w:w="142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244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c>
          <w:tcPr>
            <w:tcW w:w="277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南</w:t>
            </w:r>
            <w:r>
              <w:rPr>
                <w:rFonts w:hint="eastAsia" w:ascii="仿宋" w:hAnsi="仿宋" w:eastAsia="仿宋" w:cs="仿宋"/>
                <w:color w:val="auto"/>
                <w:sz w:val="28"/>
                <w:szCs w:val="28"/>
                <w:highlight w:val="none"/>
                <w:shd w:val="clear" w:color="auto" w:fill="FFFFFF"/>
              </w:rPr>
              <w:t>浔银行</w:t>
            </w:r>
          </w:p>
        </w:tc>
        <w:tc>
          <w:tcPr>
            <w:tcW w:w="1425" w:type="dxa"/>
            <w:tcBorders>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方薇</w:t>
            </w:r>
          </w:p>
        </w:tc>
        <w:tc>
          <w:tcPr>
            <w:tcW w:w="2444" w:type="dxa"/>
            <w:tcBorders>
              <w:bottom w:val="single" w:color="auto" w:sz="4" w:space="0"/>
            </w:tcBorders>
            <w:vAlign w:val="center"/>
          </w:tcPr>
          <w:p>
            <w:pPr>
              <w:jc w:val="center"/>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13868003773</w:t>
            </w:r>
          </w:p>
        </w:tc>
        <w:tc>
          <w:tcPr>
            <w:tcW w:w="2775" w:type="dxa"/>
            <w:tcBorders>
              <w:bottom w:val="single" w:color="auto" w:sz="4" w:space="0"/>
            </w:tcBorders>
            <w:vAlign w:val="center"/>
          </w:tcPr>
          <w:p>
            <w:pPr>
              <w:pStyle w:val="1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浦发银行临安分行</w:t>
            </w:r>
          </w:p>
        </w:tc>
        <w:tc>
          <w:tcPr>
            <w:tcW w:w="1425"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沈</w:t>
            </w:r>
            <w:r>
              <w:rPr>
                <w:rFonts w:hint="eastAsia" w:ascii="仿宋" w:hAnsi="仿宋" w:eastAsia="仿宋" w:cs="仿宋"/>
                <w:color w:val="auto"/>
                <w:sz w:val="28"/>
                <w:szCs w:val="28"/>
                <w:highlight w:val="none"/>
                <w:shd w:val="clear" w:color="auto" w:fill="FFFFFF"/>
              </w:rPr>
              <w:t>丹丹</w:t>
            </w:r>
          </w:p>
        </w:tc>
        <w:tc>
          <w:tcPr>
            <w:tcW w:w="2444"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61092936</w:t>
            </w:r>
          </w:p>
          <w:p>
            <w:pPr>
              <w:jc w:val="center"/>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13777851690</w:t>
            </w:r>
          </w:p>
        </w:tc>
        <w:tc>
          <w:tcPr>
            <w:tcW w:w="2775"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金林妹</w:t>
            </w:r>
          </w:p>
        </w:tc>
        <w:tc>
          <w:tcPr>
            <w:tcW w:w="2444"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13666638571</w:t>
            </w:r>
          </w:p>
        </w:tc>
        <w:tc>
          <w:tcPr>
            <w:tcW w:w="2775"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临安中信村镇银行</w:t>
            </w:r>
          </w:p>
        </w:tc>
        <w:tc>
          <w:tcPr>
            <w:tcW w:w="1425"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吕祎</w:t>
            </w:r>
          </w:p>
        </w:tc>
        <w:tc>
          <w:tcPr>
            <w:tcW w:w="2444"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13787100002 61109033</w:t>
            </w:r>
          </w:p>
        </w:tc>
        <w:tc>
          <w:tcPr>
            <w:tcW w:w="2775"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石镜街777号</w:t>
            </w:r>
          </w:p>
        </w:tc>
      </w:tr>
    </w:tbl>
    <w:p>
      <w:pPr>
        <w:pStyle w:val="27"/>
        <w:jc w:val="both"/>
        <w:rPr>
          <w:rFonts w:ascii="仿宋" w:hAnsi="仿宋" w:eastAsia="仿宋" w:cs="仿宋"/>
          <w:b/>
          <w:color w:val="auto"/>
          <w:sz w:val="36"/>
          <w:szCs w:val="36"/>
          <w:highlight w:val="none"/>
        </w:rPr>
      </w:pPr>
    </w:p>
    <w:p>
      <w:pPr>
        <w:pStyle w:val="27"/>
        <w:jc w:val="both"/>
        <w:rPr>
          <w:rFonts w:ascii="仿宋" w:hAnsi="仿宋" w:eastAsia="仿宋" w:cs="仿宋"/>
          <w:b/>
          <w:color w:val="auto"/>
          <w:sz w:val="36"/>
          <w:szCs w:val="36"/>
          <w:highlight w:val="none"/>
        </w:rPr>
      </w:pPr>
    </w:p>
    <w:p>
      <w:pPr>
        <w:pStyle w:val="27"/>
        <w:jc w:val="both"/>
        <w:rPr>
          <w:rFonts w:ascii="仿宋" w:hAnsi="仿宋" w:eastAsia="仿宋" w:cs="仿宋"/>
          <w:b/>
          <w:color w:val="auto"/>
          <w:sz w:val="36"/>
          <w:szCs w:val="36"/>
          <w:highlight w:val="none"/>
        </w:rPr>
      </w:pPr>
    </w:p>
    <w:p>
      <w:pPr>
        <w:pStyle w:val="3"/>
        <w:rPr>
          <w:rFonts w:ascii="仿宋" w:hAnsi="仿宋" w:eastAsia="仿宋" w:cs="仿宋"/>
          <w:b/>
          <w:bCs/>
          <w:color w:val="auto"/>
          <w:sz w:val="24"/>
          <w:highlight w:val="none"/>
        </w:rPr>
      </w:pPr>
    </w:p>
    <w:p>
      <w:pPr>
        <w:pStyle w:val="3"/>
        <w:rPr>
          <w:rFonts w:ascii="仿宋" w:hAnsi="仿宋" w:eastAsia="仿宋" w:cs="仿宋"/>
          <w:b/>
          <w:bCs/>
          <w:color w:val="auto"/>
          <w:sz w:val="24"/>
          <w:highlight w:val="none"/>
        </w:rPr>
      </w:pPr>
    </w:p>
    <w:p>
      <w:pPr>
        <w:pStyle w:val="3"/>
        <w:rPr>
          <w:rFonts w:ascii="仿宋" w:hAnsi="仿宋" w:eastAsia="仿宋" w:cs="仿宋"/>
          <w:b/>
          <w:bCs/>
          <w:color w:val="auto"/>
          <w:sz w:val="24"/>
          <w:highlight w:val="none"/>
        </w:rPr>
      </w:pPr>
    </w:p>
    <w:p>
      <w:pPr>
        <w:pStyle w:val="3"/>
        <w:rPr>
          <w:rFonts w:ascii="仿宋" w:hAnsi="仿宋" w:eastAsia="仿宋" w:cs="仿宋"/>
          <w:b/>
          <w:bCs/>
          <w:color w:val="auto"/>
          <w:sz w:val="24"/>
          <w:highlight w:val="none"/>
        </w:rPr>
      </w:pPr>
    </w:p>
    <w:p>
      <w:pPr>
        <w:pStyle w:val="3"/>
        <w:rPr>
          <w:rFonts w:ascii="仿宋" w:hAnsi="仿宋" w:eastAsia="仿宋" w:cs="仿宋"/>
          <w:b/>
          <w:bCs/>
          <w:color w:val="auto"/>
          <w:sz w:val="24"/>
          <w:highlight w:val="none"/>
        </w:rPr>
      </w:pPr>
    </w:p>
    <w:p>
      <w:pPr>
        <w:pStyle w:val="3"/>
        <w:rPr>
          <w:rFonts w:ascii="仿宋" w:hAnsi="仿宋" w:eastAsia="仿宋" w:cs="仿宋"/>
          <w:b/>
          <w:bCs/>
          <w:color w:val="auto"/>
          <w:sz w:val="24"/>
          <w:highlight w:val="none"/>
        </w:rPr>
      </w:pPr>
    </w:p>
    <w:p>
      <w:pPr>
        <w:pStyle w:val="3"/>
        <w:rPr>
          <w:rFonts w:ascii="仿宋" w:hAnsi="仿宋" w:eastAsia="仿宋" w:cs="仿宋"/>
          <w:b/>
          <w:bCs/>
          <w:color w:val="auto"/>
          <w:sz w:val="24"/>
          <w:highlight w:val="none"/>
        </w:rPr>
      </w:pPr>
    </w:p>
    <w:p>
      <w:pPr>
        <w:pStyle w:val="3"/>
        <w:rPr>
          <w:rFonts w:ascii="仿宋" w:hAnsi="仿宋" w:eastAsia="仿宋" w:cs="仿宋"/>
          <w:b/>
          <w:bCs/>
          <w:color w:val="auto"/>
          <w:sz w:val="24"/>
          <w:highlight w:val="none"/>
        </w:rPr>
      </w:pPr>
    </w:p>
    <w:p>
      <w:pPr>
        <w:pStyle w:val="3"/>
        <w:rPr>
          <w:rFonts w:ascii="仿宋" w:hAnsi="仿宋" w:eastAsia="仿宋" w:cs="仿宋"/>
          <w:b/>
          <w:bCs/>
          <w:color w:val="auto"/>
          <w:sz w:val="24"/>
          <w:highlight w:val="none"/>
        </w:rPr>
      </w:pPr>
    </w:p>
    <w:p>
      <w:pPr>
        <w:pStyle w:val="27"/>
        <w:jc w:val="both"/>
        <w:rPr>
          <w:rFonts w:ascii="仿宋" w:hAnsi="仿宋" w:eastAsia="仿宋" w:cs="仿宋_GB2312"/>
          <w:b/>
          <w:color w:val="auto"/>
          <w:sz w:val="36"/>
          <w:szCs w:val="36"/>
          <w:highlight w:val="none"/>
        </w:rPr>
      </w:pPr>
    </w:p>
    <w:sectPr>
      <w:pgSz w:w="11906" w:h="16838"/>
      <w:pgMar w:top="680" w:right="1417" w:bottom="47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_x0003_...销.">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DFFD9"/>
    <w:multiLevelType w:val="singleLevel"/>
    <w:tmpl w:val="CFFDFFD9"/>
    <w:lvl w:ilvl="0" w:tentative="0">
      <w:start w:val="1"/>
      <w:numFmt w:val="bullet"/>
      <w:lvlText w:val=""/>
      <w:lvlJc w:val="left"/>
      <w:pPr>
        <w:ind w:left="420" w:hanging="420"/>
      </w:pPr>
      <w:rPr>
        <w:rFonts w:hint="default" w:ascii="Wingdings" w:hAnsi="Wingdings"/>
      </w:r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58E9AE5D"/>
    <w:multiLevelType w:val="singleLevel"/>
    <w:tmpl w:val="58E9AE5D"/>
    <w:lvl w:ilvl="0" w:tentative="0">
      <w:start w:val="3"/>
      <w:numFmt w:val="chineseCounting"/>
      <w:suff w:val="space"/>
      <w:lvlText w:val="第%1部分"/>
      <w:lvlJc w:val="left"/>
      <w:rPr>
        <w:rFonts w:hint="eastAsia"/>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8D"/>
    <w:rsid w:val="00892CAC"/>
    <w:rsid w:val="00B8178D"/>
    <w:rsid w:val="00E6625C"/>
    <w:rsid w:val="00E81190"/>
    <w:rsid w:val="01712FC3"/>
    <w:rsid w:val="01BA1B9B"/>
    <w:rsid w:val="022D0195"/>
    <w:rsid w:val="02630FB3"/>
    <w:rsid w:val="03036611"/>
    <w:rsid w:val="039319D4"/>
    <w:rsid w:val="03E274D9"/>
    <w:rsid w:val="054F6C10"/>
    <w:rsid w:val="05741E71"/>
    <w:rsid w:val="063F66CA"/>
    <w:rsid w:val="064A310A"/>
    <w:rsid w:val="06A0055C"/>
    <w:rsid w:val="071430E2"/>
    <w:rsid w:val="079F3753"/>
    <w:rsid w:val="07B2669D"/>
    <w:rsid w:val="081475F0"/>
    <w:rsid w:val="087711FB"/>
    <w:rsid w:val="089935D4"/>
    <w:rsid w:val="08CC6235"/>
    <w:rsid w:val="09202BEC"/>
    <w:rsid w:val="09D74605"/>
    <w:rsid w:val="09E24C38"/>
    <w:rsid w:val="0A173EDD"/>
    <w:rsid w:val="0A530E41"/>
    <w:rsid w:val="0A624055"/>
    <w:rsid w:val="0A9351CB"/>
    <w:rsid w:val="0AC568B2"/>
    <w:rsid w:val="0B135B1E"/>
    <w:rsid w:val="0B284BCB"/>
    <w:rsid w:val="0B7F3A5C"/>
    <w:rsid w:val="0BC000AD"/>
    <w:rsid w:val="0BF72242"/>
    <w:rsid w:val="0C592FB4"/>
    <w:rsid w:val="0C6C4480"/>
    <w:rsid w:val="0C6F5726"/>
    <w:rsid w:val="0C777DA0"/>
    <w:rsid w:val="0CD7545D"/>
    <w:rsid w:val="0CE2618B"/>
    <w:rsid w:val="0E170695"/>
    <w:rsid w:val="0E7E40C2"/>
    <w:rsid w:val="0E8F402B"/>
    <w:rsid w:val="0F1308AA"/>
    <w:rsid w:val="0F7C5460"/>
    <w:rsid w:val="10220FE3"/>
    <w:rsid w:val="103977B4"/>
    <w:rsid w:val="108B0D18"/>
    <w:rsid w:val="11364B07"/>
    <w:rsid w:val="123B4698"/>
    <w:rsid w:val="12753A2E"/>
    <w:rsid w:val="129D0DBB"/>
    <w:rsid w:val="12A24CED"/>
    <w:rsid w:val="137A009C"/>
    <w:rsid w:val="139564D3"/>
    <w:rsid w:val="13BC2DB6"/>
    <w:rsid w:val="14123508"/>
    <w:rsid w:val="14273525"/>
    <w:rsid w:val="14E62D15"/>
    <w:rsid w:val="15475B55"/>
    <w:rsid w:val="156E6684"/>
    <w:rsid w:val="15E8117E"/>
    <w:rsid w:val="165C2E84"/>
    <w:rsid w:val="1692695E"/>
    <w:rsid w:val="16F1576B"/>
    <w:rsid w:val="17176CC6"/>
    <w:rsid w:val="187F73B4"/>
    <w:rsid w:val="1882531E"/>
    <w:rsid w:val="18FF04B2"/>
    <w:rsid w:val="19A90FCC"/>
    <w:rsid w:val="19AF3CC9"/>
    <w:rsid w:val="19BD0194"/>
    <w:rsid w:val="1B276880"/>
    <w:rsid w:val="1B5C6DB8"/>
    <w:rsid w:val="1B9200DD"/>
    <w:rsid w:val="1C1735FD"/>
    <w:rsid w:val="1C2C7853"/>
    <w:rsid w:val="1C8D2D9E"/>
    <w:rsid w:val="1D104A7F"/>
    <w:rsid w:val="1D7D27E3"/>
    <w:rsid w:val="1DB356E1"/>
    <w:rsid w:val="1F3829D5"/>
    <w:rsid w:val="202E15BF"/>
    <w:rsid w:val="20A5369F"/>
    <w:rsid w:val="214E79C8"/>
    <w:rsid w:val="21746C6F"/>
    <w:rsid w:val="21914B91"/>
    <w:rsid w:val="219C389A"/>
    <w:rsid w:val="21B52099"/>
    <w:rsid w:val="2290776F"/>
    <w:rsid w:val="22E42393"/>
    <w:rsid w:val="23957A8C"/>
    <w:rsid w:val="23C2082F"/>
    <w:rsid w:val="23C67821"/>
    <w:rsid w:val="23EA4529"/>
    <w:rsid w:val="241F6061"/>
    <w:rsid w:val="24431BDE"/>
    <w:rsid w:val="24675B39"/>
    <w:rsid w:val="25515CE3"/>
    <w:rsid w:val="25D16D75"/>
    <w:rsid w:val="25F04E93"/>
    <w:rsid w:val="28616BE0"/>
    <w:rsid w:val="28746153"/>
    <w:rsid w:val="287B09DA"/>
    <w:rsid w:val="28AE7BCB"/>
    <w:rsid w:val="28C82987"/>
    <w:rsid w:val="29372191"/>
    <w:rsid w:val="295F2FE4"/>
    <w:rsid w:val="29783130"/>
    <w:rsid w:val="297840D8"/>
    <w:rsid w:val="29CC4591"/>
    <w:rsid w:val="29D95714"/>
    <w:rsid w:val="2A20681A"/>
    <w:rsid w:val="2A375921"/>
    <w:rsid w:val="2A7A6657"/>
    <w:rsid w:val="2B1B54A2"/>
    <w:rsid w:val="2B2D4A4E"/>
    <w:rsid w:val="2B3A6BB5"/>
    <w:rsid w:val="2B6A5CA2"/>
    <w:rsid w:val="2CDE230F"/>
    <w:rsid w:val="2D327241"/>
    <w:rsid w:val="2D362605"/>
    <w:rsid w:val="2DB40905"/>
    <w:rsid w:val="2DD218DC"/>
    <w:rsid w:val="2E057AF6"/>
    <w:rsid w:val="2E117BD6"/>
    <w:rsid w:val="2F2C18C6"/>
    <w:rsid w:val="2F3429AE"/>
    <w:rsid w:val="2F50408F"/>
    <w:rsid w:val="2FB63366"/>
    <w:rsid w:val="30820FB4"/>
    <w:rsid w:val="309E2DC2"/>
    <w:rsid w:val="30AC606B"/>
    <w:rsid w:val="313C59EB"/>
    <w:rsid w:val="319E35F7"/>
    <w:rsid w:val="32081D71"/>
    <w:rsid w:val="325B1025"/>
    <w:rsid w:val="325F425F"/>
    <w:rsid w:val="32C20171"/>
    <w:rsid w:val="32C329D0"/>
    <w:rsid w:val="33BF1E03"/>
    <w:rsid w:val="33C66352"/>
    <w:rsid w:val="340B0E14"/>
    <w:rsid w:val="353136AB"/>
    <w:rsid w:val="3608233F"/>
    <w:rsid w:val="378062FE"/>
    <w:rsid w:val="37B22A66"/>
    <w:rsid w:val="385E7DBF"/>
    <w:rsid w:val="38E42EC4"/>
    <w:rsid w:val="39241D3F"/>
    <w:rsid w:val="3957352E"/>
    <w:rsid w:val="398D09EE"/>
    <w:rsid w:val="399B34CA"/>
    <w:rsid w:val="3A0D0454"/>
    <w:rsid w:val="3A51125F"/>
    <w:rsid w:val="3AC13C23"/>
    <w:rsid w:val="3B163FB8"/>
    <w:rsid w:val="3C0B0DDB"/>
    <w:rsid w:val="3CA408E8"/>
    <w:rsid w:val="3CB96999"/>
    <w:rsid w:val="3CC321D9"/>
    <w:rsid w:val="3D8B36B2"/>
    <w:rsid w:val="3DBA6615"/>
    <w:rsid w:val="3DBD7EB3"/>
    <w:rsid w:val="3DDA0300"/>
    <w:rsid w:val="3DE4707A"/>
    <w:rsid w:val="3DE8323E"/>
    <w:rsid w:val="3DEA0170"/>
    <w:rsid w:val="3DF42CCA"/>
    <w:rsid w:val="3EBF5FF3"/>
    <w:rsid w:val="3EC67E93"/>
    <w:rsid w:val="3F1D4D98"/>
    <w:rsid w:val="3F76656C"/>
    <w:rsid w:val="401B1F17"/>
    <w:rsid w:val="40363F4D"/>
    <w:rsid w:val="40DA10D7"/>
    <w:rsid w:val="418A4550"/>
    <w:rsid w:val="42614397"/>
    <w:rsid w:val="427F1BDB"/>
    <w:rsid w:val="42DC6FA5"/>
    <w:rsid w:val="435E5C94"/>
    <w:rsid w:val="43A318F9"/>
    <w:rsid w:val="43BE5141"/>
    <w:rsid w:val="44575FEF"/>
    <w:rsid w:val="449E7235"/>
    <w:rsid w:val="44BE358E"/>
    <w:rsid w:val="45CD2286"/>
    <w:rsid w:val="4636052C"/>
    <w:rsid w:val="46B87D5C"/>
    <w:rsid w:val="46D71FE6"/>
    <w:rsid w:val="484E58C7"/>
    <w:rsid w:val="48804B09"/>
    <w:rsid w:val="48831E0B"/>
    <w:rsid w:val="48A11443"/>
    <w:rsid w:val="48C6048A"/>
    <w:rsid w:val="48DF24D9"/>
    <w:rsid w:val="4931667F"/>
    <w:rsid w:val="49BF748B"/>
    <w:rsid w:val="49C32CF5"/>
    <w:rsid w:val="4A6423D5"/>
    <w:rsid w:val="4B175E60"/>
    <w:rsid w:val="4B3F0159"/>
    <w:rsid w:val="4B6F36C2"/>
    <w:rsid w:val="4C2630C7"/>
    <w:rsid w:val="4CF802E3"/>
    <w:rsid w:val="4D065F2A"/>
    <w:rsid w:val="4D8114AA"/>
    <w:rsid w:val="4DF23BA9"/>
    <w:rsid w:val="4DF37C43"/>
    <w:rsid w:val="4E4C57E9"/>
    <w:rsid w:val="4F1256B6"/>
    <w:rsid w:val="4F1E0C9B"/>
    <w:rsid w:val="4FAB1DA7"/>
    <w:rsid w:val="50591EE4"/>
    <w:rsid w:val="50C61E07"/>
    <w:rsid w:val="50E05DC1"/>
    <w:rsid w:val="51A86FD9"/>
    <w:rsid w:val="51AE7211"/>
    <w:rsid w:val="51CD67EE"/>
    <w:rsid w:val="522A4A23"/>
    <w:rsid w:val="52BB0CD0"/>
    <w:rsid w:val="53285B64"/>
    <w:rsid w:val="53462460"/>
    <w:rsid w:val="53D15CED"/>
    <w:rsid w:val="54141F51"/>
    <w:rsid w:val="5437630F"/>
    <w:rsid w:val="54D2203C"/>
    <w:rsid w:val="54F2111A"/>
    <w:rsid w:val="559537A4"/>
    <w:rsid w:val="559F52B8"/>
    <w:rsid w:val="55CC5BE1"/>
    <w:rsid w:val="55E50BFF"/>
    <w:rsid w:val="566536F5"/>
    <w:rsid w:val="56BB0D04"/>
    <w:rsid w:val="57071C1A"/>
    <w:rsid w:val="570D2B5A"/>
    <w:rsid w:val="5784481B"/>
    <w:rsid w:val="57A73D1A"/>
    <w:rsid w:val="57B96973"/>
    <w:rsid w:val="57D165DD"/>
    <w:rsid w:val="580249E9"/>
    <w:rsid w:val="5838665C"/>
    <w:rsid w:val="5A5D0F76"/>
    <w:rsid w:val="5A7E1085"/>
    <w:rsid w:val="5AAC50E0"/>
    <w:rsid w:val="5B103E8D"/>
    <w:rsid w:val="5B2E787D"/>
    <w:rsid w:val="5B3E3A75"/>
    <w:rsid w:val="5C1F30DD"/>
    <w:rsid w:val="5C9C0C9A"/>
    <w:rsid w:val="5E20394A"/>
    <w:rsid w:val="5E665DEE"/>
    <w:rsid w:val="5F316D5F"/>
    <w:rsid w:val="5FBE2001"/>
    <w:rsid w:val="610F16BD"/>
    <w:rsid w:val="612A5A24"/>
    <w:rsid w:val="61447E20"/>
    <w:rsid w:val="616D6EEF"/>
    <w:rsid w:val="61861F80"/>
    <w:rsid w:val="620B1F0C"/>
    <w:rsid w:val="628A31C9"/>
    <w:rsid w:val="62D669F6"/>
    <w:rsid w:val="62EB3B54"/>
    <w:rsid w:val="63604CB9"/>
    <w:rsid w:val="63A728C8"/>
    <w:rsid w:val="63C21730"/>
    <w:rsid w:val="64341E7E"/>
    <w:rsid w:val="64B45569"/>
    <w:rsid w:val="64C77BFD"/>
    <w:rsid w:val="651D2BBC"/>
    <w:rsid w:val="65206DF6"/>
    <w:rsid w:val="655F6911"/>
    <w:rsid w:val="66BE6B9D"/>
    <w:rsid w:val="66C37A39"/>
    <w:rsid w:val="66F45E44"/>
    <w:rsid w:val="67740A36"/>
    <w:rsid w:val="677E1BB2"/>
    <w:rsid w:val="67811E4A"/>
    <w:rsid w:val="679B6977"/>
    <w:rsid w:val="67D0436A"/>
    <w:rsid w:val="68183DB4"/>
    <w:rsid w:val="68C33D20"/>
    <w:rsid w:val="69545357"/>
    <w:rsid w:val="699A2719"/>
    <w:rsid w:val="6A5D042A"/>
    <w:rsid w:val="6A6921D7"/>
    <w:rsid w:val="6B4730E3"/>
    <w:rsid w:val="6CB93B20"/>
    <w:rsid w:val="6CBD4F2A"/>
    <w:rsid w:val="6CBF3D5B"/>
    <w:rsid w:val="6CFE1FC2"/>
    <w:rsid w:val="6E591147"/>
    <w:rsid w:val="706F5D90"/>
    <w:rsid w:val="70705223"/>
    <w:rsid w:val="70B25587"/>
    <w:rsid w:val="70D86B01"/>
    <w:rsid w:val="70F2471A"/>
    <w:rsid w:val="7100245D"/>
    <w:rsid w:val="7129561A"/>
    <w:rsid w:val="71740C76"/>
    <w:rsid w:val="718921A6"/>
    <w:rsid w:val="72206B9E"/>
    <w:rsid w:val="7249466A"/>
    <w:rsid w:val="72FA11D7"/>
    <w:rsid w:val="732B2AE7"/>
    <w:rsid w:val="7374673A"/>
    <w:rsid w:val="737B5084"/>
    <w:rsid w:val="741A4541"/>
    <w:rsid w:val="743932A7"/>
    <w:rsid w:val="743C7CD8"/>
    <w:rsid w:val="74684C7C"/>
    <w:rsid w:val="74A215D5"/>
    <w:rsid w:val="74FA31C0"/>
    <w:rsid w:val="754421F6"/>
    <w:rsid w:val="75724DEF"/>
    <w:rsid w:val="76014109"/>
    <w:rsid w:val="7611429A"/>
    <w:rsid w:val="768477DC"/>
    <w:rsid w:val="76C61CFC"/>
    <w:rsid w:val="76E618F2"/>
    <w:rsid w:val="76FB32D4"/>
    <w:rsid w:val="76FD2EC9"/>
    <w:rsid w:val="77BA5891"/>
    <w:rsid w:val="77BC4ECB"/>
    <w:rsid w:val="77CE4AD0"/>
    <w:rsid w:val="784D7AAA"/>
    <w:rsid w:val="79636E2A"/>
    <w:rsid w:val="798C60CF"/>
    <w:rsid w:val="7A100D8F"/>
    <w:rsid w:val="7A3E4C04"/>
    <w:rsid w:val="7ADB1741"/>
    <w:rsid w:val="7AED10D1"/>
    <w:rsid w:val="7AF349A8"/>
    <w:rsid w:val="7BA50F33"/>
    <w:rsid w:val="7BE1396D"/>
    <w:rsid w:val="7BE27D24"/>
    <w:rsid w:val="7D1B3847"/>
    <w:rsid w:val="7D2B0036"/>
    <w:rsid w:val="7D97664D"/>
    <w:rsid w:val="7DA81B78"/>
    <w:rsid w:val="7E631A93"/>
    <w:rsid w:val="7E8E2AEF"/>
    <w:rsid w:val="7EAE409D"/>
    <w:rsid w:val="7EBB4EAD"/>
    <w:rsid w:val="7EF50554"/>
    <w:rsid w:val="7FA2692E"/>
    <w:rsid w:val="7FBC7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unhideWhenUsed/>
    <w:qFormat/>
    <w:uiPriority w:val="0"/>
    <w:pPr>
      <w:keepNext/>
      <w:keepLines/>
      <w:spacing w:before="260" w:after="260" w:line="413" w:lineRule="auto"/>
      <w:outlineLvl w:val="1"/>
    </w:pPr>
    <w:rPr>
      <w:rFonts w:ascii="Arial" w:hAnsi="Arial"/>
      <w:b/>
      <w:sz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Calibri" w:hAnsi="Calibri" w:eastAsia="宋体" w:cs="Times New Roman"/>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szCs w:val="20"/>
    </w:rPr>
  </w:style>
  <w:style w:type="paragraph" w:styleId="3">
    <w:name w:val="Body Text"/>
    <w:basedOn w:val="1"/>
    <w:next w:val="1"/>
    <w:qFormat/>
    <w:uiPriority w:val="0"/>
    <w:pPr>
      <w:spacing w:after="120"/>
    </w:pPr>
  </w:style>
  <w:style w:type="paragraph" w:styleId="4">
    <w:name w:val="toc 6"/>
    <w:basedOn w:val="1"/>
    <w:next w:val="1"/>
    <w:qFormat/>
    <w:uiPriority w:val="99"/>
    <w:pPr>
      <w:ind w:left="2100" w:leftChars="1000"/>
    </w:pPr>
    <w:rPr>
      <w:szCs w:val="22"/>
    </w:rPr>
  </w:style>
  <w:style w:type="paragraph" w:styleId="8">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next w:val="1"/>
    <w:qFormat/>
    <w:uiPriority w:val="0"/>
    <w:rPr>
      <w:rFonts w:ascii="宋体" w:hAnsi="Courier New" w:cs="Arial"/>
      <w:snapToGrid w:val="0"/>
      <w:szCs w:val="21"/>
    </w:rPr>
  </w:style>
  <w:style w:type="paragraph" w:styleId="11">
    <w:name w:val="Balloon Text"/>
    <w:basedOn w:val="1"/>
    <w:link w:val="40"/>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16">
    <w:name w:val="Body Text First Indent 2"/>
    <w:basedOn w:val="9"/>
    <w:next w:val="17"/>
    <w:unhideWhenUsed/>
    <w:qFormat/>
    <w:uiPriority w:val="0"/>
    <w:pPr>
      <w:ind w:firstLine="420"/>
    </w:pPr>
    <w:rPr>
      <w:rFonts w:cs="宋体"/>
      <w:color w:val="000000"/>
      <w:szCs w:val="21"/>
    </w:rPr>
  </w:style>
  <w:style w:type="paragraph" w:customStyle="1" w:styleId="1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basedOn w:val="20"/>
    <w:qFormat/>
    <w:uiPriority w:val="0"/>
    <w:rPr>
      <w:color w:val="656565"/>
      <w:u w:val="none"/>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paragraph" w:customStyle="1" w:styleId="24">
    <w:name w:val="_Style 2"/>
    <w:basedOn w:val="1"/>
    <w:qFormat/>
    <w:uiPriority w:val="0"/>
    <w:pPr>
      <w:ind w:firstLine="200" w:firstLineChars="200"/>
    </w:pPr>
    <w:rPr>
      <w:rFonts w:ascii="Calibri" w:hAnsi="Calibri"/>
      <w:sz w:val="28"/>
      <w:szCs w:val="22"/>
    </w:rPr>
  </w:style>
  <w:style w:type="paragraph" w:customStyle="1" w:styleId="25">
    <w:name w:val="Default"/>
    <w:next w:val="26"/>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26">
    <w:name w:val="TOC 71"/>
    <w:next w:val="1"/>
    <w:qFormat/>
    <w:uiPriority w:val="0"/>
    <w:pPr>
      <w:wordWrap w:val="0"/>
      <w:ind w:left="2550"/>
      <w:jc w:val="both"/>
    </w:pPr>
    <w:rPr>
      <w:rFonts w:ascii="Calibri" w:hAnsi="Calibri" w:eastAsia="宋体" w:cs="Times New Roman"/>
      <w:kern w:val="0"/>
      <w:sz w:val="21"/>
      <w:szCs w:val="22"/>
      <w:lang w:val="en-US" w:eastAsia="zh-CN" w:bidi="ar-SA"/>
    </w:rPr>
  </w:style>
  <w:style w:type="paragraph" w:customStyle="1" w:styleId="27">
    <w:name w:val="[Normal]"/>
    <w:qFormat/>
    <w:uiPriority w:val="0"/>
    <w:rPr>
      <w:rFonts w:ascii="宋体" w:hAnsi="宋体" w:eastAsia="宋体" w:cs="Times New Roman"/>
      <w:sz w:val="24"/>
      <w:szCs w:val="22"/>
      <w:lang w:val="zh-CN" w:eastAsia="zh-CN" w:bidi="ar-SA"/>
    </w:rPr>
  </w:style>
  <w:style w:type="paragraph" w:customStyle="1" w:styleId="28">
    <w:name w:val="正文2"/>
    <w:basedOn w:val="1"/>
    <w:qFormat/>
    <w:uiPriority w:val="0"/>
    <w:pPr>
      <w:spacing w:before="156" w:line="360" w:lineRule="auto"/>
      <w:ind w:firstLine="510" w:firstLineChars="200"/>
    </w:pPr>
    <w:rPr>
      <w:sz w:val="24"/>
      <w:szCs w:val="20"/>
    </w:rPr>
  </w:style>
  <w:style w:type="paragraph" w:customStyle="1" w:styleId="2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1">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2">
    <w:name w:val="索引 11"/>
    <w:basedOn w:val="1"/>
    <w:next w:val="1"/>
    <w:qFormat/>
    <w:uiPriority w:val="0"/>
    <w:pPr>
      <w:adjustRightInd/>
      <w:spacing w:line="360" w:lineRule="auto"/>
    </w:pPr>
    <w:rPr>
      <w:rFonts w:ascii="仿宋_GB2312" w:eastAsia="仿宋_GB2312"/>
      <w:sz w:val="24"/>
      <w:szCs w:val="20"/>
    </w:rPr>
  </w:style>
  <w:style w:type="paragraph" w:customStyle="1" w:styleId="33">
    <w:name w:val="纯文本1"/>
    <w:basedOn w:val="1"/>
    <w:qFormat/>
    <w:uiPriority w:val="0"/>
    <w:pPr>
      <w:adjustRightInd/>
    </w:pPr>
    <w:rPr>
      <w:rFonts w:ascii="宋体" w:hAnsi="Courier New"/>
      <w:kern w:val="0"/>
      <w:sz w:val="20"/>
      <w:szCs w:val="20"/>
    </w:rPr>
  </w:style>
  <w:style w:type="paragraph" w:customStyle="1" w:styleId="34">
    <w:name w:val="纯文本_0_0"/>
    <w:basedOn w:val="35"/>
    <w:qFormat/>
    <w:uiPriority w:val="0"/>
    <w:rPr>
      <w:rFonts w:ascii="宋体" w:hAnsi="Courier New"/>
      <w:szCs w:val="21"/>
    </w:rPr>
  </w:style>
  <w:style w:type="paragraph" w:customStyle="1" w:styleId="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8">
    <w:name w:val="样式5"/>
    <w:basedOn w:val="1"/>
    <w:qFormat/>
    <w:uiPriority w:val="0"/>
    <w:pPr>
      <w:spacing w:line="440" w:lineRule="exact"/>
      <w:ind w:left="2" w:firstLine="480" w:firstLineChars="200"/>
    </w:pPr>
    <w:rPr>
      <w:rFonts w:ascii="仿宋_GB2312" w:hAnsi="仿宋" w:eastAsia="仿宋_GB2312"/>
      <w:sz w:val="24"/>
    </w:rPr>
  </w:style>
  <w:style w:type="paragraph" w:styleId="39">
    <w:name w:val="List Paragraph"/>
    <w:basedOn w:val="1"/>
    <w:qFormat/>
    <w:uiPriority w:val="99"/>
    <w:pPr>
      <w:ind w:firstLine="420" w:firstLineChars="200"/>
    </w:pPr>
  </w:style>
  <w:style w:type="character" w:customStyle="1" w:styleId="40">
    <w:name w:val="批注框文本 Char"/>
    <w:basedOn w:val="20"/>
    <w:link w:val="11"/>
    <w:qFormat/>
    <w:uiPriority w:val="0"/>
    <w:rPr>
      <w:rFonts w:ascii="Times New Roman" w:hAnsi="Times New Roman" w:eastAsia="宋体" w:cs="Times New Roman"/>
      <w:kern w:val="2"/>
      <w:sz w:val="18"/>
      <w:szCs w:val="18"/>
    </w:rPr>
  </w:style>
  <w:style w:type="paragraph" w:customStyle="1" w:styleId="41">
    <w:name w:val="Table Paragraph"/>
    <w:basedOn w:val="1"/>
    <w:qFormat/>
    <w:uiPriority w:val="1"/>
    <w:rPr>
      <w:rFonts w:ascii="宋体" w:hAnsi="宋体" w:cs="宋体"/>
      <w:lang w:val="zh-CN" w:bidi="zh-CN"/>
    </w:rPr>
  </w:style>
  <w:style w:type="paragraph" w:customStyle="1" w:styleId="42">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character" w:customStyle="1" w:styleId="43">
    <w:name w:val="first-child"/>
    <w:basedOn w:val="20"/>
    <w:qFormat/>
    <w:uiPriority w:val="0"/>
  </w:style>
  <w:style w:type="character" w:customStyle="1" w:styleId="44">
    <w:name w:val="hover7"/>
    <w:basedOn w:val="20"/>
    <w:qFormat/>
    <w:uiPriority w:val="0"/>
    <w:rPr>
      <w:shd w:val="clear" w:fill="F3F3F3"/>
    </w:rPr>
  </w:style>
  <w:style w:type="character" w:customStyle="1" w:styleId="45">
    <w:name w:val="hover8"/>
    <w:basedOn w:val="20"/>
    <w:qFormat/>
    <w:uiPriority w:val="0"/>
    <w:rPr>
      <w:sz w:val="19"/>
      <w:szCs w:val="19"/>
    </w:rPr>
  </w:style>
  <w:style w:type="character" w:customStyle="1" w:styleId="46">
    <w:name w:val="layui-layer-tabnow"/>
    <w:basedOn w:val="20"/>
    <w:qFormat/>
    <w:uiPriority w:val="0"/>
    <w:rPr>
      <w:bdr w:val="single" w:color="CCCCCC" w:sz="6" w:space="0"/>
      <w:shd w:val="clear" w:fill="FFFFFF"/>
    </w:rPr>
  </w:style>
  <w:style w:type="paragraph" w:customStyle="1" w:styleId="47">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8">
    <w:name w:val="防指正文"/>
    <w:basedOn w:val="1"/>
    <w:qFormat/>
    <w:uiPriority w:val="0"/>
    <w:pPr>
      <w:tabs>
        <w:tab w:val="left" w:pos="540"/>
      </w:tabs>
      <w:adjustRightInd w:val="0"/>
      <w:snapToGrid w:val="0"/>
      <w:spacing w:line="360" w:lineRule="auto"/>
      <w:ind w:firstLine="480" w:firstLineChars="200"/>
    </w:pPr>
    <w:rPr>
      <w:rFonts w:ascii="宋体" w:hAnsi="宋体"/>
      <w:bCs/>
      <w:sz w:val="24"/>
    </w:rPr>
  </w:style>
  <w:style w:type="paragraph" w:customStyle="1" w:styleId="49">
    <w:name w:val="列表段落1"/>
    <w:basedOn w:val="1"/>
    <w:qFormat/>
    <w:uiPriority w:val="0"/>
    <w:pPr>
      <w:ind w:firstLine="420" w:firstLineChars="200"/>
    </w:pPr>
    <w:rPr>
      <w:rFonts w:ascii="Calibri" w:hAnsi="Calibri" w:eastAsia="宋体" w:cs="Times New Roman"/>
    </w:rPr>
  </w:style>
  <w:style w:type="paragraph" w:customStyle="1" w:styleId="50">
    <w:name w:val="正文0"/>
    <w:basedOn w:val="1"/>
    <w:qFormat/>
    <w:uiPriority w:val="0"/>
    <w:pPr>
      <w:spacing w:line="360" w:lineRule="auto"/>
      <w:ind w:firstLine="200" w:firstLineChars="200"/>
    </w:pPr>
    <w:rPr>
      <w:rFonts w:ascii="仿宋_GB2312" w:hAnsi="Calibri" w:eastAsia="仿宋_GB2312" w:cs="Times New Roman"/>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72</Pages>
  <Words>36719</Words>
  <Characters>38886</Characters>
  <Lines>1230</Lines>
  <Paragraphs>346</Paragraphs>
  <TotalTime>15</TotalTime>
  <ScaleCrop>false</ScaleCrop>
  <LinksUpToDate>false</LinksUpToDate>
  <CharactersWithSpaces>45500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十二°</cp:lastModifiedBy>
  <cp:lastPrinted>2022-03-29T08:25:00Z</cp:lastPrinted>
  <dcterms:modified xsi:type="dcterms:W3CDTF">2022-04-29T06:45:53Z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4576202A4BBD4EF9BF1C3DB544F47CE9</vt:lpwstr>
  </property>
</Properties>
</file>